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TCcovertext"/>
        <w:tblpPr w:leftFromText="180" w:rightFromText="180" w:vertAnchor="text" w:horzAnchor="margin" w:tblpY="4538"/>
        <w:tblW w:w="0" w:type="auto"/>
        <w:tblLook w:val="04A0" w:firstRow="1" w:lastRow="0" w:firstColumn="1" w:lastColumn="0" w:noHBand="0" w:noVBand="1"/>
      </w:tblPr>
      <w:tblGrid>
        <w:gridCol w:w="6521"/>
      </w:tblGrid>
      <w:tr w:rsidR="00CB1327" w:rsidRPr="00907FF5" w14:paraId="197A6064" w14:textId="77777777" w:rsidTr="00CB1327">
        <w:tc>
          <w:tcPr>
            <w:tcW w:w="6521" w:type="dxa"/>
          </w:tcPr>
          <w:p w14:paraId="288C6839" w14:textId="651B4296" w:rsidR="00830D17" w:rsidRDefault="00CB1327" w:rsidP="00CB1327">
            <w:pPr>
              <w:pStyle w:val="Reporttitle"/>
              <w:rPr>
                <w:color w:val="FFFFFF" w:themeColor="background1"/>
              </w:rPr>
            </w:pPr>
            <w:r>
              <w:rPr>
                <w:color w:val="FFFFFF" w:themeColor="background1"/>
              </w:rPr>
              <w:t>H</w:t>
            </w:r>
            <w:bookmarkStart w:id="0" w:name="_Ref82003407"/>
            <w:bookmarkEnd w:id="0"/>
            <w:r>
              <w:rPr>
                <w:color w:val="FFFFFF" w:themeColor="background1"/>
              </w:rPr>
              <w:t xml:space="preserve">eavy </w:t>
            </w:r>
            <w:r w:rsidR="00830D17">
              <w:rPr>
                <w:color w:val="FFFFFF" w:themeColor="background1"/>
              </w:rPr>
              <w:t>v</w:t>
            </w:r>
            <w:r>
              <w:rPr>
                <w:color w:val="FFFFFF" w:themeColor="background1"/>
              </w:rPr>
              <w:t xml:space="preserve">ehicle </w:t>
            </w:r>
            <w:r w:rsidR="00830D17">
              <w:rPr>
                <w:color w:val="FFFFFF" w:themeColor="background1"/>
              </w:rPr>
              <w:t>c</w:t>
            </w:r>
            <w:r>
              <w:rPr>
                <w:color w:val="FFFFFF" w:themeColor="background1"/>
              </w:rPr>
              <w:t xml:space="preserve">harges </w:t>
            </w:r>
            <w:r w:rsidR="00830D17">
              <w:rPr>
                <w:color w:val="FFFFFF" w:themeColor="background1"/>
              </w:rPr>
              <w:t>d</w:t>
            </w:r>
            <w:r>
              <w:rPr>
                <w:color w:val="FFFFFF" w:themeColor="background1"/>
              </w:rPr>
              <w:t>etermination</w:t>
            </w:r>
            <w:r w:rsidR="00830D17">
              <w:rPr>
                <w:color w:val="FFFFFF" w:themeColor="background1"/>
              </w:rPr>
              <w:t>:</w:t>
            </w:r>
            <w:r>
              <w:rPr>
                <w:color w:val="FFFFFF" w:themeColor="background1"/>
              </w:rPr>
              <w:t xml:space="preserve"> </w:t>
            </w:r>
            <w:r w:rsidR="00E44973">
              <w:rPr>
                <w:color w:val="FFFFFF" w:themeColor="background1"/>
              </w:rPr>
              <w:t xml:space="preserve">decision </w:t>
            </w:r>
            <w:r w:rsidR="00830D17">
              <w:rPr>
                <w:color w:val="FFFFFF" w:themeColor="background1"/>
              </w:rPr>
              <w:t>r</w:t>
            </w:r>
            <w:r>
              <w:rPr>
                <w:color w:val="FFFFFF" w:themeColor="background1"/>
              </w:rPr>
              <w:t xml:space="preserve">egulation </w:t>
            </w:r>
            <w:r w:rsidR="00830D17">
              <w:rPr>
                <w:color w:val="FFFFFF" w:themeColor="background1"/>
              </w:rPr>
              <w:t>i</w:t>
            </w:r>
            <w:r>
              <w:rPr>
                <w:color w:val="FFFFFF" w:themeColor="background1"/>
              </w:rPr>
              <w:t xml:space="preserve">mpact </w:t>
            </w:r>
            <w:r w:rsidR="00830D17">
              <w:rPr>
                <w:color w:val="FFFFFF" w:themeColor="background1"/>
              </w:rPr>
              <w:t>s</w:t>
            </w:r>
            <w:r>
              <w:rPr>
                <w:color w:val="FFFFFF" w:themeColor="background1"/>
              </w:rPr>
              <w:t xml:space="preserve">tatement </w:t>
            </w:r>
          </w:p>
          <w:p w14:paraId="395553BE" w14:textId="26199609" w:rsidR="00CB1327" w:rsidRPr="000660B4" w:rsidRDefault="006C1B2F" w:rsidP="00CB1327">
            <w:pPr>
              <w:pStyle w:val="Reporttitle"/>
              <w:rPr>
                <w:color w:val="FFFFFF" w:themeColor="background1"/>
              </w:rPr>
            </w:pPr>
            <w:r>
              <w:rPr>
                <w:color w:val="FFFFFF" w:themeColor="background1"/>
              </w:rPr>
              <w:t xml:space="preserve">December </w:t>
            </w:r>
            <w:r w:rsidR="004219CB">
              <w:rPr>
                <w:color w:val="FFFFFF" w:themeColor="background1"/>
              </w:rPr>
              <w:t>2021</w:t>
            </w:r>
          </w:p>
        </w:tc>
      </w:tr>
      <w:tr w:rsidR="00CB1327" w:rsidRPr="00907FF5" w14:paraId="0A54C192" w14:textId="77777777" w:rsidTr="00CB1327">
        <w:tc>
          <w:tcPr>
            <w:tcW w:w="6521" w:type="dxa"/>
          </w:tcPr>
          <w:p w14:paraId="06D090EE" w14:textId="77777777" w:rsidR="00CB1327" w:rsidRPr="000660B4" w:rsidRDefault="00CB1327" w:rsidP="00CB1327">
            <w:pPr>
              <w:pStyle w:val="Reportdate"/>
              <w:rPr>
                <w:color w:val="FFFFFF" w:themeColor="background1"/>
              </w:rPr>
            </w:pPr>
          </w:p>
        </w:tc>
      </w:tr>
    </w:tbl>
    <w:p w14:paraId="3DB7BBA1" w14:textId="30525562" w:rsidR="009F30A6" w:rsidRPr="00907FF5" w:rsidRDefault="00455B80" w:rsidP="00507F85">
      <w:pPr>
        <w:tabs>
          <w:tab w:val="right" w:pos="9027"/>
        </w:tabs>
        <w:spacing w:before="0" w:after="4000"/>
      </w:pPr>
      <w:r w:rsidRPr="00907FF5">
        <w:rPr>
          <w:noProof/>
          <w:lang w:eastAsia="en-AU"/>
        </w:rPr>
        <w:drawing>
          <wp:anchor distT="0" distB="0" distL="114300" distR="114300" simplePos="0" relativeHeight="251658240" behindDoc="1" locked="0" layoutInCell="1" allowOverlap="1" wp14:anchorId="7BA3812E" wp14:editId="4697E3E7">
            <wp:simplePos x="0" y="0"/>
            <wp:positionH relativeFrom="page">
              <wp:posOffset>5080</wp:posOffset>
            </wp:positionH>
            <wp:positionV relativeFrom="paragraph">
              <wp:posOffset>-508635</wp:posOffset>
            </wp:positionV>
            <wp:extent cx="7559797" cy="10698065"/>
            <wp:effectExtent l="0" t="0" r="3175" b="8255"/>
            <wp:wrapNone/>
            <wp:docPr id="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a:stretch>
                      <a:fillRect/>
                    </a:stretch>
                  </pic:blipFill>
                  <pic:spPr>
                    <a:xfrm>
                      <a:off x="0" y="0"/>
                      <a:ext cx="7559797" cy="10698065"/>
                    </a:xfrm>
                    <a:prstGeom prst="rect">
                      <a:avLst/>
                    </a:prstGeom>
                  </pic:spPr>
                </pic:pic>
              </a:graphicData>
            </a:graphic>
            <wp14:sizeRelH relativeFrom="page">
              <wp14:pctWidth>0</wp14:pctWidth>
            </wp14:sizeRelH>
            <wp14:sizeRelV relativeFrom="page">
              <wp14:pctHeight>0</wp14:pctHeight>
            </wp14:sizeRelV>
          </wp:anchor>
        </w:drawing>
      </w:r>
      <w:bookmarkStart w:id="1" w:name="_Ref58856325"/>
      <w:bookmarkEnd w:id="1"/>
      <w:r w:rsidR="00507F85" w:rsidRPr="00907FF5">
        <w:tab/>
      </w:r>
    </w:p>
    <w:p w14:paraId="4EC43C28" w14:textId="1CD33402" w:rsidR="264D0B2E" w:rsidRDefault="264D0B2E" w:rsidP="264D0B2E">
      <w:pPr>
        <w:spacing w:before="0" w:after="4000"/>
      </w:pPr>
    </w:p>
    <w:p w14:paraId="2E770D71" w14:textId="536D9C26" w:rsidR="006E6539" w:rsidRPr="000660B4" w:rsidRDefault="00191E51" w:rsidP="009476C1">
      <w:pPr>
        <w:pStyle w:val="BodyCopy"/>
        <w:rPr>
          <w:noProof/>
          <w:color w:val="auto"/>
          <w:sz w:val="2"/>
          <w:szCs w:val="2"/>
          <w:lang w:eastAsia="en-AU"/>
        </w:rPr>
      </w:pPr>
      <w:r w:rsidRPr="000660B4">
        <w:rPr>
          <w:noProof/>
          <w:color w:val="auto"/>
          <w:lang w:eastAsia="en-AU"/>
        </w:rPr>
        <w:br w:type="page"/>
      </w:r>
    </w:p>
    <w:p w14:paraId="284B711C" w14:textId="77777777" w:rsidR="00656C96" w:rsidRPr="000660B4" w:rsidRDefault="00656C96" w:rsidP="00FD5B74">
      <w:pPr>
        <w:pStyle w:val="Heading1"/>
        <w:numPr>
          <w:ilvl w:val="0"/>
          <w:numId w:val="0"/>
        </w:numPr>
        <w:ind w:left="432" w:hanging="432"/>
        <w:rPr>
          <w:color w:val="auto"/>
        </w:rPr>
      </w:pPr>
      <w:bookmarkStart w:id="2" w:name="_Ref58856428"/>
      <w:bookmarkStart w:id="3" w:name="_Toc86158365"/>
      <w:r w:rsidRPr="000660B4">
        <w:rPr>
          <w:color w:val="auto"/>
        </w:rPr>
        <w:lastRenderedPageBreak/>
        <w:t>Report outline</w:t>
      </w:r>
      <w:bookmarkEnd w:id="2"/>
      <w:bookmarkEnd w:id="3"/>
    </w:p>
    <w:tbl>
      <w:tblPr>
        <w:tblW w:w="9072" w:type="dxa"/>
        <w:tblLayout w:type="fixed"/>
        <w:tblCellMar>
          <w:left w:w="0" w:type="dxa"/>
          <w:bottom w:w="284" w:type="dxa"/>
          <w:right w:w="0" w:type="dxa"/>
        </w:tblCellMar>
        <w:tblLook w:val="0000" w:firstRow="0" w:lastRow="0" w:firstColumn="0" w:lastColumn="0" w:noHBand="0" w:noVBand="0"/>
      </w:tblPr>
      <w:tblGrid>
        <w:gridCol w:w="2093"/>
        <w:gridCol w:w="6979"/>
      </w:tblGrid>
      <w:tr w:rsidR="009476C1" w:rsidRPr="00B77A0C" w14:paraId="7946B7B5" w14:textId="77777777" w:rsidTr="00B77A0C">
        <w:trPr>
          <w:trHeight w:val="454"/>
        </w:trPr>
        <w:tc>
          <w:tcPr>
            <w:tcW w:w="2093" w:type="dxa"/>
            <w:shd w:val="clear" w:color="auto" w:fill="auto"/>
          </w:tcPr>
          <w:p w14:paraId="713EF677" w14:textId="77777777" w:rsidR="009476C1" w:rsidRPr="00B77A0C" w:rsidRDefault="009476C1" w:rsidP="00FD5B74">
            <w:pPr>
              <w:pStyle w:val="BodyCopy"/>
              <w:spacing w:before="0"/>
              <w:rPr>
                <w:color w:val="auto"/>
                <w:szCs w:val="22"/>
              </w:rPr>
            </w:pPr>
            <w:r w:rsidRPr="00B77A0C">
              <w:rPr>
                <w:b/>
                <w:color w:val="auto"/>
                <w:szCs w:val="22"/>
              </w:rPr>
              <w:t>Title</w:t>
            </w:r>
          </w:p>
        </w:tc>
        <w:tc>
          <w:tcPr>
            <w:tcW w:w="6979" w:type="dxa"/>
            <w:shd w:val="clear" w:color="auto" w:fill="auto"/>
          </w:tcPr>
          <w:p w14:paraId="17823562" w14:textId="0C5A377E" w:rsidR="009476C1" w:rsidRPr="00B77A0C" w:rsidRDefault="00D17CE7" w:rsidP="00FD5B74">
            <w:pPr>
              <w:pStyle w:val="BodyCopy"/>
              <w:spacing w:before="0"/>
              <w:rPr>
                <w:color w:val="auto"/>
                <w:szCs w:val="22"/>
              </w:rPr>
            </w:pPr>
            <w:r w:rsidRPr="00D17CE7">
              <w:rPr>
                <w:color w:val="auto"/>
                <w:szCs w:val="22"/>
              </w:rPr>
              <w:t xml:space="preserve">Heavy </w:t>
            </w:r>
            <w:r w:rsidR="00D95137">
              <w:rPr>
                <w:color w:val="auto"/>
                <w:szCs w:val="22"/>
              </w:rPr>
              <w:t>v</w:t>
            </w:r>
            <w:r w:rsidRPr="00D17CE7">
              <w:rPr>
                <w:color w:val="auto"/>
                <w:szCs w:val="22"/>
              </w:rPr>
              <w:t xml:space="preserve">ehicle </w:t>
            </w:r>
            <w:r w:rsidR="00D95137">
              <w:rPr>
                <w:color w:val="auto"/>
                <w:szCs w:val="22"/>
              </w:rPr>
              <w:t>c</w:t>
            </w:r>
            <w:r w:rsidR="00F146FE">
              <w:rPr>
                <w:color w:val="auto"/>
                <w:szCs w:val="22"/>
              </w:rPr>
              <w:t>harges</w:t>
            </w:r>
            <w:r w:rsidRPr="00D17CE7">
              <w:rPr>
                <w:color w:val="auto"/>
                <w:szCs w:val="22"/>
              </w:rPr>
              <w:t xml:space="preserve"> </w:t>
            </w:r>
            <w:r w:rsidR="00D95137">
              <w:rPr>
                <w:color w:val="auto"/>
                <w:szCs w:val="22"/>
              </w:rPr>
              <w:t>d</w:t>
            </w:r>
            <w:r w:rsidRPr="00D17CE7">
              <w:rPr>
                <w:color w:val="auto"/>
                <w:szCs w:val="22"/>
              </w:rPr>
              <w:t>etermination</w:t>
            </w:r>
            <w:r w:rsidR="00D95137">
              <w:rPr>
                <w:color w:val="auto"/>
                <w:szCs w:val="22"/>
              </w:rPr>
              <w:t>:</w:t>
            </w:r>
            <w:r w:rsidRPr="00D17CE7">
              <w:rPr>
                <w:color w:val="auto"/>
                <w:szCs w:val="22"/>
              </w:rPr>
              <w:t xml:space="preserve"> </w:t>
            </w:r>
            <w:r w:rsidR="009F0EA2">
              <w:rPr>
                <w:color w:val="auto"/>
                <w:szCs w:val="22"/>
              </w:rPr>
              <w:t>decision</w:t>
            </w:r>
            <w:r w:rsidR="009F0EA2" w:rsidRPr="00D17CE7">
              <w:rPr>
                <w:color w:val="auto"/>
                <w:szCs w:val="22"/>
              </w:rPr>
              <w:t xml:space="preserve"> </w:t>
            </w:r>
            <w:r w:rsidR="00D95137">
              <w:rPr>
                <w:color w:val="auto"/>
                <w:szCs w:val="22"/>
              </w:rPr>
              <w:t>r</w:t>
            </w:r>
            <w:r w:rsidRPr="00D17CE7">
              <w:rPr>
                <w:color w:val="auto"/>
                <w:szCs w:val="22"/>
              </w:rPr>
              <w:t xml:space="preserve">egulation </w:t>
            </w:r>
            <w:r w:rsidR="00D95137">
              <w:rPr>
                <w:color w:val="auto"/>
                <w:szCs w:val="22"/>
              </w:rPr>
              <w:t>i</w:t>
            </w:r>
            <w:r w:rsidRPr="00D17CE7">
              <w:rPr>
                <w:color w:val="auto"/>
                <w:szCs w:val="22"/>
              </w:rPr>
              <w:t xml:space="preserve">mpact </w:t>
            </w:r>
            <w:r w:rsidR="00D95137">
              <w:rPr>
                <w:color w:val="auto"/>
                <w:szCs w:val="22"/>
              </w:rPr>
              <w:t>s</w:t>
            </w:r>
            <w:r w:rsidRPr="00D17CE7">
              <w:rPr>
                <w:color w:val="auto"/>
                <w:szCs w:val="22"/>
              </w:rPr>
              <w:t>tatement</w:t>
            </w:r>
            <w:r w:rsidR="00D95137">
              <w:rPr>
                <w:color w:val="auto"/>
                <w:szCs w:val="22"/>
              </w:rPr>
              <w:t>,</w:t>
            </w:r>
            <w:r w:rsidR="00CB1327">
              <w:rPr>
                <w:color w:val="auto"/>
                <w:szCs w:val="22"/>
              </w:rPr>
              <w:t xml:space="preserve"> </w:t>
            </w:r>
            <w:r w:rsidR="006C1B2F">
              <w:rPr>
                <w:color w:val="auto"/>
                <w:szCs w:val="22"/>
              </w:rPr>
              <w:t>Decem</w:t>
            </w:r>
            <w:r w:rsidR="006C1B2F" w:rsidRPr="00E30B83">
              <w:rPr>
                <w:color w:val="auto"/>
                <w:szCs w:val="22"/>
              </w:rPr>
              <w:t>ber</w:t>
            </w:r>
            <w:r w:rsidR="006C1B2F">
              <w:rPr>
                <w:color w:val="auto"/>
                <w:szCs w:val="22"/>
              </w:rPr>
              <w:t xml:space="preserve"> </w:t>
            </w:r>
            <w:r w:rsidR="00CB1327">
              <w:rPr>
                <w:color w:val="auto"/>
                <w:szCs w:val="22"/>
              </w:rPr>
              <w:t>2021</w:t>
            </w:r>
          </w:p>
        </w:tc>
      </w:tr>
      <w:tr w:rsidR="009476C1" w:rsidRPr="00B77A0C" w14:paraId="7154251D" w14:textId="77777777" w:rsidTr="00B77A0C">
        <w:trPr>
          <w:trHeight w:val="454"/>
        </w:trPr>
        <w:tc>
          <w:tcPr>
            <w:tcW w:w="2093" w:type="dxa"/>
            <w:shd w:val="clear" w:color="auto" w:fill="auto"/>
          </w:tcPr>
          <w:p w14:paraId="2902830E" w14:textId="77777777" w:rsidR="009476C1" w:rsidRPr="00B77A0C" w:rsidRDefault="009476C1" w:rsidP="00FD5B74">
            <w:pPr>
              <w:pStyle w:val="BodyCopy"/>
              <w:spacing w:before="0"/>
              <w:rPr>
                <w:b/>
                <w:color w:val="auto"/>
                <w:szCs w:val="22"/>
              </w:rPr>
            </w:pPr>
            <w:r w:rsidRPr="00B77A0C">
              <w:rPr>
                <w:b/>
                <w:color w:val="auto"/>
                <w:szCs w:val="22"/>
              </w:rPr>
              <w:t>Type of report</w:t>
            </w:r>
          </w:p>
        </w:tc>
        <w:tc>
          <w:tcPr>
            <w:tcW w:w="6979" w:type="dxa"/>
            <w:shd w:val="clear" w:color="auto" w:fill="auto"/>
          </w:tcPr>
          <w:p w14:paraId="606A83EE" w14:textId="1B8ABE58" w:rsidR="009476C1" w:rsidRPr="00B77A0C" w:rsidRDefault="009F0EA2" w:rsidP="00FD5B74">
            <w:pPr>
              <w:pStyle w:val="BodyCopy"/>
              <w:spacing w:before="0"/>
              <w:rPr>
                <w:color w:val="auto"/>
                <w:szCs w:val="22"/>
              </w:rPr>
            </w:pPr>
            <w:r>
              <w:rPr>
                <w:color w:val="auto"/>
                <w:szCs w:val="22"/>
              </w:rPr>
              <w:t>Decision</w:t>
            </w:r>
            <w:r w:rsidRPr="00B77A0C">
              <w:rPr>
                <w:color w:val="auto"/>
                <w:szCs w:val="22"/>
              </w:rPr>
              <w:t xml:space="preserve"> </w:t>
            </w:r>
            <w:r w:rsidR="00D95137">
              <w:rPr>
                <w:color w:val="auto"/>
                <w:szCs w:val="22"/>
              </w:rPr>
              <w:t>r</w:t>
            </w:r>
            <w:r w:rsidR="00B23CE7" w:rsidRPr="00B77A0C">
              <w:rPr>
                <w:color w:val="auto"/>
                <w:szCs w:val="22"/>
              </w:rPr>
              <w:t xml:space="preserve">egulation </w:t>
            </w:r>
            <w:r w:rsidR="00D95137">
              <w:rPr>
                <w:color w:val="auto"/>
                <w:szCs w:val="22"/>
              </w:rPr>
              <w:t>i</w:t>
            </w:r>
            <w:r w:rsidR="00B23CE7" w:rsidRPr="00B77A0C">
              <w:rPr>
                <w:color w:val="auto"/>
                <w:szCs w:val="22"/>
              </w:rPr>
              <w:t xml:space="preserve">mpact </w:t>
            </w:r>
            <w:r w:rsidR="00D95137">
              <w:rPr>
                <w:color w:val="auto"/>
                <w:szCs w:val="22"/>
              </w:rPr>
              <w:t>s</w:t>
            </w:r>
            <w:r w:rsidR="00B23CE7" w:rsidRPr="00B77A0C">
              <w:rPr>
                <w:color w:val="auto"/>
                <w:szCs w:val="22"/>
              </w:rPr>
              <w:t>tatement</w:t>
            </w:r>
          </w:p>
        </w:tc>
      </w:tr>
      <w:tr w:rsidR="009476C1" w:rsidRPr="00B77A0C" w14:paraId="0EACD68A" w14:textId="77777777" w:rsidTr="00B77A0C">
        <w:trPr>
          <w:trHeight w:val="454"/>
        </w:trPr>
        <w:tc>
          <w:tcPr>
            <w:tcW w:w="2093" w:type="dxa"/>
            <w:shd w:val="clear" w:color="auto" w:fill="auto"/>
          </w:tcPr>
          <w:p w14:paraId="4420B9B4" w14:textId="77777777" w:rsidR="009476C1" w:rsidRPr="00B77A0C" w:rsidRDefault="009476C1" w:rsidP="00FD5B74">
            <w:pPr>
              <w:pStyle w:val="BodyCopy"/>
              <w:spacing w:before="0"/>
              <w:rPr>
                <w:b/>
                <w:color w:val="auto"/>
                <w:szCs w:val="22"/>
              </w:rPr>
            </w:pPr>
            <w:r w:rsidRPr="00B77A0C">
              <w:rPr>
                <w:b/>
                <w:color w:val="auto"/>
                <w:szCs w:val="22"/>
              </w:rPr>
              <w:t>Purpose</w:t>
            </w:r>
          </w:p>
        </w:tc>
        <w:tc>
          <w:tcPr>
            <w:tcW w:w="6979" w:type="dxa"/>
            <w:shd w:val="clear" w:color="auto" w:fill="auto"/>
          </w:tcPr>
          <w:p w14:paraId="36810515" w14:textId="34B5059E" w:rsidR="009476C1" w:rsidRPr="00B77A0C" w:rsidRDefault="003531E2" w:rsidP="00FD5B74">
            <w:pPr>
              <w:pStyle w:val="BodyCopy"/>
              <w:spacing w:before="0"/>
              <w:rPr>
                <w:b/>
                <w:color w:val="auto"/>
                <w:szCs w:val="22"/>
              </w:rPr>
            </w:pPr>
            <w:r w:rsidRPr="00B77A0C">
              <w:rPr>
                <w:color w:val="auto"/>
                <w:szCs w:val="22"/>
              </w:rPr>
              <w:t xml:space="preserve">For </w:t>
            </w:r>
            <w:r w:rsidR="009F0EA2">
              <w:rPr>
                <w:color w:val="auto"/>
                <w:szCs w:val="22"/>
              </w:rPr>
              <w:t xml:space="preserve">consideration by infrastructure and transport ministers </w:t>
            </w:r>
            <w:r w:rsidR="00945DB6">
              <w:rPr>
                <w:color w:val="auto"/>
                <w:szCs w:val="22"/>
              </w:rPr>
              <w:t xml:space="preserve">as part of the </w:t>
            </w:r>
            <w:r w:rsidR="005D0BE8">
              <w:rPr>
                <w:color w:val="auto"/>
                <w:szCs w:val="22"/>
              </w:rPr>
              <w:t>h</w:t>
            </w:r>
            <w:r w:rsidR="00D17CE7">
              <w:rPr>
                <w:color w:val="auto"/>
                <w:szCs w:val="22"/>
              </w:rPr>
              <w:t xml:space="preserve">eavy </w:t>
            </w:r>
            <w:r w:rsidR="005D0BE8">
              <w:rPr>
                <w:color w:val="auto"/>
                <w:szCs w:val="22"/>
              </w:rPr>
              <w:t>v</w:t>
            </w:r>
            <w:r w:rsidR="00D17CE7">
              <w:rPr>
                <w:color w:val="auto"/>
                <w:szCs w:val="22"/>
              </w:rPr>
              <w:t xml:space="preserve">ehicle </w:t>
            </w:r>
            <w:r w:rsidR="005D0BE8">
              <w:rPr>
                <w:color w:val="auto"/>
                <w:szCs w:val="22"/>
              </w:rPr>
              <w:t>c</w:t>
            </w:r>
            <w:r w:rsidR="002D53F5">
              <w:rPr>
                <w:color w:val="auto"/>
                <w:szCs w:val="22"/>
              </w:rPr>
              <w:t xml:space="preserve">harges </w:t>
            </w:r>
            <w:r w:rsidR="005D0BE8">
              <w:rPr>
                <w:color w:val="auto"/>
                <w:szCs w:val="22"/>
              </w:rPr>
              <w:t>d</w:t>
            </w:r>
            <w:r w:rsidR="00D17CE7">
              <w:rPr>
                <w:color w:val="auto"/>
                <w:szCs w:val="22"/>
              </w:rPr>
              <w:t>etermination</w:t>
            </w:r>
            <w:r w:rsidR="00945DB6">
              <w:rPr>
                <w:color w:val="auto"/>
                <w:szCs w:val="22"/>
              </w:rPr>
              <w:t xml:space="preserve"> to inform heavy vehicle charges from 2022</w:t>
            </w:r>
            <w:r w:rsidR="00D95137">
              <w:rPr>
                <w:color w:val="auto"/>
                <w:szCs w:val="22"/>
              </w:rPr>
              <w:t>–</w:t>
            </w:r>
            <w:r w:rsidR="00945DB6">
              <w:rPr>
                <w:color w:val="auto"/>
                <w:szCs w:val="22"/>
              </w:rPr>
              <w:t xml:space="preserve">23 onwards. </w:t>
            </w:r>
          </w:p>
        </w:tc>
      </w:tr>
      <w:tr w:rsidR="009476C1" w:rsidRPr="00B77A0C" w14:paraId="472EED8E" w14:textId="77777777" w:rsidTr="00B77A0C">
        <w:trPr>
          <w:trHeight w:val="454"/>
        </w:trPr>
        <w:tc>
          <w:tcPr>
            <w:tcW w:w="2093" w:type="dxa"/>
            <w:shd w:val="clear" w:color="auto" w:fill="auto"/>
          </w:tcPr>
          <w:p w14:paraId="17AF32CB" w14:textId="77777777" w:rsidR="009476C1" w:rsidRPr="00B77A0C" w:rsidRDefault="009476C1" w:rsidP="00FD5B74">
            <w:pPr>
              <w:pStyle w:val="BodyCopy"/>
              <w:spacing w:before="0"/>
              <w:rPr>
                <w:b/>
                <w:color w:val="auto"/>
                <w:szCs w:val="22"/>
              </w:rPr>
            </w:pPr>
            <w:r w:rsidRPr="00B77A0C">
              <w:rPr>
                <w:b/>
                <w:color w:val="auto"/>
                <w:szCs w:val="22"/>
              </w:rPr>
              <w:t>Abstract</w:t>
            </w:r>
          </w:p>
        </w:tc>
        <w:tc>
          <w:tcPr>
            <w:tcW w:w="6979" w:type="dxa"/>
            <w:shd w:val="clear" w:color="auto" w:fill="auto"/>
          </w:tcPr>
          <w:p w14:paraId="20786E5F" w14:textId="06F14422" w:rsidR="009476C1" w:rsidRPr="00B77A0C" w:rsidRDefault="00CB1327" w:rsidP="00FD5B74">
            <w:pPr>
              <w:pStyle w:val="BodyCopy"/>
              <w:spacing w:before="0"/>
              <w:rPr>
                <w:color w:val="auto"/>
                <w:szCs w:val="22"/>
              </w:rPr>
            </w:pPr>
            <w:r w:rsidRPr="00CB1327">
              <w:rPr>
                <w:color w:val="auto"/>
                <w:szCs w:val="22"/>
              </w:rPr>
              <w:t xml:space="preserve">This </w:t>
            </w:r>
            <w:r w:rsidR="009F0EA2">
              <w:rPr>
                <w:color w:val="auto"/>
                <w:szCs w:val="22"/>
              </w:rPr>
              <w:t>decis</w:t>
            </w:r>
            <w:r w:rsidR="009F0EA2" w:rsidRPr="00CB1327">
              <w:rPr>
                <w:color w:val="auto"/>
                <w:szCs w:val="22"/>
              </w:rPr>
              <w:t xml:space="preserve">ion </w:t>
            </w:r>
            <w:r w:rsidR="00D95137">
              <w:rPr>
                <w:color w:val="auto"/>
                <w:szCs w:val="22"/>
              </w:rPr>
              <w:t>r</w:t>
            </w:r>
            <w:r w:rsidRPr="00CB1327">
              <w:rPr>
                <w:color w:val="auto"/>
                <w:szCs w:val="22"/>
              </w:rPr>
              <w:t xml:space="preserve">egulation </w:t>
            </w:r>
            <w:r w:rsidR="00D95137">
              <w:rPr>
                <w:color w:val="auto"/>
                <w:szCs w:val="22"/>
              </w:rPr>
              <w:t>i</w:t>
            </w:r>
            <w:r w:rsidRPr="00CB1327">
              <w:rPr>
                <w:color w:val="auto"/>
                <w:szCs w:val="22"/>
              </w:rPr>
              <w:t xml:space="preserve">mpact </w:t>
            </w:r>
            <w:r w:rsidR="00D95137">
              <w:rPr>
                <w:color w:val="auto"/>
                <w:szCs w:val="22"/>
              </w:rPr>
              <w:t>s</w:t>
            </w:r>
            <w:r w:rsidRPr="00CB1327">
              <w:rPr>
                <w:color w:val="auto"/>
                <w:szCs w:val="22"/>
              </w:rPr>
              <w:t xml:space="preserve">tatement </w:t>
            </w:r>
            <w:r w:rsidR="009F0EA2">
              <w:rPr>
                <w:color w:val="auto"/>
                <w:szCs w:val="22"/>
              </w:rPr>
              <w:t>analyses</w:t>
            </w:r>
            <w:r>
              <w:rPr>
                <w:color w:val="auto"/>
                <w:szCs w:val="22"/>
              </w:rPr>
              <w:t xml:space="preserve"> a range of options for setting heavy vehicle charges that would apply from 2022</w:t>
            </w:r>
            <w:r w:rsidR="00D95137">
              <w:rPr>
                <w:color w:val="auto"/>
                <w:szCs w:val="22"/>
              </w:rPr>
              <w:t>–</w:t>
            </w:r>
            <w:r>
              <w:rPr>
                <w:color w:val="auto"/>
                <w:szCs w:val="22"/>
              </w:rPr>
              <w:t>23</w:t>
            </w:r>
            <w:r w:rsidRPr="00CB1327">
              <w:rPr>
                <w:color w:val="auto"/>
                <w:szCs w:val="22"/>
              </w:rPr>
              <w:t>. It considers</w:t>
            </w:r>
            <w:r>
              <w:rPr>
                <w:color w:val="auto"/>
                <w:szCs w:val="22"/>
              </w:rPr>
              <w:t xml:space="preserve"> a range of technical changes to the PAYGO model and presents alternative options for cost allocation and implementation</w:t>
            </w:r>
            <w:r w:rsidR="0073740C" w:rsidRPr="00B77A0C">
              <w:rPr>
                <w:color w:val="auto"/>
                <w:szCs w:val="22"/>
              </w:rPr>
              <w:t>.</w:t>
            </w:r>
            <w:r w:rsidR="00682485" w:rsidRPr="00B77A0C">
              <w:rPr>
                <w:color w:val="auto"/>
                <w:szCs w:val="22"/>
              </w:rPr>
              <w:t xml:space="preserve"> </w:t>
            </w:r>
          </w:p>
        </w:tc>
      </w:tr>
      <w:tr w:rsidR="003531E2" w:rsidRPr="00B77A0C" w14:paraId="07DABEA2" w14:textId="77777777" w:rsidTr="00B77A0C">
        <w:trPr>
          <w:trHeight w:val="454"/>
        </w:trPr>
        <w:tc>
          <w:tcPr>
            <w:tcW w:w="2093" w:type="dxa"/>
            <w:shd w:val="clear" w:color="auto" w:fill="auto"/>
          </w:tcPr>
          <w:p w14:paraId="57B30621" w14:textId="77777777" w:rsidR="003531E2" w:rsidRPr="00B77A0C" w:rsidRDefault="003531E2" w:rsidP="00FD5B74">
            <w:pPr>
              <w:pStyle w:val="BodyCopy"/>
              <w:spacing w:before="0"/>
              <w:rPr>
                <w:b/>
                <w:color w:val="auto"/>
                <w:szCs w:val="22"/>
              </w:rPr>
            </w:pPr>
            <w:r w:rsidRPr="00B77A0C">
              <w:rPr>
                <w:b/>
                <w:color w:val="auto"/>
                <w:szCs w:val="22"/>
              </w:rPr>
              <w:t>Attribution</w:t>
            </w:r>
          </w:p>
        </w:tc>
        <w:tc>
          <w:tcPr>
            <w:tcW w:w="6979" w:type="dxa"/>
            <w:shd w:val="clear" w:color="auto" w:fill="auto"/>
          </w:tcPr>
          <w:p w14:paraId="09FF0FEF" w14:textId="77777777" w:rsidR="00D61E64" w:rsidRPr="00B77A0C" w:rsidRDefault="003531E2" w:rsidP="00FD5B74">
            <w:pPr>
              <w:pStyle w:val="BodyCopy"/>
              <w:spacing w:before="0"/>
              <w:rPr>
                <w:color w:val="auto"/>
                <w:szCs w:val="22"/>
              </w:rPr>
            </w:pPr>
            <w:r w:rsidRPr="00B77A0C">
              <w:rPr>
                <w:color w:val="auto"/>
                <w:szCs w:val="22"/>
              </w:rPr>
              <w:t>This work should be attributed as follows</w:t>
            </w:r>
            <w:r w:rsidR="00D61E64" w:rsidRPr="00B77A0C">
              <w:rPr>
                <w:color w:val="auto"/>
                <w:szCs w:val="22"/>
              </w:rPr>
              <w:t>:</w:t>
            </w:r>
          </w:p>
          <w:p w14:paraId="1913058A" w14:textId="45701583" w:rsidR="003531E2" w:rsidRPr="00B77A0C" w:rsidRDefault="003531E2" w:rsidP="00FD5B74">
            <w:pPr>
              <w:pStyle w:val="BodyCopy"/>
              <w:spacing w:before="0"/>
              <w:rPr>
                <w:color w:val="auto"/>
                <w:szCs w:val="22"/>
              </w:rPr>
            </w:pPr>
            <w:r w:rsidRPr="00B77A0C">
              <w:rPr>
                <w:color w:val="auto"/>
                <w:szCs w:val="22"/>
              </w:rPr>
              <w:t>Source: National Transport Commission</w:t>
            </w:r>
            <w:r w:rsidR="00D61E64" w:rsidRPr="00B77A0C">
              <w:rPr>
                <w:color w:val="auto"/>
                <w:szCs w:val="22"/>
              </w:rPr>
              <w:t xml:space="preserve"> 20</w:t>
            </w:r>
            <w:r w:rsidR="00120FB0" w:rsidRPr="00B77A0C">
              <w:rPr>
                <w:color w:val="auto"/>
                <w:szCs w:val="22"/>
              </w:rPr>
              <w:t>2</w:t>
            </w:r>
            <w:r w:rsidR="00FB6059">
              <w:rPr>
                <w:color w:val="auto"/>
                <w:szCs w:val="22"/>
              </w:rPr>
              <w:t>1</w:t>
            </w:r>
            <w:r w:rsidRPr="00B77A0C">
              <w:rPr>
                <w:color w:val="auto"/>
                <w:szCs w:val="22"/>
              </w:rPr>
              <w:t xml:space="preserve">, </w:t>
            </w:r>
            <w:r w:rsidR="00FB6059" w:rsidRPr="00FB6059">
              <w:rPr>
                <w:i/>
                <w:iCs/>
                <w:color w:val="auto"/>
                <w:szCs w:val="22"/>
              </w:rPr>
              <w:t xml:space="preserve">Heavy </w:t>
            </w:r>
            <w:r w:rsidR="00D95137">
              <w:rPr>
                <w:i/>
                <w:iCs/>
                <w:color w:val="auto"/>
                <w:szCs w:val="22"/>
              </w:rPr>
              <w:t>v</w:t>
            </w:r>
            <w:r w:rsidR="00FB6059" w:rsidRPr="00FB6059">
              <w:rPr>
                <w:i/>
                <w:iCs/>
                <w:color w:val="auto"/>
                <w:szCs w:val="22"/>
              </w:rPr>
              <w:t xml:space="preserve">ehicle </w:t>
            </w:r>
            <w:r w:rsidR="00D95137">
              <w:rPr>
                <w:i/>
                <w:iCs/>
                <w:color w:val="auto"/>
                <w:szCs w:val="22"/>
              </w:rPr>
              <w:t>c</w:t>
            </w:r>
            <w:r w:rsidR="00F146FE">
              <w:rPr>
                <w:i/>
                <w:iCs/>
                <w:color w:val="auto"/>
                <w:szCs w:val="22"/>
              </w:rPr>
              <w:t>harges</w:t>
            </w:r>
            <w:r w:rsidR="00FB6059" w:rsidRPr="00FB6059">
              <w:rPr>
                <w:i/>
                <w:iCs/>
                <w:color w:val="auto"/>
                <w:szCs w:val="22"/>
              </w:rPr>
              <w:t xml:space="preserve"> </w:t>
            </w:r>
            <w:r w:rsidR="00D95137">
              <w:rPr>
                <w:i/>
                <w:iCs/>
                <w:color w:val="auto"/>
                <w:szCs w:val="22"/>
              </w:rPr>
              <w:t>d</w:t>
            </w:r>
            <w:r w:rsidR="00FB6059" w:rsidRPr="00FB6059">
              <w:rPr>
                <w:i/>
                <w:iCs/>
                <w:color w:val="auto"/>
                <w:szCs w:val="22"/>
              </w:rPr>
              <w:t>etermination</w:t>
            </w:r>
            <w:r w:rsidR="00D95137">
              <w:rPr>
                <w:color w:val="auto"/>
                <w:szCs w:val="22"/>
              </w:rPr>
              <w:t>:</w:t>
            </w:r>
            <w:r w:rsidRPr="00B77A0C">
              <w:rPr>
                <w:color w:val="auto"/>
                <w:szCs w:val="22"/>
              </w:rPr>
              <w:t xml:space="preserve"> </w:t>
            </w:r>
            <w:r w:rsidR="009F0EA2">
              <w:rPr>
                <w:i/>
                <w:color w:val="auto"/>
                <w:szCs w:val="22"/>
              </w:rPr>
              <w:t>decis</w:t>
            </w:r>
            <w:r w:rsidR="00FB6059">
              <w:rPr>
                <w:i/>
                <w:color w:val="auto"/>
                <w:szCs w:val="22"/>
              </w:rPr>
              <w:t>ion</w:t>
            </w:r>
            <w:r w:rsidR="00120FB0" w:rsidRPr="00B77A0C">
              <w:rPr>
                <w:i/>
                <w:color w:val="auto"/>
                <w:szCs w:val="22"/>
              </w:rPr>
              <w:t xml:space="preserve"> </w:t>
            </w:r>
            <w:r w:rsidR="00D95137">
              <w:rPr>
                <w:i/>
                <w:color w:val="auto"/>
                <w:szCs w:val="22"/>
              </w:rPr>
              <w:t>r</w:t>
            </w:r>
            <w:r w:rsidR="00F61AF0" w:rsidRPr="00B77A0C">
              <w:rPr>
                <w:i/>
                <w:color w:val="auto"/>
                <w:szCs w:val="22"/>
              </w:rPr>
              <w:t xml:space="preserve">egulation </w:t>
            </w:r>
            <w:r w:rsidR="00D95137">
              <w:rPr>
                <w:i/>
                <w:color w:val="auto"/>
                <w:szCs w:val="22"/>
              </w:rPr>
              <w:t>i</w:t>
            </w:r>
            <w:r w:rsidR="00F61AF0" w:rsidRPr="00B77A0C">
              <w:rPr>
                <w:i/>
                <w:color w:val="auto"/>
                <w:szCs w:val="22"/>
              </w:rPr>
              <w:t xml:space="preserve">mpact </w:t>
            </w:r>
            <w:r w:rsidR="00D95137">
              <w:rPr>
                <w:i/>
                <w:color w:val="auto"/>
                <w:szCs w:val="22"/>
              </w:rPr>
              <w:t>s</w:t>
            </w:r>
            <w:r w:rsidR="00F61AF0" w:rsidRPr="00B77A0C">
              <w:rPr>
                <w:i/>
                <w:color w:val="auto"/>
                <w:szCs w:val="22"/>
              </w:rPr>
              <w:t>tatement</w:t>
            </w:r>
            <w:r w:rsidR="00682485" w:rsidRPr="00B77A0C">
              <w:rPr>
                <w:color w:val="auto"/>
                <w:szCs w:val="22"/>
              </w:rPr>
              <w:t xml:space="preserve">, NTC, Melbourne. </w:t>
            </w:r>
          </w:p>
          <w:p w14:paraId="09C83E14" w14:textId="77777777" w:rsidR="004A72AD" w:rsidRPr="00B77A0C" w:rsidRDefault="003531E2" w:rsidP="00FD5B74">
            <w:pPr>
              <w:pStyle w:val="BodyCopy"/>
              <w:spacing w:before="0"/>
              <w:rPr>
                <w:color w:val="auto"/>
                <w:szCs w:val="22"/>
              </w:rPr>
            </w:pPr>
            <w:r w:rsidRPr="00B77A0C">
              <w:rPr>
                <w:color w:val="auto"/>
                <w:szCs w:val="22"/>
              </w:rPr>
              <w:t>If you have adapted, modified or transformed this work in any</w:t>
            </w:r>
            <w:r w:rsidR="00786961" w:rsidRPr="00B77A0C">
              <w:rPr>
                <w:color w:val="auto"/>
                <w:szCs w:val="22"/>
              </w:rPr>
              <w:t xml:space="preserve"> </w:t>
            </w:r>
            <w:r w:rsidRPr="00B77A0C">
              <w:rPr>
                <w:color w:val="auto"/>
                <w:szCs w:val="22"/>
              </w:rPr>
              <w:t>way, please use the following</w:t>
            </w:r>
            <w:r w:rsidR="004A72AD" w:rsidRPr="00B77A0C">
              <w:rPr>
                <w:color w:val="auto"/>
                <w:szCs w:val="22"/>
              </w:rPr>
              <w:t>:</w:t>
            </w:r>
          </w:p>
          <w:p w14:paraId="6202288E" w14:textId="35DEAE75" w:rsidR="003531E2" w:rsidRPr="00B77A0C" w:rsidRDefault="003531E2" w:rsidP="00FD5B74">
            <w:pPr>
              <w:pStyle w:val="BodyCopy"/>
              <w:spacing w:before="0"/>
              <w:rPr>
                <w:color w:val="auto"/>
                <w:szCs w:val="22"/>
              </w:rPr>
            </w:pPr>
            <w:r w:rsidRPr="00B77A0C">
              <w:rPr>
                <w:color w:val="auto"/>
                <w:szCs w:val="22"/>
              </w:rPr>
              <w:t xml:space="preserve">Source: </w:t>
            </w:r>
            <w:r w:rsidR="004A72AD" w:rsidRPr="00B77A0C">
              <w:rPr>
                <w:color w:val="auto"/>
                <w:szCs w:val="22"/>
              </w:rPr>
              <w:t>B</w:t>
            </w:r>
            <w:r w:rsidRPr="00B77A0C">
              <w:rPr>
                <w:color w:val="auto"/>
                <w:szCs w:val="22"/>
              </w:rPr>
              <w:t xml:space="preserve">ased on </w:t>
            </w:r>
            <w:r w:rsidR="00FB6059" w:rsidRPr="00B77A0C">
              <w:rPr>
                <w:color w:val="auto"/>
                <w:szCs w:val="22"/>
              </w:rPr>
              <w:t>National Transport Commission 202</w:t>
            </w:r>
            <w:r w:rsidR="00FB6059">
              <w:rPr>
                <w:color w:val="auto"/>
                <w:szCs w:val="22"/>
              </w:rPr>
              <w:t>1</w:t>
            </w:r>
            <w:r w:rsidR="00FB6059" w:rsidRPr="00B77A0C">
              <w:rPr>
                <w:color w:val="auto"/>
                <w:szCs w:val="22"/>
              </w:rPr>
              <w:t xml:space="preserve">, </w:t>
            </w:r>
            <w:r w:rsidR="00FB6059" w:rsidRPr="00FB6059">
              <w:rPr>
                <w:i/>
                <w:iCs/>
                <w:color w:val="auto"/>
                <w:szCs w:val="22"/>
              </w:rPr>
              <w:t xml:space="preserve">Heavy </w:t>
            </w:r>
            <w:r w:rsidR="00D95137">
              <w:rPr>
                <w:i/>
                <w:iCs/>
                <w:color w:val="auto"/>
                <w:szCs w:val="22"/>
              </w:rPr>
              <w:t>v</w:t>
            </w:r>
            <w:r w:rsidR="00FB6059" w:rsidRPr="00FB6059">
              <w:rPr>
                <w:i/>
                <w:iCs/>
                <w:color w:val="auto"/>
                <w:szCs w:val="22"/>
              </w:rPr>
              <w:t xml:space="preserve">ehicle </w:t>
            </w:r>
            <w:r w:rsidR="00D95137">
              <w:rPr>
                <w:i/>
                <w:iCs/>
                <w:color w:val="auto"/>
                <w:szCs w:val="22"/>
              </w:rPr>
              <w:t>c</w:t>
            </w:r>
            <w:r w:rsidR="00F146FE">
              <w:rPr>
                <w:i/>
                <w:iCs/>
                <w:color w:val="auto"/>
                <w:szCs w:val="22"/>
              </w:rPr>
              <w:t>harges</w:t>
            </w:r>
            <w:r w:rsidR="00FB6059" w:rsidRPr="00FB6059">
              <w:rPr>
                <w:i/>
                <w:iCs/>
                <w:color w:val="auto"/>
                <w:szCs w:val="22"/>
              </w:rPr>
              <w:t xml:space="preserve"> </w:t>
            </w:r>
            <w:r w:rsidR="00D95137">
              <w:rPr>
                <w:i/>
                <w:iCs/>
                <w:color w:val="auto"/>
                <w:szCs w:val="22"/>
              </w:rPr>
              <w:t>d</w:t>
            </w:r>
            <w:r w:rsidR="00FB6059" w:rsidRPr="00FB6059">
              <w:rPr>
                <w:i/>
                <w:iCs/>
                <w:color w:val="auto"/>
                <w:szCs w:val="22"/>
              </w:rPr>
              <w:t>etermination</w:t>
            </w:r>
            <w:r w:rsidR="00D95137">
              <w:rPr>
                <w:color w:val="auto"/>
                <w:szCs w:val="22"/>
              </w:rPr>
              <w:t>:</w:t>
            </w:r>
            <w:r w:rsidR="00FB6059" w:rsidRPr="00B77A0C">
              <w:rPr>
                <w:color w:val="auto"/>
                <w:szCs w:val="22"/>
              </w:rPr>
              <w:t xml:space="preserve"> </w:t>
            </w:r>
            <w:r w:rsidR="009F0EA2">
              <w:rPr>
                <w:i/>
                <w:color w:val="auto"/>
                <w:szCs w:val="22"/>
              </w:rPr>
              <w:t>decis</w:t>
            </w:r>
            <w:r w:rsidR="00FB6059">
              <w:rPr>
                <w:i/>
                <w:color w:val="auto"/>
                <w:szCs w:val="22"/>
              </w:rPr>
              <w:t>ion</w:t>
            </w:r>
            <w:r w:rsidR="00FB6059" w:rsidRPr="00B77A0C">
              <w:rPr>
                <w:i/>
                <w:color w:val="auto"/>
                <w:szCs w:val="22"/>
              </w:rPr>
              <w:t xml:space="preserve"> </w:t>
            </w:r>
            <w:r w:rsidR="00D95137">
              <w:rPr>
                <w:i/>
                <w:color w:val="auto"/>
                <w:szCs w:val="22"/>
              </w:rPr>
              <w:t>r</w:t>
            </w:r>
            <w:r w:rsidR="00FB6059" w:rsidRPr="00B77A0C">
              <w:rPr>
                <w:i/>
                <w:color w:val="auto"/>
                <w:szCs w:val="22"/>
              </w:rPr>
              <w:t xml:space="preserve">egulation </w:t>
            </w:r>
            <w:r w:rsidR="00D95137">
              <w:rPr>
                <w:i/>
                <w:color w:val="auto"/>
                <w:szCs w:val="22"/>
              </w:rPr>
              <w:t>i</w:t>
            </w:r>
            <w:r w:rsidR="00FB6059" w:rsidRPr="00B77A0C">
              <w:rPr>
                <w:i/>
                <w:color w:val="auto"/>
                <w:szCs w:val="22"/>
              </w:rPr>
              <w:t xml:space="preserve">mpact </w:t>
            </w:r>
            <w:r w:rsidR="00D95137">
              <w:rPr>
                <w:i/>
                <w:color w:val="auto"/>
                <w:szCs w:val="22"/>
              </w:rPr>
              <w:t>s</w:t>
            </w:r>
            <w:r w:rsidR="00FB6059" w:rsidRPr="00B77A0C">
              <w:rPr>
                <w:i/>
                <w:color w:val="auto"/>
                <w:szCs w:val="22"/>
              </w:rPr>
              <w:t>tatement</w:t>
            </w:r>
            <w:r w:rsidR="00FB6059" w:rsidRPr="00B77A0C">
              <w:rPr>
                <w:color w:val="auto"/>
                <w:szCs w:val="22"/>
              </w:rPr>
              <w:t>, NTC, Melbourne.</w:t>
            </w:r>
            <w:r w:rsidR="00682485" w:rsidRPr="00B77A0C">
              <w:rPr>
                <w:color w:val="auto"/>
                <w:szCs w:val="22"/>
              </w:rPr>
              <w:t xml:space="preserve"> </w:t>
            </w:r>
          </w:p>
        </w:tc>
      </w:tr>
      <w:tr w:rsidR="009476C1" w:rsidRPr="00B77A0C" w14:paraId="38035C1D" w14:textId="77777777" w:rsidTr="00B77A0C">
        <w:trPr>
          <w:trHeight w:val="454"/>
        </w:trPr>
        <w:tc>
          <w:tcPr>
            <w:tcW w:w="2093" w:type="dxa"/>
            <w:shd w:val="clear" w:color="auto" w:fill="auto"/>
          </w:tcPr>
          <w:p w14:paraId="6DD007AB" w14:textId="77777777" w:rsidR="009476C1" w:rsidRPr="00B77A0C" w:rsidRDefault="009476C1" w:rsidP="00FD5B74">
            <w:pPr>
              <w:pStyle w:val="BodyCopy"/>
              <w:spacing w:before="0"/>
              <w:rPr>
                <w:b/>
                <w:color w:val="auto"/>
                <w:szCs w:val="22"/>
              </w:rPr>
            </w:pPr>
            <w:r w:rsidRPr="00B77A0C">
              <w:rPr>
                <w:b/>
                <w:color w:val="auto"/>
                <w:szCs w:val="22"/>
              </w:rPr>
              <w:t>Key words</w:t>
            </w:r>
          </w:p>
        </w:tc>
        <w:tc>
          <w:tcPr>
            <w:tcW w:w="6979" w:type="dxa"/>
            <w:shd w:val="clear" w:color="auto" w:fill="auto"/>
          </w:tcPr>
          <w:p w14:paraId="60C31B83" w14:textId="348114FE" w:rsidR="009476C1" w:rsidRPr="00B77A0C" w:rsidRDefault="00CB1327" w:rsidP="00FD5B74">
            <w:pPr>
              <w:pStyle w:val="BodyCopy"/>
              <w:spacing w:before="0"/>
              <w:rPr>
                <w:color w:val="auto"/>
                <w:szCs w:val="22"/>
              </w:rPr>
            </w:pPr>
            <w:r>
              <w:rPr>
                <w:color w:val="auto"/>
                <w:szCs w:val="22"/>
              </w:rPr>
              <w:t>Heavy vehicle charges, PAYGO, RUC, registration charges</w:t>
            </w:r>
          </w:p>
        </w:tc>
      </w:tr>
      <w:tr w:rsidR="009476C1" w:rsidRPr="00907FF5" w14:paraId="1EFFBF75" w14:textId="77777777" w:rsidTr="003C3731">
        <w:trPr>
          <w:trHeight w:val="2497"/>
        </w:trPr>
        <w:tc>
          <w:tcPr>
            <w:tcW w:w="2093" w:type="dxa"/>
          </w:tcPr>
          <w:p w14:paraId="73F1911C" w14:textId="77777777" w:rsidR="009476C1" w:rsidRPr="00C741D2" w:rsidRDefault="009476C1" w:rsidP="00FD5B74">
            <w:pPr>
              <w:pStyle w:val="BodyCopy"/>
              <w:spacing w:before="0"/>
              <w:rPr>
                <w:b/>
                <w:color w:val="auto"/>
                <w:szCs w:val="22"/>
              </w:rPr>
            </w:pPr>
            <w:r w:rsidRPr="00C741D2">
              <w:rPr>
                <w:b/>
                <w:color w:val="auto"/>
                <w:szCs w:val="22"/>
              </w:rPr>
              <w:t>Contact</w:t>
            </w:r>
          </w:p>
        </w:tc>
        <w:tc>
          <w:tcPr>
            <w:tcW w:w="6979" w:type="dxa"/>
          </w:tcPr>
          <w:p w14:paraId="6AA63DFA" w14:textId="05A22BC8" w:rsidR="002002C1" w:rsidRPr="00C741D2" w:rsidRDefault="00FB6059" w:rsidP="00377C09">
            <w:pPr>
              <w:pStyle w:val="BodyCopy"/>
              <w:spacing w:before="0" w:after="0"/>
              <w:rPr>
                <w:color w:val="auto"/>
                <w:szCs w:val="22"/>
              </w:rPr>
            </w:pPr>
            <w:r>
              <w:rPr>
                <w:color w:val="auto"/>
                <w:szCs w:val="22"/>
              </w:rPr>
              <w:t>Ramon Staheli</w:t>
            </w:r>
          </w:p>
          <w:p w14:paraId="1558D171" w14:textId="141821E2" w:rsidR="00D51C77" w:rsidRPr="00C741D2" w:rsidRDefault="009476C1" w:rsidP="00377C09">
            <w:pPr>
              <w:pStyle w:val="BodyCopy"/>
              <w:spacing w:before="0" w:after="0"/>
              <w:rPr>
                <w:color w:val="auto"/>
                <w:szCs w:val="22"/>
              </w:rPr>
            </w:pPr>
            <w:r w:rsidRPr="00C741D2">
              <w:rPr>
                <w:color w:val="auto"/>
                <w:szCs w:val="22"/>
              </w:rPr>
              <w:t>National Transport Commission</w:t>
            </w:r>
            <w:r w:rsidRPr="00C741D2">
              <w:rPr>
                <w:color w:val="auto"/>
                <w:szCs w:val="22"/>
              </w:rPr>
              <w:br/>
            </w:r>
            <w:r w:rsidR="00DD290D" w:rsidRPr="00C741D2">
              <w:rPr>
                <w:color w:val="auto"/>
                <w:szCs w:val="22"/>
              </w:rPr>
              <w:t>L</w:t>
            </w:r>
            <w:r w:rsidR="00572828" w:rsidRPr="00C741D2">
              <w:rPr>
                <w:color w:val="auto"/>
                <w:szCs w:val="22"/>
              </w:rPr>
              <w:t>evel</w:t>
            </w:r>
            <w:r w:rsidR="00DD290D" w:rsidRPr="00C741D2">
              <w:rPr>
                <w:color w:val="auto"/>
                <w:szCs w:val="22"/>
              </w:rPr>
              <w:t xml:space="preserve"> </w:t>
            </w:r>
            <w:r w:rsidR="00AA3EE8" w:rsidRPr="00C741D2">
              <w:rPr>
                <w:color w:val="auto"/>
                <w:szCs w:val="22"/>
              </w:rPr>
              <w:t>3</w:t>
            </w:r>
            <w:r w:rsidR="00DD290D" w:rsidRPr="00C741D2">
              <w:rPr>
                <w:color w:val="auto"/>
                <w:szCs w:val="22"/>
              </w:rPr>
              <w:t>/</w:t>
            </w:r>
            <w:r w:rsidRPr="00C741D2">
              <w:rPr>
                <w:color w:val="auto"/>
                <w:szCs w:val="22"/>
              </w:rPr>
              <w:t>6</w:t>
            </w:r>
            <w:r w:rsidR="00AA3EE8" w:rsidRPr="00C741D2">
              <w:rPr>
                <w:color w:val="auto"/>
                <w:szCs w:val="22"/>
              </w:rPr>
              <w:t>00</w:t>
            </w:r>
            <w:r w:rsidRPr="00C741D2">
              <w:rPr>
                <w:color w:val="auto"/>
                <w:szCs w:val="22"/>
              </w:rPr>
              <w:t xml:space="preserve"> Bourke Street</w:t>
            </w:r>
            <w:r w:rsidRPr="00C741D2">
              <w:rPr>
                <w:color w:val="auto"/>
                <w:szCs w:val="22"/>
              </w:rPr>
              <w:br/>
              <w:t>Melbourne VIC 3000</w:t>
            </w:r>
            <w:r w:rsidRPr="00C741D2">
              <w:rPr>
                <w:color w:val="auto"/>
                <w:szCs w:val="22"/>
              </w:rPr>
              <w:br/>
              <w:t xml:space="preserve">Ph: (03) 9236 </w:t>
            </w:r>
            <w:r w:rsidR="002D53F5">
              <w:rPr>
                <w:color w:val="auto"/>
                <w:szCs w:val="22"/>
              </w:rPr>
              <w:t>5028</w:t>
            </w:r>
            <w:r w:rsidRPr="00C741D2">
              <w:rPr>
                <w:color w:val="auto"/>
                <w:szCs w:val="22"/>
              </w:rPr>
              <w:t xml:space="preserve"> </w:t>
            </w:r>
          </w:p>
          <w:p w14:paraId="0B678FAE" w14:textId="68AD71AF" w:rsidR="009476C1" w:rsidRPr="00C741D2" w:rsidRDefault="00EB0EE2" w:rsidP="00377C09">
            <w:pPr>
              <w:pStyle w:val="BodyCopy"/>
              <w:spacing w:before="0" w:after="0"/>
              <w:rPr>
                <w:b/>
                <w:color w:val="auto"/>
                <w:szCs w:val="22"/>
              </w:rPr>
            </w:pPr>
            <w:hyperlink r:id="rId9" w:history="1">
              <w:r w:rsidR="00FB6059" w:rsidRPr="00410BC8">
                <w:rPr>
                  <w:rStyle w:val="Hyperlink"/>
                  <w:szCs w:val="22"/>
                </w:rPr>
                <w:t>rstaheli@ntc.gov.au</w:t>
              </w:r>
            </w:hyperlink>
            <w:r w:rsidR="00830D17">
              <w:rPr>
                <w:szCs w:val="22"/>
              </w:rPr>
              <w:t xml:space="preserve"> </w:t>
            </w:r>
            <w:r w:rsidR="009476C1" w:rsidRPr="00C741D2">
              <w:rPr>
                <w:color w:val="auto"/>
                <w:szCs w:val="22"/>
              </w:rPr>
              <w:br/>
            </w:r>
            <w:hyperlink r:id="rId10" w:history="1">
              <w:r w:rsidR="009476C1" w:rsidRPr="00C741D2">
                <w:rPr>
                  <w:rStyle w:val="Hyperlink"/>
                  <w:color w:val="auto"/>
                  <w:szCs w:val="22"/>
                </w:rPr>
                <w:t>www.ntc.gov.au</w:t>
              </w:r>
            </w:hyperlink>
          </w:p>
        </w:tc>
      </w:tr>
    </w:tbl>
    <w:p w14:paraId="584DE508" w14:textId="77777777" w:rsidR="00FA2E08" w:rsidRPr="00907FF5" w:rsidRDefault="00FA2E08">
      <w:pPr>
        <w:spacing w:before="0" w:after="0"/>
      </w:pPr>
    </w:p>
    <w:p w14:paraId="3F5839A0" w14:textId="77777777" w:rsidR="00FA2E08" w:rsidRPr="00907FF5" w:rsidRDefault="00FA2E08">
      <w:pPr>
        <w:spacing w:before="0" w:after="0"/>
      </w:pPr>
    </w:p>
    <w:p w14:paraId="36DC4D48" w14:textId="336D7F11" w:rsidR="00FD2AF1" w:rsidRDefault="00FD2AF1">
      <w:pPr>
        <w:spacing w:before="0" w:after="0"/>
        <w:rPr>
          <w:rFonts w:eastAsia="Cambria"/>
          <w:szCs w:val="24"/>
        </w:rPr>
      </w:pPr>
    </w:p>
    <w:p w14:paraId="0AB07B02" w14:textId="192A81AF" w:rsidR="00067448" w:rsidRDefault="00067448">
      <w:pPr>
        <w:spacing w:before="0" w:after="0"/>
        <w:rPr>
          <w:rFonts w:eastAsia="Cambria"/>
          <w:szCs w:val="24"/>
        </w:rPr>
      </w:pPr>
    </w:p>
    <w:p w14:paraId="0EBDCC60" w14:textId="07328E87" w:rsidR="00FB6059" w:rsidRDefault="00FB6059">
      <w:pPr>
        <w:spacing w:before="0" w:after="0"/>
        <w:rPr>
          <w:rFonts w:eastAsia="Cambria"/>
          <w:szCs w:val="24"/>
        </w:rPr>
      </w:pPr>
    </w:p>
    <w:p w14:paraId="3992977A" w14:textId="4F8868BF" w:rsidR="00FB6059" w:rsidRDefault="00FB6059">
      <w:pPr>
        <w:spacing w:before="0" w:after="0"/>
        <w:rPr>
          <w:rFonts w:eastAsia="Cambria"/>
          <w:szCs w:val="24"/>
        </w:rPr>
      </w:pPr>
    </w:p>
    <w:p w14:paraId="3F274F3D" w14:textId="34036628" w:rsidR="00FB6059" w:rsidRDefault="00FB6059">
      <w:pPr>
        <w:spacing w:before="0" w:after="0"/>
        <w:rPr>
          <w:rFonts w:eastAsia="Cambria"/>
          <w:szCs w:val="24"/>
        </w:rPr>
      </w:pPr>
    </w:p>
    <w:p w14:paraId="0172D6CA" w14:textId="7C7160C0" w:rsidR="00FB6059" w:rsidRDefault="00FB6059">
      <w:pPr>
        <w:spacing w:before="0" w:after="0"/>
        <w:rPr>
          <w:rFonts w:eastAsia="Cambria"/>
          <w:szCs w:val="24"/>
        </w:rPr>
      </w:pPr>
    </w:p>
    <w:p w14:paraId="2499AF2C" w14:textId="4EC73AE4" w:rsidR="00FB6059" w:rsidRDefault="00FB6059">
      <w:pPr>
        <w:spacing w:before="0" w:after="0"/>
        <w:rPr>
          <w:rFonts w:eastAsia="Cambria"/>
          <w:szCs w:val="24"/>
        </w:rPr>
      </w:pPr>
    </w:p>
    <w:p w14:paraId="4C2B0AE7" w14:textId="6FCF1D6B" w:rsidR="00FB6059" w:rsidRDefault="00FB6059">
      <w:pPr>
        <w:spacing w:before="0" w:after="0"/>
        <w:rPr>
          <w:rFonts w:eastAsia="Cambria"/>
          <w:szCs w:val="24"/>
        </w:rPr>
      </w:pPr>
    </w:p>
    <w:p w14:paraId="77A88D0D" w14:textId="77777777" w:rsidR="00FB6059" w:rsidRDefault="00FB6059">
      <w:pPr>
        <w:spacing w:before="0" w:after="0"/>
        <w:rPr>
          <w:rFonts w:eastAsia="Cambria"/>
          <w:szCs w:val="24"/>
        </w:rPr>
      </w:pPr>
    </w:p>
    <w:p w14:paraId="4540625B" w14:textId="77777777" w:rsidR="00067448" w:rsidRDefault="00067448">
      <w:pPr>
        <w:spacing w:before="0" w:after="0"/>
        <w:rPr>
          <w:rFonts w:eastAsia="Cambria"/>
          <w:szCs w:val="24"/>
        </w:rPr>
      </w:pPr>
    </w:p>
    <w:p w14:paraId="53134ADA" w14:textId="29CB75DF" w:rsidR="00097BF7" w:rsidRPr="000660B4" w:rsidRDefault="00097BF7" w:rsidP="000C76B7">
      <w:pPr>
        <w:pStyle w:val="BodyCopy"/>
        <w:pBdr>
          <w:bottom w:val="single" w:sz="8" w:space="4" w:color="10CFC9" w:themeColor="accent1"/>
        </w:pBdr>
        <w:spacing w:before="0" w:after="360"/>
        <w:rPr>
          <w:color w:val="auto"/>
          <w:sz w:val="44"/>
          <w:szCs w:val="44"/>
        </w:rPr>
      </w:pPr>
      <w:bookmarkStart w:id="4" w:name="_Toc535314523"/>
      <w:bookmarkStart w:id="5" w:name="_Toc535331952"/>
      <w:r w:rsidRPr="000660B4">
        <w:rPr>
          <w:color w:val="auto"/>
          <w:sz w:val="44"/>
          <w:szCs w:val="44"/>
        </w:rPr>
        <w:t>Contents</w:t>
      </w:r>
    </w:p>
    <w:p w14:paraId="5D39395B" w14:textId="643D49FB" w:rsidR="000A4DC7" w:rsidRDefault="00000EB3">
      <w:pPr>
        <w:pStyle w:val="TOC1"/>
        <w:rPr>
          <w:rFonts w:asciiTheme="minorHAnsi" w:eastAsiaTheme="minorEastAsia" w:hAnsiTheme="minorHAnsi" w:cstheme="minorBidi"/>
          <w:b w:val="0"/>
          <w:szCs w:val="22"/>
          <w:lang w:eastAsia="en-AU"/>
        </w:rPr>
      </w:pPr>
      <w:r w:rsidRPr="00907FF5">
        <w:fldChar w:fldCharType="begin"/>
      </w:r>
      <w:r w:rsidRPr="00907FF5">
        <w:instrText xml:space="preserve"> TOC \o "1-3" \h \z \t "Heading 1,1,Heading 3,3" </w:instrText>
      </w:r>
      <w:r w:rsidRPr="00907FF5">
        <w:fldChar w:fldCharType="separate"/>
      </w:r>
      <w:hyperlink w:anchor="_Toc86158365" w:history="1">
        <w:r w:rsidR="000A4DC7" w:rsidRPr="001E54CF">
          <w:rPr>
            <w:rStyle w:val="Hyperlink"/>
          </w:rPr>
          <w:t>Report outline</w:t>
        </w:r>
        <w:r w:rsidR="000A4DC7">
          <w:rPr>
            <w:webHidden/>
          </w:rPr>
          <w:tab/>
        </w:r>
        <w:r w:rsidR="000A4DC7">
          <w:rPr>
            <w:webHidden/>
          </w:rPr>
          <w:fldChar w:fldCharType="begin"/>
        </w:r>
        <w:r w:rsidR="000A4DC7">
          <w:rPr>
            <w:webHidden/>
          </w:rPr>
          <w:instrText xml:space="preserve"> PAGEREF _Toc86158365 \h </w:instrText>
        </w:r>
        <w:r w:rsidR="000A4DC7">
          <w:rPr>
            <w:webHidden/>
          </w:rPr>
        </w:r>
        <w:r w:rsidR="000A4DC7">
          <w:rPr>
            <w:webHidden/>
          </w:rPr>
          <w:fldChar w:fldCharType="separate"/>
        </w:r>
        <w:r w:rsidR="00225EEA">
          <w:rPr>
            <w:webHidden/>
          </w:rPr>
          <w:t>2</w:t>
        </w:r>
        <w:r w:rsidR="000A4DC7">
          <w:rPr>
            <w:webHidden/>
          </w:rPr>
          <w:fldChar w:fldCharType="end"/>
        </w:r>
      </w:hyperlink>
    </w:p>
    <w:p w14:paraId="775A3711" w14:textId="4323F36A" w:rsidR="000A4DC7" w:rsidRDefault="00EB0EE2">
      <w:pPr>
        <w:pStyle w:val="TOC1"/>
        <w:rPr>
          <w:rFonts w:asciiTheme="minorHAnsi" w:eastAsiaTheme="minorEastAsia" w:hAnsiTheme="minorHAnsi" w:cstheme="minorBidi"/>
          <w:b w:val="0"/>
          <w:szCs w:val="22"/>
          <w:lang w:eastAsia="en-AU"/>
        </w:rPr>
      </w:pPr>
      <w:hyperlink w:anchor="_Toc86158366" w:history="1">
        <w:r w:rsidR="000A4DC7" w:rsidRPr="001E54CF">
          <w:rPr>
            <w:rStyle w:val="Hyperlink"/>
          </w:rPr>
          <w:t>List of figures and tables</w:t>
        </w:r>
        <w:r w:rsidR="000A4DC7">
          <w:rPr>
            <w:webHidden/>
          </w:rPr>
          <w:tab/>
        </w:r>
        <w:r w:rsidR="000A4DC7">
          <w:rPr>
            <w:webHidden/>
          </w:rPr>
          <w:fldChar w:fldCharType="begin"/>
        </w:r>
        <w:r w:rsidR="000A4DC7">
          <w:rPr>
            <w:webHidden/>
          </w:rPr>
          <w:instrText xml:space="preserve"> PAGEREF _Toc86158366 \h </w:instrText>
        </w:r>
        <w:r w:rsidR="000A4DC7">
          <w:rPr>
            <w:webHidden/>
          </w:rPr>
        </w:r>
        <w:r w:rsidR="000A4DC7">
          <w:rPr>
            <w:webHidden/>
          </w:rPr>
          <w:fldChar w:fldCharType="separate"/>
        </w:r>
        <w:r w:rsidR="00225EEA">
          <w:rPr>
            <w:webHidden/>
          </w:rPr>
          <w:t>7</w:t>
        </w:r>
        <w:r w:rsidR="000A4DC7">
          <w:rPr>
            <w:webHidden/>
          </w:rPr>
          <w:fldChar w:fldCharType="end"/>
        </w:r>
      </w:hyperlink>
    </w:p>
    <w:p w14:paraId="5AFF6D4D" w14:textId="46D401D9" w:rsidR="000A4DC7" w:rsidRDefault="00EB0EE2">
      <w:pPr>
        <w:pStyle w:val="TOC2"/>
        <w:rPr>
          <w:rFonts w:asciiTheme="minorHAnsi" w:eastAsiaTheme="minorEastAsia" w:hAnsiTheme="minorHAnsi" w:cstheme="minorBidi"/>
          <w:sz w:val="22"/>
          <w:szCs w:val="22"/>
          <w:lang w:eastAsia="en-AU"/>
        </w:rPr>
      </w:pPr>
      <w:hyperlink w:anchor="_Toc86158367" w:history="1">
        <w:r w:rsidR="000A4DC7" w:rsidRPr="001E54CF">
          <w:rPr>
            <w:rStyle w:val="Hyperlink"/>
          </w:rPr>
          <w:t>List of figures</w:t>
        </w:r>
        <w:r w:rsidR="000A4DC7">
          <w:rPr>
            <w:webHidden/>
          </w:rPr>
          <w:tab/>
        </w:r>
        <w:r w:rsidR="000A4DC7">
          <w:rPr>
            <w:webHidden/>
          </w:rPr>
          <w:fldChar w:fldCharType="begin"/>
        </w:r>
        <w:r w:rsidR="000A4DC7">
          <w:rPr>
            <w:webHidden/>
          </w:rPr>
          <w:instrText xml:space="preserve"> PAGEREF _Toc86158367 \h </w:instrText>
        </w:r>
        <w:r w:rsidR="000A4DC7">
          <w:rPr>
            <w:webHidden/>
          </w:rPr>
        </w:r>
        <w:r w:rsidR="000A4DC7">
          <w:rPr>
            <w:webHidden/>
          </w:rPr>
          <w:fldChar w:fldCharType="separate"/>
        </w:r>
        <w:r w:rsidR="00225EEA">
          <w:rPr>
            <w:webHidden/>
          </w:rPr>
          <w:t>7</w:t>
        </w:r>
        <w:r w:rsidR="000A4DC7">
          <w:rPr>
            <w:webHidden/>
          </w:rPr>
          <w:fldChar w:fldCharType="end"/>
        </w:r>
      </w:hyperlink>
    </w:p>
    <w:p w14:paraId="141112FE" w14:textId="18CCEFE1" w:rsidR="000A4DC7" w:rsidRDefault="00EB0EE2">
      <w:pPr>
        <w:pStyle w:val="TOC2"/>
        <w:rPr>
          <w:rFonts w:asciiTheme="minorHAnsi" w:eastAsiaTheme="minorEastAsia" w:hAnsiTheme="minorHAnsi" w:cstheme="minorBidi"/>
          <w:sz w:val="22"/>
          <w:szCs w:val="22"/>
          <w:lang w:eastAsia="en-AU"/>
        </w:rPr>
      </w:pPr>
      <w:hyperlink w:anchor="_Toc86158368" w:history="1">
        <w:r w:rsidR="000A4DC7" w:rsidRPr="001E54CF">
          <w:rPr>
            <w:rStyle w:val="Hyperlink"/>
          </w:rPr>
          <w:t>List of tables</w:t>
        </w:r>
        <w:r w:rsidR="000A4DC7">
          <w:rPr>
            <w:webHidden/>
          </w:rPr>
          <w:tab/>
        </w:r>
        <w:r w:rsidR="000A4DC7">
          <w:rPr>
            <w:webHidden/>
          </w:rPr>
          <w:fldChar w:fldCharType="begin"/>
        </w:r>
        <w:r w:rsidR="000A4DC7">
          <w:rPr>
            <w:webHidden/>
          </w:rPr>
          <w:instrText xml:space="preserve"> PAGEREF _Toc86158368 \h </w:instrText>
        </w:r>
        <w:r w:rsidR="000A4DC7">
          <w:rPr>
            <w:webHidden/>
          </w:rPr>
        </w:r>
        <w:r w:rsidR="000A4DC7">
          <w:rPr>
            <w:webHidden/>
          </w:rPr>
          <w:fldChar w:fldCharType="separate"/>
        </w:r>
        <w:r w:rsidR="00225EEA">
          <w:rPr>
            <w:webHidden/>
          </w:rPr>
          <w:t>7</w:t>
        </w:r>
        <w:r w:rsidR="000A4DC7">
          <w:rPr>
            <w:webHidden/>
          </w:rPr>
          <w:fldChar w:fldCharType="end"/>
        </w:r>
      </w:hyperlink>
    </w:p>
    <w:p w14:paraId="6E1262F4" w14:textId="78EEAA74" w:rsidR="000A4DC7" w:rsidRDefault="00EB0EE2">
      <w:pPr>
        <w:pStyle w:val="TOC1"/>
        <w:rPr>
          <w:rFonts w:asciiTheme="minorHAnsi" w:eastAsiaTheme="minorEastAsia" w:hAnsiTheme="minorHAnsi" w:cstheme="minorBidi"/>
          <w:b w:val="0"/>
          <w:szCs w:val="22"/>
          <w:lang w:eastAsia="en-AU"/>
        </w:rPr>
      </w:pPr>
      <w:hyperlink w:anchor="_Toc86158369" w:history="1">
        <w:r w:rsidR="000A4DC7" w:rsidRPr="001E54CF">
          <w:rPr>
            <w:rStyle w:val="Hyperlink"/>
          </w:rPr>
          <w:t>Summary</w:t>
        </w:r>
        <w:r w:rsidR="000A4DC7">
          <w:rPr>
            <w:webHidden/>
          </w:rPr>
          <w:tab/>
        </w:r>
        <w:r w:rsidR="000A4DC7">
          <w:rPr>
            <w:webHidden/>
          </w:rPr>
          <w:fldChar w:fldCharType="begin"/>
        </w:r>
        <w:r w:rsidR="000A4DC7">
          <w:rPr>
            <w:webHidden/>
          </w:rPr>
          <w:instrText xml:space="preserve"> PAGEREF _Toc86158369 \h </w:instrText>
        </w:r>
        <w:r w:rsidR="000A4DC7">
          <w:rPr>
            <w:webHidden/>
          </w:rPr>
        </w:r>
        <w:r w:rsidR="000A4DC7">
          <w:rPr>
            <w:webHidden/>
          </w:rPr>
          <w:fldChar w:fldCharType="separate"/>
        </w:r>
        <w:r w:rsidR="00225EEA">
          <w:rPr>
            <w:webHidden/>
          </w:rPr>
          <w:t>10</w:t>
        </w:r>
        <w:r w:rsidR="000A4DC7">
          <w:rPr>
            <w:webHidden/>
          </w:rPr>
          <w:fldChar w:fldCharType="end"/>
        </w:r>
      </w:hyperlink>
    </w:p>
    <w:p w14:paraId="526B0BD2" w14:textId="75360E78" w:rsidR="000A4DC7" w:rsidRDefault="00EB0EE2">
      <w:pPr>
        <w:pStyle w:val="TOC1"/>
        <w:rPr>
          <w:rFonts w:asciiTheme="minorHAnsi" w:eastAsiaTheme="minorEastAsia" w:hAnsiTheme="minorHAnsi" w:cstheme="minorBidi"/>
          <w:b w:val="0"/>
          <w:szCs w:val="22"/>
          <w:lang w:eastAsia="en-AU"/>
        </w:rPr>
      </w:pPr>
      <w:hyperlink w:anchor="_Toc86158370" w:history="1">
        <w:r w:rsidR="000A4DC7" w:rsidRPr="001E54CF">
          <w:rPr>
            <w:rStyle w:val="Hyperlink"/>
          </w:rPr>
          <w:t>1</w:t>
        </w:r>
        <w:r w:rsidR="000A4DC7">
          <w:rPr>
            <w:rFonts w:asciiTheme="minorHAnsi" w:eastAsiaTheme="minorEastAsia" w:hAnsiTheme="minorHAnsi" w:cstheme="minorBidi"/>
            <w:b w:val="0"/>
            <w:szCs w:val="22"/>
            <w:lang w:eastAsia="en-AU"/>
          </w:rPr>
          <w:tab/>
        </w:r>
        <w:r w:rsidR="000A4DC7" w:rsidRPr="001E54CF">
          <w:rPr>
            <w:rStyle w:val="Hyperlink"/>
          </w:rPr>
          <w:t>Introduction</w:t>
        </w:r>
        <w:r w:rsidR="000A4DC7">
          <w:rPr>
            <w:webHidden/>
          </w:rPr>
          <w:tab/>
        </w:r>
        <w:r w:rsidR="000A4DC7">
          <w:rPr>
            <w:webHidden/>
          </w:rPr>
          <w:fldChar w:fldCharType="begin"/>
        </w:r>
        <w:r w:rsidR="000A4DC7">
          <w:rPr>
            <w:webHidden/>
          </w:rPr>
          <w:instrText xml:space="preserve"> PAGEREF _Toc86158370 \h </w:instrText>
        </w:r>
        <w:r w:rsidR="000A4DC7">
          <w:rPr>
            <w:webHidden/>
          </w:rPr>
        </w:r>
        <w:r w:rsidR="000A4DC7">
          <w:rPr>
            <w:webHidden/>
          </w:rPr>
          <w:fldChar w:fldCharType="separate"/>
        </w:r>
        <w:r w:rsidR="00225EEA">
          <w:rPr>
            <w:webHidden/>
          </w:rPr>
          <w:t>15</w:t>
        </w:r>
        <w:r w:rsidR="000A4DC7">
          <w:rPr>
            <w:webHidden/>
          </w:rPr>
          <w:fldChar w:fldCharType="end"/>
        </w:r>
      </w:hyperlink>
    </w:p>
    <w:p w14:paraId="6FB167C1" w14:textId="715B8682" w:rsidR="000A4DC7" w:rsidRDefault="00EB0EE2">
      <w:pPr>
        <w:pStyle w:val="TOC2"/>
        <w:rPr>
          <w:rFonts w:asciiTheme="minorHAnsi" w:eastAsiaTheme="minorEastAsia" w:hAnsiTheme="minorHAnsi" w:cstheme="minorBidi"/>
          <w:sz w:val="22"/>
          <w:szCs w:val="22"/>
          <w:lang w:eastAsia="en-AU"/>
        </w:rPr>
      </w:pPr>
      <w:hyperlink w:anchor="_Toc86158371" w:history="1">
        <w:r w:rsidR="000A4DC7" w:rsidRPr="001E54CF">
          <w:rPr>
            <w:rStyle w:val="Hyperlink"/>
          </w:rPr>
          <w:t>1.1</w:t>
        </w:r>
        <w:r w:rsidR="000A4DC7">
          <w:rPr>
            <w:rFonts w:asciiTheme="minorHAnsi" w:eastAsiaTheme="minorEastAsia" w:hAnsiTheme="minorHAnsi" w:cstheme="minorBidi"/>
            <w:sz w:val="22"/>
            <w:szCs w:val="22"/>
            <w:lang w:eastAsia="en-AU"/>
          </w:rPr>
          <w:tab/>
        </w:r>
        <w:r w:rsidR="000A4DC7" w:rsidRPr="001E54CF">
          <w:rPr>
            <w:rStyle w:val="Hyperlink"/>
          </w:rPr>
          <w:t>ITMM directions to the NTC</w:t>
        </w:r>
        <w:r w:rsidR="000A4DC7">
          <w:rPr>
            <w:webHidden/>
          </w:rPr>
          <w:tab/>
        </w:r>
        <w:r w:rsidR="000A4DC7">
          <w:rPr>
            <w:webHidden/>
          </w:rPr>
          <w:fldChar w:fldCharType="begin"/>
        </w:r>
        <w:r w:rsidR="000A4DC7">
          <w:rPr>
            <w:webHidden/>
          </w:rPr>
          <w:instrText xml:space="preserve"> PAGEREF _Toc86158371 \h </w:instrText>
        </w:r>
        <w:r w:rsidR="000A4DC7">
          <w:rPr>
            <w:webHidden/>
          </w:rPr>
        </w:r>
        <w:r w:rsidR="000A4DC7">
          <w:rPr>
            <w:webHidden/>
          </w:rPr>
          <w:fldChar w:fldCharType="separate"/>
        </w:r>
        <w:r w:rsidR="00225EEA">
          <w:rPr>
            <w:webHidden/>
          </w:rPr>
          <w:t>15</w:t>
        </w:r>
        <w:r w:rsidR="000A4DC7">
          <w:rPr>
            <w:webHidden/>
          </w:rPr>
          <w:fldChar w:fldCharType="end"/>
        </w:r>
      </w:hyperlink>
    </w:p>
    <w:p w14:paraId="03E6499C" w14:textId="52866ED8" w:rsidR="000A4DC7" w:rsidRDefault="00EB0EE2">
      <w:pPr>
        <w:pStyle w:val="TOC2"/>
        <w:rPr>
          <w:rFonts w:asciiTheme="minorHAnsi" w:eastAsiaTheme="minorEastAsia" w:hAnsiTheme="minorHAnsi" w:cstheme="minorBidi"/>
          <w:sz w:val="22"/>
          <w:szCs w:val="22"/>
          <w:lang w:eastAsia="en-AU"/>
        </w:rPr>
      </w:pPr>
      <w:hyperlink w:anchor="_Toc86158372" w:history="1">
        <w:r w:rsidR="000A4DC7" w:rsidRPr="001E54CF">
          <w:rPr>
            <w:rStyle w:val="Hyperlink"/>
          </w:rPr>
          <w:t>1.2</w:t>
        </w:r>
        <w:r w:rsidR="000A4DC7">
          <w:rPr>
            <w:rFonts w:asciiTheme="minorHAnsi" w:eastAsiaTheme="minorEastAsia" w:hAnsiTheme="minorHAnsi" w:cstheme="minorBidi"/>
            <w:sz w:val="22"/>
            <w:szCs w:val="22"/>
            <w:lang w:eastAsia="en-AU"/>
          </w:rPr>
          <w:tab/>
        </w:r>
        <w:r w:rsidR="000A4DC7" w:rsidRPr="001E54CF">
          <w:rPr>
            <w:rStyle w:val="Hyperlink"/>
          </w:rPr>
          <w:t>What are heavy vehicle charges?</w:t>
        </w:r>
        <w:r w:rsidR="000A4DC7">
          <w:rPr>
            <w:webHidden/>
          </w:rPr>
          <w:tab/>
        </w:r>
        <w:r w:rsidR="000A4DC7">
          <w:rPr>
            <w:webHidden/>
          </w:rPr>
          <w:fldChar w:fldCharType="begin"/>
        </w:r>
        <w:r w:rsidR="000A4DC7">
          <w:rPr>
            <w:webHidden/>
          </w:rPr>
          <w:instrText xml:space="preserve"> PAGEREF _Toc86158372 \h </w:instrText>
        </w:r>
        <w:r w:rsidR="000A4DC7">
          <w:rPr>
            <w:webHidden/>
          </w:rPr>
        </w:r>
        <w:r w:rsidR="000A4DC7">
          <w:rPr>
            <w:webHidden/>
          </w:rPr>
          <w:fldChar w:fldCharType="separate"/>
        </w:r>
        <w:r w:rsidR="00225EEA">
          <w:rPr>
            <w:webHidden/>
          </w:rPr>
          <w:t>15</w:t>
        </w:r>
        <w:r w:rsidR="000A4DC7">
          <w:rPr>
            <w:webHidden/>
          </w:rPr>
          <w:fldChar w:fldCharType="end"/>
        </w:r>
      </w:hyperlink>
    </w:p>
    <w:p w14:paraId="34A287C4" w14:textId="5166D287" w:rsidR="000A4DC7" w:rsidRDefault="00EB0EE2">
      <w:pPr>
        <w:pStyle w:val="TOC2"/>
        <w:rPr>
          <w:rFonts w:asciiTheme="minorHAnsi" w:eastAsiaTheme="minorEastAsia" w:hAnsiTheme="minorHAnsi" w:cstheme="minorBidi"/>
          <w:sz w:val="22"/>
          <w:szCs w:val="22"/>
          <w:lang w:eastAsia="en-AU"/>
        </w:rPr>
      </w:pPr>
      <w:hyperlink w:anchor="_Toc86158373" w:history="1">
        <w:r w:rsidR="000A4DC7" w:rsidRPr="001E54CF">
          <w:rPr>
            <w:rStyle w:val="Hyperlink"/>
          </w:rPr>
          <w:t>1.3</w:t>
        </w:r>
        <w:r w:rsidR="000A4DC7">
          <w:rPr>
            <w:rFonts w:asciiTheme="minorHAnsi" w:eastAsiaTheme="minorEastAsia" w:hAnsiTheme="minorHAnsi" w:cstheme="minorBidi"/>
            <w:sz w:val="22"/>
            <w:szCs w:val="22"/>
            <w:lang w:eastAsia="en-AU"/>
          </w:rPr>
          <w:tab/>
        </w:r>
        <w:r w:rsidR="000A4DC7" w:rsidRPr="001E54CF">
          <w:rPr>
            <w:rStyle w:val="Hyperlink"/>
          </w:rPr>
          <w:t>Background to the PAYGO system</w:t>
        </w:r>
        <w:r w:rsidR="000A4DC7">
          <w:rPr>
            <w:webHidden/>
          </w:rPr>
          <w:tab/>
        </w:r>
        <w:r w:rsidR="000A4DC7">
          <w:rPr>
            <w:webHidden/>
          </w:rPr>
          <w:fldChar w:fldCharType="begin"/>
        </w:r>
        <w:r w:rsidR="000A4DC7">
          <w:rPr>
            <w:webHidden/>
          </w:rPr>
          <w:instrText xml:space="preserve"> PAGEREF _Toc86158373 \h </w:instrText>
        </w:r>
        <w:r w:rsidR="000A4DC7">
          <w:rPr>
            <w:webHidden/>
          </w:rPr>
        </w:r>
        <w:r w:rsidR="000A4DC7">
          <w:rPr>
            <w:webHidden/>
          </w:rPr>
          <w:fldChar w:fldCharType="separate"/>
        </w:r>
        <w:r w:rsidR="00225EEA">
          <w:rPr>
            <w:webHidden/>
          </w:rPr>
          <w:t>15</w:t>
        </w:r>
        <w:r w:rsidR="000A4DC7">
          <w:rPr>
            <w:webHidden/>
          </w:rPr>
          <w:fldChar w:fldCharType="end"/>
        </w:r>
      </w:hyperlink>
    </w:p>
    <w:p w14:paraId="5A3F367B" w14:textId="633A0FE1" w:rsidR="000A4DC7" w:rsidRDefault="00EB0EE2">
      <w:pPr>
        <w:pStyle w:val="TOC2"/>
        <w:rPr>
          <w:rFonts w:asciiTheme="minorHAnsi" w:eastAsiaTheme="minorEastAsia" w:hAnsiTheme="minorHAnsi" w:cstheme="minorBidi"/>
          <w:sz w:val="22"/>
          <w:szCs w:val="22"/>
          <w:lang w:eastAsia="en-AU"/>
        </w:rPr>
      </w:pPr>
      <w:hyperlink w:anchor="_Toc86158374" w:history="1">
        <w:r w:rsidR="000A4DC7" w:rsidRPr="001E54CF">
          <w:rPr>
            <w:rStyle w:val="Hyperlink"/>
          </w:rPr>
          <w:t>1.4</w:t>
        </w:r>
        <w:r w:rsidR="000A4DC7">
          <w:rPr>
            <w:rFonts w:asciiTheme="minorHAnsi" w:eastAsiaTheme="minorEastAsia" w:hAnsiTheme="minorHAnsi" w:cstheme="minorBidi"/>
            <w:sz w:val="22"/>
            <w:szCs w:val="22"/>
            <w:lang w:eastAsia="en-AU"/>
          </w:rPr>
          <w:tab/>
        </w:r>
        <w:r w:rsidR="000A4DC7" w:rsidRPr="001E54CF">
          <w:rPr>
            <w:rStyle w:val="Hyperlink"/>
          </w:rPr>
          <w:t>High-level approach and scope for this determination</w:t>
        </w:r>
        <w:r w:rsidR="000A4DC7">
          <w:rPr>
            <w:webHidden/>
          </w:rPr>
          <w:tab/>
        </w:r>
        <w:r w:rsidR="000A4DC7">
          <w:rPr>
            <w:webHidden/>
          </w:rPr>
          <w:fldChar w:fldCharType="begin"/>
        </w:r>
        <w:r w:rsidR="000A4DC7">
          <w:rPr>
            <w:webHidden/>
          </w:rPr>
          <w:instrText xml:space="preserve"> PAGEREF _Toc86158374 \h </w:instrText>
        </w:r>
        <w:r w:rsidR="000A4DC7">
          <w:rPr>
            <w:webHidden/>
          </w:rPr>
        </w:r>
        <w:r w:rsidR="000A4DC7">
          <w:rPr>
            <w:webHidden/>
          </w:rPr>
          <w:fldChar w:fldCharType="separate"/>
        </w:r>
        <w:r w:rsidR="00225EEA">
          <w:rPr>
            <w:webHidden/>
          </w:rPr>
          <w:t>16</w:t>
        </w:r>
        <w:r w:rsidR="000A4DC7">
          <w:rPr>
            <w:webHidden/>
          </w:rPr>
          <w:fldChar w:fldCharType="end"/>
        </w:r>
      </w:hyperlink>
    </w:p>
    <w:p w14:paraId="4619E313" w14:textId="5E33514B" w:rsidR="000A4DC7" w:rsidRDefault="00EB0EE2">
      <w:pPr>
        <w:pStyle w:val="TOC3"/>
        <w:rPr>
          <w:rFonts w:asciiTheme="minorHAnsi" w:eastAsiaTheme="minorEastAsia" w:hAnsiTheme="minorHAnsi" w:cstheme="minorBidi"/>
          <w:sz w:val="22"/>
          <w:szCs w:val="22"/>
          <w:lang w:eastAsia="en-AU"/>
        </w:rPr>
      </w:pPr>
      <w:hyperlink w:anchor="_Toc86158375" w:history="1">
        <w:r w:rsidR="000A4DC7" w:rsidRPr="001E54CF">
          <w:rPr>
            <w:rStyle w:val="Hyperlink"/>
            <w:bCs/>
            <w14:scene3d>
              <w14:camera w14:prst="orthographicFront"/>
              <w14:lightRig w14:rig="threePt" w14:dir="t">
                <w14:rot w14:lat="0" w14:lon="0" w14:rev="0"/>
              </w14:lightRig>
            </w14:scene3d>
          </w:rPr>
          <w:t>1.4.1</w:t>
        </w:r>
        <w:r w:rsidR="000A4DC7">
          <w:rPr>
            <w:rFonts w:asciiTheme="minorHAnsi" w:eastAsiaTheme="minorEastAsia" w:hAnsiTheme="minorHAnsi" w:cstheme="minorBidi"/>
            <w:sz w:val="22"/>
            <w:szCs w:val="22"/>
            <w:lang w:eastAsia="en-AU"/>
          </w:rPr>
          <w:tab/>
        </w:r>
        <w:r w:rsidR="000A4DC7" w:rsidRPr="001E54CF">
          <w:rPr>
            <w:rStyle w:val="Hyperlink"/>
          </w:rPr>
          <w:t>Approach</w:t>
        </w:r>
        <w:r w:rsidR="000A4DC7">
          <w:rPr>
            <w:webHidden/>
          </w:rPr>
          <w:tab/>
        </w:r>
        <w:r w:rsidR="000A4DC7">
          <w:rPr>
            <w:webHidden/>
          </w:rPr>
          <w:fldChar w:fldCharType="begin"/>
        </w:r>
        <w:r w:rsidR="000A4DC7">
          <w:rPr>
            <w:webHidden/>
          </w:rPr>
          <w:instrText xml:space="preserve"> PAGEREF _Toc86158375 \h </w:instrText>
        </w:r>
        <w:r w:rsidR="000A4DC7">
          <w:rPr>
            <w:webHidden/>
          </w:rPr>
        </w:r>
        <w:r w:rsidR="000A4DC7">
          <w:rPr>
            <w:webHidden/>
          </w:rPr>
          <w:fldChar w:fldCharType="separate"/>
        </w:r>
        <w:r w:rsidR="00225EEA">
          <w:rPr>
            <w:webHidden/>
          </w:rPr>
          <w:t>16</w:t>
        </w:r>
        <w:r w:rsidR="000A4DC7">
          <w:rPr>
            <w:webHidden/>
          </w:rPr>
          <w:fldChar w:fldCharType="end"/>
        </w:r>
      </w:hyperlink>
    </w:p>
    <w:p w14:paraId="6A293A4C" w14:textId="51EFA805" w:rsidR="000A4DC7" w:rsidRDefault="00EB0EE2">
      <w:pPr>
        <w:pStyle w:val="TOC3"/>
        <w:rPr>
          <w:rFonts w:asciiTheme="minorHAnsi" w:eastAsiaTheme="minorEastAsia" w:hAnsiTheme="minorHAnsi" w:cstheme="minorBidi"/>
          <w:sz w:val="22"/>
          <w:szCs w:val="22"/>
          <w:lang w:eastAsia="en-AU"/>
        </w:rPr>
      </w:pPr>
      <w:hyperlink w:anchor="_Toc86158376" w:history="1">
        <w:r w:rsidR="000A4DC7" w:rsidRPr="001E54CF">
          <w:rPr>
            <w:rStyle w:val="Hyperlink"/>
            <w:bCs/>
            <w14:scene3d>
              <w14:camera w14:prst="orthographicFront"/>
              <w14:lightRig w14:rig="threePt" w14:dir="t">
                <w14:rot w14:lat="0" w14:lon="0" w14:rev="0"/>
              </w14:lightRig>
            </w14:scene3d>
          </w:rPr>
          <w:t>1.4.2</w:t>
        </w:r>
        <w:r w:rsidR="000A4DC7">
          <w:rPr>
            <w:rFonts w:asciiTheme="minorHAnsi" w:eastAsiaTheme="minorEastAsia" w:hAnsiTheme="minorHAnsi" w:cstheme="minorBidi"/>
            <w:sz w:val="22"/>
            <w:szCs w:val="22"/>
            <w:lang w:eastAsia="en-AU"/>
          </w:rPr>
          <w:tab/>
        </w:r>
        <w:r w:rsidR="000A4DC7" w:rsidRPr="001E54CF">
          <w:rPr>
            <w:rStyle w:val="Hyperlink"/>
          </w:rPr>
          <w:t>Scope</w:t>
        </w:r>
        <w:r w:rsidR="000A4DC7">
          <w:rPr>
            <w:webHidden/>
          </w:rPr>
          <w:tab/>
        </w:r>
        <w:r w:rsidR="000A4DC7">
          <w:rPr>
            <w:webHidden/>
          </w:rPr>
          <w:fldChar w:fldCharType="begin"/>
        </w:r>
        <w:r w:rsidR="000A4DC7">
          <w:rPr>
            <w:webHidden/>
          </w:rPr>
          <w:instrText xml:space="preserve"> PAGEREF _Toc86158376 \h </w:instrText>
        </w:r>
        <w:r w:rsidR="000A4DC7">
          <w:rPr>
            <w:webHidden/>
          </w:rPr>
        </w:r>
        <w:r w:rsidR="000A4DC7">
          <w:rPr>
            <w:webHidden/>
          </w:rPr>
          <w:fldChar w:fldCharType="separate"/>
        </w:r>
        <w:r w:rsidR="00225EEA">
          <w:rPr>
            <w:webHidden/>
          </w:rPr>
          <w:t>16</w:t>
        </w:r>
        <w:r w:rsidR="000A4DC7">
          <w:rPr>
            <w:webHidden/>
          </w:rPr>
          <w:fldChar w:fldCharType="end"/>
        </w:r>
      </w:hyperlink>
    </w:p>
    <w:p w14:paraId="4AAE731D" w14:textId="1249E153" w:rsidR="000A4DC7" w:rsidRDefault="00EB0EE2">
      <w:pPr>
        <w:pStyle w:val="TOC2"/>
        <w:rPr>
          <w:rFonts w:asciiTheme="minorHAnsi" w:eastAsiaTheme="minorEastAsia" w:hAnsiTheme="minorHAnsi" w:cstheme="minorBidi"/>
          <w:sz w:val="22"/>
          <w:szCs w:val="22"/>
          <w:lang w:eastAsia="en-AU"/>
        </w:rPr>
      </w:pPr>
      <w:hyperlink w:anchor="_Toc86158377" w:history="1">
        <w:r w:rsidR="000A4DC7" w:rsidRPr="001E54CF">
          <w:rPr>
            <w:rStyle w:val="Hyperlink"/>
          </w:rPr>
          <w:t>1.5</w:t>
        </w:r>
        <w:r w:rsidR="000A4DC7">
          <w:rPr>
            <w:rFonts w:asciiTheme="minorHAnsi" w:eastAsiaTheme="minorEastAsia" w:hAnsiTheme="minorHAnsi" w:cstheme="minorBidi"/>
            <w:sz w:val="22"/>
            <w:szCs w:val="22"/>
            <w:lang w:eastAsia="en-AU"/>
          </w:rPr>
          <w:tab/>
        </w:r>
        <w:r w:rsidR="000A4DC7" w:rsidRPr="001E54CF">
          <w:rPr>
            <w:rStyle w:val="Hyperlink"/>
          </w:rPr>
          <w:t>Consultation to date</w:t>
        </w:r>
        <w:r w:rsidR="000A4DC7">
          <w:rPr>
            <w:webHidden/>
          </w:rPr>
          <w:tab/>
        </w:r>
        <w:r w:rsidR="000A4DC7">
          <w:rPr>
            <w:webHidden/>
          </w:rPr>
          <w:fldChar w:fldCharType="begin"/>
        </w:r>
        <w:r w:rsidR="000A4DC7">
          <w:rPr>
            <w:webHidden/>
          </w:rPr>
          <w:instrText xml:space="preserve"> PAGEREF _Toc86158377 \h </w:instrText>
        </w:r>
        <w:r w:rsidR="000A4DC7">
          <w:rPr>
            <w:webHidden/>
          </w:rPr>
        </w:r>
        <w:r w:rsidR="000A4DC7">
          <w:rPr>
            <w:webHidden/>
          </w:rPr>
          <w:fldChar w:fldCharType="separate"/>
        </w:r>
        <w:r w:rsidR="00225EEA">
          <w:rPr>
            <w:webHidden/>
          </w:rPr>
          <w:t>17</w:t>
        </w:r>
        <w:r w:rsidR="000A4DC7">
          <w:rPr>
            <w:webHidden/>
          </w:rPr>
          <w:fldChar w:fldCharType="end"/>
        </w:r>
      </w:hyperlink>
    </w:p>
    <w:p w14:paraId="218302E4" w14:textId="750A4CFC" w:rsidR="000A4DC7" w:rsidRDefault="00EB0EE2">
      <w:pPr>
        <w:pStyle w:val="TOC2"/>
        <w:rPr>
          <w:rFonts w:asciiTheme="minorHAnsi" w:eastAsiaTheme="minorEastAsia" w:hAnsiTheme="minorHAnsi" w:cstheme="minorBidi"/>
          <w:sz w:val="22"/>
          <w:szCs w:val="22"/>
          <w:lang w:eastAsia="en-AU"/>
        </w:rPr>
      </w:pPr>
      <w:hyperlink w:anchor="_Toc86158378" w:history="1">
        <w:r w:rsidR="000A4DC7" w:rsidRPr="001E54CF">
          <w:rPr>
            <w:rStyle w:val="Hyperlink"/>
          </w:rPr>
          <w:t>1.6</w:t>
        </w:r>
        <w:r w:rsidR="000A4DC7">
          <w:rPr>
            <w:rFonts w:asciiTheme="minorHAnsi" w:eastAsiaTheme="minorEastAsia" w:hAnsiTheme="minorHAnsi" w:cstheme="minorBidi"/>
            <w:sz w:val="22"/>
            <w:szCs w:val="22"/>
            <w:lang w:eastAsia="en-AU"/>
          </w:rPr>
          <w:tab/>
        </w:r>
        <w:r w:rsidR="000A4DC7" w:rsidRPr="001E54CF">
          <w:rPr>
            <w:rStyle w:val="Hyperlink"/>
          </w:rPr>
          <w:t>This decision RIS</w:t>
        </w:r>
        <w:r w:rsidR="000A4DC7">
          <w:rPr>
            <w:webHidden/>
          </w:rPr>
          <w:tab/>
        </w:r>
        <w:r w:rsidR="000A4DC7">
          <w:rPr>
            <w:webHidden/>
          </w:rPr>
          <w:fldChar w:fldCharType="begin"/>
        </w:r>
        <w:r w:rsidR="000A4DC7">
          <w:rPr>
            <w:webHidden/>
          </w:rPr>
          <w:instrText xml:space="preserve"> PAGEREF _Toc86158378 \h </w:instrText>
        </w:r>
        <w:r w:rsidR="000A4DC7">
          <w:rPr>
            <w:webHidden/>
          </w:rPr>
        </w:r>
        <w:r w:rsidR="000A4DC7">
          <w:rPr>
            <w:webHidden/>
          </w:rPr>
          <w:fldChar w:fldCharType="separate"/>
        </w:r>
        <w:r w:rsidR="00225EEA">
          <w:rPr>
            <w:webHidden/>
          </w:rPr>
          <w:t>18</w:t>
        </w:r>
        <w:r w:rsidR="000A4DC7">
          <w:rPr>
            <w:webHidden/>
          </w:rPr>
          <w:fldChar w:fldCharType="end"/>
        </w:r>
      </w:hyperlink>
    </w:p>
    <w:p w14:paraId="3A12B920" w14:textId="36F7EEEE" w:rsidR="000A4DC7" w:rsidRDefault="00EB0EE2">
      <w:pPr>
        <w:pStyle w:val="TOC1"/>
        <w:rPr>
          <w:rFonts w:asciiTheme="minorHAnsi" w:eastAsiaTheme="minorEastAsia" w:hAnsiTheme="minorHAnsi" w:cstheme="minorBidi"/>
          <w:b w:val="0"/>
          <w:szCs w:val="22"/>
          <w:lang w:eastAsia="en-AU"/>
        </w:rPr>
      </w:pPr>
      <w:hyperlink w:anchor="_Toc86158379" w:history="1">
        <w:r w:rsidR="000A4DC7" w:rsidRPr="001E54CF">
          <w:rPr>
            <w:rStyle w:val="Hyperlink"/>
          </w:rPr>
          <w:t>2</w:t>
        </w:r>
        <w:r w:rsidR="000A4DC7">
          <w:rPr>
            <w:rFonts w:asciiTheme="minorHAnsi" w:eastAsiaTheme="minorEastAsia" w:hAnsiTheme="minorHAnsi" w:cstheme="minorBidi"/>
            <w:b w:val="0"/>
            <w:szCs w:val="22"/>
            <w:lang w:eastAsia="en-AU"/>
          </w:rPr>
          <w:tab/>
        </w:r>
        <w:r w:rsidR="000A4DC7" w:rsidRPr="001E54CF">
          <w:rPr>
            <w:rStyle w:val="Hyperlink"/>
          </w:rPr>
          <w:t>Problem statement</w:t>
        </w:r>
        <w:r w:rsidR="000A4DC7">
          <w:rPr>
            <w:webHidden/>
          </w:rPr>
          <w:tab/>
        </w:r>
        <w:r w:rsidR="000A4DC7">
          <w:rPr>
            <w:webHidden/>
          </w:rPr>
          <w:fldChar w:fldCharType="begin"/>
        </w:r>
        <w:r w:rsidR="000A4DC7">
          <w:rPr>
            <w:webHidden/>
          </w:rPr>
          <w:instrText xml:space="preserve"> PAGEREF _Toc86158379 \h </w:instrText>
        </w:r>
        <w:r w:rsidR="000A4DC7">
          <w:rPr>
            <w:webHidden/>
          </w:rPr>
        </w:r>
        <w:r w:rsidR="000A4DC7">
          <w:rPr>
            <w:webHidden/>
          </w:rPr>
          <w:fldChar w:fldCharType="separate"/>
        </w:r>
        <w:r w:rsidR="00225EEA">
          <w:rPr>
            <w:webHidden/>
          </w:rPr>
          <w:t>20</w:t>
        </w:r>
        <w:r w:rsidR="000A4DC7">
          <w:rPr>
            <w:webHidden/>
          </w:rPr>
          <w:fldChar w:fldCharType="end"/>
        </w:r>
      </w:hyperlink>
    </w:p>
    <w:p w14:paraId="7B54C15C" w14:textId="75820433" w:rsidR="000A4DC7" w:rsidRDefault="00EB0EE2">
      <w:pPr>
        <w:pStyle w:val="TOC2"/>
        <w:rPr>
          <w:rFonts w:asciiTheme="minorHAnsi" w:eastAsiaTheme="minorEastAsia" w:hAnsiTheme="minorHAnsi" w:cstheme="minorBidi"/>
          <w:sz w:val="22"/>
          <w:szCs w:val="22"/>
          <w:lang w:eastAsia="en-AU"/>
        </w:rPr>
      </w:pPr>
      <w:hyperlink w:anchor="_Toc86158380" w:history="1">
        <w:r w:rsidR="000A4DC7" w:rsidRPr="001E54CF">
          <w:rPr>
            <w:rStyle w:val="Hyperlink"/>
          </w:rPr>
          <w:t>2.1</w:t>
        </w:r>
        <w:r w:rsidR="000A4DC7">
          <w:rPr>
            <w:rFonts w:asciiTheme="minorHAnsi" w:eastAsiaTheme="minorEastAsia" w:hAnsiTheme="minorHAnsi" w:cstheme="minorBidi"/>
            <w:sz w:val="22"/>
            <w:szCs w:val="22"/>
            <w:lang w:eastAsia="en-AU"/>
          </w:rPr>
          <w:tab/>
        </w:r>
        <w:r w:rsidR="000A4DC7" w:rsidRPr="001E54CF">
          <w:rPr>
            <w:rStyle w:val="Hyperlink"/>
          </w:rPr>
          <w:t>Cost recovery over time in an efficient and equitable manner</w:t>
        </w:r>
        <w:r w:rsidR="000A4DC7">
          <w:rPr>
            <w:webHidden/>
          </w:rPr>
          <w:tab/>
        </w:r>
        <w:r w:rsidR="000A4DC7">
          <w:rPr>
            <w:webHidden/>
          </w:rPr>
          <w:fldChar w:fldCharType="begin"/>
        </w:r>
        <w:r w:rsidR="000A4DC7">
          <w:rPr>
            <w:webHidden/>
          </w:rPr>
          <w:instrText xml:space="preserve"> PAGEREF _Toc86158380 \h </w:instrText>
        </w:r>
        <w:r w:rsidR="000A4DC7">
          <w:rPr>
            <w:webHidden/>
          </w:rPr>
        </w:r>
        <w:r w:rsidR="000A4DC7">
          <w:rPr>
            <w:webHidden/>
          </w:rPr>
          <w:fldChar w:fldCharType="separate"/>
        </w:r>
        <w:r w:rsidR="00225EEA">
          <w:rPr>
            <w:webHidden/>
          </w:rPr>
          <w:t>20</w:t>
        </w:r>
        <w:r w:rsidR="000A4DC7">
          <w:rPr>
            <w:webHidden/>
          </w:rPr>
          <w:fldChar w:fldCharType="end"/>
        </w:r>
      </w:hyperlink>
    </w:p>
    <w:p w14:paraId="7D8AE439" w14:textId="3EE1260E" w:rsidR="000A4DC7" w:rsidRDefault="00EB0EE2">
      <w:pPr>
        <w:pStyle w:val="TOC3"/>
        <w:rPr>
          <w:rFonts w:asciiTheme="minorHAnsi" w:eastAsiaTheme="minorEastAsia" w:hAnsiTheme="minorHAnsi" w:cstheme="minorBidi"/>
          <w:sz w:val="22"/>
          <w:szCs w:val="22"/>
          <w:lang w:eastAsia="en-AU"/>
        </w:rPr>
      </w:pPr>
      <w:hyperlink w:anchor="_Toc86158381" w:history="1">
        <w:r w:rsidR="000A4DC7" w:rsidRPr="001E54CF">
          <w:rPr>
            <w:rStyle w:val="Hyperlink"/>
            <w:bCs/>
            <w14:scene3d>
              <w14:camera w14:prst="orthographicFront"/>
              <w14:lightRig w14:rig="threePt" w14:dir="t">
                <w14:rot w14:lat="0" w14:lon="0" w14:rev="0"/>
              </w14:lightRig>
            </w14:scene3d>
          </w:rPr>
          <w:t>2.1.1</w:t>
        </w:r>
        <w:r w:rsidR="000A4DC7">
          <w:rPr>
            <w:rFonts w:asciiTheme="minorHAnsi" w:eastAsiaTheme="minorEastAsia" w:hAnsiTheme="minorHAnsi" w:cstheme="minorBidi"/>
            <w:sz w:val="22"/>
            <w:szCs w:val="22"/>
            <w:lang w:eastAsia="en-AU"/>
          </w:rPr>
          <w:tab/>
        </w:r>
        <w:r w:rsidR="000A4DC7" w:rsidRPr="001E54CF">
          <w:rPr>
            <w:rStyle w:val="Hyperlink"/>
          </w:rPr>
          <w:t>Pricing principles</w:t>
        </w:r>
        <w:r w:rsidR="000A4DC7">
          <w:rPr>
            <w:webHidden/>
          </w:rPr>
          <w:tab/>
        </w:r>
        <w:r w:rsidR="000A4DC7">
          <w:rPr>
            <w:webHidden/>
          </w:rPr>
          <w:fldChar w:fldCharType="begin"/>
        </w:r>
        <w:r w:rsidR="000A4DC7">
          <w:rPr>
            <w:webHidden/>
          </w:rPr>
          <w:instrText xml:space="preserve"> PAGEREF _Toc86158381 \h </w:instrText>
        </w:r>
        <w:r w:rsidR="000A4DC7">
          <w:rPr>
            <w:webHidden/>
          </w:rPr>
        </w:r>
        <w:r w:rsidR="000A4DC7">
          <w:rPr>
            <w:webHidden/>
          </w:rPr>
          <w:fldChar w:fldCharType="separate"/>
        </w:r>
        <w:r w:rsidR="00225EEA">
          <w:rPr>
            <w:webHidden/>
          </w:rPr>
          <w:t>20</w:t>
        </w:r>
        <w:r w:rsidR="000A4DC7">
          <w:rPr>
            <w:webHidden/>
          </w:rPr>
          <w:fldChar w:fldCharType="end"/>
        </w:r>
      </w:hyperlink>
    </w:p>
    <w:p w14:paraId="54625E02" w14:textId="1B11223E" w:rsidR="000A4DC7" w:rsidRDefault="00EB0EE2">
      <w:pPr>
        <w:pStyle w:val="TOC3"/>
        <w:rPr>
          <w:rFonts w:asciiTheme="minorHAnsi" w:eastAsiaTheme="minorEastAsia" w:hAnsiTheme="minorHAnsi" w:cstheme="minorBidi"/>
          <w:sz w:val="22"/>
          <w:szCs w:val="22"/>
          <w:lang w:eastAsia="en-AU"/>
        </w:rPr>
      </w:pPr>
      <w:hyperlink w:anchor="_Toc86158382" w:history="1">
        <w:r w:rsidR="000A4DC7" w:rsidRPr="001E54CF">
          <w:rPr>
            <w:rStyle w:val="Hyperlink"/>
            <w:bCs/>
            <w14:scene3d>
              <w14:camera w14:prst="orthographicFront"/>
              <w14:lightRig w14:rig="threePt" w14:dir="t">
                <w14:rot w14:lat="0" w14:lon="0" w14:rev="0"/>
              </w14:lightRig>
            </w14:scene3d>
          </w:rPr>
          <w:t>2.1.2</w:t>
        </w:r>
        <w:r w:rsidR="000A4DC7">
          <w:rPr>
            <w:rFonts w:asciiTheme="minorHAnsi" w:eastAsiaTheme="minorEastAsia" w:hAnsiTheme="minorHAnsi" w:cstheme="minorBidi"/>
            <w:sz w:val="22"/>
            <w:szCs w:val="22"/>
            <w:lang w:eastAsia="en-AU"/>
          </w:rPr>
          <w:tab/>
        </w:r>
        <w:r w:rsidR="000A4DC7" w:rsidRPr="001E54CF">
          <w:rPr>
            <w:rStyle w:val="Hyperlink"/>
          </w:rPr>
          <w:t>Objective of the determination</w:t>
        </w:r>
        <w:r w:rsidR="000A4DC7">
          <w:rPr>
            <w:webHidden/>
          </w:rPr>
          <w:tab/>
        </w:r>
        <w:r w:rsidR="000A4DC7">
          <w:rPr>
            <w:webHidden/>
          </w:rPr>
          <w:fldChar w:fldCharType="begin"/>
        </w:r>
        <w:r w:rsidR="000A4DC7">
          <w:rPr>
            <w:webHidden/>
          </w:rPr>
          <w:instrText xml:space="preserve"> PAGEREF _Toc86158382 \h </w:instrText>
        </w:r>
        <w:r w:rsidR="000A4DC7">
          <w:rPr>
            <w:webHidden/>
          </w:rPr>
        </w:r>
        <w:r w:rsidR="000A4DC7">
          <w:rPr>
            <w:webHidden/>
          </w:rPr>
          <w:fldChar w:fldCharType="separate"/>
        </w:r>
        <w:r w:rsidR="00225EEA">
          <w:rPr>
            <w:webHidden/>
          </w:rPr>
          <w:t>21</w:t>
        </w:r>
        <w:r w:rsidR="000A4DC7">
          <w:rPr>
            <w:webHidden/>
          </w:rPr>
          <w:fldChar w:fldCharType="end"/>
        </w:r>
      </w:hyperlink>
    </w:p>
    <w:p w14:paraId="5CBD63F1" w14:textId="7EB576D8" w:rsidR="000A4DC7" w:rsidRDefault="00EB0EE2">
      <w:pPr>
        <w:pStyle w:val="TOC2"/>
        <w:rPr>
          <w:rFonts w:asciiTheme="minorHAnsi" w:eastAsiaTheme="minorEastAsia" w:hAnsiTheme="minorHAnsi" w:cstheme="minorBidi"/>
          <w:sz w:val="22"/>
          <w:szCs w:val="22"/>
          <w:lang w:eastAsia="en-AU"/>
        </w:rPr>
      </w:pPr>
      <w:hyperlink w:anchor="_Toc86158383" w:history="1">
        <w:r w:rsidR="000A4DC7" w:rsidRPr="001E54CF">
          <w:rPr>
            <w:rStyle w:val="Hyperlink"/>
          </w:rPr>
          <w:t>2.2</w:t>
        </w:r>
        <w:r w:rsidR="000A4DC7">
          <w:rPr>
            <w:rFonts w:asciiTheme="minorHAnsi" w:eastAsiaTheme="minorEastAsia" w:hAnsiTheme="minorHAnsi" w:cstheme="minorBidi"/>
            <w:sz w:val="22"/>
            <w:szCs w:val="22"/>
            <w:lang w:eastAsia="en-AU"/>
          </w:rPr>
          <w:tab/>
        </w:r>
        <w:r w:rsidR="000A4DC7" w:rsidRPr="001E54CF">
          <w:rPr>
            <w:rStyle w:val="Hyperlink"/>
          </w:rPr>
          <w:t>Features and limitations of the current charging framework</w:t>
        </w:r>
        <w:r w:rsidR="000A4DC7">
          <w:rPr>
            <w:webHidden/>
          </w:rPr>
          <w:tab/>
        </w:r>
        <w:r w:rsidR="000A4DC7">
          <w:rPr>
            <w:webHidden/>
          </w:rPr>
          <w:fldChar w:fldCharType="begin"/>
        </w:r>
        <w:r w:rsidR="000A4DC7">
          <w:rPr>
            <w:webHidden/>
          </w:rPr>
          <w:instrText xml:space="preserve"> PAGEREF _Toc86158383 \h </w:instrText>
        </w:r>
        <w:r w:rsidR="000A4DC7">
          <w:rPr>
            <w:webHidden/>
          </w:rPr>
        </w:r>
        <w:r w:rsidR="000A4DC7">
          <w:rPr>
            <w:webHidden/>
          </w:rPr>
          <w:fldChar w:fldCharType="separate"/>
        </w:r>
        <w:r w:rsidR="00225EEA">
          <w:rPr>
            <w:webHidden/>
          </w:rPr>
          <w:t>21</w:t>
        </w:r>
        <w:r w:rsidR="000A4DC7">
          <w:rPr>
            <w:webHidden/>
          </w:rPr>
          <w:fldChar w:fldCharType="end"/>
        </w:r>
      </w:hyperlink>
    </w:p>
    <w:p w14:paraId="68AFFFFF" w14:textId="33DFF33C" w:rsidR="000A4DC7" w:rsidRDefault="00EB0EE2">
      <w:pPr>
        <w:pStyle w:val="TOC3"/>
        <w:rPr>
          <w:rFonts w:asciiTheme="minorHAnsi" w:eastAsiaTheme="minorEastAsia" w:hAnsiTheme="minorHAnsi" w:cstheme="minorBidi"/>
          <w:sz w:val="22"/>
          <w:szCs w:val="22"/>
          <w:lang w:eastAsia="en-AU"/>
        </w:rPr>
      </w:pPr>
      <w:hyperlink w:anchor="_Toc86158384" w:history="1">
        <w:r w:rsidR="000A4DC7" w:rsidRPr="001E54CF">
          <w:rPr>
            <w:rStyle w:val="Hyperlink"/>
            <w:bCs/>
            <w14:scene3d>
              <w14:camera w14:prst="orthographicFront"/>
              <w14:lightRig w14:rig="threePt" w14:dir="t">
                <w14:rot w14:lat="0" w14:lon="0" w14:rev="0"/>
              </w14:lightRig>
            </w14:scene3d>
          </w:rPr>
          <w:t>2.2.1</w:t>
        </w:r>
        <w:r w:rsidR="000A4DC7">
          <w:rPr>
            <w:rFonts w:asciiTheme="minorHAnsi" w:eastAsiaTheme="minorEastAsia" w:hAnsiTheme="minorHAnsi" w:cstheme="minorBidi"/>
            <w:sz w:val="22"/>
            <w:szCs w:val="22"/>
            <w:lang w:eastAsia="en-AU"/>
          </w:rPr>
          <w:tab/>
        </w:r>
        <w:r w:rsidR="000A4DC7" w:rsidRPr="001E54CF">
          <w:rPr>
            <w:rStyle w:val="Hyperlink"/>
          </w:rPr>
          <w:t>Recovery of capital costs up-front</w:t>
        </w:r>
        <w:r w:rsidR="000A4DC7">
          <w:rPr>
            <w:webHidden/>
          </w:rPr>
          <w:tab/>
        </w:r>
        <w:r w:rsidR="000A4DC7">
          <w:rPr>
            <w:webHidden/>
          </w:rPr>
          <w:fldChar w:fldCharType="begin"/>
        </w:r>
        <w:r w:rsidR="000A4DC7">
          <w:rPr>
            <w:webHidden/>
          </w:rPr>
          <w:instrText xml:space="preserve"> PAGEREF _Toc86158384 \h </w:instrText>
        </w:r>
        <w:r w:rsidR="000A4DC7">
          <w:rPr>
            <w:webHidden/>
          </w:rPr>
        </w:r>
        <w:r w:rsidR="000A4DC7">
          <w:rPr>
            <w:webHidden/>
          </w:rPr>
          <w:fldChar w:fldCharType="separate"/>
        </w:r>
        <w:r w:rsidR="00225EEA">
          <w:rPr>
            <w:webHidden/>
          </w:rPr>
          <w:t>21</w:t>
        </w:r>
        <w:r w:rsidR="000A4DC7">
          <w:rPr>
            <w:webHidden/>
          </w:rPr>
          <w:fldChar w:fldCharType="end"/>
        </w:r>
      </w:hyperlink>
    </w:p>
    <w:p w14:paraId="42FCC59C" w14:textId="0C1BDD55" w:rsidR="000A4DC7" w:rsidRDefault="00EB0EE2">
      <w:pPr>
        <w:pStyle w:val="TOC3"/>
        <w:rPr>
          <w:rFonts w:asciiTheme="minorHAnsi" w:eastAsiaTheme="minorEastAsia" w:hAnsiTheme="minorHAnsi" w:cstheme="minorBidi"/>
          <w:sz w:val="22"/>
          <w:szCs w:val="22"/>
          <w:lang w:eastAsia="en-AU"/>
        </w:rPr>
      </w:pPr>
      <w:hyperlink w:anchor="_Toc86158385" w:history="1">
        <w:r w:rsidR="000A4DC7" w:rsidRPr="001E54CF">
          <w:rPr>
            <w:rStyle w:val="Hyperlink"/>
            <w:bCs/>
            <w14:scene3d>
              <w14:camera w14:prst="orthographicFront"/>
              <w14:lightRig w14:rig="threePt" w14:dir="t">
                <w14:rot w14:lat="0" w14:lon="0" w14:rev="0"/>
              </w14:lightRig>
            </w14:scene3d>
          </w:rPr>
          <w:t>2.2.2</w:t>
        </w:r>
        <w:r w:rsidR="000A4DC7">
          <w:rPr>
            <w:rFonts w:asciiTheme="minorHAnsi" w:eastAsiaTheme="minorEastAsia" w:hAnsiTheme="minorHAnsi" w:cstheme="minorBidi"/>
            <w:sz w:val="22"/>
            <w:szCs w:val="22"/>
            <w:lang w:eastAsia="en-AU"/>
          </w:rPr>
          <w:tab/>
        </w:r>
        <w:r w:rsidR="000A4DC7" w:rsidRPr="001E54CF">
          <w:rPr>
            <w:rStyle w:val="Hyperlink"/>
          </w:rPr>
          <w:t>Averaging</w:t>
        </w:r>
        <w:r w:rsidR="000A4DC7">
          <w:rPr>
            <w:webHidden/>
          </w:rPr>
          <w:tab/>
        </w:r>
        <w:r w:rsidR="000A4DC7">
          <w:rPr>
            <w:webHidden/>
          </w:rPr>
          <w:fldChar w:fldCharType="begin"/>
        </w:r>
        <w:r w:rsidR="000A4DC7">
          <w:rPr>
            <w:webHidden/>
          </w:rPr>
          <w:instrText xml:space="preserve"> PAGEREF _Toc86158385 \h </w:instrText>
        </w:r>
        <w:r w:rsidR="000A4DC7">
          <w:rPr>
            <w:webHidden/>
          </w:rPr>
        </w:r>
        <w:r w:rsidR="000A4DC7">
          <w:rPr>
            <w:webHidden/>
          </w:rPr>
          <w:fldChar w:fldCharType="separate"/>
        </w:r>
        <w:r w:rsidR="00225EEA">
          <w:rPr>
            <w:webHidden/>
          </w:rPr>
          <w:t>21</w:t>
        </w:r>
        <w:r w:rsidR="000A4DC7">
          <w:rPr>
            <w:webHidden/>
          </w:rPr>
          <w:fldChar w:fldCharType="end"/>
        </w:r>
      </w:hyperlink>
    </w:p>
    <w:p w14:paraId="7635C1B1" w14:textId="32ADF676" w:rsidR="000A4DC7" w:rsidRDefault="00EB0EE2">
      <w:pPr>
        <w:pStyle w:val="TOC3"/>
        <w:rPr>
          <w:rFonts w:asciiTheme="minorHAnsi" w:eastAsiaTheme="minorEastAsia" w:hAnsiTheme="minorHAnsi" w:cstheme="minorBidi"/>
          <w:sz w:val="22"/>
          <w:szCs w:val="22"/>
          <w:lang w:eastAsia="en-AU"/>
        </w:rPr>
      </w:pPr>
      <w:hyperlink w:anchor="_Toc86158386" w:history="1">
        <w:r w:rsidR="000A4DC7" w:rsidRPr="001E54CF">
          <w:rPr>
            <w:rStyle w:val="Hyperlink"/>
            <w:bCs/>
            <w14:scene3d>
              <w14:camera w14:prst="orthographicFront"/>
              <w14:lightRig w14:rig="threePt" w14:dir="t">
                <w14:rot w14:lat="0" w14:lon="0" w14:rev="0"/>
              </w14:lightRig>
            </w14:scene3d>
          </w:rPr>
          <w:t>2.2.3</w:t>
        </w:r>
        <w:r w:rsidR="000A4DC7">
          <w:rPr>
            <w:rFonts w:asciiTheme="minorHAnsi" w:eastAsiaTheme="minorEastAsia" w:hAnsiTheme="minorHAnsi" w:cstheme="minorBidi"/>
            <w:sz w:val="22"/>
            <w:szCs w:val="22"/>
            <w:lang w:eastAsia="en-AU"/>
          </w:rPr>
          <w:tab/>
        </w:r>
        <w:r w:rsidR="000A4DC7" w:rsidRPr="001E54CF">
          <w:rPr>
            <w:rStyle w:val="Hyperlink"/>
          </w:rPr>
          <w:t>Setting average national charges to recover national expenditure</w:t>
        </w:r>
        <w:r w:rsidR="000A4DC7">
          <w:rPr>
            <w:webHidden/>
          </w:rPr>
          <w:tab/>
        </w:r>
        <w:r w:rsidR="000A4DC7">
          <w:rPr>
            <w:webHidden/>
          </w:rPr>
          <w:fldChar w:fldCharType="begin"/>
        </w:r>
        <w:r w:rsidR="000A4DC7">
          <w:rPr>
            <w:webHidden/>
          </w:rPr>
          <w:instrText xml:space="preserve"> PAGEREF _Toc86158386 \h </w:instrText>
        </w:r>
        <w:r w:rsidR="000A4DC7">
          <w:rPr>
            <w:webHidden/>
          </w:rPr>
        </w:r>
        <w:r w:rsidR="000A4DC7">
          <w:rPr>
            <w:webHidden/>
          </w:rPr>
          <w:fldChar w:fldCharType="separate"/>
        </w:r>
        <w:r w:rsidR="00225EEA">
          <w:rPr>
            <w:webHidden/>
          </w:rPr>
          <w:t>22</w:t>
        </w:r>
        <w:r w:rsidR="000A4DC7">
          <w:rPr>
            <w:webHidden/>
          </w:rPr>
          <w:fldChar w:fldCharType="end"/>
        </w:r>
      </w:hyperlink>
    </w:p>
    <w:p w14:paraId="0754A335" w14:textId="4089A097" w:rsidR="000A4DC7" w:rsidRDefault="00EB0EE2">
      <w:pPr>
        <w:pStyle w:val="TOC3"/>
        <w:rPr>
          <w:rFonts w:asciiTheme="minorHAnsi" w:eastAsiaTheme="minorEastAsia" w:hAnsiTheme="minorHAnsi" w:cstheme="minorBidi"/>
          <w:sz w:val="22"/>
          <w:szCs w:val="22"/>
          <w:lang w:eastAsia="en-AU"/>
        </w:rPr>
      </w:pPr>
      <w:hyperlink w:anchor="_Toc86158387" w:history="1">
        <w:r w:rsidR="000A4DC7" w:rsidRPr="001E54CF">
          <w:rPr>
            <w:rStyle w:val="Hyperlink"/>
            <w:bCs/>
            <w14:scene3d>
              <w14:camera w14:prst="orthographicFront"/>
              <w14:lightRig w14:rig="threePt" w14:dir="t">
                <w14:rot w14:lat="0" w14:lon="0" w14:rev="0"/>
              </w14:lightRig>
            </w14:scene3d>
          </w:rPr>
          <w:t>2.2.4</w:t>
        </w:r>
        <w:r w:rsidR="000A4DC7">
          <w:rPr>
            <w:rFonts w:asciiTheme="minorHAnsi" w:eastAsiaTheme="minorEastAsia" w:hAnsiTheme="minorHAnsi" w:cstheme="minorBidi"/>
            <w:sz w:val="22"/>
            <w:szCs w:val="22"/>
            <w:lang w:eastAsia="en-AU"/>
          </w:rPr>
          <w:tab/>
        </w:r>
        <w:r w:rsidR="000A4DC7" w:rsidRPr="001E54CF">
          <w:rPr>
            <w:rStyle w:val="Hyperlink"/>
          </w:rPr>
          <w:t>Charges apply nationally on all road types</w:t>
        </w:r>
        <w:r w:rsidR="000A4DC7">
          <w:rPr>
            <w:webHidden/>
          </w:rPr>
          <w:tab/>
        </w:r>
        <w:r w:rsidR="000A4DC7">
          <w:rPr>
            <w:webHidden/>
          </w:rPr>
          <w:fldChar w:fldCharType="begin"/>
        </w:r>
        <w:r w:rsidR="000A4DC7">
          <w:rPr>
            <w:webHidden/>
          </w:rPr>
          <w:instrText xml:space="preserve"> PAGEREF _Toc86158387 \h </w:instrText>
        </w:r>
        <w:r w:rsidR="000A4DC7">
          <w:rPr>
            <w:webHidden/>
          </w:rPr>
        </w:r>
        <w:r w:rsidR="000A4DC7">
          <w:rPr>
            <w:webHidden/>
          </w:rPr>
          <w:fldChar w:fldCharType="separate"/>
        </w:r>
        <w:r w:rsidR="00225EEA">
          <w:rPr>
            <w:webHidden/>
          </w:rPr>
          <w:t>22</w:t>
        </w:r>
        <w:r w:rsidR="000A4DC7">
          <w:rPr>
            <w:webHidden/>
          </w:rPr>
          <w:fldChar w:fldCharType="end"/>
        </w:r>
      </w:hyperlink>
    </w:p>
    <w:p w14:paraId="5505DE20" w14:textId="6213534F" w:rsidR="000A4DC7" w:rsidRDefault="00EB0EE2">
      <w:pPr>
        <w:pStyle w:val="TOC3"/>
        <w:rPr>
          <w:rFonts w:asciiTheme="minorHAnsi" w:eastAsiaTheme="minorEastAsia" w:hAnsiTheme="minorHAnsi" w:cstheme="minorBidi"/>
          <w:sz w:val="22"/>
          <w:szCs w:val="22"/>
          <w:lang w:eastAsia="en-AU"/>
        </w:rPr>
      </w:pPr>
      <w:hyperlink w:anchor="_Toc86158388" w:history="1">
        <w:r w:rsidR="000A4DC7" w:rsidRPr="001E54CF">
          <w:rPr>
            <w:rStyle w:val="Hyperlink"/>
            <w:bCs/>
            <w14:scene3d>
              <w14:camera w14:prst="orthographicFront"/>
              <w14:lightRig w14:rig="threePt" w14:dir="t">
                <w14:rot w14:lat="0" w14:lon="0" w14:rev="0"/>
              </w14:lightRig>
            </w14:scene3d>
          </w:rPr>
          <w:t>2.2.5</w:t>
        </w:r>
        <w:r w:rsidR="000A4DC7">
          <w:rPr>
            <w:rFonts w:asciiTheme="minorHAnsi" w:eastAsiaTheme="minorEastAsia" w:hAnsiTheme="minorHAnsi" w:cstheme="minorBidi"/>
            <w:sz w:val="22"/>
            <w:szCs w:val="22"/>
            <w:lang w:eastAsia="en-AU"/>
          </w:rPr>
          <w:tab/>
        </w:r>
        <w:r w:rsidR="000A4DC7" w:rsidRPr="001E54CF">
          <w:rPr>
            <w:rStyle w:val="Hyperlink"/>
          </w:rPr>
          <w:t>Limited number of pricing instruments</w:t>
        </w:r>
        <w:r w:rsidR="000A4DC7">
          <w:rPr>
            <w:webHidden/>
          </w:rPr>
          <w:tab/>
        </w:r>
        <w:r w:rsidR="000A4DC7">
          <w:rPr>
            <w:webHidden/>
          </w:rPr>
          <w:fldChar w:fldCharType="begin"/>
        </w:r>
        <w:r w:rsidR="000A4DC7">
          <w:rPr>
            <w:webHidden/>
          </w:rPr>
          <w:instrText xml:space="preserve"> PAGEREF _Toc86158388 \h </w:instrText>
        </w:r>
        <w:r w:rsidR="000A4DC7">
          <w:rPr>
            <w:webHidden/>
          </w:rPr>
        </w:r>
        <w:r w:rsidR="000A4DC7">
          <w:rPr>
            <w:webHidden/>
          </w:rPr>
          <w:fldChar w:fldCharType="separate"/>
        </w:r>
        <w:r w:rsidR="00225EEA">
          <w:rPr>
            <w:webHidden/>
          </w:rPr>
          <w:t>22</w:t>
        </w:r>
        <w:r w:rsidR="000A4DC7">
          <w:rPr>
            <w:webHidden/>
          </w:rPr>
          <w:fldChar w:fldCharType="end"/>
        </w:r>
      </w:hyperlink>
    </w:p>
    <w:p w14:paraId="5D276277" w14:textId="5252FC48" w:rsidR="000A4DC7" w:rsidRDefault="00EB0EE2">
      <w:pPr>
        <w:pStyle w:val="TOC3"/>
        <w:rPr>
          <w:rFonts w:asciiTheme="minorHAnsi" w:eastAsiaTheme="minorEastAsia" w:hAnsiTheme="minorHAnsi" w:cstheme="minorBidi"/>
          <w:sz w:val="22"/>
          <w:szCs w:val="22"/>
          <w:lang w:eastAsia="en-AU"/>
        </w:rPr>
      </w:pPr>
      <w:hyperlink w:anchor="_Toc86158389" w:history="1">
        <w:r w:rsidR="000A4DC7" w:rsidRPr="001E54CF">
          <w:rPr>
            <w:rStyle w:val="Hyperlink"/>
            <w:bCs/>
            <w14:scene3d>
              <w14:camera w14:prst="orthographicFront"/>
              <w14:lightRig w14:rig="threePt" w14:dir="t">
                <w14:rot w14:lat="0" w14:lon="0" w14:rev="0"/>
              </w14:lightRig>
            </w14:scene3d>
          </w:rPr>
          <w:t>2.2.6</w:t>
        </w:r>
        <w:r w:rsidR="000A4DC7">
          <w:rPr>
            <w:rFonts w:asciiTheme="minorHAnsi" w:eastAsiaTheme="minorEastAsia" w:hAnsiTheme="minorHAnsi" w:cstheme="minorBidi"/>
            <w:sz w:val="22"/>
            <w:szCs w:val="22"/>
            <w:lang w:eastAsia="en-AU"/>
          </w:rPr>
          <w:tab/>
        </w:r>
        <w:r w:rsidR="000A4DC7" w:rsidRPr="001E54CF">
          <w:rPr>
            <w:rStyle w:val="Hyperlink"/>
          </w:rPr>
          <w:t>Input data limitations</w:t>
        </w:r>
        <w:r w:rsidR="000A4DC7">
          <w:rPr>
            <w:webHidden/>
          </w:rPr>
          <w:tab/>
        </w:r>
        <w:r w:rsidR="000A4DC7">
          <w:rPr>
            <w:webHidden/>
          </w:rPr>
          <w:fldChar w:fldCharType="begin"/>
        </w:r>
        <w:r w:rsidR="000A4DC7">
          <w:rPr>
            <w:webHidden/>
          </w:rPr>
          <w:instrText xml:space="preserve"> PAGEREF _Toc86158389 \h </w:instrText>
        </w:r>
        <w:r w:rsidR="000A4DC7">
          <w:rPr>
            <w:webHidden/>
          </w:rPr>
        </w:r>
        <w:r w:rsidR="000A4DC7">
          <w:rPr>
            <w:webHidden/>
          </w:rPr>
          <w:fldChar w:fldCharType="separate"/>
        </w:r>
        <w:r w:rsidR="00225EEA">
          <w:rPr>
            <w:webHidden/>
          </w:rPr>
          <w:t>23</w:t>
        </w:r>
        <w:r w:rsidR="000A4DC7">
          <w:rPr>
            <w:webHidden/>
          </w:rPr>
          <w:fldChar w:fldCharType="end"/>
        </w:r>
      </w:hyperlink>
    </w:p>
    <w:p w14:paraId="4AF95E33" w14:textId="63D83125" w:rsidR="000A4DC7" w:rsidRDefault="00EB0EE2">
      <w:pPr>
        <w:pStyle w:val="TOC3"/>
        <w:rPr>
          <w:rFonts w:asciiTheme="minorHAnsi" w:eastAsiaTheme="minorEastAsia" w:hAnsiTheme="minorHAnsi" w:cstheme="minorBidi"/>
          <w:sz w:val="22"/>
          <w:szCs w:val="22"/>
          <w:lang w:eastAsia="en-AU"/>
        </w:rPr>
      </w:pPr>
      <w:hyperlink w:anchor="_Toc86158390" w:history="1">
        <w:r w:rsidR="000A4DC7" w:rsidRPr="001E54CF">
          <w:rPr>
            <w:rStyle w:val="Hyperlink"/>
            <w:bCs/>
            <w14:scene3d>
              <w14:camera w14:prst="orthographicFront"/>
              <w14:lightRig w14:rig="threePt" w14:dir="t">
                <w14:rot w14:lat="0" w14:lon="0" w14:rev="0"/>
              </w14:lightRig>
            </w14:scene3d>
          </w:rPr>
          <w:t>2.2.7</w:t>
        </w:r>
        <w:r w:rsidR="000A4DC7">
          <w:rPr>
            <w:rFonts w:asciiTheme="minorHAnsi" w:eastAsiaTheme="minorEastAsia" w:hAnsiTheme="minorHAnsi" w:cstheme="minorBidi"/>
            <w:sz w:val="22"/>
            <w:szCs w:val="22"/>
            <w:lang w:eastAsia="en-AU"/>
          </w:rPr>
          <w:tab/>
        </w:r>
        <w:r w:rsidR="000A4DC7" w:rsidRPr="001E54CF">
          <w:rPr>
            <w:rStyle w:val="Hyperlink"/>
          </w:rPr>
          <w:t>Non-deterministic charge setting framework</w:t>
        </w:r>
        <w:r w:rsidR="000A4DC7">
          <w:rPr>
            <w:webHidden/>
          </w:rPr>
          <w:tab/>
        </w:r>
        <w:r w:rsidR="000A4DC7">
          <w:rPr>
            <w:webHidden/>
          </w:rPr>
          <w:fldChar w:fldCharType="begin"/>
        </w:r>
        <w:r w:rsidR="000A4DC7">
          <w:rPr>
            <w:webHidden/>
          </w:rPr>
          <w:instrText xml:space="preserve"> PAGEREF _Toc86158390 \h </w:instrText>
        </w:r>
        <w:r w:rsidR="000A4DC7">
          <w:rPr>
            <w:webHidden/>
          </w:rPr>
        </w:r>
        <w:r w:rsidR="000A4DC7">
          <w:rPr>
            <w:webHidden/>
          </w:rPr>
          <w:fldChar w:fldCharType="separate"/>
        </w:r>
        <w:r w:rsidR="00225EEA">
          <w:rPr>
            <w:webHidden/>
          </w:rPr>
          <w:t>23</w:t>
        </w:r>
        <w:r w:rsidR="000A4DC7">
          <w:rPr>
            <w:webHidden/>
          </w:rPr>
          <w:fldChar w:fldCharType="end"/>
        </w:r>
      </w:hyperlink>
    </w:p>
    <w:p w14:paraId="5B9FA4BD" w14:textId="414185AF" w:rsidR="000A4DC7" w:rsidRDefault="00EB0EE2">
      <w:pPr>
        <w:pStyle w:val="TOC3"/>
        <w:rPr>
          <w:rFonts w:asciiTheme="minorHAnsi" w:eastAsiaTheme="minorEastAsia" w:hAnsiTheme="minorHAnsi" w:cstheme="minorBidi"/>
          <w:sz w:val="22"/>
          <w:szCs w:val="22"/>
          <w:lang w:eastAsia="en-AU"/>
        </w:rPr>
      </w:pPr>
      <w:hyperlink w:anchor="_Toc86158391" w:history="1">
        <w:r w:rsidR="000A4DC7" w:rsidRPr="001E54CF">
          <w:rPr>
            <w:rStyle w:val="Hyperlink"/>
            <w:bCs/>
            <w14:scene3d>
              <w14:camera w14:prst="orthographicFront"/>
              <w14:lightRig w14:rig="threePt" w14:dir="t">
                <w14:rot w14:lat="0" w14:lon="0" w14:rev="0"/>
              </w14:lightRig>
            </w14:scene3d>
          </w:rPr>
          <w:t>2.2.8</w:t>
        </w:r>
        <w:r w:rsidR="000A4DC7">
          <w:rPr>
            <w:rFonts w:asciiTheme="minorHAnsi" w:eastAsiaTheme="minorEastAsia" w:hAnsiTheme="minorHAnsi" w:cstheme="minorBidi"/>
            <w:sz w:val="22"/>
            <w:szCs w:val="22"/>
            <w:lang w:eastAsia="en-AU"/>
          </w:rPr>
          <w:tab/>
        </w:r>
        <w:r w:rsidR="000A4DC7" w:rsidRPr="001E54CF">
          <w:rPr>
            <w:rStyle w:val="Hyperlink"/>
          </w:rPr>
          <w:t>Lag between cost base measurement and implementation of charges</w:t>
        </w:r>
        <w:r w:rsidR="000A4DC7">
          <w:rPr>
            <w:webHidden/>
          </w:rPr>
          <w:tab/>
        </w:r>
        <w:r w:rsidR="000A4DC7">
          <w:rPr>
            <w:webHidden/>
          </w:rPr>
          <w:fldChar w:fldCharType="begin"/>
        </w:r>
        <w:r w:rsidR="000A4DC7">
          <w:rPr>
            <w:webHidden/>
          </w:rPr>
          <w:instrText xml:space="preserve"> PAGEREF _Toc86158391 \h </w:instrText>
        </w:r>
        <w:r w:rsidR="000A4DC7">
          <w:rPr>
            <w:webHidden/>
          </w:rPr>
        </w:r>
        <w:r w:rsidR="000A4DC7">
          <w:rPr>
            <w:webHidden/>
          </w:rPr>
          <w:fldChar w:fldCharType="separate"/>
        </w:r>
        <w:r w:rsidR="00225EEA">
          <w:rPr>
            <w:webHidden/>
          </w:rPr>
          <w:t>23</w:t>
        </w:r>
        <w:r w:rsidR="000A4DC7">
          <w:rPr>
            <w:webHidden/>
          </w:rPr>
          <w:fldChar w:fldCharType="end"/>
        </w:r>
      </w:hyperlink>
    </w:p>
    <w:p w14:paraId="167FDB2D" w14:textId="1A199B53" w:rsidR="000A4DC7" w:rsidRDefault="00EB0EE2">
      <w:pPr>
        <w:pStyle w:val="TOC3"/>
        <w:rPr>
          <w:rFonts w:asciiTheme="minorHAnsi" w:eastAsiaTheme="minorEastAsia" w:hAnsiTheme="minorHAnsi" w:cstheme="minorBidi"/>
          <w:sz w:val="22"/>
          <w:szCs w:val="22"/>
          <w:lang w:eastAsia="en-AU"/>
        </w:rPr>
      </w:pPr>
      <w:hyperlink w:anchor="_Toc86158392" w:history="1">
        <w:r w:rsidR="000A4DC7" w:rsidRPr="001E54CF">
          <w:rPr>
            <w:rStyle w:val="Hyperlink"/>
            <w:bCs/>
            <w14:scene3d>
              <w14:camera w14:prst="orthographicFront"/>
              <w14:lightRig w14:rig="threePt" w14:dir="t">
                <w14:rot w14:lat="0" w14:lon="0" w14:rev="0"/>
              </w14:lightRig>
            </w14:scene3d>
          </w:rPr>
          <w:t>2.2.9</w:t>
        </w:r>
        <w:r w:rsidR="000A4DC7">
          <w:rPr>
            <w:rFonts w:asciiTheme="minorHAnsi" w:eastAsiaTheme="minorEastAsia" w:hAnsiTheme="minorHAnsi" w:cstheme="minorBidi"/>
            <w:sz w:val="22"/>
            <w:szCs w:val="22"/>
            <w:lang w:eastAsia="en-AU"/>
          </w:rPr>
          <w:tab/>
        </w:r>
        <w:r w:rsidR="000A4DC7" w:rsidRPr="001E54CF">
          <w:rPr>
            <w:rStyle w:val="Hyperlink"/>
          </w:rPr>
          <w:t>Decoupling of charges from the PAYGO model</w:t>
        </w:r>
        <w:r w:rsidR="000A4DC7">
          <w:rPr>
            <w:webHidden/>
          </w:rPr>
          <w:tab/>
        </w:r>
        <w:r w:rsidR="000A4DC7">
          <w:rPr>
            <w:webHidden/>
          </w:rPr>
          <w:fldChar w:fldCharType="begin"/>
        </w:r>
        <w:r w:rsidR="000A4DC7">
          <w:rPr>
            <w:webHidden/>
          </w:rPr>
          <w:instrText xml:space="preserve"> PAGEREF _Toc86158392 \h </w:instrText>
        </w:r>
        <w:r w:rsidR="000A4DC7">
          <w:rPr>
            <w:webHidden/>
          </w:rPr>
        </w:r>
        <w:r w:rsidR="000A4DC7">
          <w:rPr>
            <w:webHidden/>
          </w:rPr>
          <w:fldChar w:fldCharType="separate"/>
        </w:r>
        <w:r w:rsidR="00225EEA">
          <w:rPr>
            <w:webHidden/>
          </w:rPr>
          <w:t>25</w:t>
        </w:r>
        <w:r w:rsidR="000A4DC7">
          <w:rPr>
            <w:webHidden/>
          </w:rPr>
          <w:fldChar w:fldCharType="end"/>
        </w:r>
      </w:hyperlink>
    </w:p>
    <w:p w14:paraId="42081222" w14:textId="385BA3A9" w:rsidR="000A4DC7" w:rsidRDefault="00EB0EE2">
      <w:pPr>
        <w:pStyle w:val="TOC1"/>
        <w:rPr>
          <w:rFonts w:asciiTheme="minorHAnsi" w:eastAsiaTheme="minorEastAsia" w:hAnsiTheme="minorHAnsi" w:cstheme="minorBidi"/>
          <w:b w:val="0"/>
          <w:szCs w:val="22"/>
          <w:lang w:eastAsia="en-AU"/>
        </w:rPr>
      </w:pPr>
      <w:hyperlink w:anchor="_Toc86158393" w:history="1">
        <w:r w:rsidR="000A4DC7" w:rsidRPr="001E54CF">
          <w:rPr>
            <w:rStyle w:val="Hyperlink"/>
          </w:rPr>
          <w:t>3</w:t>
        </w:r>
        <w:r w:rsidR="000A4DC7">
          <w:rPr>
            <w:rFonts w:asciiTheme="minorHAnsi" w:eastAsiaTheme="minorEastAsia" w:hAnsiTheme="minorHAnsi" w:cstheme="minorBidi"/>
            <w:b w:val="0"/>
            <w:szCs w:val="22"/>
            <w:lang w:eastAsia="en-AU"/>
          </w:rPr>
          <w:tab/>
        </w:r>
        <w:r w:rsidR="000A4DC7" w:rsidRPr="001E54CF">
          <w:rPr>
            <w:rStyle w:val="Hyperlink"/>
          </w:rPr>
          <w:t>Context</w:t>
        </w:r>
        <w:r w:rsidR="000A4DC7">
          <w:rPr>
            <w:webHidden/>
          </w:rPr>
          <w:tab/>
        </w:r>
        <w:r w:rsidR="000A4DC7">
          <w:rPr>
            <w:webHidden/>
          </w:rPr>
          <w:fldChar w:fldCharType="begin"/>
        </w:r>
        <w:r w:rsidR="000A4DC7">
          <w:rPr>
            <w:webHidden/>
          </w:rPr>
          <w:instrText xml:space="preserve"> PAGEREF _Toc86158393 \h </w:instrText>
        </w:r>
        <w:r w:rsidR="000A4DC7">
          <w:rPr>
            <w:webHidden/>
          </w:rPr>
        </w:r>
        <w:r w:rsidR="000A4DC7">
          <w:rPr>
            <w:webHidden/>
          </w:rPr>
          <w:fldChar w:fldCharType="separate"/>
        </w:r>
        <w:r w:rsidR="00225EEA">
          <w:rPr>
            <w:webHidden/>
          </w:rPr>
          <w:t>27</w:t>
        </w:r>
        <w:r w:rsidR="000A4DC7">
          <w:rPr>
            <w:webHidden/>
          </w:rPr>
          <w:fldChar w:fldCharType="end"/>
        </w:r>
      </w:hyperlink>
    </w:p>
    <w:p w14:paraId="4AAC7273" w14:textId="282E14FC" w:rsidR="000A4DC7" w:rsidRDefault="00EB0EE2">
      <w:pPr>
        <w:pStyle w:val="TOC2"/>
        <w:rPr>
          <w:rFonts w:asciiTheme="minorHAnsi" w:eastAsiaTheme="minorEastAsia" w:hAnsiTheme="minorHAnsi" w:cstheme="minorBidi"/>
          <w:sz w:val="22"/>
          <w:szCs w:val="22"/>
          <w:lang w:eastAsia="en-AU"/>
        </w:rPr>
      </w:pPr>
      <w:hyperlink w:anchor="_Toc86158394" w:history="1">
        <w:r w:rsidR="000A4DC7" w:rsidRPr="001E54CF">
          <w:rPr>
            <w:rStyle w:val="Hyperlink"/>
            <w:rFonts w:eastAsia="ArialMT"/>
          </w:rPr>
          <w:t>3.1</w:t>
        </w:r>
        <w:r w:rsidR="000A4DC7">
          <w:rPr>
            <w:rFonts w:asciiTheme="minorHAnsi" w:eastAsiaTheme="minorEastAsia" w:hAnsiTheme="minorHAnsi" w:cstheme="minorBidi"/>
            <w:sz w:val="22"/>
            <w:szCs w:val="22"/>
            <w:lang w:eastAsia="en-AU"/>
          </w:rPr>
          <w:tab/>
        </w:r>
        <w:r w:rsidR="000A4DC7" w:rsidRPr="001E54CF">
          <w:rPr>
            <w:rStyle w:val="Hyperlink"/>
            <w:rFonts w:eastAsia="ArialMT"/>
          </w:rPr>
          <w:t>Economic conditions</w:t>
        </w:r>
        <w:r w:rsidR="000A4DC7">
          <w:rPr>
            <w:webHidden/>
          </w:rPr>
          <w:tab/>
        </w:r>
        <w:r w:rsidR="000A4DC7">
          <w:rPr>
            <w:webHidden/>
          </w:rPr>
          <w:fldChar w:fldCharType="begin"/>
        </w:r>
        <w:r w:rsidR="000A4DC7">
          <w:rPr>
            <w:webHidden/>
          </w:rPr>
          <w:instrText xml:space="preserve"> PAGEREF _Toc86158394 \h </w:instrText>
        </w:r>
        <w:r w:rsidR="000A4DC7">
          <w:rPr>
            <w:webHidden/>
          </w:rPr>
        </w:r>
        <w:r w:rsidR="000A4DC7">
          <w:rPr>
            <w:webHidden/>
          </w:rPr>
          <w:fldChar w:fldCharType="separate"/>
        </w:r>
        <w:r w:rsidR="00225EEA">
          <w:rPr>
            <w:webHidden/>
          </w:rPr>
          <w:t>27</w:t>
        </w:r>
        <w:r w:rsidR="000A4DC7">
          <w:rPr>
            <w:webHidden/>
          </w:rPr>
          <w:fldChar w:fldCharType="end"/>
        </w:r>
      </w:hyperlink>
    </w:p>
    <w:p w14:paraId="54AF8649" w14:textId="7C7F277A" w:rsidR="000A4DC7" w:rsidRDefault="00EB0EE2">
      <w:pPr>
        <w:pStyle w:val="TOC2"/>
        <w:rPr>
          <w:rFonts w:asciiTheme="minorHAnsi" w:eastAsiaTheme="minorEastAsia" w:hAnsiTheme="minorHAnsi" w:cstheme="minorBidi"/>
          <w:sz w:val="22"/>
          <w:szCs w:val="22"/>
          <w:lang w:eastAsia="en-AU"/>
        </w:rPr>
      </w:pPr>
      <w:hyperlink w:anchor="_Toc86158395" w:history="1">
        <w:r w:rsidR="000A4DC7" w:rsidRPr="001E54CF">
          <w:rPr>
            <w:rStyle w:val="Hyperlink"/>
            <w:rFonts w:eastAsia="ArialMT"/>
          </w:rPr>
          <w:t>3.2</w:t>
        </w:r>
        <w:r w:rsidR="000A4DC7">
          <w:rPr>
            <w:rFonts w:asciiTheme="minorHAnsi" w:eastAsiaTheme="minorEastAsia" w:hAnsiTheme="minorHAnsi" w:cstheme="minorBidi"/>
            <w:sz w:val="22"/>
            <w:szCs w:val="22"/>
            <w:lang w:eastAsia="en-AU"/>
          </w:rPr>
          <w:tab/>
        </w:r>
        <w:r w:rsidR="000A4DC7" w:rsidRPr="001E54CF">
          <w:rPr>
            <w:rStyle w:val="Hyperlink"/>
            <w:rFonts w:eastAsia="ArialMT"/>
          </w:rPr>
          <w:t>Government finances and infrastructure expenditure</w:t>
        </w:r>
        <w:r w:rsidR="000A4DC7">
          <w:rPr>
            <w:webHidden/>
          </w:rPr>
          <w:tab/>
        </w:r>
        <w:r w:rsidR="000A4DC7">
          <w:rPr>
            <w:webHidden/>
          </w:rPr>
          <w:fldChar w:fldCharType="begin"/>
        </w:r>
        <w:r w:rsidR="000A4DC7">
          <w:rPr>
            <w:webHidden/>
          </w:rPr>
          <w:instrText xml:space="preserve"> PAGEREF _Toc86158395 \h </w:instrText>
        </w:r>
        <w:r w:rsidR="000A4DC7">
          <w:rPr>
            <w:webHidden/>
          </w:rPr>
        </w:r>
        <w:r w:rsidR="000A4DC7">
          <w:rPr>
            <w:webHidden/>
          </w:rPr>
          <w:fldChar w:fldCharType="separate"/>
        </w:r>
        <w:r w:rsidR="00225EEA">
          <w:rPr>
            <w:webHidden/>
          </w:rPr>
          <w:t>27</w:t>
        </w:r>
        <w:r w:rsidR="000A4DC7">
          <w:rPr>
            <w:webHidden/>
          </w:rPr>
          <w:fldChar w:fldCharType="end"/>
        </w:r>
      </w:hyperlink>
    </w:p>
    <w:p w14:paraId="6CBF768F" w14:textId="54D41626" w:rsidR="000A4DC7" w:rsidRDefault="00EB0EE2">
      <w:pPr>
        <w:pStyle w:val="TOC2"/>
        <w:rPr>
          <w:rFonts w:asciiTheme="minorHAnsi" w:eastAsiaTheme="minorEastAsia" w:hAnsiTheme="minorHAnsi" w:cstheme="minorBidi"/>
          <w:sz w:val="22"/>
          <w:szCs w:val="22"/>
          <w:lang w:eastAsia="en-AU"/>
        </w:rPr>
      </w:pPr>
      <w:hyperlink w:anchor="_Toc86158396" w:history="1">
        <w:r w:rsidR="000A4DC7" w:rsidRPr="001E54CF">
          <w:rPr>
            <w:rStyle w:val="Hyperlink"/>
            <w:rFonts w:eastAsia="ArialMT"/>
          </w:rPr>
          <w:t>3.3</w:t>
        </w:r>
        <w:r w:rsidR="000A4DC7">
          <w:rPr>
            <w:rFonts w:asciiTheme="minorHAnsi" w:eastAsiaTheme="minorEastAsia" w:hAnsiTheme="minorHAnsi" w:cstheme="minorBidi"/>
            <w:sz w:val="22"/>
            <w:szCs w:val="22"/>
            <w:lang w:eastAsia="en-AU"/>
          </w:rPr>
          <w:tab/>
        </w:r>
        <w:r w:rsidR="000A4DC7" w:rsidRPr="001E54CF">
          <w:rPr>
            <w:rStyle w:val="Hyperlink"/>
            <w:rFonts w:eastAsia="ArialMT"/>
          </w:rPr>
          <w:t>Heavy Vehicle Road Reform project</w:t>
        </w:r>
        <w:r w:rsidR="000A4DC7">
          <w:rPr>
            <w:webHidden/>
          </w:rPr>
          <w:tab/>
        </w:r>
        <w:r w:rsidR="000A4DC7">
          <w:rPr>
            <w:webHidden/>
          </w:rPr>
          <w:fldChar w:fldCharType="begin"/>
        </w:r>
        <w:r w:rsidR="000A4DC7">
          <w:rPr>
            <w:webHidden/>
          </w:rPr>
          <w:instrText xml:space="preserve"> PAGEREF _Toc86158396 \h </w:instrText>
        </w:r>
        <w:r w:rsidR="000A4DC7">
          <w:rPr>
            <w:webHidden/>
          </w:rPr>
        </w:r>
        <w:r w:rsidR="000A4DC7">
          <w:rPr>
            <w:webHidden/>
          </w:rPr>
          <w:fldChar w:fldCharType="separate"/>
        </w:r>
        <w:r w:rsidR="00225EEA">
          <w:rPr>
            <w:webHidden/>
          </w:rPr>
          <w:t>28</w:t>
        </w:r>
        <w:r w:rsidR="000A4DC7">
          <w:rPr>
            <w:webHidden/>
          </w:rPr>
          <w:fldChar w:fldCharType="end"/>
        </w:r>
      </w:hyperlink>
    </w:p>
    <w:p w14:paraId="08343634" w14:textId="4952FB9B" w:rsidR="000A4DC7" w:rsidRDefault="00EB0EE2">
      <w:pPr>
        <w:pStyle w:val="TOC2"/>
        <w:rPr>
          <w:rFonts w:asciiTheme="minorHAnsi" w:eastAsiaTheme="minorEastAsia" w:hAnsiTheme="minorHAnsi" w:cstheme="minorBidi"/>
          <w:sz w:val="22"/>
          <w:szCs w:val="22"/>
          <w:lang w:eastAsia="en-AU"/>
        </w:rPr>
      </w:pPr>
      <w:hyperlink w:anchor="_Toc86158397" w:history="1">
        <w:r w:rsidR="000A4DC7" w:rsidRPr="001E54CF">
          <w:rPr>
            <w:rStyle w:val="Hyperlink"/>
            <w:rFonts w:eastAsia="ArialMT"/>
          </w:rPr>
          <w:t>3.4</w:t>
        </w:r>
        <w:r w:rsidR="000A4DC7">
          <w:rPr>
            <w:rFonts w:asciiTheme="minorHAnsi" w:eastAsiaTheme="minorEastAsia" w:hAnsiTheme="minorHAnsi" w:cstheme="minorBidi"/>
            <w:sz w:val="22"/>
            <w:szCs w:val="22"/>
            <w:lang w:eastAsia="en-AU"/>
          </w:rPr>
          <w:tab/>
        </w:r>
        <w:r w:rsidR="000A4DC7" w:rsidRPr="001E54CF">
          <w:rPr>
            <w:rStyle w:val="Hyperlink"/>
            <w:rFonts w:eastAsia="ArialMT"/>
          </w:rPr>
          <w:t>Heavy vehicle fleet and industry trends</w:t>
        </w:r>
        <w:r w:rsidR="000A4DC7">
          <w:rPr>
            <w:webHidden/>
          </w:rPr>
          <w:tab/>
        </w:r>
        <w:r w:rsidR="000A4DC7">
          <w:rPr>
            <w:webHidden/>
          </w:rPr>
          <w:fldChar w:fldCharType="begin"/>
        </w:r>
        <w:r w:rsidR="000A4DC7">
          <w:rPr>
            <w:webHidden/>
          </w:rPr>
          <w:instrText xml:space="preserve"> PAGEREF _Toc86158397 \h </w:instrText>
        </w:r>
        <w:r w:rsidR="000A4DC7">
          <w:rPr>
            <w:webHidden/>
          </w:rPr>
        </w:r>
        <w:r w:rsidR="000A4DC7">
          <w:rPr>
            <w:webHidden/>
          </w:rPr>
          <w:fldChar w:fldCharType="separate"/>
        </w:r>
        <w:r w:rsidR="00225EEA">
          <w:rPr>
            <w:webHidden/>
          </w:rPr>
          <w:t>29</w:t>
        </w:r>
        <w:r w:rsidR="000A4DC7">
          <w:rPr>
            <w:webHidden/>
          </w:rPr>
          <w:fldChar w:fldCharType="end"/>
        </w:r>
      </w:hyperlink>
    </w:p>
    <w:p w14:paraId="56100BE2" w14:textId="6D4B3296" w:rsidR="000A4DC7" w:rsidRDefault="00EB0EE2">
      <w:pPr>
        <w:pStyle w:val="TOC3"/>
        <w:rPr>
          <w:rFonts w:asciiTheme="minorHAnsi" w:eastAsiaTheme="minorEastAsia" w:hAnsiTheme="minorHAnsi" w:cstheme="minorBidi"/>
          <w:sz w:val="22"/>
          <w:szCs w:val="22"/>
          <w:lang w:eastAsia="en-AU"/>
        </w:rPr>
      </w:pPr>
      <w:hyperlink w:anchor="_Toc86158398" w:history="1">
        <w:r w:rsidR="000A4DC7" w:rsidRPr="001E54CF">
          <w:rPr>
            <w:rStyle w:val="Hyperlink"/>
            <w:bCs/>
            <w14:scene3d>
              <w14:camera w14:prst="orthographicFront"/>
              <w14:lightRig w14:rig="threePt" w14:dir="t">
                <w14:rot w14:lat="0" w14:lon="0" w14:rev="0"/>
              </w14:lightRig>
            </w14:scene3d>
          </w:rPr>
          <w:t>3.4.1</w:t>
        </w:r>
        <w:r w:rsidR="000A4DC7">
          <w:rPr>
            <w:rFonts w:asciiTheme="minorHAnsi" w:eastAsiaTheme="minorEastAsia" w:hAnsiTheme="minorHAnsi" w:cstheme="minorBidi"/>
            <w:sz w:val="22"/>
            <w:szCs w:val="22"/>
            <w:lang w:eastAsia="en-AU"/>
          </w:rPr>
          <w:tab/>
        </w:r>
        <w:r w:rsidR="000A4DC7" w:rsidRPr="001E54CF">
          <w:rPr>
            <w:rStyle w:val="Hyperlink"/>
          </w:rPr>
          <w:t>Operating costs</w:t>
        </w:r>
        <w:r w:rsidR="000A4DC7">
          <w:rPr>
            <w:webHidden/>
          </w:rPr>
          <w:tab/>
        </w:r>
        <w:r w:rsidR="000A4DC7">
          <w:rPr>
            <w:webHidden/>
          </w:rPr>
          <w:fldChar w:fldCharType="begin"/>
        </w:r>
        <w:r w:rsidR="000A4DC7">
          <w:rPr>
            <w:webHidden/>
          </w:rPr>
          <w:instrText xml:space="preserve"> PAGEREF _Toc86158398 \h </w:instrText>
        </w:r>
        <w:r w:rsidR="000A4DC7">
          <w:rPr>
            <w:webHidden/>
          </w:rPr>
        </w:r>
        <w:r w:rsidR="000A4DC7">
          <w:rPr>
            <w:webHidden/>
          </w:rPr>
          <w:fldChar w:fldCharType="separate"/>
        </w:r>
        <w:r w:rsidR="00225EEA">
          <w:rPr>
            <w:webHidden/>
          </w:rPr>
          <w:t>30</w:t>
        </w:r>
        <w:r w:rsidR="000A4DC7">
          <w:rPr>
            <w:webHidden/>
          </w:rPr>
          <w:fldChar w:fldCharType="end"/>
        </w:r>
      </w:hyperlink>
    </w:p>
    <w:p w14:paraId="40A4B046" w14:textId="59DC57DC" w:rsidR="000A4DC7" w:rsidRDefault="00EB0EE2">
      <w:pPr>
        <w:pStyle w:val="TOC1"/>
        <w:rPr>
          <w:rFonts w:asciiTheme="minorHAnsi" w:eastAsiaTheme="minorEastAsia" w:hAnsiTheme="minorHAnsi" w:cstheme="minorBidi"/>
          <w:b w:val="0"/>
          <w:szCs w:val="22"/>
          <w:lang w:eastAsia="en-AU"/>
        </w:rPr>
      </w:pPr>
      <w:hyperlink w:anchor="_Toc86158399" w:history="1">
        <w:r w:rsidR="000A4DC7" w:rsidRPr="001E54CF">
          <w:rPr>
            <w:rStyle w:val="Hyperlink"/>
          </w:rPr>
          <w:t>4</w:t>
        </w:r>
        <w:r w:rsidR="000A4DC7">
          <w:rPr>
            <w:rFonts w:asciiTheme="minorHAnsi" w:eastAsiaTheme="minorEastAsia" w:hAnsiTheme="minorHAnsi" w:cstheme="minorBidi"/>
            <w:b w:val="0"/>
            <w:szCs w:val="22"/>
            <w:lang w:eastAsia="en-AU"/>
          </w:rPr>
          <w:tab/>
        </w:r>
        <w:r w:rsidR="000A4DC7" w:rsidRPr="001E54CF">
          <w:rPr>
            <w:rStyle w:val="Hyperlink"/>
          </w:rPr>
          <w:t>PAYGO model improvements</w:t>
        </w:r>
        <w:r w:rsidR="000A4DC7">
          <w:rPr>
            <w:webHidden/>
          </w:rPr>
          <w:tab/>
        </w:r>
        <w:r w:rsidR="000A4DC7">
          <w:rPr>
            <w:webHidden/>
          </w:rPr>
          <w:fldChar w:fldCharType="begin"/>
        </w:r>
        <w:r w:rsidR="000A4DC7">
          <w:rPr>
            <w:webHidden/>
          </w:rPr>
          <w:instrText xml:space="preserve"> PAGEREF _Toc86158399 \h </w:instrText>
        </w:r>
        <w:r w:rsidR="000A4DC7">
          <w:rPr>
            <w:webHidden/>
          </w:rPr>
        </w:r>
        <w:r w:rsidR="000A4DC7">
          <w:rPr>
            <w:webHidden/>
          </w:rPr>
          <w:fldChar w:fldCharType="separate"/>
        </w:r>
        <w:r w:rsidR="00225EEA">
          <w:rPr>
            <w:webHidden/>
          </w:rPr>
          <w:t>31</w:t>
        </w:r>
        <w:r w:rsidR="000A4DC7">
          <w:rPr>
            <w:webHidden/>
          </w:rPr>
          <w:fldChar w:fldCharType="end"/>
        </w:r>
      </w:hyperlink>
    </w:p>
    <w:p w14:paraId="090B38BC" w14:textId="6D5AAC20" w:rsidR="000A4DC7" w:rsidRDefault="00EB0EE2">
      <w:pPr>
        <w:pStyle w:val="TOC2"/>
        <w:rPr>
          <w:rFonts w:asciiTheme="minorHAnsi" w:eastAsiaTheme="minorEastAsia" w:hAnsiTheme="minorHAnsi" w:cstheme="minorBidi"/>
          <w:sz w:val="22"/>
          <w:szCs w:val="22"/>
          <w:lang w:eastAsia="en-AU"/>
        </w:rPr>
      </w:pPr>
      <w:hyperlink w:anchor="_Toc86158400" w:history="1">
        <w:r w:rsidR="000A4DC7" w:rsidRPr="001E54CF">
          <w:rPr>
            <w:rStyle w:val="Hyperlink"/>
          </w:rPr>
          <w:t>4.1</w:t>
        </w:r>
        <w:r w:rsidR="000A4DC7">
          <w:rPr>
            <w:rFonts w:asciiTheme="minorHAnsi" w:eastAsiaTheme="minorEastAsia" w:hAnsiTheme="minorHAnsi" w:cstheme="minorBidi"/>
            <w:sz w:val="22"/>
            <w:szCs w:val="22"/>
            <w:lang w:eastAsia="en-AU"/>
          </w:rPr>
          <w:tab/>
        </w:r>
        <w:r w:rsidR="000A4DC7" w:rsidRPr="001E54CF">
          <w:rPr>
            <w:rStyle w:val="Hyperlink"/>
          </w:rPr>
          <w:t>Overview</w:t>
        </w:r>
        <w:r w:rsidR="000A4DC7">
          <w:rPr>
            <w:webHidden/>
          </w:rPr>
          <w:tab/>
        </w:r>
        <w:r w:rsidR="000A4DC7">
          <w:rPr>
            <w:webHidden/>
          </w:rPr>
          <w:fldChar w:fldCharType="begin"/>
        </w:r>
        <w:r w:rsidR="000A4DC7">
          <w:rPr>
            <w:webHidden/>
          </w:rPr>
          <w:instrText xml:space="preserve"> PAGEREF _Toc86158400 \h </w:instrText>
        </w:r>
        <w:r w:rsidR="000A4DC7">
          <w:rPr>
            <w:webHidden/>
          </w:rPr>
        </w:r>
        <w:r w:rsidR="000A4DC7">
          <w:rPr>
            <w:webHidden/>
          </w:rPr>
          <w:fldChar w:fldCharType="separate"/>
        </w:r>
        <w:r w:rsidR="00225EEA">
          <w:rPr>
            <w:webHidden/>
          </w:rPr>
          <w:t>31</w:t>
        </w:r>
        <w:r w:rsidR="000A4DC7">
          <w:rPr>
            <w:webHidden/>
          </w:rPr>
          <w:fldChar w:fldCharType="end"/>
        </w:r>
      </w:hyperlink>
    </w:p>
    <w:p w14:paraId="0E8C4CD5" w14:textId="36655C97" w:rsidR="000A4DC7" w:rsidRDefault="00EB0EE2">
      <w:pPr>
        <w:pStyle w:val="TOC2"/>
        <w:rPr>
          <w:rFonts w:asciiTheme="minorHAnsi" w:eastAsiaTheme="minorEastAsia" w:hAnsiTheme="minorHAnsi" w:cstheme="minorBidi"/>
          <w:sz w:val="22"/>
          <w:szCs w:val="22"/>
          <w:lang w:eastAsia="en-AU"/>
        </w:rPr>
      </w:pPr>
      <w:hyperlink w:anchor="_Toc86158401" w:history="1">
        <w:r w:rsidR="000A4DC7" w:rsidRPr="001E54CF">
          <w:rPr>
            <w:rStyle w:val="Hyperlink"/>
          </w:rPr>
          <w:t>4.2</w:t>
        </w:r>
        <w:r w:rsidR="000A4DC7">
          <w:rPr>
            <w:rFonts w:asciiTheme="minorHAnsi" w:eastAsiaTheme="minorEastAsia" w:hAnsiTheme="minorHAnsi" w:cstheme="minorBidi"/>
            <w:sz w:val="22"/>
            <w:szCs w:val="22"/>
            <w:lang w:eastAsia="en-AU"/>
          </w:rPr>
          <w:tab/>
        </w:r>
        <w:r w:rsidR="000A4DC7" w:rsidRPr="001E54CF">
          <w:rPr>
            <w:rStyle w:val="Hyperlink"/>
          </w:rPr>
          <w:t>Trust in expenditure data</w:t>
        </w:r>
        <w:r w:rsidR="000A4DC7">
          <w:rPr>
            <w:webHidden/>
          </w:rPr>
          <w:tab/>
        </w:r>
        <w:r w:rsidR="000A4DC7">
          <w:rPr>
            <w:webHidden/>
          </w:rPr>
          <w:fldChar w:fldCharType="begin"/>
        </w:r>
        <w:r w:rsidR="000A4DC7">
          <w:rPr>
            <w:webHidden/>
          </w:rPr>
          <w:instrText xml:space="preserve"> PAGEREF _Toc86158401 \h </w:instrText>
        </w:r>
        <w:r w:rsidR="000A4DC7">
          <w:rPr>
            <w:webHidden/>
          </w:rPr>
        </w:r>
        <w:r w:rsidR="000A4DC7">
          <w:rPr>
            <w:webHidden/>
          </w:rPr>
          <w:fldChar w:fldCharType="separate"/>
        </w:r>
        <w:r w:rsidR="00225EEA">
          <w:rPr>
            <w:webHidden/>
          </w:rPr>
          <w:t>32</w:t>
        </w:r>
        <w:r w:rsidR="000A4DC7">
          <w:rPr>
            <w:webHidden/>
          </w:rPr>
          <w:fldChar w:fldCharType="end"/>
        </w:r>
      </w:hyperlink>
    </w:p>
    <w:p w14:paraId="376C3443" w14:textId="68ED34BD" w:rsidR="000A4DC7" w:rsidRDefault="00EB0EE2">
      <w:pPr>
        <w:pStyle w:val="TOC3"/>
        <w:rPr>
          <w:rFonts w:asciiTheme="minorHAnsi" w:eastAsiaTheme="minorEastAsia" w:hAnsiTheme="minorHAnsi" w:cstheme="minorBidi"/>
          <w:sz w:val="22"/>
          <w:szCs w:val="22"/>
          <w:lang w:eastAsia="en-AU"/>
        </w:rPr>
      </w:pPr>
      <w:hyperlink w:anchor="_Toc86158402" w:history="1">
        <w:r w:rsidR="000A4DC7" w:rsidRPr="001E54CF">
          <w:rPr>
            <w:rStyle w:val="Hyperlink"/>
            <w:bCs/>
            <w14:scene3d>
              <w14:camera w14:prst="orthographicFront"/>
              <w14:lightRig w14:rig="threePt" w14:dir="t">
                <w14:rot w14:lat="0" w14:lon="0" w14:rev="0"/>
              </w14:lightRig>
            </w14:scene3d>
          </w:rPr>
          <w:t>4.2.1</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_Toc86158402 \h </w:instrText>
        </w:r>
        <w:r w:rsidR="000A4DC7">
          <w:rPr>
            <w:webHidden/>
          </w:rPr>
        </w:r>
        <w:r w:rsidR="000A4DC7">
          <w:rPr>
            <w:webHidden/>
          </w:rPr>
          <w:fldChar w:fldCharType="separate"/>
        </w:r>
        <w:r w:rsidR="00225EEA">
          <w:rPr>
            <w:webHidden/>
          </w:rPr>
          <w:t>32</w:t>
        </w:r>
        <w:r w:rsidR="000A4DC7">
          <w:rPr>
            <w:webHidden/>
          </w:rPr>
          <w:fldChar w:fldCharType="end"/>
        </w:r>
      </w:hyperlink>
    </w:p>
    <w:p w14:paraId="4D1DC09C" w14:textId="68D36FE5" w:rsidR="000A4DC7" w:rsidRDefault="00EB0EE2">
      <w:pPr>
        <w:pStyle w:val="TOC3"/>
        <w:rPr>
          <w:rFonts w:asciiTheme="minorHAnsi" w:eastAsiaTheme="minorEastAsia" w:hAnsiTheme="minorHAnsi" w:cstheme="minorBidi"/>
          <w:sz w:val="22"/>
          <w:szCs w:val="22"/>
          <w:lang w:eastAsia="en-AU"/>
        </w:rPr>
      </w:pPr>
      <w:hyperlink w:anchor="_Toc86158403" w:history="1">
        <w:r w:rsidR="000A4DC7" w:rsidRPr="001E54CF">
          <w:rPr>
            <w:rStyle w:val="Hyperlink"/>
            <w:bCs/>
            <w14:scene3d>
              <w14:camera w14:prst="orthographicFront"/>
              <w14:lightRig w14:rig="threePt" w14:dir="t">
                <w14:rot w14:lat="0" w14:lon="0" w14:rev="0"/>
              </w14:lightRig>
            </w14:scene3d>
          </w:rPr>
          <w:t>4.2.2</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_Toc86158403 \h </w:instrText>
        </w:r>
        <w:r w:rsidR="000A4DC7">
          <w:rPr>
            <w:webHidden/>
          </w:rPr>
        </w:r>
        <w:r w:rsidR="000A4DC7">
          <w:rPr>
            <w:webHidden/>
          </w:rPr>
          <w:fldChar w:fldCharType="separate"/>
        </w:r>
        <w:r w:rsidR="00225EEA">
          <w:rPr>
            <w:webHidden/>
          </w:rPr>
          <w:t>34</w:t>
        </w:r>
        <w:r w:rsidR="000A4DC7">
          <w:rPr>
            <w:webHidden/>
          </w:rPr>
          <w:fldChar w:fldCharType="end"/>
        </w:r>
      </w:hyperlink>
    </w:p>
    <w:p w14:paraId="09730B73" w14:textId="36FD22BF" w:rsidR="000A4DC7" w:rsidRDefault="00EB0EE2">
      <w:pPr>
        <w:pStyle w:val="TOC3"/>
        <w:rPr>
          <w:rFonts w:asciiTheme="minorHAnsi" w:eastAsiaTheme="minorEastAsia" w:hAnsiTheme="minorHAnsi" w:cstheme="minorBidi"/>
          <w:sz w:val="22"/>
          <w:szCs w:val="22"/>
          <w:lang w:eastAsia="en-AU"/>
        </w:rPr>
      </w:pPr>
      <w:hyperlink w:anchor="_Toc86158404" w:history="1">
        <w:r w:rsidR="000A4DC7" w:rsidRPr="001E54CF">
          <w:rPr>
            <w:rStyle w:val="Hyperlink"/>
            <w:bCs/>
            <w14:scene3d>
              <w14:camera w14:prst="orthographicFront"/>
              <w14:lightRig w14:rig="threePt" w14:dir="t">
                <w14:rot w14:lat="0" w14:lon="0" w14:rev="0"/>
              </w14:lightRig>
            </w14:scene3d>
          </w:rPr>
          <w:t>4.2.3</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_Toc86158404 \h </w:instrText>
        </w:r>
        <w:r w:rsidR="000A4DC7">
          <w:rPr>
            <w:webHidden/>
          </w:rPr>
        </w:r>
        <w:r w:rsidR="000A4DC7">
          <w:rPr>
            <w:webHidden/>
          </w:rPr>
          <w:fldChar w:fldCharType="separate"/>
        </w:r>
        <w:r w:rsidR="00225EEA">
          <w:rPr>
            <w:webHidden/>
          </w:rPr>
          <w:t>35</w:t>
        </w:r>
        <w:r w:rsidR="000A4DC7">
          <w:rPr>
            <w:webHidden/>
          </w:rPr>
          <w:fldChar w:fldCharType="end"/>
        </w:r>
      </w:hyperlink>
    </w:p>
    <w:p w14:paraId="1D8AE809" w14:textId="0D667036" w:rsidR="000A4DC7" w:rsidRDefault="00EB0EE2">
      <w:pPr>
        <w:pStyle w:val="TOC2"/>
        <w:rPr>
          <w:rFonts w:asciiTheme="minorHAnsi" w:eastAsiaTheme="minorEastAsia" w:hAnsiTheme="minorHAnsi" w:cstheme="minorBidi"/>
          <w:sz w:val="22"/>
          <w:szCs w:val="22"/>
          <w:lang w:eastAsia="en-AU"/>
        </w:rPr>
      </w:pPr>
      <w:hyperlink w:anchor="_Toc86158405" w:history="1">
        <w:r w:rsidR="000A4DC7" w:rsidRPr="001E54CF">
          <w:rPr>
            <w:rStyle w:val="Hyperlink"/>
          </w:rPr>
          <w:t>4.3</w:t>
        </w:r>
        <w:r w:rsidR="000A4DC7">
          <w:rPr>
            <w:rFonts w:asciiTheme="minorHAnsi" w:eastAsiaTheme="minorEastAsia" w:hAnsiTheme="minorHAnsi" w:cstheme="minorBidi"/>
            <w:sz w:val="22"/>
            <w:szCs w:val="22"/>
            <w:lang w:eastAsia="en-AU"/>
          </w:rPr>
          <w:tab/>
        </w:r>
        <w:r w:rsidR="000A4DC7" w:rsidRPr="001E54CF">
          <w:rPr>
            <w:rStyle w:val="Hyperlink"/>
          </w:rPr>
          <w:t>Expenditure categories</w:t>
        </w:r>
        <w:r w:rsidR="000A4DC7">
          <w:rPr>
            <w:webHidden/>
          </w:rPr>
          <w:tab/>
        </w:r>
        <w:r w:rsidR="000A4DC7">
          <w:rPr>
            <w:webHidden/>
          </w:rPr>
          <w:fldChar w:fldCharType="begin"/>
        </w:r>
        <w:r w:rsidR="000A4DC7">
          <w:rPr>
            <w:webHidden/>
          </w:rPr>
          <w:instrText xml:space="preserve"> PAGEREF _Toc86158405 \h </w:instrText>
        </w:r>
        <w:r w:rsidR="000A4DC7">
          <w:rPr>
            <w:webHidden/>
          </w:rPr>
        </w:r>
        <w:r w:rsidR="000A4DC7">
          <w:rPr>
            <w:webHidden/>
          </w:rPr>
          <w:fldChar w:fldCharType="separate"/>
        </w:r>
        <w:r w:rsidR="00225EEA">
          <w:rPr>
            <w:webHidden/>
          </w:rPr>
          <w:t>35</w:t>
        </w:r>
        <w:r w:rsidR="000A4DC7">
          <w:rPr>
            <w:webHidden/>
          </w:rPr>
          <w:fldChar w:fldCharType="end"/>
        </w:r>
      </w:hyperlink>
    </w:p>
    <w:p w14:paraId="74F47004" w14:textId="3FEF0198" w:rsidR="000A4DC7" w:rsidRDefault="00EB0EE2">
      <w:pPr>
        <w:pStyle w:val="TOC3"/>
        <w:rPr>
          <w:rFonts w:asciiTheme="minorHAnsi" w:eastAsiaTheme="minorEastAsia" w:hAnsiTheme="minorHAnsi" w:cstheme="minorBidi"/>
          <w:sz w:val="22"/>
          <w:szCs w:val="22"/>
          <w:lang w:eastAsia="en-AU"/>
        </w:rPr>
      </w:pPr>
      <w:hyperlink w:anchor="_Toc86158406" w:history="1">
        <w:r w:rsidR="000A4DC7" w:rsidRPr="001E54CF">
          <w:rPr>
            <w:rStyle w:val="Hyperlink"/>
            <w:bCs/>
            <w14:scene3d>
              <w14:camera w14:prst="orthographicFront"/>
              <w14:lightRig w14:rig="threePt" w14:dir="t">
                <w14:rot w14:lat="0" w14:lon="0" w14:rev="0"/>
              </w14:lightRig>
            </w14:scene3d>
          </w:rPr>
          <w:t>4.3.1</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_Toc86158406 \h </w:instrText>
        </w:r>
        <w:r w:rsidR="000A4DC7">
          <w:rPr>
            <w:webHidden/>
          </w:rPr>
        </w:r>
        <w:r w:rsidR="000A4DC7">
          <w:rPr>
            <w:webHidden/>
          </w:rPr>
          <w:fldChar w:fldCharType="separate"/>
        </w:r>
        <w:r w:rsidR="00225EEA">
          <w:rPr>
            <w:webHidden/>
          </w:rPr>
          <w:t>35</w:t>
        </w:r>
        <w:r w:rsidR="000A4DC7">
          <w:rPr>
            <w:webHidden/>
          </w:rPr>
          <w:fldChar w:fldCharType="end"/>
        </w:r>
      </w:hyperlink>
    </w:p>
    <w:p w14:paraId="607A45FB" w14:textId="27930861" w:rsidR="000A4DC7" w:rsidRDefault="00EB0EE2">
      <w:pPr>
        <w:pStyle w:val="TOC3"/>
        <w:rPr>
          <w:rFonts w:asciiTheme="minorHAnsi" w:eastAsiaTheme="minorEastAsia" w:hAnsiTheme="minorHAnsi" w:cstheme="minorBidi"/>
          <w:sz w:val="22"/>
          <w:szCs w:val="22"/>
          <w:lang w:eastAsia="en-AU"/>
        </w:rPr>
      </w:pPr>
      <w:hyperlink w:anchor="_Toc86158407" w:history="1">
        <w:r w:rsidR="000A4DC7" w:rsidRPr="001E54CF">
          <w:rPr>
            <w:rStyle w:val="Hyperlink"/>
            <w:bCs/>
            <w14:scene3d>
              <w14:camera w14:prst="orthographicFront"/>
              <w14:lightRig w14:rig="threePt" w14:dir="t">
                <w14:rot w14:lat="0" w14:lon="0" w14:rev="0"/>
              </w14:lightRig>
            </w14:scene3d>
          </w:rPr>
          <w:t>4.3.2</w:t>
        </w:r>
        <w:r w:rsidR="000A4DC7">
          <w:rPr>
            <w:rFonts w:asciiTheme="minorHAnsi" w:eastAsiaTheme="minorEastAsia" w:hAnsiTheme="minorHAnsi" w:cstheme="minorBidi"/>
            <w:sz w:val="22"/>
            <w:szCs w:val="22"/>
            <w:lang w:eastAsia="en-AU"/>
          </w:rPr>
          <w:tab/>
        </w:r>
        <w:r w:rsidR="000A4DC7" w:rsidRPr="001E54CF">
          <w:rPr>
            <w:rStyle w:val="Hyperlink"/>
          </w:rPr>
          <w:t>Analysis</w:t>
        </w:r>
        <w:r w:rsidR="000A4DC7">
          <w:rPr>
            <w:webHidden/>
          </w:rPr>
          <w:tab/>
        </w:r>
        <w:r w:rsidR="000A4DC7">
          <w:rPr>
            <w:webHidden/>
          </w:rPr>
          <w:fldChar w:fldCharType="begin"/>
        </w:r>
        <w:r w:rsidR="000A4DC7">
          <w:rPr>
            <w:webHidden/>
          </w:rPr>
          <w:instrText xml:space="preserve"> PAGEREF _Toc86158407 \h </w:instrText>
        </w:r>
        <w:r w:rsidR="000A4DC7">
          <w:rPr>
            <w:webHidden/>
          </w:rPr>
        </w:r>
        <w:r w:rsidR="000A4DC7">
          <w:rPr>
            <w:webHidden/>
          </w:rPr>
          <w:fldChar w:fldCharType="separate"/>
        </w:r>
        <w:r w:rsidR="00225EEA">
          <w:rPr>
            <w:webHidden/>
          </w:rPr>
          <w:t>36</w:t>
        </w:r>
        <w:r w:rsidR="000A4DC7">
          <w:rPr>
            <w:webHidden/>
          </w:rPr>
          <w:fldChar w:fldCharType="end"/>
        </w:r>
      </w:hyperlink>
    </w:p>
    <w:p w14:paraId="4DDBAA30" w14:textId="1A92A103" w:rsidR="000A4DC7" w:rsidRDefault="00EB0EE2">
      <w:pPr>
        <w:pStyle w:val="TOC3"/>
        <w:rPr>
          <w:rFonts w:asciiTheme="minorHAnsi" w:eastAsiaTheme="minorEastAsia" w:hAnsiTheme="minorHAnsi" w:cstheme="minorBidi"/>
          <w:sz w:val="22"/>
          <w:szCs w:val="22"/>
          <w:lang w:eastAsia="en-AU"/>
        </w:rPr>
      </w:pPr>
      <w:hyperlink w:anchor="_Toc86158408" w:history="1">
        <w:r w:rsidR="000A4DC7" w:rsidRPr="001E54CF">
          <w:rPr>
            <w:rStyle w:val="Hyperlink"/>
            <w:bCs/>
            <w14:scene3d>
              <w14:camera w14:prst="orthographicFront"/>
              <w14:lightRig w14:rig="threePt" w14:dir="t">
                <w14:rot w14:lat="0" w14:lon="0" w14:rev="0"/>
              </w14:lightRig>
            </w14:scene3d>
          </w:rPr>
          <w:t>4.3.3</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_Toc86158408 \h </w:instrText>
        </w:r>
        <w:r w:rsidR="000A4DC7">
          <w:rPr>
            <w:webHidden/>
          </w:rPr>
        </w:r>
        <w:r w:rsidR="000A4DC7">
          <w:rPr>
            <w:webHidden/>
          </w:rPr>
          <w:fldChar w:fldCharType="separate"/>
        </w:r>
        <w:r w:rsidR="00225EEA">
          <w:rPr>
            <w:webHidden/>
          </w:rPr>
          <w:t>37</w:t>
        </w:r>
        <w:r w:rsidR="000A4DC7">
          <w:rPr>
            <w:webHidden/>
          </w:rPr>
          <w:fldChar w:fldCharType="end"/>
        </w:r>
      </w:hyperlink>
    </w:p>
    <w:p w14:paraId="7F1CE4E0" w14:textId="2081F83A" w:rsidR="000A4DC7" w:rsidRDefault="00EB0EE2">
      <w:pPr>
        <w:pStyle w:val="TOC3"/>
        <w:rPr>
          <w:rFonts w:asciiTheme="minorHAnsi" w:eastAsiaTheme="minorEastAsia" w:hAnsiTheme="minorHAnsi" w:cstheme="minorBidi"/>
          <w:sz w:val="22"/>
          <w:szCs w:val="22"/>
          <w:lang w:eastAsia="en-AU"/>
        </w:rPr>
      </w:pPr>
      <w:hyperlink w:anchor="_Toc86158409" w:history="1">
        <w:r w:rsidR="000A4DC7" w:rsidRPr="001E54CF">
          <w:rPr>
            <w:rStyle w:val="Hyperlink"/>
            <w:bCs/>
            <w14:scene3d>
              <w14:camera w14:prst="orthographicFront"/>
              <w14:lightRig w14:rig="threePt" w14:dir="t">
                <w14:rot w14:lat="0" w14:lon="0" w14:rev="0"/>
              </w14:lightRig>
            </w14:scene3d>
          </w:rPr>
          <w:t>4.3.4</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_Toc86158409 \h </w:instrText>
        </w:r>
        <w:r w:rsidR="000A4DC7">
          <w:rPr>
            <w:webHidden/>
          </w:rPr>
        </w:r>
        <w:r w:rsidR="000A4DC7">
          <w:rPr>
            <w:webHidden/>
          </w:rPr>
          <w:fldChar w:fldCharType="separate"/>
        </w:r>
        <w:r w:rsidR="00225EEA">
          <w:rPr>
            <w:webHidden/>
          </w:rPr>
          <w:t>37</w:t>
        </w:r>
        <w:r w:rsidR="000A4DC7">
          <w:rPr>
            <w:webHidden/>
          </w:rPr>
          <w:fldChar w:fldCharType="end"/>
        </w:r>
      </w:hyperlink>
    </w:p>
    <w:p w14:paraId="128565BB" w14:textId="2532A6DF" w:rsidR="000A4DC7" w:rsidRDefault="00EB0EE2">
      <w:pPr>
        <w:pStyle w:val="TOC2"/>
        <w:rPr>
          <w:rFonts w:asciiTheme="minorHAnsi" w:eastAsiaTheme="minorEastAsia" w:hAnsiTheme="minorHAnsi" w:cstheme="minorBidi"/>
          <w:sz w:val="22"/>
          <w:szCs w:val="22"/>
          <w:lang w:eastAsia="en-AU"/>
        </w:rPr>
      </w:pPr>
      <w:hyperlink w:anchor="_Toc86158410" w:history="1">
        <w:r w:rsidR="000A4DC7" w:rsidRPr="001E54CF">
          <w:rPr>
            <w:rStyle w:val="Hyperlink"/>
          </w:rPr>
          <w:t>4.4</w:t>
        </w:r>
        <w:r w:rsidR="000A4DC7">
          <w:rPr>
            <w:rFonts w:asciiTheme="minorHAnsi" w:eastAsiaTheme="minorEastAsia" w:hAnsiTheme="minorHAnsi" w:cstheme="minorBidi"/>
            <w:sz w:val="22"/>
            <w:szCs w:val="22"/>
            <w:lang w:eastAsia="en-AU"/>
          </w:rPr>
          <w:tab/>
        </w:r>
        <w:r w:rsidR="000A4DC7" w:rsidRPr="001E54CF">
          <w:rPr>
            <w:rStyle w:val="Hyperlink"/>
          </w:rPr>
          <w:t>Treatment of innovative funding and financing methods</w:t>
        </w:r>
        <w:r w:rsidR="000A4DC7">
          <w:rPr>
            <w:webHidden/>
          </w:rPr>
          <w:tab/>
        </w:r>
        <w:r w:rsidR="000A4DC7">
          <w:rPr>
            <w:webHidden/>
          </w:rPr>
          <w:fldChar w:fldCharType="begin"/>
        </w:r>
        <w:r w:rsidR="000A4DC7">
          <w:rPr>
            <w:webHidden/>
          </w:rPr>
          <w:instrText xml:space="preserve"> PAGEREF _Toc86158410 \h </w:instrText>
        </w:r>
        <w:r w:rsidR="000A4DC7">
          <w:rPr>
            <w:webHidden/>
          </w:rPr>
        </w:r>
        <w:r w:rsidR="000A4DC7">
          <w:rPr>
            <w:webHidden/>
          </w:rPr>
          <w:fldChar w:fldCharType="separate"/>
        </w:r>
        <w:r w:rsidR="00225EEA">
          <w:rPr>
            <w:webHidden/>
          </w:rPr>
          <w:t>37</w:t>
        </w:r>
        <w:r w:rsidR="000A4DC7">
          <w:rPr>
            <w:webHidden/>
          </w:rPr>
          <w:fldChar w:fldCharType="end"/>
        </w:r>
      </w:hyperlink>
    </w:p>
    <w:p w14:paraId="229C7042" w14:textId="4AE55832" w:rsidR="000A4DC7" w:rsidRDefault="00EB0EE2">
      <w:pPr>
        <w:pStyle w:val="TOC3"/>
        <w:rPr>
          <w:rFonts w:asciiTheme="minorHAnsi" w:eastAsiaTheme="minorEastAsia" w:hAnsiTheme="minorHAnsi" w:cstheme="minorBidi"/>
          <w:sz w:val="22"/>
          <w:szCs w:val="22"/>
          <w:lang w:eastAsia="en-AU"/>
        </w:rPr>
      </w:pPr>
      <w:hyperlink w:anchor="_Toc86158411" w:history="1">
        <w:r w:rsidR="000A4DC7" w:rsidRPr="001E54CF">
          <w:rPr>
            <w:rStyle w:val="Hyperlink"/>
            <w:bCs/>
            <w14:scene3d>
              <w14:camera w14:prst="orthographicFront"/>
              <w14:lightRig w14:rig="threePt" w14:dir="t">
                <w14:rot w14:lat="0" w14:lon="0" w14:rev="0"/>
              </w14:lightRig>
            </w14:scene3d>
          </w:rPr>
          <w:t>4.4.1</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_Toc86158411 \h </w:instrText>
        </w:r>
        <w:r w:rsidR="000A4DC7">
          <w:rPr>
            <w:webHidden/>
          </w:rPr>
        </w:r>
        <w:r w:rsidR="000A4DC7">
          <w:rPr>
            <w:webHidden/>
          </w:rPr>
          <w:fldChar w:fldCharType="separate"/>
        </w:r>
        <w:r w:rsidR="00225EEA">
          <w:rPr>
            <w:webHidden/>
          </w:rPr>
          <w:t>37</w:t>
        </w:r>
        <w:r w:rsidR="000A4DC7">
          <w:rPr>
            <w:webHidden/>
          </w:rPr>
          <w:fldChar w:fldCharType="end"/>
        </w:r>
      </w:hyperlink>
    </w:p>
    <w:p w14:paraId="668B45BA" w14:textId="40BE6EB0" w:rsidR="000A4DC7" w:rsidRDefault="00EB0EE2">
      <w:pPr>
        <w:pStyle w:val="TOC3"/>
        <w:rPr>
          <w:rFonts w:asciiTheme="minorHAnsi" w:eastAsiaTheme="minorEastAsia" w:hAnsiTheme="minorHAnsi" w:cstheme="minorBidi"/>
          <w:sz w:val="22"/>
          <w:szCs w:val="22"/>
          <w:lang w:eastAsia="en-AU"/>
        </w:rPr>
      </w:pPr>
      <w:hyperlink w:anchor="_Toc86158412" w:history="1">
        <w:r w:rsidR="000A4DC7" w:rsidRPr="001E54CF">
          <w:rPr>
            <w:rStyle w:val="Hyperlink"/>
            <w:bCs/>
            <w14:scene3d>
              <w14:camera w14:prst="orthographicFront"/>
              <w14:lightRig w14:rig="threePt" w14:dir="t">
                <w14:rot w14:lat="0" w14:lon="0" w14:rev="0"/>
              </w14:lightRig>
            </w14:scene3d>
          </w:rPr>
          <w:t>4.4.2</w:t>
        </w:r>
        <w:r w:rsidR="000A4DC7">
          <w:rPr>
            <w:rFonts w:asciiTheme="minorHAnsi" w:eastAsiaTheme="minorEastAsia" w:hAnsiTheme="minorHAnsi" w:cstheme="minorBidi"/>
            <w:sz w:val="22"/>
            <w:szCs w:val="22"/>
            <w:lang w:eastAsia="en-AU"/>
          </w:rPr>
          <w:tab/>
        </w:r>
        <w:r w:rsidR="000A4DC7" w:rsidRPr="001E54CF">
          <w:rPr>
            <w:rStyle w:val="Hyperlink"/>
          </w:rPr>
          <w:t>Issues</w:t>
        </w:r>
        <w:r w:rsidR="000A4DC7">
          <w:rPr>
            <w:webHidden/>
          </w:rPr>
          <w:tab/>
        </w:r>
        <w:r w:rsidR="000A4DC7">
          <w:rPr>
            <w:webHidden/>
          </w:rPr>
          <w:fldChar w:fldCharType="begin"/>
        </w:r>
        <w:r w:rsidR="000A4DC7">
          <w:rPr>
            <w:webHidden/>
          </w:rPr>
          <w:instrText xml:space="preserve"> PAGEREF _Toc86158412 \h </w:instrText>
        </w:r>
        <w:r w:rsidR="000A4DC7">
          <w:rPr>
            <w:webHidden/>
          </w:rPr>
        </w:r>
        <w:r w:rsidR="000A4DC7">
          <w:rPr>
            <w:webHidden/>
          </w:rPr>
          <w:fldChar w:fldCharType="separate"/>
        </w:r>
        <w:r w:rsidR="00225EEA">
          <w:rPr>
            <w:webHidden/>
          </w:rPr>
          <w:t>38</w:t>
        </w:r>
        <w:r w:rsidR="000A4DC7">
          <w:rPr>
            <w:webHidden/>
          </w:rPr>
          <w:fldChar w:fldCharType="end"/>
        </w:r>
      </w:hyperlink>
    </w:p>
    <w:p w14:paraId="07FEE1CA" w14:textId="4938FB5D" w:rsidR="000A4DC7" w:rsidRDefault="00EB0EE2">
      <w:pPr>
        <w:pStyle w:val="TOC3"/>
        <w:rPr>
          <w:rFonts w:asciiTheme="minorHAnsi" w:eastAsiaTheme="minorEastAsia" w:hAnsiTheme="minorHAnsi" w:cstheme="minorBidi"/>
          <w:sz w:val="22"/>
          <w:szCs w:val="22"/>
          <w:lang w:eastAsia="en-AU"/>
        </w:rPr>
      </w:pPr>
      <w:hyperlink w:anchor="_Toc86158413" w:history="1">
        <w:r w:rsidR="000A4DC7" w:rsidRPr="001E54CF">
          <w:rPr>
            <w:rStyle w:val="Hyperlink"/>
            <w:bCs/>
            <w14:scene3d>
              <w14:camera w14:prst="orthographicFront"/>
              <w14:lightRig w14:rig="threePt" w14:dir="t">
                <w14:rot w14:lat="0" w14:lon="0" w14:rev="0"/>
              </w14:lightRig>
            </w14:scene3d>
          </w:rPr>
          <w:t>4.4.3</w:t>
        </w:r>
        <w:r w:rsidR="000A4DC7">
          <w:rPr>
            <w:rFonts w:asciiTheme="minorHAnsi" w:eastAsiaTheme="minorEastAsia" w:hAnsiTheme="minorHAnsi" w:cstheme="minorBidi"/>
            <w:sz w:val="22"/>
            <w:szCs w:val="22"/>
            <w:lang w:eastAsia="en-AU"/>
          </w:rPr>
          <w:tab/>
        </w:r>
        <w:r w:rsidR="000A4DC7" w:rsidRPr="001E54CF">
          <w:rPr>
            <w:rStyle w:val="Hyperlink"/>
          </w:rPr>
          <w:t>Analysis</w:t>
        </w:r>
        <w:r w:rsidR="000A4DC7">
          <w:rPr>
            <w:webHidden/>
          </w:rPr>
          <w:tab/>
        </w:r>
        <w:r w:rsidR="000A4DC7">
          <w:rPr>
            <w:webHidden/>
          </w:rPr>
          <w:fldChar w:fldCharType="begin"/>
        </w:r>
        <w:r w:rsidR="000A4DC7">
          <w:rPr>
            <w:webHidden/>
          </w:rPr>
          <w:instrText xml:space="preserve"> PAGEREF _Toc86158413 \h </w:instrText>
        </w:r>
        <w:r w:rsidR="000A4DC7">
          <w:rPr>
            <w:webHidden/>
          </w:rPr>
        </w:r>
        <w:r w:rsidR="000A4DC7">
          <w:rPr>
            <w:webHidden/>
          </w:rPr>
          <w:fldChar w:fldCharType="separate"/>
        </w:r>
        <w:r w:rsidR="00225EEA">
          <w:rPr>
            <w:webHidden/>
          </w:rPr>
          <w:t>38</w:t>
        </w:r>
        <w:r w:rsidR="000A4DC7">
          <w:rPr>
            <w:webHidden/>
          </w:rPr>
          <w:fldChar w:fldCharType="end"/>
        </w:r>
      </w:hyperlink>
    </w:p>
    <w:p w14:paraId="5828C777" w14:textId="3FB0FB98" w:rsidR="000A4DC7" w:rsidRDefault="00EB0EE2">
      <w:pPr>
        <w:pStyle w:val="TOC3"/>
        <w:rPr>
          <w:rFonts w:asciiTheme="minorHAnsi" w:eastAsiaTheme="minorEastAsia" w:hAnsiTheme="minorHAnsi" w:cstheme="minorBidi"/>
          <w:sz w:val="22"/>
          <w:szCs w:val="22"/>
          <w:lang w:eastAsia="en-AU"/>
        </w:rPr>
      </w:pPr>
      <w:hyperlink w:anchor="_Toc86158414" w:history="1">
        <w:r w:rsidR="000A4DC7" w:rsidRPr="001E54CF">
          <w:rPr>
            <w:rStyle w:val="Hyperlink"/>
            <w:bCs/>
            <w14:scene3d>
              <w14:camera w14:prst="orthographicFront"/>
              <w14:lightRig w14:rig="threePt" w14:dir="t">
                <w14:rot w14:lat="0" w14:lon="0" w14:rev="0"/>
              </w14:lightRig>
            </w14:scene3d>
          </w:rPr>
          <w:t>4.4.4</w:t>
        </w:r>
        <w:r w:rsidR="000A4DC7">
          <w:rPr>
            <w:rFonts w:asciiTheme="minorHAnsi" w:eastAsiaTheme="minorEastAsia" w:hAnsiTheme="minorHAnsi" w:cstheme="minorBidi"/>
            <w:sz w:val="22"/>
            <w:szCs w:val="22"/>
            <w:lang w:eastAsia="en-AU"/>
          </w:rPr>
          <w:tab/>
        </w:r>
        <w:r w:rsidR="000A4DC7" w:rsidRPr="001E54CF">
          <w:rPr>
            <w:rStyle w:val="Hyperlink"/>
          </w:rPr>
          <w:t>Proposed principles for innovative funding and financing</w:t>
        </w:r>
        <w:r w:rsidR="000A4DC7">
          <w:rPr>
            <w:webHidden/>
          </w:rPr>
          <w:tab/>
        </w:r>
        <w:r w:rsidR="000A4DC7">
          <w:rPr>
            <w:webHidden/>
          </w:rPr>
          <w:fldChar w:fldCharType="begin"/>
        </w:r>
        <w:r w:rsidR="000A4DC7">
          <w:rPr>
            <w:webHidden/>
          </w:rPr>
          <w:instrText xml:space="preserve"> PAGEREF _Toc86158414 \h </w:instrText>
        </w:r>
        <w:r w:rsidR="000A4DC7">
          <w:rPr>
            <w:webHidden/>
          </w:rPr>
        </w:r>
        <w:r w:rsidR="000A4DC7">
          <w:rPr>
            <w:webHidden/>
          </w:rPr>
          <w:fldChar w:fldCharType="separate"/>
        </w:r>
        <w:r w:rsidR="00225EEA">
          <w:rPr>
            <w:webHidden/>
          </w:rPr>
          <w:t>39</w:t>
        </w:r>
        <w:r w:rsidR="000A4DC7">
          <w:rPr>
            <w:webHidden/>
          </w:rPr>
          <w:fldChar w:fldCharType="end"/>
        </w:r>
      </w:hyperlink>
    </w:p>
    <w:p w14:paraId="2F790C34" w14:textId="2FC0716B" w:rsidR="000A4DC7" w:rsidRDefault="00EB0EE2">
      <w:pPr>
        <w:pStyle w:val="TOC3"/>
        <w:rPr>
          <w:rFonts w:asciiTheme="minorHAnsi" w:eastAsiaTheme="minorEastAsia" w:hAnsiTheme="minorHAnsi" w:cstheme="minorBidi"/>
          <w:sz w:val="22"/>
          <w:szCs w:val="22"/>
          <w:lang w:eastAsia="en-AU"/>
        </w:rPr>
      </w:pPr>
      <w:hyperlink w:anchor="_Toc86158415" w:history="1">
        <w:r w:rsidR="000A4DC7" w:rsidRPr="001E54CF">
          <w:rPr>
            <w:rStyle w:val="Hyperlink"/>
            <w:bCs/>
            <w14:scene3d>
              <w14:camera w14:prst="orthographicFront"/>
              <w14:lightRig w14:rig="threePt" w14:dir="t">
                <w14:rot w14:lat="0" w14:lon="0" w14:rev="0"/>
              </w14:lightRig>
            </w14:scene3d>
          </w:rPr>
          <w:t>4.4.5</w:t>
        </w:r>
        <w:r w:rsidR="000A4DC7">
          <w:rPr>
            <w:rFonts w:asciiTheme="minorHAnsi" w:eastAsiaTheme="minorEastAsia" w:hAnsiTheme="minorHAnsi" w:cstheme="minorBidi"/>
            <w:sz w:val="22"/>
            <w:szCs w:val="22"/>
            <w:lang w:eastAsia="en-AU"/>
          </w:rPr>
          <w:tab/>
        </w:r>
        <w:r w:rsidR="000A4DC7" w:rsidRPr="001E54CF">
          <w:rPr>
            <w:rStyle w:val="Hyperlink"/>
          </w:rPr>
          <w:t>Potential options for treating innovative funding and financing</w:t>
        </w:r>
        <w:r w:rsidR="000A4DC7">
          <w:rPr>
            <w:webHidden/>
          </w:rPr>
          <w:tab/>
        </w:r>
        <w:r w:rsidR="000A4DC7">
          <w:rPr>
            <w:webHidden/>
          </w:rPr>
          <w:fldChar w:fldCharType="begin"/>
        </w:r>
        <w:r w:rsidR="000A4DC7">
          <w:rPr>
            <w:webHidden/>
          </w:rPr>
          <w:instrText xml:space="preserve"> PAGEREF _Toc86158415 \h </w:instrText>
        </w:r>
        <w:r w:rsidR="000A4DC7">
          <w:rPr>
            <w:webHidden/>
          </w:rPr>
        </w:r>
        <w:r w:rsidR="000A4DC7">
          <w:rPr>
            <w:webHidden/>
          </w:rPr>
          <w:fldChar w:fldCharType="separate"/>
        </w:r>
        <w:r w:rsidR="00225EEA">
          <w:rPr>
            <w:webHidden/>
          </w:rPr>
          <w:t>40</w:t>
        </w:r>
        <w:r w:rsidR="000A4DC7">
          <w:rPr>
            <w:webHidden/>
          </w:rPr>
          <w:fldChar w:fldCharType="end"/>
        </w:r>
      </w:hyperlink>
    </w:p>
    <w:p w14:paraId="51D5F6EA" w14:textId="1BFA8A59" w:rsidR="000A4DC7" w:rsidRDefault="00EB0EE2">
      <w:pPr>
        <w:pStyle w:val="TOC3"/>
        <w:rPr>
          <w:rFonts w:asciiTheme="minorHAnsi" w:eastAsiaTheme="minorEastAsia" w:hAnsiTheme="minorHAnsi" w:cstheme="minorBidi"/>
          <w:sz w:val="22"/>
          <w:szCs w:val="22"/>
          <w:lang w:eastAsia="en-AU"/>
        </w:rPr>
      </w:pPr>
      <w:hyperlink w:anchor="_Toc86158416" w:history="1">
        <w:r w:rsidR="000A4DC7" w:rsidRPr="001E54CF">
          <w:rPr>
            <w:rStyle w:val="Hyperlink"/>
            <w:bCs/>
            <w14:scene3d>
              <w14:camera w14:prst="orthographicFront"/>
              <w14:lightRig w14:rig="threePt" w14:dir="t">
                <w14:rot w14:lat="0" w14:lon="0" w14:rev="0"/>
              </w14:lightRig>
            </w14:scene3d>
          </w:rPr>
          <w:t>4.4.6</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_Toc86158416 \h </w:instrText>
        </w:r>
        <w:r w:rsidR="000A4DC7">
          <w:rPr>
            <w:webHidden/>
          </w:rPr>
        </w:r>
        <w:r w:rsidR="000A4DC7">
          <w:rPr>
            <w:webHidden/>
          </w:rPr>
          <w:fldChar w:fldCharType="separate"/>
        </w:r>
        <w:r w:rsidR="00225EEA">
          <w:rPr>
            <w:webHidden/>
          </w:rPr>
          <w:t>42</w:t>
        </w:r>
        <w:r w:rsidR="000A4DC7">
          <w:rPr>
            <w:webHidden/>
          </w:rPr>
          <w:fldChar w:fldCharType="end"/>
        </w:r>
      </w:hyperlink>
    </w:p>
    <w:p w14:paraId="186E488D" w14:textId="37B4A8AE" w:rsidR="000A4DC7" w:rsidRDefault="00EB0EE2">
      <w:pPr>
        <w:pStyle w:val="TOC3"/>
        <w:rPr>
          <w:rFonts w:asciiTheme="minorHAnsi" w:eastAsiaTheme="minorEastAsia" w:hAnsiTheme="minorHAnsi" w:cstheme="minorBidi"/>
          <w:sz w:val="22"/>
          <w:szCs w:val="22"/>
          <w:lang w:eastAsia="en-AU"/>
        </w:rPr>
      </w:pPr>
      <w:hyperlink w:anchor="_Toc86158417" w:history="1">
        <w:r w:rsidR="000A4DC7" w:rsidRPr="001E54CF">
          <w:rPr>
            <w:rStyle w:val="Hyperlink"/>
            <w:bCs/>
            <w14:scene3d>
              <w14:camera w14:prst="orthographicFront"/>
              <w14:lightRig w14:rig="threePt" w14:dir="t">
                <w14:rot w14:lat="0" w14:lon="0" w14:rev="0"/>
              </w14:lightRig>
            </w14:scene3d>
          </w:rPr>
          <w:t>4.4.7</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_Toc86158417 \h </w:instrText>
        </w:r>
        <w:r w:rsidR="000A4DC7">
          <w:rPr>
            <w:webHidden/>
          </w:rPr>
        </w:r>
        <w:r w:rsidR="000A4DC7">
          <w:rPr>
            <w:webHidden/>
          </w:rPr>
          <w:fldChar w:fldCharType="separate"/>
        </w:r>
        <w:r w:rsidR="00225EEA">
          <w:rPr>
            <w:webHidden/>
          </w:rPr>
          <w:t>42</w:t>
        </w:r>
        <w:r w:rsidR="000A4DC7">
          <w:rPr>
            <w:webHidden/>
          </w:rPr>
          <w:fldChar w:fldCharType="end"/>
        </w:r>
      </w:hyperlink>
    </w:p>
    <w:p w14:paraId="59E1FF05" w14:textId="346EC354" w:rsidR="000A4DC7" w:rsidRDefault="00EB0EE2">
      <w:pPr>
        <w:pStyle w:val="TOC2"/>
        <w:rPr>
          <w:rFonts w:asciiTheme="minorHAnsi" w:eastAsiaTheme="minorEastAsia" w:hAnsiTheme="minorHAnsi" w:cstheme="minorBidi"/>
          <w:sz w:val="22"/>
          <w:szCs w:val="22"/>
          <w:lang w:eastAsia="en-AU"/>
        </w:rPr>
      </w:pPr>
      <w:hyperlink w:anchor="_Toc86158418" w:history="1">
        <w:r w:rsidR="000A4DC7" w:rsidRPr="001E54CF">
          <w:rPr>
            <w:rStyle w:val="Hyperlink"/>
          </w:rPr>
          <w:t>4.5</w:t>
        </w:r>
        <w:r w:rsidR="000A4DC7">
          <w:rPr>
            <w:rFonts w:asciiTheme="minorHAnsi" w:eastAsiaTheme="minorEastAsia" w:hAnsiTheme="minorHAnsi" w:cstheme="minorBidi"/>
            <w:sz w:val="22"/>
            <w:szCs w:val="22"/>
            <w:lang w:eastAsia="en-AU"/>
          </w:rPr>
          <w:tab/>
        </w:r>
        <w:r w:rsidR="000A4DC7" w:rsidRPr="001E54CF">
          <w:rPr>
            <w:rStyle w:val="Hyperlink"/>
          </w:rPr>
          <w:t>Usage data</w:t>
        </w:r>
        <w:r w:rsidR="000A4DC7">
          <w:rPr>
            <w:webHidden/>
          </w:rPr>
          <w:tab/>
        </w:r>
        <w:r w:rsidR="000A4DC7">
          <w:rPr>
            <w:webHidden/>
          </w:rPr>
          <w:fldChar w:fldCharType="begin"/>
        </w:r>
        <w:r w:rsidR="000A4DC7">
          <w:rPr>
            <w:webHidden/>
          </w:rPr>
          <w:instrText xml:space="preserve"> PAGEREF _Toc86158418 \h </w:instrText>
        </w:r>
        <w:r w:rsidR="000A4DC7">
          <w:rPr>
            <w:webHidden/>
          </w:rPr>
        </w:r>
        <w:r w:rsidR="000A4DC7">
          <w:rPr>
            <w:webHidden/>
          </w:rPr>
          <w:fldChar w:fldCharType="separate"/>
        </w:r>
        <w:r w:rsidR="00225EEA">
          <w:rPr>
            <w:webHidden/>
          </w:rPr>
          <w:t>43</w:t>
        </w:r>
        <w:r w:rsidR="000A4DC7">
          <w:rPr>
            <w:webHidden/>
          </w:rPr>
          <w:fldChar w:fldCharType="end"/>
        </w:r>
      </w:hyperlink>
    </w:p>
    <w:p w14:paraId="4E014CB1" w14:textId="23B3301A" w:rsidR="000A4DC7" w:rsidRDefault="00EB0EE2">
      <w:pPr>
        <w:pStyle w:val="TOC3"/>
        <w:rPr>
          <w:rFonts w:asciiTheme="minorHAnsi" w:eastAsiaTheme="minorEastAsia" w:hAnsiTheme="minorHAnsi" w:cstheme="minorBidi"/>
          <w:sz w:val="22"/>
          <w:szCs w:val="22"/>
          <w:lang w:eastAsia="en-AU"/>
        </w:rPr>
      </w:pPr>
      <w:hyperlink w:anchor="_Toc86158419" w:history="1">
        <w:r w:rsidR="000A4DC7" w:rsidRPr="001E54CF">
          <w:rPr>
            <w:rStyle w:val="Hyperlink"/>
            <w:bCs/>
            <w14:scene3d>
              <w14:camera w14:prst="orthographicFront"/>
              <w14:lightRig w14:rig="threePt" w14:dir="t">
                <w14:rot w14:lat="0" w14:lon="0" w14:rev="0"/>
              </w14:lightRig>
            </w14:scene3d>
          </w:rPr>
          <w:t>4.5.1</w:t>
        </w:r>
        <w:r w:rsidR="000A4DC7">
          <w:rPr>
            <w:rFonts w:asciiTheme="minorHAnsi" w:eastAsiaTheme="minorEastAsia" w:hAnsiTheme="minorHAnsi" w:cstheme="minorBidi"/>
            <w:sz w:val="22"/>
            <w:szCs w:val="22"/>
            <w:lang w:eastAsia="en-AU"/>
          </w:rPr>
          <w:tab/>
        </w:r>
        <w:r w:rsidR="000A4DC7" w:rsidRPr="001E54CF">
          <w:rPr>
            <w:rStyle w:val="Hyperlink"/>
          </w:rPr>
          <w:t>Issues</w:t>
        </w:r>
        <w:r w:rsidR="000A4DC7">
          <w:rPr>
            <w:webHidden/>
          </w:rPr>
          <w:tab/>
        </w:r>
        <w:r w:rsidR="000A4DC7">
          <w:rPr>
            <w:webHidden/>
          </w:rPr>
          <w:fldChar w:fldCharType="begin"/>
        </w:r>
        <w:r w:rsidR="000A4DC7">
          <w:rPr>
            <w:webHidden/>
          </w:rPr>
          <w:instrText xml:space="preserve"> PAGEREF _Toc86158419 \h </w:instrText>
        </w:r>
        <w:r w:rsidR="000A4DC7">
          <w:rPr>
            <w:webHidden/>
          </w:rPr>
        </w:r>
        <w:r w:rsidR="000A4DC7">
          <w:rPr>
            <w:webHidden/>
          </w:rPr>
          <w:fldChar w:fldCharType="separate"/>
        </w:r>
        <w:r w:rsidR="00225EEA">
          <w:rPr>
            <w:webHidden/>
          </w:rPr>
          <w:t>43</w:t>
        </w:r>
        <w:r w:rsidR="000A4DC7">
          <w:rPr>
            <w:webHidden/>
          </w:rPr>
          <w:fldChar w:fldCharType="end"/>
        </w:r>
      </w:hyperlink>
    </w:p>
    <w:p w14:paraId="22E7EF08" w14:textId="09D98C8C" w:rsidR="000A4DC7" w:rsidRDefault="00EB0EE2">
      <w:pPr>
        <w:pStyle w:val="TOC3"/>
        <w:rPr>
          <w:rFonts w:asciiTheme="minorHAnsi" w:eastAsiaTheme="minorEastAsia" w:hAnsiTheme="minorHAnsi" w:cstheme="minorBidi"/>
          <w:sz w:val="22"/>
          <w:szCs w:val="22"/>
          <w:lang w:eastAsia="en-AU"/>
        </w:rPr>
      </w:pPr>
      <w:hyperlink w:anchor="_Toc86158420" w:history="1">
        <w:r w:rsidR="000A4DC7" w:rsidRPr="001E54CF">
          <w:rPr>
            <w:rStyle w:val="Hyperlink"/>
            <w:bCs/>
            <w14:scene3d>
              <w14:camera w14:prst="orthographicFront"/>
              <w14:lightRig w14:rig="threePt" w14:dir="t">
                <w14:rot w14:lat="0" w14:lon="0" w14:rev="0"/>
              </w14:lightRig>
            </w14:scene3d>
          </w:rPr>
          <w:t>4.5.2</w:t>
        </w:r>
        <w:r w:rsidR="000A4DC7">
          <w:rPr>
            <w:rFonts w:asciiTheme="minorHAnsi" w:eastAsiaTheme="minorEastAsia" w:hAnsiTheme="minorHAnsi" w:cstheme="minorBidi"/>
            <w:sz w:val="22"/>
            <w:szCs w:val="22"/>
            <w:lang w:eastAsia="en-AU"/>
          </w:rPr>
          <w:tab/>
        </w:r>
        <w:r w:rsidR="000A4DC7" w:rsidRPr="001E54CF">
          <w:rPr>
            <w:rStyle w:val="Hyperlink"/>
          </w:rPr>
          <w:t>Description of the Survey of Motor Vehicle Use</w:t>
        </w:r>
        <w:r w:rsidR="000A4DC7">
          <w:rPr>
            <w:webHidden/>
          </w:rPr>
          <w:tab/>
        </w:r>
        <w:r w:rsidR="000A4DC7">
          <w:rPr>
            <w:webHidden/>
          </w:rPr>
          <w:fldChar w:fldCharType="begin"/>
        </w:r>
        <w:r w:rsidR="000A4DC7">
          <w:rPr>
            <w:webHidden/>
          </w:rPr>
          <w:instrText xml:space="preserve"> PAGEREF _Toc86158420 \h </w:instrText>
        </w:r>
        <w:r w:rsidR="000A4DC7">
          <w:rPr>
            <w:webHidden/>
          </w:rPr>
        </w:r>
        <w:r w:rsidR="000A4DC7">
          <w:rPr>
            <w:webHidden/>
          </w:rPr>
          <w:fldChar w:fldCharType="separate"/>
        </w:r>
        <w:r w:rsidR="00225EEA">
          <w:rPr>
            <w:webHidden/>
          </w:rPr>
          <w:t>44</w:t>
        </w:r>
        <w:r w:rsidR="000A4DC7">
          <w:rPr>
            <w:webHidden/>
          </w:rPr>
          <w:fldChar w:fldCharType="end"/>
        </w:r>
      </w:hyperlink>
    </w:p>
    <w:p w14:paraId="36C9B962" w14:textId="4221193E" w:rsidR="000A4DC7" w:rsidRDefault="00EB0EE2">
      <w:pPr>
        <w:pStyle w:val="TOC3"/>
        <w:rPr>
          <w:rFonts w:asciiTheme="minorHAnsi" w:eastAsiaTheme="minorEastAsia" w:hAnsiTheme="minorHAnsi" w:cstheme="minorBidi"/>
          <w:sz w:val="22"/>
          <w:szCs w:val="22"/>
          <w:lang w:eastAsia="en-AU"/>
        </w:rPr>
      </w:pPr>
      <w:hyperlink w:anchor="_Toc86158421" w:history="1">
        <w:r w:rsidR="000A4DC7" w:rsidRPr="001E54CF">
          <w:rPr>
            <w:rStyle w:val="Hyperlink"/>
            <w:bCs/>
            <w14:scene3d>
              <w14:camera w14:prst="orthographicFront"/>
              <w14:lightRig w14:rig="threePt" w14:dir="t">
                <w14:rot w14:lat="0" w14:lon="0" w14:rev="0"/>
              </w14:lightRig>
            </w14:scene3d>
          </w:rPr>
          <w:t>4.5.3</w:t>
        </w:r>
        <w:r w:rsidR="000A4DC7">
          <w:rPr>
            <w:rFonts w:asciiTheme="minorHAnsi" w:eastAsiaTheme="minorEastAsia" w:hAnsiTheme="minorHAnsi" w:cstheme="minorBidi"/>
            <w:sz w:val="22"/>
            <w:szCs w:val="22"/>
            <w:lang w:eastAsia="en-AU"/>
          </w:rPr>
          <w:tab/>
        </w:r>
        <w:r w:rsidR="000A4DC7" w:rsidRPr="001E54CF">
          <w:rPr>
            <w:rStyle w:val="Hyperlink"/>
          </w:rPr>
          <w:t>Essential data provided by the Survey of Motor Vehicle Use</w:t>
        </w:r>
        <w:r w:rsidR="000A4DC7">
          <w:rPr>
            <w:webHidden/>
          </w:rPr>
          <w:tab/>
        </w:r>
        <w:r w:rsidR="000A4DC7">
          <w:rPr>
            <w:webHidden/>
          </w:rPr>
          <w:fldChar w:fldCharType="begin"/>
        </w:r>
        <w:r w:rsidR="000A4DC7">
          <w:rPr>
            <w:webHidden/>
          </w:rPr>
          <w:instrText xml:space="preserve"> PAGEREF _Toc86158421 \h </w:instrText>
        </w:r>
        <w:r w:rsidR="000A4DC7">
          <w:rPr>
            <w:webHidden/>
          </w:rPr>
        </w:r>
        <w:r w:rsidR="000A4DC7">
          <w:rPr>
            <w:webHidden/>
          </w:rPr>
          <w:fldChar w:fldCharType="separate"/>
        </w:r>
        <w:r w:rsidR="00225EEA">
          <w:rPr>
            <w:webHidden/>
          </w:rPr>
          <w:t>44</w:t>
        </w:r>
        <w:r w:rsidR="000A4DC7">
          <w:rPr>
            <w:webHidden/>
          </w:rPr>
          <w:fldChar w:fldCharType="end"/>
        </w:r>
      </w:hyperlink>
    </w:p>
    <w:p w14:paraId="73D9B645" w14:textId="3D7C7BA1" w:rsidR="000A4DC7" w:rsidRDefault="00EB0EE2">
      <w:pPr>
        <w:pStyle w:val="TOC3"/>
        <w:rPr>
          <w:rFonts w:asciiTheme="minorHAnsi" w:eastAsiaTheme="minorEastAsia" w:hAnsiTheme="minorHAnsi" w:cstheme="minorBidi"/>
          <w:sz w:val="22"/>
          <w:szCs w:val="22"/>
          <w:lang w:eastAsia="en-AU"/>
        </w:rPr>
      </w:pPr>
      <w:hyperlink w:anchor="_Toc86158422" w:history="1">
        <w:r w:rsidR="000A4DC7" w:rsidRPr="001E54CF">
          <w:rPr>
            <w:rStyle w:val="Hyperlink"/>
            <w:bCs/>
            <w14:scene3d>
              <w14:camera w14:prst="orthographicFront"/>
              <w14:lightRig w14:rig="threePt" w14:dir="t">
                <w14:rot w14:lat="0" w14:lon="0" w14:rev="0"/>
              </w14:lightRig>
            </w14:scene3d>
          </w:rPr>
          <w:t>4.5.4</w:t>
        </w:r>
        <w:r w:rsidR="000A4DC7">
          <w:rPr>
            <w:rFonts w:asciiTheme="minorHAnsi" w:eastAsiaTheme="minorEastAsia" w:hAnsiTheme="minorHAnsi" w:cstheme="minorBidi"/>
            <w:sz w:val="22"/>
            <w:szCs w:val="22"/>
            <w:lang w:eastAsia="en-AU"/>
          </w:rPr>
          <w:tab/>
        </w:r>
        <w:r w:rsidR="000A4DC7" w:rsidRPr="001E54CF">
          <w:rPr>
            <w:rStyle w:val="Hyperlink"/>
          </w:rPr>
          <w:t>Possible interim approaches</w:t>
        </w:r>
        <w:r w:rsidR="000A4DC7">
          <w:rPr>
            <w:webHidden/>
          </w:rPr>
          <w:tab/>
        </w:r>
        <w:r w:rsidR="000A4DC7">
          <w:rPr>
            <w:webHidden/>
          </w:rPr>
          <w:fldChar w:fldCharType="begin"/>
        </w:r>
        <w:r w:rsidR="000A4DC7">
          <w:rPr>
            <w:webHidden/>
          </w:rPr>
          <w:instrText xml:space="preserve"> PAGEREF _Toc86158422 \h </w:instrText>
        </w:r>
        <w:r w:rsidR="000A4DC7">
          <w:rPr>
            <w:webHidden/>
          </w:rPr>
        </w:r>
        <w:r w:rsidR="000A4DC7">
          <w:rPr>
            <w:webHidden/>
          </w:rPr>
          <w:fldChar w:fldCharType="separate"/>
        </w:r>
        <w:r w:rsidR="00225EEA">
          <w:rPr>
            <w:webHidden/>
          </w:rPr>
          <w:t>45</w:t>
        </w:r>
        <w:r w:rsidR="000A4DC7">
          <w:rPr>
            <w:webHidden/>
          </w:rPr>
          <w:fldChar w:fldCharType="end"/>
        </w:r>
      </w:hyperlink>
    </w:p>
    <w:p w14:paraId="023274D3" w14:textId="68D37A4E" w:rsidR="000A4DC7" w:rsidRDefault="00EB0EE2">
      <w:pPr>
        <w:pStyle w:val="TOC3"/>
        <w:rPr>
          <w:rFonts w:asciiTheme="minorHAnsi" w:eastAsiaTheme="minorEastAsia" w:hAnsiTheme="minorHAnsi" w:cstheme="minorBidi"/>
          <w:sz w:val="22"/>
          <w:szCs w:val="22"/>
          <w:lang w:eastAsia="en-AU"/>
        </w:rPr>
      </w:pPr>
      <w:hyperlink w:anchor="_Toc86158423" w:history="1">
        <w:r w:rsidR="000A4DC7" w:rsidRPr="001E54CF">
          <w:rPr>
            <w:rStyle w:val="Hyperlink"/>
            <w:bCs/>
            <w14:scene3d>
              <w14:camera w14:prst="orthographicFront"/>
              <w14:lightRig w14:rig="threePt" w14:dir="t">
                <w14:rot w14:lat="0" w14:lon="0" w14:rev="0"/>
              </w14:lightRig>
            </w14:scene3d>
          </w:rPr>
          <w:t>4.5.5</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_Toc86158423 \h </w:instrText>
        </w:r>
        <w:r w:rsidR="000A4DC7">
          <w:rPr>
            <w:webHidden/>
          </w:rPr>
        </w:r>
        <w:r w:rsidR="000A4DC7">
          <w:rPr>
            <w:webHidden/>
          </w:rPr>
          <w:fldChar w:fldCharType="separate"/>
        </w:r>
        <w:r w:rsidR="00225EEA">
          <w:rPr>
            <w:webHidden/>
          </w:rPr>
          <w:t>46</w:t>
        </w:r>
        <w:r w:rsidR="000A4DC7">
          <w:rPr>
            <w:webHidden/>
          </w:rPr>
          <w:fldChar w:fldCharType="end"/>
        </w:r>
      </w:hyperlink>
    </w:p>
    <w:p w14:paraId="64B86A96" w14:textId="0E56E7D9" w:rsidR="000A4DC7" w:rsidRDefault="00EB0EE2">
      <w:pPr>
        <w:pStyle w:val="TOC3"/>
        <w:rPr>
          <w:rFonts w:asciiTheme="minorHAnsi" w:eastAsiaTheme="minorEastAsia" w:hAnsiTheme="minorHAnsi" w:cstheme="minorBidi"/>
          <w:sz w:val="22"/>
          <w:szCs w:val="22"/>
          <w:lang w:eastAsia="en-AU"/>
        </w:rPr>
      </w:pPr>
      <w:hyperlink w:anchor="_Toc86158424" w:history="1">
        <w:r w:rsidR="000A4DC7" w:rsidRPr="001E54CF">
          <w:rPr>
            <w:rStyle w:val="Hyperlink"/>
            <w:bCs/>
            <w14:scene3d>
              <w14:camera w14:prst="orthographicFront"/>
              <w14:lightRig w14:rig="threePt" w14:dir="t">
                <w14:rot w14:lat="0" w14:lon="0" w14:rev="0"/>
              </w14:lightRig>
            </w14:scene3d>
          </w:rPr>
          <w:t>4.5.6</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_Toc86158424 \h </w:instrText>
        </w:r>
        <w:r w:rsidR="000A4DC7">
          <w:rPr>
            <w:webHidden/>
          </w:rPr>
        </w:r>
        <w:r w:rsidR="000A4DC7">
          <w:rPr>
            <w:webHidden/>
          </w:rPr>
          <w:fldChar w:fldCharType="separate"/>
        </w:r>
        <w:r w:rsidR="00225EEA">
          <w:rPr>
            <w:webHidden/>
          </w:rPr>
          <w:t>46</w:t>
        </w:r>
        <w:r w:rsidR="000A4DC7">
          <w:rPr>
            <w:webHidden/>
          </w:rPr>
          <w:fldChar w:fldCharType="end"/>
        </w:r>
      </w:hyperlink>
    </w:p>
    <w:p w14:paraId="11DDF595" w14:textId="75EF901C" w:rsidR="000A4DC7" w:rsidRDefault="00EB0EE2">
      <w:pPr>
        <w:pStyle w:val="TOC2"/>
        <w:rPr>
          <w:rFonts w:asciiTheme="minorHAnsi" w:eastAsiaTheme="minorEastAsia" w:hAnsiTheme="minorHAnsi" w:cstheme="minorBidi"/>
          <w:sz w:val="22"/>
          <w:szCs w:val="22"/>
          <w:lang w:eastAsia="en-AU"/>
        </w:rPr>
      </w:pPr>
      <w:hyperlink w:anchor="_Toc86158425" w:history="1">
        <w:r w:rsidR="000A4DC7" w:rsidRPr="001E54CF">
          <w:rPr>
            <w:rStyle w:val="Hyperlink"/>
          </w:rPr>
          <w:t>4.6</w:t>
        </w:r>
        <w:r w:rsidR="000A4DC7">
          <w:rPr>
            <w:rFonts w:asciiTheme="minorHAnsi" w:eastAsiaTheme="minorEastAsia" w:hAnsiTheme="minorHAnsi" w:cstheme="minorBidi"/>
            <w:sz w:val="22"/>
            <w:szCs w:val="22"/>
            <w:lang w:eastAsia="en-AU"/>
          </w:rPr>
          <w:tab/>
        </w:r>
        <w:r w:rsidR="000A4DC7" w:rsidRPr="001E54CF">
          <w:rPr>
            <w:rStyle w:val="Hyperlink"/>
          </w:rPr>
          <w:t>Review of equivalent standard axle values</w:t>
        </w:r>
        <w:r w:rsidR="000A4DC7">
          <w:rPr>
            <w:webHidden/>
          </w:rPr>
          <w:tab/>
        </w:r>
        <w:r w:rsidR="000A4DC7">
          <w:rPr>
            <w:webHidden/>
          </w:rPr>
          <w:fldChar w:fldCharType="begin"/>
        </w:r>
        <w:r w:rsidR="000A4DC7">
          <w:rPr>
            <w:webHidden/>
          </w:rPr>
          <w:instrText xml:space="preserve"> PAGEREF _Toc86158425 \h </w:instrText>
        </w:r>
        <w:r w:rsidR="000A4DC7">
          <w:rPr>
            <w:webHidden/>
          </w:rPr>
        </w:r>
        <w:r w:rsidR="000A4DC7">
          <w:rPr>
            <w:webHidden/>
          </w:rPr>
          <w:fldChar w:fldCharType="separate"/>
        </w:r>
        <w:r w:rsidR="00225EEA">
          <w:rPr>
            <w:webHidden/>
          </w:rPr>
          <w:t>47</w:t>
        </w:r>
        <w:r w:rsidR="000A4DC7">
          <w:rPr>
            <w:webHidden/>
          </w:rPr>
          <w:fldChar w:fldCharType="end"/>
        </w:r>
      </w:hyperlink>
    </w:p>
    <w:p w14:paraId="0B230DA1" w14:textId="603A9C25" w:rsidR="000A4DC7" w:rsidRDefault="00EB0EE2">
      <w:pPr>
        <w:pStyle w:val="TOC3"/>
        <w:rPr>
          <w:rFonts w:asciiTheme="minorHAnsi" w:eastAsiaTheme="minorEastAsia" w:hAnsiTheme="minorHAnsi" w:cstheme="minorBidi"/>
          <w:sz w:val="22"/>
          <w:szCs w:val="22"/>
          <w:lang w:eastAsia="en-AU"/>
        </w:rPr>
      </w:pPr>
      <w:hyperlink w:anchor="_Toc86158426" w:history="1">
        <w:r w:rsidR="000A4DC7" w:rsidRPr="001E54CF">
          <w:rPr>
            <w:rStyle w:val="Hyperlink"/>
            <w:bCs/>
            <w14:scene3d>
              <w14:camera w14:prst="orthographicFront"/>
              <w14:lightRig w14:rig="threePt" w14:dir="t">
                <w14:rot w14:lat="0" w14:lon="0" w14:rev="0"/>
              </w14:lightRig>
            </w14:scene3d>
          </w:rPr>
          <w:t>4.6.1</w:t>
        </w:r>
        <w:r w:rsidR="000A4DC7">
          <w:rPr>
            <w:rFonts w:asciiTheme="minorHAnsi" w:eastAsiaTheme="minorEastAsia" w:hAnsiTheme="minorHAnsi" w:cstheme="minorBidi"/>
            <w:sz w:val="22"/>
            <w:szCs w:val="22"/>
            <w:lang w:eastAsia="en-AU"/>
          </w:rPr>
          <w:tab/>
        </w:r>
        <w:r w:rsidR="000A4DC7" w:rsidRPr="001E54CF">
          <w:rPr>
            <w:rStyle w:val="Hyperlink"/>
          </w:rPr>
          <w:t>Issues</w:t>
        </w:r>
        <w:r w:rsidR="000A4DC7">
          <w:rPr>
            <w:webHidden/>
          </w:rPr>
          <w:tab/>
        </w:r>
        <w:r w:rsidR="000A4DC7">
          <w:rPr>
            <w:webHidden/>
          </w:rPr>
          <w:fldChar w:fldCharType="begin"/>
        </w:r>
        <w:r w:rsidR="000A4DC7">
          <w:rPr>
            <w:webHidden/>
          </w:rPr>
          <w:instrText xml:space="preserve"> PAGEREF _Toc86158426 \h </w:instrText>
        </w:r>
        <w:r w:rsidR="000A4DC7">
          <w:rPr>
            <w:webHidden/>
          </w:rPr>
        </w:r>
        <w:r w:rsidR="000A4DC7">
          <w:rPr>
            <w:webHidden/>
          </w:rPr>
          <w:fldChar w:fldCharType="separate"/>
        </w:r>
        <w:r w:rsidR="00225EEA">
          <w:rPr>
            <w:webHidden/>
          </w:rPr>
          <w:t>47</w:t>
        </w:r>
        <w:r w:rsidR="000A4DC7">
          <w:rPr>
            <w:webHidden/>
          </w:rPr>
          <w:fldChar w:fldCharType="end"/>
        </w:r>
      </w:hyperlink>
    </w:p>
    <w:p w14:paraId="5ACE8B50" w14:textId="62DB00FE" w:rsidR="000A4DC7" w:rsidRDefault="00EB0EE2">
      <w:pPr>
        <w:pStyle w:val="TOC3"/>
        <w:rPr>
          <w:rFonts w:asciiTheme="minorHAnsi" w:eastAsiaTheme="minorEastAsia" w:hAnsiTheme="minorHAnsi" w:cstheme="minorBidi"/>
          <w:sz w:val="22"/>
          <w:szCs w:val="22"/>
          <w:lang w:eastAsia="en-AU"/>
        </w:rPr>
      </w:pPr>
      <w:hyperlink w:anchor="_Toc86158427" w:history="1">
        <w:r w:rsidR="000A4DC7" w:rsidRPr="001E54CF">
          <w:rPr>
            <w:rStyle w:val="Hyperlink"/>
            <w:bCs/>
            <w14:scene3d>
              <w14:camera w14:prst="orthographicFront"/>
              <w14:lightRig w14:rig="threePt" w14:dir="t">
                <w14:rot w14:lat="0" w14:lon="0" w14:rev="0"/>
              </w14:lightRig>
            </w14:scene3d>
          </w:rPr>
          <w:t>4.6.2</w:t>
        </w:r>
        <w:r w:rsidR="000A4DC7">
          <w:rPr>
            <w:rFonts w:asciiTheme="minorHAnsi" w:eastAsiaTheme="minorEastAsia" w:hAnsiTheme="minorHAnsi" w:cstheme="minorBidi"/>
            <w:sz w:val="22"/>
            <w:szCs w:val="22"/>
            <w:lang w:eastAsia="en-AU"/>
          </w:rPr>
          <w:tab/>
        </w:r>
        <w:r w:rsidR="000A4DC7" w:rsidRPr="001E54CF">
          <w:rPr>
            <w:rStyle w:val="Hyperlink"/>
          </w:rPr>
          <w:t>Approach</w:t>
        </w:r>
        <w:r w:rsidR="000A4DC7">
          <w:rPr>
            <w:webHidden/>
          </w:rPr>
          <w:tab/>
        </w:r>
        <w:r w:rsidR="000A4DC7">
          <w:rPr>
            <w:webHidden/>
          </w:rPr>
          <w:fldChar w:fldCharType="begin"/>
        </w:r>
        <w:r w:rsidR="000A4DC7">
          <w:rPr>
            <w:webHidden/>
          </w:rPr>
          <w:instrText xml:space="preserve"> PAGEREF _Toc86158427 \h </w:instrText>
        </w:r>
        <w:r w:rsidR="000A4DC7">
          <w:rPr>
            <w:webHidden/>
          </w:rPr>
        </w:r>
        <w:r w:rsidR="000A4DC7">
          <w:rPr>
            <w:webHidden/>
          </w:rPr>
          <w:fldChar w:fldCharType="separate"/>
        </w:r>
        <w:r w:rsidR="00225EEA">
          <w:rPr>
            <w:webHidden/>
          </w:rPr>
          <w:t>47</w:t>
        </w:r>
        <w:r w:rsidR="000A4DC7">
          <w:rPr>
            <w:webHidden/>
          </w:rPr>
          <w:fldChar w:fldCharType="end"/>
        </w:r>
      </w:hyperlink>
    </w:p>
    <w:p w14:paraId="40C3743F" w14:textId="5C60FC9D" w:rsidR="000A4DC7" w:rsidRDefault="00EB0EE2">
      <w:pPr>
        <w:pStyle w:val="TOC3"/>
        <w:rPr>
          <w:rFonts w:asciiTheme="minorHAnsi" w:eastAsiaTheme="minorEastAsia" w:hAnsiTheme="minorHAnsi" w:cstheme="minorBidi"/>
          <w:sz w:val="22"/>
          <w:szCs w:val="22"/>
          <w:lang w:eastAsia="en-AU"/>
        </w:rPr>
      </w:pPr>
      <w:hyperlink w:anchor="_Toc86158428" w:history="1">
        <w:r w:rsidR="000A4DC7" w:rsidRPr="001E54CF">
          <w:rPr>
            <w:rStyle w:val="Hyperlink"/>
            <w:bCs/>
            <w14:scene3d>
              <w14:camera w14:prst="orthographicFront"/>
              <w14:lightRig w14:rig="threePt" w14:dir="t">
                <w14:rot w14:lat="0" w14:lon="0" w14:rev="0"/>
              </w14:lightRig>
            </w14:scene3d>
          </w:rPr>
          <w:t>4.6.3</w:t>
        </w:r>
        <w:r w:rsidR="000A4DC7">
          <w:rPr>
            <w:rFonts w:asciiTheme="minorHAnsi" w:eastAsiaTheme="minorEastAsia" w:hAnsiTheme="minorHAnsi" w:cstheme="minorBidi"/>
            <w:sz w:val="22"/>
            <w:szCs w:val="22"/>
            <w:lang w:eastAsia="en-AU"/>
          </w:rPr>
          <w:tab/>
        </w:r>
        <w:r w:rsidR="000A4DC7" w:rsidRPr="001E54CF">
          <w:rPr>
            <w:rStyle w:val="Hyperlink"/>
          </w:rPr>
          <w:t>Analysis of outcomes</w:t>
        </w:r>
        <w:r w:rsidR="000A4DC7">
          <w:rPr>
            <w:webHidden/>
          </w:rPr>
          <w:tab/>
        </w:r>
        <w:r w:rsidR="000A4DC7">
          <w:rPr>
            <w:webHidden/>
          </w:rPr>
          <w:fldChar w:fldCharType="begin"/>
        </w:r>
        <w:r w:rsidR="000A4DC7">
          <w:rPr>
            <w:webHidden/>
          </w:rPr>
          <w:instrText xml:space="preserve"> PAGEREF _Toc86158428 \h </w:instrText>
        </w:r>
        <w:r w:rsidR="000A4DC7">
          <w:rPr>
            <w:webHidden/>
          </w:rPr>
        </w:r>
        <w:r w:rsidR="000A4DC7">
          <w:rPr>
            <w:webHidden/>
          </w:rPr>
          <w:fldChar w:fldCharType="separate"/>
        </w:r>
        <w:r w:rsidR="00225EEA">
          <w:rPr>
            <w:webHidden/>
          </w:rPr>
          <w:t>48</w:t>
        </w:r>
        <w:r w:rsidR="000A4DC7">
          <w:rPr>
            <w:webHidden/>
          </w:rPr>
          <w:fldChar w:fldCharType="end"/>
        </w:r>
      </w:hyperlink>
    </w:p>
    <w:p w14:paraId="254F7C37" w14:textId="0677C0CA" w:rsidR="000A4DC7" w:rsidRDefault="00EB0EE2">
      <w:pPr>
        <w:pStyle w:val="TOC3"/>
        <w:rPr>
          <w:rFonts w:asciiTheme="minorHAnsi" w:eastAsiaTheme="minorEastAsia" w:hAnsiTheme="minorHAnsi" w:cstheme="minorBidi"/>
          <w:sz w:val="22"/>
          <w:szCs w:val="22"/>
          <w:lang w:eastAsia="en-AU"/>
        </w:rPr>
      </w:pPr>
      <w:hyperlink w:anchor="_Toc86158429" w:history="1">
        <w:r w:rsidR="000A4DC7" w:rsidRPr="001E54CF">
          <w:rPr>
            <w:rStyle w:val="Hyperlink"/>
            <w:bCs/>
            <w14:scene3d>
              <w14:camera w14:prst="orthographicFront"/>
              <w14:lightRig w14:rig="threePt" w14:dir="t">
                <w14:rot w14:lat="0" w14:lon="0" w14:rev="0"/>
              </w14:lightRig>
            </w14:scene3d>
          </w:rPr>
          <w:t>4.6.4</w:t>
        </w:r>
        <w:r w:rsidR="000A4DC7">
          <w:rPr>
            <w:rFonts w:asciiTheme="minorHAnsi" w:eastAsiaTheme="minorEastAsia" w:hAnsiTheme="minorHAnsi" w:cstheme="minorBidi"/>
            <w:sz w:val="22"/>
            <w:szCs w:val="22"/>
            <w:lang w:eastAsia="en-AU"/>
          </w:rPr>
          <w:tab/>
        </w:r>
        <w:r w:rsidR="000A4DC7" w:rsidRPr="001E54CF">
          <w:rPr>
            <w:rStyle w:val="Hyperlink"/>
          </w:rPr>
          <w:t>Results</w:t>
        </w:r>
        <w:r w:rsidR="000A4DC7">
          <w:rPr>
            <w:webHidden/>
          </w:rPr>
          <w:tab/>
        </w:r>
        <w:r w:rsidR="000A4DC7">
          <w:rPr>
            <w:webHidden/>
          </w:rPr>
          <w:fldChar w:fldCharType="begin"/>
        </w:r>
        <w:r w:rsidR="000A4DC7">
          <w:rPr>
            <w:webHidden/>
          </w:rPr>
          <w:instrText xml:space="preserve"> PAGEREF _Toc86158429 \h </w:instrText>
        </w:r>
        <w:r w:rsidR="000A4DC7">
          <w:rPr>
            <w:webHidden/>
          </w:rPr>
        </w:r>
        <w:r w:rsidR="000A4DC7">
          <w:rPr>
            <w:webHidden/>
          </w:rPr>
          <w:fldChar w:fldCharType="separate"/>
        </w:r>
        <w:r w:rsidR="00225EEA">
          <w:rPr>
            <w:webHidden/>
          </w:rPr>
          <w:t>49</w:t>
        </w:r>
        <w:r w:rsidR="000A4DC7">
          <w:rPr>
            <w:webHidden/>
          </w:rPr>
          <w:fldChar w:fldCharType="end"/>
        </w:r>
      </w:hyperlink>
    </w:p>
    <w:p w14:paraId="755D0FF6" w14:textId="16852B6D" w:rsidR="000A4DC7" w:rsidRDefault="00EB0EE2">
      <w:pPr>
        <w:pStyle w:val="TOC3"/>
        <w:rPr>
          <w:rFonts w:asciiTheme="minorHAnsi" w:eastAsiaTheme="minorEastAsia" w:hAnsiTheme="minorHAnsi" w:cstheme="minorBidi"/>
          <w:sz w:val="22"/>
          <w:szCs w:val="22"/>
          <w:lang w:eastAsia="en-AU"/>
        </w:rPr>
      </w:pPr>
      <w:hyperlink w:anchor="_Toc86158430" w:history="1">
        <w:r w:rsidR="000A4DC7" w:rsidRPr="001E54CF">
          <w:rPr>
            <w:rStyle w:val="Hyperlink"/>
            <w:bCs/>
            <w14:scene3d>
              <w14:camera w14:prst="orthographicFront"/>
              <w14:lightRig w14:rig="threePt" w14:dir="t">
                <w14:rot w14:lat="0" w14:lon="0" w14:rev="0"/>
              </w14:lightRig>
            </w14:scene3d>
          </w:rPr>
          <w:t>4.6.5</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_Toc86158430 \h </w:instrText>
        </w:r>
        <w:r w:rsidR="000A4DC7">
          <w:rPr>
            <w:webHidden/>
          </w:rPr>
        </w:r>
        <w:r w:rsidR="000A4DC7">
          <w:rPr>
            <w:webHidden/>
          </w:rPr>
          <w:fldChar w:fldCharType="separate"/>
        </w:r>
        <w:r w:rsidR="00225EEA">
          <w:rPr>
            <w:webHidden/>
          </w:rPr>
          <w:t>50</w:t>
        </w:r>
        <w:r w:rsidR="000A4DC7">
          <w:rPr>
            <w:webHidden/>
          </w:rPr>
          <w:fldChar w:fldCharType="end"/>
        </w:r>
      </w:hyperlink>
    </w:p>
    <w:p w14:paraId="0E3A433C" w14:textId="591FE87C" w:rsidR="000A4DC7" w:rsidRDefault="00EB0EE2">
      <w:pPr>
        <w:pStyle w:val="TOC3"/>
        <w:rPr>
          <w:rFonts w:asciiTheme="minorHAnsi" w:eastAsiaTheme="minorEastAsia" w:hAnsiTheme="minorHAnsi" w:cstheme="minorBidi"/>
          <w:sz w:val="22"/>
          <w:szCs w:val="22"/>
          <w:lang w:eastAsia="en-AU"/>
        </w:rPr>
      </w:pPr>
      <w:hyperlink w:anchor="_Toc86158431" w:history="1">
        <w:r w:rsidR="000A4DC7" w:rsidRPr="001E54CF">
          <w:rPr>
            <w:rStyle w:val="Hyperlink"/>
            <w:bCs/>
            <w14:scene3d>
              <w14:camera w14:prst="orthographicFront"/>
              <w14:lightRig w14:rig="threePt" w14:dir="t">
                <w14:rot w14:lat="0" w14:lon="0" w14:rev="0"/>
              </w14:lightRig>
            </w14:scene3d>
          </w:rPr>
          <w:t>4.6.6</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_Toc86158431 \h </w:instrText>
        </w:r>
        <w:r w:rsidR="000A4DC7">
          <w:rPr>
            <w:webHidden/>
          </w:rPr>
        </w:r>
        <w:r w:rsidR="000A4DC7">
          <w:rPr>
            <w:webHidden/>
          </w:rPr>
          <w:fldChar w:fldCharType="separate"/>
        </w:r>
        <w:r w:rsidR="00225EEA">
          <w:rPr>
            <w:webHidden/>
          </w:rPr>
          <w:t>51</w:t>
        </w:r>
        <w:r w:rsidR="000A4DC7">
          <w:rPr>
            <w:webHidden/>
          </w:rPr>
          <w:fldChar w:fldCharType="end"/>
        </w:r>
      </w:hyperlink>
    </w:p>
    <w:p w14:paraId="6C3219CE" w14:textId="43C3CBC9" w:rsidR="000A4DC7" w:rsidRDefault="00EB0EE2">
      <w:pPr>
        <w:pStyle w:val="TOC2"/>
        <w:rPr>
          <w:rFonts w:asciiTheme="minorHAnsi" w:eastAsiaTheme="minorEastAsia" w:hAnsiTheme="minorHAnsi" w:cstheme="minorBidi"/>
          <w:sz w:val="22"/>
          <w:szCs w:val="22"/>
          <w:lang w:eastAsia="en-AU"/>
        </w:rPr>
      </w:pPr>
      <w:hyperlink w:anchor="_Toc86158432" w:history="1">
        <w:r w:rsidR="000A4DC7" w:rsidRPr="001E54CF">
          <w:rPr>
            <w:rStyle w:val="Hyperlink"/>
          </w:rPr>
          <w:t>4.7</w:t>
        </w:r>
        <w:r w:rsidR="000A4DC7">
          <w:rPr>
            <w:rFonts w:asciiTheme="minorHAnsi" w:eastAsiaTheme="minorEastAsia" w:hAnsiTheme="minorHAnsi" w:cstheme="minorBidi"/>
            <w:sz w:val="22"/>
            <w:szCs w:val="22"/>
            <w:lang w:eastAsia="en-AU"/>
          </w:rPr>
          <w:tab/>
        </w:r>
        <w:r w:rsidR="000A4DC7" w:rsidRPr="001E54CF">
          <w:rPr>
            <w:rStyle w:val="Hyperlink"/>
          </w:rPr>
          <w:t>Cost allocation</w:t>
        </w:r>
        <w:r w:rsidR="000A4DC7">
          <w:rPr>
            <w:webHidden/>
          </w:rPr>
          <w:tab/>
        </w:r>
        <w:r w:rsidR="000A4DC7">
          <w:rPr>
            <w:webHidden/>
          </w:rPr>
          <w:fldChar w:fldCharType="begin"/>
        </w:r>
        <w:r w:rsidR="000A4DC7">
          <w:rPr>
            <w:webHidden/>
          </w:rPr>
          <w:instrText xml:space="preserve"> PAGEREF _Toc86158432 \h </w:instrText>
        </w:r>
        <w:r w:rsidR="000A4DC7">
          <w:rPr>
            <w:webHidden/>
          </w:rPr>
        </w:r>
        <w:r w:rsidR="000A4DC7">
          <w:rPr>
            <w:webHidden/>
          </w:rPr>
          <w:fldChar w:fldCharType="separate"/>
        </w:r>
        <w:r w:rsidR="00225EEA">
          <w:rPr>
            <w:webHidden/>
          </w:rPr>
          <w:t>51</w:t>
        </w:r>
        <w:r w:rsidR="000A4DC7">
          <w:rPr>
            <w:webHidden/>
          </w:rPr>
          <w:fldChar w:fldCharType="end"/>
        </w:r>
      </w:hyperlink>
    </w:p>
    <w:p w14:paraId="5914D8D7" w14:textId="13EAE54D" w:rsidR="000A4DC7" w:rsidRDefault="00EB0EE2">
      <w:pPr>
        <w:pStyle w:val="TOC3"/>
        <w:rPr>
          <w:rFonts w:asciiTheme="minorHAnsi" w:eastAsiaTheme="minorEastAsia" w:hAnsiTheme="minorHAnsi" w:cstheme="minorBidi"/>
          <w:sz w:val="22"/>
          <w:szCs w:val="22"/>
          <w:lang w:eastAsia="en-AU"/>
        </w:rPr>
      </w:pPr>
      <w:hyperlink w:anchor="_Toc86158433" w:history="1">
        <w:r w:rsidR="000A4DC7" w:rsidRPr="001E54CF">
          <w:rPr>
            <w:rStyle w:val="Hyperlink"/>
            <w:bCs/>
            <w14:scene3d>
              <w14:camera w14:prst="orthographicFront"/>
              <w14:lightRig w14:rig="threePt" w14:dir="t">
                <w14:rot w14:lat="0" w14:lon="0" w14:rev="0"/>
              </w14:lightRig>
            </w14:scene3d>
          </w:rPr>
          <w:t>4.7.1</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_Toc86158433 \h </w:instrText>
        </w:r>
        <w:r w:rsidR="000A4DC7">
          <w:rPr>
            <w:webHidden/>
          </w:rPr>
        </w:r>
        <w:r w:rsidR="000A4DC7">
          <w:rPr>
            <w:webHidden/>
          </w:rPr>
          <w:fldChar w:fldCharType="separate"/>
        </w:r>
        <w:r w:rsidR="00225EEA">
          <w:rPr>
            <w:webHidden/>
          </w:rPr>
          <w:t>51</w:t>
        </w:r>
        <w:r w:rsidR="000A4DC7">
          <w:rPr>
            <w:webHidden/>
          </w:rPr>
          <w:fldChar w:fldCharType="end"/>
        </w:r>
      </w:hyperlink>
    </w:p>
    <w:p w14:paraId="0FCF8441" w14:textId="756D83F7" w:rsidR="000A4DC7" w:rsidRDefault="00EB0EE2">
      <w:pPr>
        <w:pStyle w:val="TOC3"/>
        <w:rPr>
          <w:rFonts w:asciiTheme="minorHAnsi" w:eastAsiaTheme="minorEastAsia" w:hAnsiTheme="minorHAnsi" w:cstheme="minorBidi"/>
          <w:sz w:val="22"/>
          <w:szCs w:val="22"/>
          <w:lang w:eastAsia="en-AU"/>
        </w:rPr>
      </w:pPr>
      <w:hyperlink w:anchor="_Toc86158434" w:history="1">
        <w:r w:rsidR="000A4DC7" w:rsidRPr="001E54CF">
          <w:rPr>
            <w:rStyle w:val="Hyperlink"/>
            <w:bCs/>
            <w14:scene3d>
              <w14:camera w14:prst="orthographicFront"/>
              <w14:lightRig w14:rig="threePt" w14:dir="t">
                <w14:rot w14:lat="0" w14:lon="0" w14:rev="0"/>
              </w14:lightRig>
            </w14:scene3d>
          </w:rPr>
          <w:t>4.7.2</w:t>
        </w:r>
        <w:r w:rsidR="000A4DC7">
          <w:rPr>
            <w:rFonts w:asciiTheme="minorHAnsi" w:eastAsiaTheme="minorEastAsia" w:hAnsiTheme="minorHAnsi" w:cstheme="minorBidi"/>
            <w:sz w:val="22"/>
            <w:szCs w:val="22"/>
            <w:lang w:eastAsia="en-AU"/>
          </w:rPr>
          <w:tab/>
        </w:r>
        <w:r w:rsidR="000A4DC7" w:rsidRPr="001E54CF">
          <w:rPr>
            <w:rStyle w:val="Hyperlink"/>
          </w:rPr>
          <w:t>Key question for the determination</w:t>
        </w:r>
        <w:r w:rsidR="000A4DC7">
          <w:rPr>
            <w:webHidden/>
          </w:rPr>
          <w:tab/>
        </w:r>
        <w:r w:rsidR="000A4DC7">
          <w:rPr>
            <w:webHidden/>
          </w:rPr>
          <w:fldChar w:fldCharType="begin"/>
        </w:r>
        <w:r w:rsidR="000A4DC7">
          <w:rPr>
            <w:webHidden/>
          </w:rPr>
          <w:instrText xml:space="preserve"> PAGEREF _Toc86158434 \h </w:instrText>
        </w:r>
        <w:r w:rsidR="000A4DC7">
          <w:rPr>
            <w:webHidden/>
          </w:rPr>
        </w:r>
        <w:r w:rsidR="000A4DC7">
          <w:rPr>
            <w:webHidden/>
          </w:rPr>
          <w:fldChar w:fldCharType="separate"/>
        </w:r>
        <w:r w:rsidR="00225EEA">
          <w:rPr>
            <w:webHidden/>
          </w:rPr>
          <w:t>52</w:t>
        </w:r>
        <w:r w:rsidR="000A4DC7">
          <w:rPr>
            <w:webHidden/>
          </w:rPr>
          <w:fldChar w:fldCharType="end"/>
        </w:r>
      </w:hyperlink>
    </w:p>
    <w:p w14:paraId="2711646B" w14:textId="2F27FB1D" w:rsidR="000A4DC7" w:rsidRDefault="00EB0EE2">
      <w:pPr>
        <w:pStyle w:val="TOC3"/>
        <w:rPr>
          <w:rFonts w:asciiTheme="minorHAnsi" w:eastAsiaTheme="minorEastAsia" w:hAnsiTheme="minorHAnsi" w:cstheme="minorBidi"/>
          <w:sz w:val="22"/>
          <w:szCs w:val="22"/>
          <w:lang w:eastAsia="en-AU"/>
        </w:rPr>
      </w:pPr>
      <w:hyperlink w:anchor="_Toc86158435" w:history="1">
        <w:r w:rsidR="000A4DC7" w:rsidRPr="001E54CF">
          <w:rPr>
            <w:rStyle w:val="Hyperlink"/>
            <w:rFonts w:eastAsia="Arial" w:cs="Arial"/>
            <w:bCs/>
            <w14:scene3d>
              <w14:camera w14:prst="orthographicFront"/>
              <w14:lightRig w14:rig="threePt" w14:dir="t">
                <w14:rot w14:lat="0" w14:lon="0" w14:rev="0"/>
              </w14:lightRig>
            </w14:scene3d>
          </w:rPr>
          <w:t>4.7.3</w:t>
        </w:r>
        <w:r w:rsidR="000A4DC7">
          <w:rPr>
            <w:rFonts w:asciiTheme="minorHAnsi" w:eastAsiaTheme="minorEastAsia" w:hAnsiTheme="minorHAnsi" w:cstheme="minorBidi"/>
            <w:sz w:val="22"/>
            <w:szCs w:val="22"/>
            <w:lang w:eastAsia="en-AU"/>
          </w:rPr>
          <w:tab/>
        </w:r>
        <w:r w:rsidR="000A4DC7" w:rsidRPr="001E54CF">
          <w:rPr>
            <w:rStyle w:val="Hyperlink"/>
          </w:rPr>
          <w:t>Cost allocation options</w:t>
        </w:r>
        <w:r w:rsidR="000A4DC7">
          <w:rPr>
            <w:webHidden/>
          </w:rPr>
          <w:tab/>
        </w:r>
        <w:r w:rsidR="000A4DC7">
          <w:rPr>
            <w:webHidden/>
          </w:rPr>
          <w:fldChar w:fldCharType="begin"/>
        </w:r>
        <w:r w:rsidR="000A4DC7">
          <w:rPr>
            <w:webHidden/>
          </w:rPr>
          <w:instrText xml:space="preserve"> PAGEREF _Toc86158435 \h </w:instrText>
        </w:r>
        <w:r w:rsidR="000A4DC7">
          <w:rPr>
            <w:webHidden/>
          </w:rPr>
        </w:r>
        <w:r w:rsidR="000A4DC7">
          <w:rPr>
            <w:webHidden/>
          </w:rPr>
          <w:fldChar w:fldCharType="separate"/>
        </w:r>
        <w:r w:rsidR="00225EEA">
          <w:rPr>
            <w:webHidden/>
          </w:rPr>
          <w:t>52</w:t>
        </w:r>
        <w:r w:rsidR="000A4DC7">
          <w:rPr>
            <w:webHidden/>
          </w:rPr>
          <w:fldChar w:fldCharType="end"/>
        </w:r>
      </w:hyperlink>
    </w:p>
    <w:p w14:paraId="61461631" w14:textId="48C507BC" w:rsidR="000A4DC7" w:rsidRDefault="00EB0EE2">
      <w:pPr>
        <w:pStyle w:val="TOC3"/>
        <w:rPr>
          <w:rFonts w:asciiTheme="minorHAnsi" w:eastAsiaTheme="minorEastAsia" w:hAnsiTheme="minorHAnsi" w:cstheme="minorBidi"/>
          <w:sz w:val="22"/>
          <w:szCs w:val="22"/>
          <w:lang w:eastAsia="en-AU"/>
        </w:rPr>
      </w:pPr>
      <w:hyperlink w:anchor="_Toc86158436" w:history="1">
        <w:r w:rsidR="000A4DC7" w:rsidRPr="001E54CF">
          <w:rPr>
            <w:rStyle w:val="Hyperlink"/>
            <w:bCs/>
            <w14:scene3d>
              <w14:camera w14:prst="orthographicFront"/>
              <w14:lightRig w14:rig="threePt" w14:dir="t">
                <w14:rot w14:lat="0" w14:lon="0" w14:rev="0"/>
              </w14:lightRig>
            </w14:scene3d>
          </w:rPr>
          <w:t>4.7.4</w:t>
        </w:r>
        <w:r w:rsidR="000A4DC7">
          <w:rPr>
            <w:rFonts w:asciiTheme="minorHAnsi" w:eastAsiaTheme="minorEastAsia" w:hAnsiTheme="minorHAnsi" w:cstheme="minorBidi"/>
            <w:sz w:val="22"/>
            <w:szCs w:val="22"/>
            <w:lang w:eastAsia="en-AU"/>
          </w:rPr>
          <w:tab/>
        </w:r>
        <w:r w:rsidR="000A4DC7" w:rsidRPr="001E54CF">
          <w:rPr>
            <w:rStyle w:val="Hyperlink"/>
          </w:rPr>
          <w:t>Impact of options</w:t>
        </w:r>
        <w:r w:rsidR="000A4DC7">
          <w:rPr>
            <w:webHidden/>
          </w:rPr>
          <w:tab/>
        </w:r>
        <w:r w:rsidR="000A4DC7">
          <w:rPr>
            <w:webHidden/>
          </w:rPr>
          <w:fldChar w:fldCharType="begin"/>
        </w:r>
        <w:r w:rsidR="000A4DC7">
          <w:rPr>
            <w:webHidden/>
          </w:rPr>
          <w:instrText xml:space="preserve"> PAGEREF _Toc86158436 \h </w:instrText>
        </w:r>
        <w:r w:rsidR="000A4DC7">
          <w:rPr>
            <w:webHidden/>
          </w:rPr>
        </w:r>
        <w:r w:rsidR="000A4DC7">
          <w:rPr>
            <w:webHidden/>
          </w:rPr>
          <w:fldChar w:fldCharType="separate"/>
        </w:r>
        <w:r w:rsidR="00225EEA">
          <w:rPr>
            <w:webHidden/>
          </w:rPr>
          <w:t>55</w:t>
        </w:r>
        <w:r w:rsidR="000A4DC7">
          <w:rPr>
            <w:webHidden/>
          </w:rPr>
          <w:fldChar w:fldCharType="end"/>
        </w:r>
      </w:hyperlink>
    </w:p>
    <w:p w14:paraId="58CE2DEA" w14:textId="61B7DD84" w:rsidR="000A4DC7" w:rsidRDefault="00EB0EE2">
      <w:pPr>
        <w:pStyle w:val="TOC3"/>
        <w:rPr>
          <w:rFonts w:asciiTheme="minorHAnsi" w:eastAsiaTheme="minorEastAsia" w:hAnsiTheme="minorHAnsi" w:cstheme="minorBidi"/>
          <w:sz w:val="22"/>
          <w:szCs w:val="22"/>
          <w:lang w:eastAsia="en-AU"/>
        </w:rPr>
      </w:pPr>
      <w:hyperlink w:anchor="_Toc86158437" w:history="1">
        <w:r w:rsidR="000A4DC7" w:rsidRPr="001E54CF">
          <w:rPr>
            <w:rStyle w:val="Hyperlink"/>
            <w:bCs/>
            <w14:scene3d>
              <w14:camera w14:prst="orthographicFront"/>
              <w14:lightRig w14:rig="threePt" w14:dir="t">
                <w14:rot w14:lat="0" w14:lon="0" w14:rev="0"/>
              </w14:lightRig>
            </w14:scene3d>
          </w:rPr>
          <w:t>4.7.5</w:t>
        </w:r>
        <w:r w:rsidR="000A4DC7">
          <w:rPr>
            <w:rFonts w:asciiTheme="minorHAnsi" w:eastAsiaTheme="minorEastAsia" w:hAnsiTheme="minorHAnsi" w:cstheme="minorBidi"/>
            <w:sz w:val="22"/>
            <w:szCs w:val="22"/>
            <w:lang w:eastAsia="en-AU"/>
          </w:rPr>
          <w:tab/>
        </w:r>
        <w:r w:rsidR="000A4DC7" w:rsidRPr="001E54CF">
          <w:rPr>
            <w:rStyle w:val="Hyperlink"/>
          </w:rPr>
          <w:t>Economic efficiency of cost allocation options</w:t>
        </w:r>
        <w:r w:rsidR="000A4DC7">
          <w:rPr>
            <w:webHidden/>
          </w:rPr>
          <w:tab/>
        </w:r>
        <w:r w:rsidR="000A4DC7">
          <w:rPr>
            <w:webHidden/>
          </w:rPr>
          <w:fldChar w:fldCharType="begin"/>
        </w:r>
        <w:r w:rsidR="000A4DC7">
          <w:rPr>
            <w:webHidden/>
          </w:rPr>
          <w:instrText xml:space="preserve"> PAGEREF _Toc86158437 \h </w:instrText>
        </w:r>
        <w:r w:rsidR="000A4DC7">
          <w:rPr>
            <w:webHidden/>
          </w:rPr>
        </w:r>
        <w:r w:rsidR="000A4DC7">
          <w:rPr>
            <w:webHidden/>
          </w:rPr>
          <w:fldChar w:fldCharType="separate"/>
        </w:r>
        <w:r w:rsidR="00225EEA">
          <w:rPr>
            <w:webHidden/>
          </w:rPr>
          <w:t>56</w:t>
        </w:r>
        <w:r w:rsidR="000A4DC7">
          <w:rPr>
            <w:webHidden/>
          </w:rPr>
          <w:fldChar w:fldCharType="end"/>
        </w:r>
      </w:hyperlink>
    </w:p>
    <w:p w14:paraId="78C45B39" w14:textId="28FE1915" w:rsidR="000A4DC7" w:rsidRDefault="00EB0EE2">
      <w:pPr>
        <w:pStyle w:val="TOC3"/>
        <w:rPr>
          <w:rFonts w:asciiTheme="minorHAnsi" w:eastAsiaTheme="minorEastAsia" w:hAnsiTheme="minorHAnsi" w:cstheme="minorBidi"/>
          <w:sz w:val="22"/>
          <w:szCs w:val="22"/>
          <w:lang w:eastAsia="en-AU"/>
        </w:rPr>
      </w:pPr>
      <w:hyperlink w:anchor="_Toc86158438" w:history="1">
        <w:r w:rsidR="000A4DC7" w:rsidRPr="001E54CF">
          <w:rPr>
            <w:rStyle w:val="Hyperlink"/>
            <w:bCs/>
            <w14:scene3d>
              <w14:camera w14:prst="orthographicFront"/>
              <w14:lightRig w14:rig="threePt" w14:dir="t">
                <w14:rot w14:lat="0" w14:lon="0" w14:rev="0"/>
              </w14:lightRig>
            </w14:scene3d>
          </w:rPr>
          <w:t>4.7.6</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_Toc86158438 \h </w:instrText>
        </w:r>
        <w:r w:rsidR="000A4DC7">
          <w:rPr>
            <w:webHidden/>
          </w:rPr>
        </w:r>
        <w:r w:rsidR="000A4DC7">
          <w:rPr>
            <w:webHidden/>
          </w:rPr>
          <w:fldChar w:fldCharType="separate"/>
        </w:r>
        <w:r w:rsidR="00225EEA">
          <w:rPr>
            <w:webHidden/>
          </w:rPr>
          <w:t>57</w:t>
        </w:r>
        <w:r w:rsidR="000A4DC7">
          <w:rPr>
            <w:webHidden/>
          </w:rPr>
          <w:fldChar w:fldCharType="end"/>
        </w:r>
      </w:hyperlink>
    </w:p>
    <w:p w14:paraId="1FEC8528" w14:textId="3D29C380" w:rsidR="000A4DC7" w:rsidRDefault="00EB0EE2">
      <w:pPr>
        <w:pStyle w:val="TOC3"/>
        <w:rPr>
          <w:rFonts w:asciiTheme="minorHAnsi" w:eastAsiaTheme="minorEastAsia" w:hAnsiTheme="minorHAnsi" w:cstheme="minorBidi"/>
          <w:sz w:val="22"/>
          <w:szCs w:val="22"/>
          <w:lang w:eastAsia="en-AU"/>
        </w:rPr>
      </w:pPr>
      <w:hyperlink w:anchor="_Toc86158439" w:history="1">
        <w:r w:rsidR="000A4DC7" w:rsidRPr="001E54CF">
          <w:rPr>
            <w:rStyle w:val="Hyperlink"/>
            <w:bCs/>
            <w14:scene3d>
              <w14:camera w14:prst="orthographicFront"/>
              <w14:lightRig w14:rig="threePt" w14:dir="t">
                <w14:rot w14:lat="0" w14:lon="0" w14:rev="0"/>
              </w14:lightRig>
            </w14:scene3d>
          </w:rPr>
          <w:t>4.7.7</w:t>
        </w:r>
        <w:r w:rsidR="000A4DC7">
          <w:rPr>
            <w:rFonts w:asciiTheme="minorHAnsi" w:eastAsiaTheme="minorEastAsia" w:hAnsiTheme="minorHAnsi" w:cstheme="minorBidi"/>
            <w:sz w:val="22"/>
            <w:szCs w:val="22"/>
            <w:lang w:eastAsia="en-AU"/>
          </w:rPr>
          <w:tab/>
        </w:r>
        <w:r w:rsidR="000A4DC7" w:rsidRPr="001E54CF">
          <w:rPr>
            <w:rStyle w:val="Hyperlink"/>
          </w:rPr>
          <w:t>Response to submissions</w:t>
        </w:r>
        <w:r w:rsidR="000A4DC7">
          <w:rPr>
            <w:webHidden/>
          </w:rPr>
          <w:tab/>
        </w:r>
        <w:r w:rsidR="000A4DC7">
          <w:rPr>
            <w:webHidden/>
          </w:rPr>
          <w:fldChar w:fldCharType="begin"/>
        </w:r>
        <w:r w:rsidR="000A4DC7">
          <w:rPr>
            <w:webHidden/>
          </w:rPr>
          <w:instrText xml:space="preserve"> PAGEREF _Toc86158439 \h </w:instrText>
        </w:r>
        <w:r w:rsidR="000A4DC7">
          <w:rPr>
            <w:webHidden/>
          </w:rPr>
        </w:r>
        <w:r w:rsidR="000A4DC7">
          <w:rPr>
            <w:webHidden/>
          </w:rPr>
          <w:fldChar w:fldCharType="separate"/>
        </w:r>
        <w:r w:rsidR="00225EEA">
          <w:rPr>
            <w:webHidden/>
          </w:rPr>
          <w:t>57</w:t>
        </w:r>
        <w:r w:rsidR="000A4DC7">
          <w:rPr>
            <w:webHidden/>
          </w:rPr>
          <w:fldChar w:fldCharType="end"/>
        </w:r>
      </w:hyperlink>
    </w:p>
    <w:p w14:paraId="4FBD154A" w14:textId="0F74355B" w:rsidR="000A4DC7" w:rsidRDefault="00EB0EE2">
      <w:pPr>
        <w:pStyle w:val="TOC3"/>
        <w:rPr>
          <w:rFonts w:asciiTheme="minorHAnsi" w:eastAsiaTheme="minorEastAsia" w:hAnsiTheme="minorHAnsi" w:cstheme="minorBidi"/>
          <w:sz w:val="22"/>
          <w:szCs w:val="22"/>
          <w:lang w:eastAsia="en-AU"/>
        </w:rPr>
      </w:pPr>
      <w:hyperlink w:anchor="_Toc86158440" w:history="1">
        <w:r w:rsidR="000A4DC7" w:rsidRPr="001E54CF">
          <w:rPr>
            <w:rStyle w:val="Hyperlink"/>
            <w:bCs/>
            <w14:scene3d>
              <w14:camera w14:prst="orthographicFront"/>
              <w14:lightRig w14:rig="threePt" w14:dir="t">
                <w14:rot w14:lat="0" w14:lon="0" w14:rev="0"/>
              </w14:lightRig>
            </w14:scene3d>
          </w:rPr>
          <w:t>4.7.8</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_Toc86158440 \h </w:instrText>
        </w:r>
        <w:r w:rsidR="000A4DC7">
          <w:rPr>
            <w:webHidden/>
          </w:rPr>
        </w:r>
        <w:r w:rsidR="000A4DC7">
          <w:rPr>
            <w:webHidden/>
          </w:rPr>
          <w:fldChar w:fldCharType="separate"/>
        </w:r>
        <w:r w:rsidR="00225EEA">
          <w:rPr>
            <w:webHidden/>
          </w:rPr>
          <w:t>58</w:t>
        </w:r>
        <w:r w:rsidR="000A4DC7">
          <w:rPr>
            <w:webHidden/>
          </w:rPr>
          <w:fldChar w:fldCharType="end"/>
        </w:r>
      </w:hyperlink>
    </w:p>
    <w:p w14:paraId="23E695D8" w14:textId="58252E4A" w:rsidR="000A4DC7" w:rsidRDefault="00EB0EE2">
      <w:pPr>
        <w:pStyle w:val="TOC2"/>
        <w:rPr>
          <w:rFonts w:asciiTheme="minorHAnsi" w:eastAsiaTheme="minorEastAsia" w:hAnsiTheme="minorHAnsi" w:cstheme="minorBidi"/>
          <w:sz w:val="22"/>
          <w:szCs w:val="22"/>
          <w:lang w:eastAsia="en-AU"/>
        </w:rPr>
      </w:pPr>
      <w:hyperlink w:anchor="_Toc86158441" w:history="1">
        <w:r w:rsidR="000A4DC7" w:rsidRPr="001E54CF">
          <w:rPr>
            <w:rStyle w:val="Hyperlink"/>
          </w:rPr>
          <w:t>4.8</w:t>
        </w:r>
        <w:r w:rsidR="000A4DC7">
          <w:rPr>
            <w:rFonts w:asciiTheme="minorHAnsi" w:eastAsiaTheme="minorEastAsia" w:hAnsiTheme="minorHAnsi" w:cstheme="minorBidi"/>
            <w:sz w:val="22"/>
            <w:szCs w:val="22"/>
            <w:lang w:eastAsia="en-AU"/>
          </w:rPr>
          <w:tab/>
        </w:r>
        <w:r w:rsidR="000A4DC7" w:rsidRPr="001E54CF">
          <w:rPr>
            <w:rStyle w:val="Hyperlink"/>
          </w:rPr>
          <w:t>MaxMan</w:t>
        </w:r>
        <w:r w:rsidR="000A4DC7">
          <w:rPr>
            <w:webHidden/>
          </w:rPr>
          <w:tab/>
        </w:r>
        <w:r w:rsidR="000A4DC7">
          <w:rPr>
            <w:webHidden/>
          </w:rPr>
          <w:fldChar w:fldCharType="begin"/>
        </w:r>
        <w:r w:rsidR="000A4DC7">
          <w:rPr>
            <w:webHidden/>
          </w:rPr>
          <w:instrText xml:space="preserve"> PAGEREF _Toc86158441 \h </w:instrText>
        </w:r>
        <w:r w:rsidR="000A4DC7">
          <w:rPr>
            <w:webHidden/>
          </w:rPr>
        </w:r>
        <w:r w:rsidR="000A4DC7">
          <w:rPr>
            <w:webHidden/>
          </w:rPr>
          <w:fldChar w:fldCharType="separate"/>
        </w:r>
        <w:r w:rsidR="00225EEA">
          <w:rPr>
            <w:webHidden/>
          </w:rPr>
          <w:t>58</w:t>
        </w:r>
        <w:r w:rsidR="000A4DC7">
          <w:rPr>
            <w:webHidden/>
          </w:rPr>
          <w:fldChar w:fldCharType="end"/>
        </w:r>
      </w:hyperlink>
    </w:p>
    <w:p w14:paraId="600F50C4" w14:textId="7C5C84F6" w:rsidR="000A4DC7" w:rsidRDefault="00EB0EE2">
      <w:pPr>
        <w:pStyle w:val="TOC3"/>
        <w:rPr>
          <w:rFonts w:asciiTheme="minorHAnsi" w:eastAsiaTheme="minorEastAsia" w:hAnsiTheme="minorHAnsi" w:cstheme="minorBidi"/>
          <w:sz w:val="22"/>
          <w:szCs w:val="22"/>
          <w:lang w:eastAsia="en-AU"/>
        </w:rPr>
      </w:pPr>
      <w:hyperlink w:anchor="_Toc86158442" w:history="1">
        <w:r w:rsidR="000A4DC7" w:rsidRPr="001E54CF">
          <w:rPr>
            <w:rStyle w:val="Hyperlink"/>
            <w:bCs/>
            <w14:scene3d>
              <w14:camera w14:prst="orthographicFront"/>
              <w14:lightRig w14:rig="threePt" w14:dir="t">
                <w14:rot w14:lat="0" w14:lon="0" w14:rev="0"/>
              </w14:lightRig>
            </w14:scene3d>
          </w:rPr>
          <w:t>4.8.1</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_Toc86158442 \h </w:instrText>
        </w:r>
        <w:r w:rsidR="000A4DC7">
          <w:rPr>
            <w:webHidden/>
          </w:rPr>
        </w:r>
        <w:r w:rsidR="000A4DC7">
          <w:rPr>
            <w:webHidden/>
          </w:rPr>
          <w:fldChar w:fldCharType="separate"/>
        </w:r>
        <w:r w:rsidR="00225EEA">
          <w:rPr>
            <w:webHidden/>
          </w:rPr>
          <w:t>58</w:t>
        </w:r>
        <w:r w:rsidR="000A4DC7">
          <w:rPr>
            <w:webHidden/>
          </w:rPr>
          <w:fldChar w:fldCharType="end"/>
        </w:r>
      </w:hyperlink>
    </w:p>
    <w:p w14:paraId="469A4C1D" w14:textId="4DF54484" w:rsidR="000A4DC7" w:rsidRDefault="00EB0EE2">
      <w:pPr>
        <w:pStyle w:val="TOC3"/>
        <w:rPr>
          <w:rFonts w:asciiTheme="minorHAnsi" w:eastAsiaTheme="minorEastAsia" w:hAnsiTheme="minorHAnsi" w:cstheme="minorBidi"/>
          <w:sz w:val="22"/>
          <w:szCs w:val="22"/>
          <w:lang w:eastAsia="en-AU"/>
        </w:rPr>
      </w:pPr>
      <w:hyperlink w:anchor="_Toc86158443" w:history="1">
        <w:r w:rsidR="000A4DC7" w:rsidRPr="001E54CF">
          <w:rPr>
            <w:rStyle w:val="Hyperlink"/>
            <w:bCs/>
            <w14:scene3d>
              <w14:camera w14:prst="orthographicFront"/>
              <w14:lightRig w14:rig="threePt" w14:dir="t">
                <w14:rot w14:lat="0" w14:lon="0" w14:rev="0"/>
              </w14:lightRig>
            </w14:scene3d>
          </w:rPr>
          <w:t>4.8.2</w:t>
        </w:r>
        <w:r w:rsidR="000A4DC7">
          <w:rPr>
            <w:rFonts w:asciiTheme="minorHAnsi" w:eastAsiaTheme="minorEastAsia" w:hAnsiTheme="minorHAnsi" w:cstheme="minorBidi"/>
            <w:sz w:val="22"/>
            <w:szCs w:val="22"/>
            <w:lang w:eastAsia="en-AU"/>
          </w:rPr>
          <w:tab/>
        </w:r>
        <w:r w:rsidR="000A4DC7" w:rsidRPr="001E54CF">
          <w:rPr>
            <w:rStyle w:val="Hyperlink"/>
          </w:rPr>
          <w:t>Analysis</w:t>
        </w:r>
        <w:r w:rsidR="000A4DC7">
          <w:rPr>
            <w:webHidden/>
          </w:rPr>
          <w:tab/>
        </w:r>
        <w:r w:rsidR="000A4DC7">
          <w:rPr>
            <w:webHidden/>
          </w:rPr>
          <w:fldChar w:fldCharType="begin"/>
        </w:r>
        <w:r w:rsidR="000A4DC7">
          <w:rPr>
            <w:webHidden/>
          </w:rPr>
          <w:instrText xml:space="preserve"> PAGEREF _Toc86158443 \h </w:instrText>
        </w:r>
        <w:r w:rsidR="000A4DC7">
          <w:rPr>
            <w:webHidden/>
          </w:rPr>
        </w:r>
        <w:r w:rsidR="000A4DC7">
          <w:rPr>
            <w:webHidden/>
          </w:rPr>
          <w:fldChar w:fldCharType="separate"/>
        </w:r>
        <w:r w:rsidR="00225EEA">
          <w:rPr>
            <w:webHidden/>
          </w:rPr>
          <w:t>58</w:t>
        </w:r>
        <w:r w:rsidR="000A4DC7">
          <w:rPr>
            <w:webHidden/>
          </w:rPr>
          <w:fldChar w:fldCharType="end"/>
        </w:r>
      </w:hyperlink>
    </w:p>
    <w:p w14:paraId="2866D75E" w14:textId="50D7D3C2" w:rsidR="000A4DC7" w:rsidRDefault="00EB0EE2">
      <w:pPr>
        <w:pStyle w:val="TOC3"/>
        <w:rPr>
          <w:rFonts w:asciiTheme="minorHAnsi" w:eastAsiaTheme="minorEastAsia" w:hAnsiTheme="minorHAnsi" w:cstheme="minorBidi"/>
          <w:sz w:val="22"/>
          <w:szCs w:val="22"/>
          <w:lang w:eastAsia="en-AU"/>
        </w:rPr>
      </w:pPr>
      <w:hyperlink w:anchor="_Toc86158444" w:history="1">
        <w:r w:rsidR="000A4DC7" w:rsidRPr="001E54CF">
          <w:rPr>
            <w:rStyle w:val="Hyperlink"/>
            <w:bCs/>
            <w14:scene3d>
              <w14:camera w14:prst="orthographicFront"/>
              <w14:lightRig w14:rig="threePt" w14:dir="t">
                <w14:rot w14:lat="0" w14:lon="0" w14:rev="0"/>
              </w14:lightRig>
            </w14:scene3d>
          </w:rPr>
          <w:t>4.8.3</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_Toc86158444 \h </w:instrText>
        </w:r>
        <w:r w:rsidR="000A4DC7">
          <w:rPr>
            <w:webHidden/>
          </w:rPr>
        </w:r>
        <w:r w:rsidR="000A4DC7">
          <w:rPr>
            <w:webHidden/>
          </w:rPr>
          <w:fldChar w:fldCharType="separate"/>
        </w:r>
        <w:r w:rsidR="00225EEA">
          <w:rPr>
            <w:webHidden/>
          </w:rPr>
          <w:t>61</w:t>
        </w:r>
        <w:r w:rsidR="000A4DC7">
          <w:rPr>
            <w:webHidden/>
          </w:rPr>
          <w:fldChar w:fldCharType="end"/>
        </w:r>
      </w:hyperlink>
    </w:p>
    <w:p w14:paraId="0C60FB08" w14:textId="6DF0CF1B" w:rsidR="000A4DC7" w:rsidRDefault="00EB0EE2">
      <w:pPr>
        <w:pStyle w:val="TOC3"/>
        <w:rPr>
          <w:rFonts w:asciiTheme="minorHAnsi" w:eastAsiaTheme="minorEastAsia" w:hAnsiTheme="minorHAnsi" w:cstheme="minorBidi"/>
          <w:sz w:val="22"/>
          <w:szCs w:val="22"/>
          <w:lang w:eastAsia="en-AU"/>
        </w:rPr>
      </w:pPr>
      <w:hyperlink w:anchor="_Toc86158445" w:history="1">
        <w:r w:rsidR="000A4DC7" w:rsidRPr="001E54CF">
          <w:rPr>
            <w:rStyle w:val="Hyperlink"/>
            <w:bCs/>
            <w14:scene3d>
              <w14:camera w14:prst="orthographicFront"/>
              <w14:lightRig w14:rig="threePt" w14:dir="t">
                <w14:rot w14:lat="0" w14:lon="0" w14:rev="0"/>
              </w14:lightRig>
            </w14:scene3d>
          </w:rPr>
          <w:t>4.8.4</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_Toc86158445 \h </w:instrText>
        </w:r>
        <w:r w:rsidR="000A4DC7">
          <w:rPr>
            <w:webHidden/>
          </w:rPr>
        </w:r>
        <w:r w:rsidR="000A4DC7">
          <w:rPr>
            <w:webHidden/>
          </w:rPr>
          <w:fldChar w:fldCharType="separate"/>
        </w:r>
        <w:r w:rsidR="00225EEA">
          <w:rPr>
            <w:webHidden/>
          </w:rPr>
          <w:t>61</w:t>
        </w:r>
        <w:r w:rsidR="000A4DC7">
          <w:rPr>
            <w:webHidden/>
          </w:rPr>
          <w:fldChar w:fldCharType="end"/>
        </w:r>
      </w:hyperlink>
    </w:p>
    <w:p w14:paraId="7F8B1920" w14:textId="02A76D75" w:rsidR="000A4DC7" w:rsidRDefault="00EB0EE2">
      <w:pPr>
        <w:pStyle w:val="TOC2"/>
        <w:rPr>
          <w:rFonts w:asciiTheme="minorHAnsi" w:eastAsiaTheme="minorEastAsia" w:hAnsiTheme="minorHAnsi" w:cstheme="minorBidi"/>
          <w:sz w:val="22"/>
          <w:szCs w:val="22"/>
          <w:lang w:eastAsia="en-AU"/>
        </w:rPr>
      </w:pPr>
      <w:hyperlink w:anchor="_Toc86158446" w:history="1">
        <w:r w:rsidR="000A4DC7" w:rsidRPr="001E54CF">
          <w:rPr>
            <w:rStyle w:val="Hyperlink"/>
            <w:rFonts w:eastAsia="Cambria"/>
          </w:rPr>
          <w:t>4.9</w:t>
        </w:r>
        <w:r w:rsidR="000A4DC7">
          <w:rPr>
            <w:rFonts w:asciiTheme="minorHAnsi" w:eastAsiaTheme="minorEastAsia" w:hAnsiTheme="minorHAnsi" w:cstheme="minorBidi"/>
            <w:sz w:val="22"/>
            <w:szCs w:val="22"/>
            <w:lang w:eastAsia="en-AU"/>
          </w:rPr>
          <w:tab/>
        </w:r>
        <w:r w:rsidR="000A4DC7" w:rsidRPr="001E54CF">
          <w:rPr>
            <w:rStyle w:val="Hyperlink"/>
            <w:rFonts w:eastAsia="Cambria"/>
          </w:rPr>
          <w:t>Road user charge leakages</w:t>
        </w:r>
        <w:r w:rsidR="000A4DC7">
          <w:rPr>
            <w:webHidden/>
          </w:rPr>
          <w:tab/>
        </w:r>
        <w:r w:rsidR="000A4DC7">
          <w:rPr>
            <w:webHidden/>
          </w:rPr>
          <w:fldChar w:fldCharType="begin"/>
        </w:r>
        <w:r w:rsidR="000A4DC7">
          <w:rPr>
            <w:webHidden/>
          </w:rPr>
          <w:instrText xml:space="preserve"> PAGEREF _Toc86158446 \h </w:instrText>
        </w:r>
        <w:r w:rsidR="000A4DC7">
          <w:rPr>
            <w:webHidden/>
          </w:rPr>
        </w:r>
        <w:r w:rsidR="000A4DC7">
          <w:rPr>
            <w:webHidden/>
          </w:rPr>
          <w:fldChar w:fldCharType="separate"/>
        </w:r>
        <w:r w:rsidR="00225EEA">
          <w:rPr>
            <w:webHidden/>
          </w:rPr>
          <w:t>61</w:t>
        </w:r>
        <w:r w:rsidR="000A4DC7">
          <w:rPr>
            <w:webHidden/>
          </w:rPr>
          <w:fldChar w:fldCharType="end"/>
        </w:r>
      </w:hyperlink>
    </w:p>
    <w:p w14:paraId="164FDBCF" w14:textId="7647CE12" w:rsidR="000A4DC7" w:rsidRDefault="00EB0EE2">
      <w:pPr>
        <w:pStyle w:val="TOC3"/>
        <w:rPr>
          <w:rFonts w:asciiTheme="minorHAnsi" w:eastAsiaTheme="minorEastAsia" w:hAnsiTheme="minorHAnsi" w:cstheme="minorBidi"/>
          <w:sz w:val="22"/>
          <w:szCs w:val="22"/>
          <w:lang w:eastAsia="en-AU"/>
        </w:rPr>
      </w:pPr>
      <w:hyperlink w:anchor="_Toc86158447" w:history="1">
        <w:r w:rsidR="000A4DC7" w:rsidRPr="001E54CF">
          <w:rPr>
            <w:rStyle w:val="Hyperlink"/>
            <w:rFonts w:eastAsiaTheme="majorEastAsia"/>
            <w:bCs/>
            <w14:scene3d>
              <w14:camera w14:prst="orthographicFront"/>
              <w14:lightRig w14:rig="threePt" w14:dir="t">
                <w14:rot w14:lat="0" w14:lon="0" w14:rev="0"/>
              </w14:lightRig>
            </w14:scene3d>
          </w:rPr>
          <w:t>4.9.1</w:t>
        </w:r>
        <w:r w:rsidR="000A4DC7">
          <w:rPr>
            <w:rFonts w:asciiTheme="minorHAnsi" w:eastAsiaTheme="minorEastAsia" w:hAnsiTheme="minorHAnsi" w:cstheme="minorBidi"/>
            <w:sz w:val="22"/>
            <w:szCs w:val="22"/>
            <w:lang w:eastAsia="en-AU"/>
          </w:rPr>
          <w:tab/>
        </w:r>
        <w:r w:rsidR="000A4DC7" w:rsidRPr="001E54CF">
          <w:rPr>
            <w:rStyle w:val="Hyperlink"/>
            <w:rFonts w:eastAsiaTheme="majorEastAsia"/>
          </w:rPr>
          <w:t>Issues</w:t>
        </w:r>
        <w:r w:rsidR="000A4DC7">
          <w:rPr>
            <w:webHidden/>
          </w:rPr>
          <w:tab/>
        </w:r>
        <w:r w:rsidR="000A4DC7">
          <w:rPr>
            <w:webHidden/>
          </w:rPr>
          <w:fldChar w:fldCharType="begin"/>
        </w:r>
        <w:r w:rsidR="000A4DC7">
          <w:rPr>
            <w:webHidden/>
          </w:rPr>
          <w:instrText xml:space="preserve"> PAGEREF _Toc86158447 \h </w:instrText>
        </w:r>
        <w:r w:rsidR="000A4DC7">
          <w:rPr>
            <w:webHidden/>
          </w:rPr>
        </w:r>
        <w:r w:rsidR="000A4DC7">
          <w:rPr>
            <w:webHidden/>
          </w:rPr>
          <w:fldChar w:fldCharType="separate"/>
        </w:r>
        <w:r w:rsidR="00225EEA">
          <w:rPr>
            <w:webHidden/>
          </w:rPr>
          <w:t>61</w:t>
        </w:r>
        <w:r w:rsidR="000A4DC7">
          <w:rPr>
            <w:webHidden/>
          </w:rPr>
          <w:fldChar w:fldCharType="end"/>
        </w:r>
      </w:hyperlink>
    </w:p>
    <w:p w14:paraId="10B05F5B" w14:textId="55868C60" w:rsidR="000A4DC7" w:rsidRDefault="00EB0EE2">
      <w:pPr>
        <w:pStyle w:val="TOC3"/>
        <w:rPr>
          <w:rFonts w:asciiTheme="minorHAnsi" w:eastAsiaTheme="minorEastAsia" w:hAnsiTheme="minorHAnsi" w:cstheme="minorBidi"/>
          <w:sz w:val="22"/>
          <w:szCs w:val="22"/>
          <w:lang w:eastAsia="en-AU"/>
        </w:rPr>
      </w:pPr>
      <w:hyperlink w:anchor="_Toc86158448" w:history="1">
        <w:r w:rsidR="000A4DC7" w:rsidRPr="001E54CF">
          <w:rPr>
            <w:rStyle w:val="Hyperlink"/>
            <w:rFonts w:eastAsiaTheme="majorEastAsia"/>
            <w:bCs/>
            <w14:scene3d>
              <w14:camera w14:prst="orthographicFront"/>
              <w14:lightRig w14:rig="threePt" w14:dir="t">
                <w14:rot w14:lat="0" w14:lon="0" w14:rev="0"/>
              </w14:lightRig>
            </w14:scene3d>
          </w:rPr>
          <w:t>4.9.2</w:t>
        </w:r>
        <w:r w:rsidR="000A4DC7">
          <w:rPr>
            <w:rFonts w:asciiTheme="minorHAnsi" w:eastAsiaTheme="minorEastAsia" w:hAnsiTheme="minorHAnsi" w:cstheme="minorBidi"/>
            <w:sz w:val="22"/>
            <w:szCs w:val="22"/>
            <w:lang w:eastAsia="en-AU"/>
          </w:rPr>
          <w:tab/>
        </w:r>
        <w:r w:rsidR="000A4DC7" w:rsidRPr="001E54CF">
          <w:rPr>
            <w:rStyle w:val="Hyperlink"/>
            <w:rFonts w:eastAsiaTheme="majorEastAsia"/>
          </w:rPr>
          <w:t>Analysis</w:t>
        </w:r>
        <w:r w:rsidR="000A4DC7">
          <w:rPr>
            <w:webHidden/>
          </w:rPr>
          <w:tab/>
        </w:r>
        <w:r w:rsidR="000A4DC7">
          <w:rPr>
            <w:webHidden/>
          </w:rPr>
          <w:fldChar w:fldCharType="begin"/>
        </w:r>
        <w:r w:rsidR="000A4DC7">
          <w:rPr>
            <w:webHidden/>
          </w:rPr>
          <w:instrText xml:space="preserve"> PAGEREF _Toc86158448 \h </w:instrText>
        </w:r>
        <w:r w:rsidR="000A4DC7">
          <w:rPr>
            <w:webHidden/>
          </w:rPr>
        </w:r>
        <w:r w:rsidR="000A4DC7">
          <w:rPr>
            <w:webHidden/>
          </w:rPr>
          <w:fldChar w:fldCharType="separate"/>
        </w:r>
        <w:r w:rsidR="00225EEA">
          <w:rPr>
            <w:webHidden/>
          </w:rPr>
          <w:t>62</w:t>
        </w:r>
        <w:r w:rsidR="000A4DC7">
          <w:rPr>
            <w:webHidden/>
          </w:rPr>
          <w:fldChar w:fldCharType="end"/>
        </w:r>
      </w:hyperlink>
    </w:p>
    <w:p w14:paraId="5946E0A7" w14:textId="717BB90D" w:rsidR="000A4DC7" w:rsidRDefault="00EB0EE2">
      <w:pPr>
        <w:pStyle w:val="TOC3"/>
        <w:rPr>
          <w:rFonts w:asciiTheme="minorHAnsi" w:eastAsiaTheme="minorEastAsia" w:hAnsiTheme="minorHAnsi" w:cstheme="minorBidi"/>
          <w:sz w:val="22"/>
          <w:szCs w:val="22"/>
          <w:lang w:eastAsia="en-AU"/>
        </w:rPr>
      </w:pPr>
      <w:hyperlink w:anchor="_Toc86158449" w:history="1">
        <w:r w:rsidR="000A4DC7" w:rsidRPr="001E54CF">
          <w:rPr>
            <w:rStyle w:val="Hyperlink"/>
            <w:rFonts w:eastAsiaTheme="majorEastAsia"/>
            <w:bCs/>
            <w14:scene3d>
              <w14:camera w14:prst="orthographicFront"/>
              <w14:lightRig w14:rig="threePt" w14:dir="t">
                <w14:rot w14:lat="0" w14:lon="0" w14:rev="0"/>
              </w14:lightRig>
            </w14:scene3d>
          </w:rPr>
          <w:t>4.9.3</w:t>
        </w:r>
        <w:r w:rsidR="000A4DC7">
          <w:rPr>
            <w:rFonts w:asciiTheme="minorHAnsi" w:eastAsiaTheme="minorEastAsia" w:hAnsiTheme="minorHAnsi" w:cstheme="minorBidi"/>
            <w:sz w:val="22"/>
            <w:szCs w:val="22"/>
            <w:lang w:eastAsia="en-AU"/>
          </w:rPr>
          <w:tab/>
        </w:r>
        <w:r w:rsidR="000A4DC7" w:rsidRPr="001E54CF">
          <w:rPr>
            <w:rStyle w:val="Hyperlink"/>
            <w:rFonts w:eastAsiaTheme="majorEastAsia"/>
          </w:rPr>
          <w:t>Approaches and advantages and disadvantages for RUC leakages</w:t>
        </w:r>
        <w:r w:rsidR="000A4DC7">
          <w:rPr>
            <w:webHidden/>
          </w:rPr>
          <w:tab/>
        </w:r>
        <w:r w:rsidR="000A4DC7">
          <w:rPr>
            <w:webHidden/>
          </w:rPr>
          <w:fldChar w:fldCharType="begin"/>
        </w:r>
        <w:r w:rsidR="000A4DC7">
          <w:rPr>
            <w:webHidden/>
          </w:rPr>
          <w:instrText xml:space="preserve"> PAGEREF _Toc86158449 \h </w:instrText>
        </w:r>
        <w:r w:rsidR="000A4DC7">
          <w:rPr>
            <w:webHidden/>
          </w:rPr>
        </w:r>
        <w:r w:rsidR="000A4DC7">
          <w:rPr>
            <w:webHidden/>
          </w:rPr>
          <w:fldChar w:fldCharType="separate"/>
        </w:r>
        <w:r w:rsidR="00225EEA">
          <w:rPr>
            <w:webHidden/>
          </w:rPr>
          <w:t>65</w:t>
        </w:r>
        <w:r w:rsidR="000A4DC7">
          <w:rPr>
            <w:webHidden/>
          </w:rPr>
          <w:fldChar w:fldCharType="end"/>
        </w:r>
      </w:hyperlink>
    </w:p>
    <w:p w14:paraId="0F254229" w14:textId="1F382CF3" w:rsidR="000A4DC7" w:rsidRDefault="00EB0EE2">
      <w:pPr>
        <w:pStyle w:val="TOC3"/>
        <w:rPr>
          <w:rFonts w:asciiTheme="minorHAnsi" w:eastAsiaTheme="minorEastAsia" w:hAnsiTheme="minorHAnsi" w:cstheme="minorBidi"/>
          <w:sz w:val="22"/>
          <w:szCs w:val="22"/>
          <w:lang w:eastAsia="en-AU"/>
        </w:rPr>
      </w:pPr>
      <w:hyperlink w:anchor="_Toc86158450" w:history="1">
        <w:r w:rsidR="000A4DC7" w:rsidRPr="001E54CF">
          <w:rPr>
            <w:rStyle w:val="Hyperlink"/>
            <w:rFonts w:eastAsia="Cambria"/>
            <w:bCs/>
            <w14:scene3d>
              <w14:camera w14:prst="orthographicFront"/>
              <w14:lightRig w14:rig="threePt" w14:dir="t">
                <w14:rot w14:lat="0" w14:lon="0" w14:rev="0"/>
              </w14:lightRig>
            </w14:scene3d>
          </w:rPr>
          <w:t>4.9.4</w:t>
        </w:r>
        <w:r w:rsidR="000A4DC7">
          <w:rPr>
            <w:rFonts w:asciiTheme="minorHAnsi" w:eastAsiaTheme="minorEastAsia" w:hAnsiTheme="minorHAnsi" w:cstheme="minorBidi"/>
            <w:sz w:val="22"/>
            <w:szCs w:val="22"/>
            <w:lang w:eastAsia="en-AU"/>
          </w:rPr>
          <w:tab/>
        </w:r>
        <w:r w:rsidR="000A4DC7" w:rsidRPr="001E54CF">
          <w:rPr>
            <w:rStyle w:val="Hyperlink"/>
            <w:rFonts w:eastAsia="Cambria"/>
          </w:rPr>
          <w:t>Summary of submissions</w:t>
        </w:r>
        <w:r w:rsidR="000A4DC7">
          <w:rPr>
            <w:webHidden/>
          </w:rPr>
          <w:tab/>
        </w:r>
        <w:r w:rsidR="000A4DC7">
          <w:rPr>
            <w:webHidden/>
          </w:rPr>
          <w:fldChar w:fldCharType="begin"/>
        </w:r>
        <w:r w:rsidR="000A4DC7">
          <w:rPr>
            <w:webHidden/>
          </w:rPr>
          <w:instrText xml:space="preserve"> PAGEREF _Toc86158450 \h </w:instrText>
        </w:r>
        <w:r w:rsidR="000A4DC7">
          <w:rPr>
            <w:webHidden/>
          </w:rPr>
        </w:r>
        <w:r w:rsidR="000A4DC7">
          <w:rPr>
            <w:webHidden/>
          </w:rPr>
          <w:fldChar w:fldCharType="separate"/>
        </w:r>
        <w:r w:rsidR="00225EEA">
          <w:rPr>
            <w:webHidden/>
          </w:rPr>
          <w:t>66</w:t>
        </w:r>
        <w:r w:rsidR="000A4DC7">
          <w:rPr>
            <w:webHidden/>
          </w:rPr>
          <w:fldChar w:fldCharType="end"/>
        </w:r>
      </w:hyperlink>
    </w:p>
    <w:p w14:paraId="2367CA0E" w14:textId="17DCDC28" w:rsidR="000A4DC7" w:rsidRDefault="00EB0EE2">
      <w:pPr>
        <w:pStyle w:val="TOC3"/>
        <w:rPr>
          <w:rFonts w:asciiTheme="minorHAnsi" w:eastAsiaTheme="minorEastAsia" w:hAnsiTheme="minorHAnsi" w:cstheme="minorBidi"/>
          <w:sz w:val="22"/>
          <w:szCs w:val="22"/>
          <w:lang w:eastAsia="en-AU"/>
        </w:rPr>
      </w:pPr>
      <w:hyperlink w:anchor="_Toc86158451" w:history="1">
        <w:r w:rsidR="000A4DC7" w:rsidRPr="001E54CF">
          <w:rPr>
            <w:rStyle w:val="Hyperlink"/>
            <w:rFonts w:eastAsia="Cambria"/>
            <w:bCs/>
            <w14:scene3d>
              <w14:camera w14:prst="orthographicFront"/>
              <w14:lightRig w14:rig="threePt" w14:dir="t">
                <w14:rot w14:lat="0" w14:lon="0" w14:rev="0"/>
              </w14:lightRig>
            </w14:scene3d>
          </w:rPr>
          <w:t>4.9.5</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_Toc86158451 \h </w:instrText>
        </w:r>
        <w:r w:rsidR="000A4DC7">
          <w:rPr>
            <w:webHidden/>
          </w:rPr>
        </w:r>
        <w:r w:rsidR="000A4DC7">
          <w:rPr>
            <w:webHidden/>
          </w:rPr>
          <w:fldChar w:fldCharType="separate"/>
        </w:r>
        <w:r w:rsidR="00225EEA">
          <w:rPr>
            <w:webHidden/>
          </w:rPr>
          <w:t>66</w:t>
        </w:r>
        <w:r w:rsidR="000A4DC7">
          <w:rPr>
            <w:webHidden/>
          </w:rPr>
          <w:fldChar w:fldCharType="end"/>
        </w:r>
      </w:hyperlink>
    </w:p>
    <w:p w14:paraId="5FBF468A" w14:textId="272F57DB" w:rsidR="000A4DC7" w:rsidRDefault="00EB0EE2">
      <w:pPr>
        <w:pStyle w:val="TOC2"/>
        <w:rPr>
          <w:rFonts w:asciiTheme="minorHAnsi" w:eastAsiaTheme="minorEastAsia" w:hAnsiTheme="minorHAnsi" w:cstheme="minorBidi"/>
          <w:sz w:val="22"/>
          <w:szCs w:val="22"/>
          <w:lang w:eastAsia="en-AU"/>
        </w:rPr>
      </w:pPr>
      <w:hyperlink w:anchor="_Toc86158452" w:history="1">
        <w:r w:rsidR="000A4DC7" w:rsidRPr="001E54CF">
          <w:rPr>
            <w:rStyle w:val="Hyperlink"/>
          </w:rPr>
          <w:t>4.10</w:t>
        </w:r>
        <w:r w:rsidR="000A4DC7">
          <w:rPr>
            <w:rFonts w:asciiTheme="minorHAnsi" w:eastAsiaTheme="minorEastAsia" w:hAnsiTheme="minorHAnsi" w:cstheme="minorBidi"/>
            <w:sz w:val="22"/>
            <w:szCs w:val="22"/>
            <w:lang w:eastAsia="en-AU"/>
          </w:rPr>
          <w:tab/>
        </w:r>
        <w:r w:rsidR="000A4DC7" w:rsidRPr="001E54CF">
          <w:rPr>
            <w:rStyle w:val="Hyperlink"/>
          </w:rPr>
          <w:t>Unsealed road travel discounts</w:t>
        </w:r>
        <w:r w:rsidR="000A4DC7">
          <w:rPr>
            <w:webHidden/>
          </w:rPr>
          <w:tab/>
        </w:r>
        <w:r w:rsidR="000A4DC7">
          <w:rPr>
            <w:webHidden/>
          </w:rPr>
          <w:fldChar w:fldCharType="begin"/>
        </w:r>
        <w:r w:rsidR="000A4DC7">
          <w:rPr>
            <w:webHidden/>
          </w:rPr>
          <w:instrText xml:space="preserve"> PAGEREF _Toc86158452 \h </w:instrText>
        </w:r>
        <w:r w:rsidR="000A4DC7">
          <w:rPr>
            <w:webHidden/>
          </w:rPr>
        </w:r>
        <w:r w:rsidR="000A4DC7">
          <w:rPr>
            <w:webHidden/>
          </w:rPr>
          <w:fldChar w:fldCharType="separate"/>
        </w:r>
        <w:r w:rsidR="00225EEA">
          <w:rPr>
            <w:webHidden/>
          </w:rPr>
          <w:t>67</w:t>
        </w:r>
        <w:r w:rsidR="000A4DC7">
          <w:rPr>
            <w:webHidden/>
          </w:rPr>
          <w:fldChar w:fldCharType="end"/>
        </w:r>
      </w:hyperlink>
    </w:p>
    <w:p w14:paraId="4801F29A" w14:textId="6000454E" w:rsidR="000A4DC7" w:rsidRDefault="00EB0EE2">
      <w:pPr>
        <w:pStyle w:val="TOC3"/>
        <w:rPr>
          <w:rFonts w:asciiTheme="minorHAnsi" w:eastAsiaTheme="minorEastAsia" w:hAnsiTheme="minorHAnsi" w:cstheme="minorBidi"/>
          <w:sz w:val="22"/>
          <w:szCs w:val="22"/>
          <w:lang w:eastAsia="en-AU"/>
        </w:rPr>
      </w:pPr>
      <w:hyperlink w:anchor="_Toc86158453" w:history="1">
        <w:r w:rsidR="000A4DC7" w:rsidRPr="001E54CF">
          <w:rPr>
            <w:rStyle w:val="Hyperlink"/>
            <w:bCs/>
            <w14:scene3d>
              <w14:camera w14:prst="orthographicFront"/>
              <w14:lightRig w14:rig="threePt" w14:dir="t">
                <w14:rot w14:lat="0" w14:lon="0" w14:rev="0"/>
              </w14:lightRig>
            </w14:scene3d>
          </w:rPr>
          <w:t>4.10.1</w:t>
        </w:r>
        <w:r w:rsidR="000A4DC7">
          <w:rPr>
            <w:rFonts w:asciiTheme="minorHAnsi" w:eastAsiaTheme="minorEastAsia" w:hAnsiTheme="minorHAnsi" w:cstheme="minorBidi"/>
            <w:sz w:val="22"/>
            <w:szCs w:val="22"/>
            <w:lang w:eastAsia="en-AU"/>
          </w:rPr>
          <w:tab/>
        </w:r>
        <w:r w:rsidR="000A4DC7" w:rsidRPr="001E54CF">
          <w:rPr>
            <w:rStyle w:val="Hyperlink"/>
          </w:rPr>
          <w:t>Issues</w:t>
        </w:r>
        <w:r w:rsidR="000A4DC7">
          <w:rPr>
            <w:webHidden/>
          </w:rPr>
          <w:tab/>
        </w:r>
        <w:r w:rsidR="000A4DC7">
          <w:rPr>
            <w:webHidden/>
          </w:rPr>
          <w:fldChar w:fldCharType="begin"/>
        </w:r>
        <w:r w:rsidR="000A4DC7">
          <w:rPr>
            <w:webHidden/>
          </w:rPr>
          <w:instrText xml:space="preserve"> PAGEREF _Toc86158453 \h </w:instrText>
        </w:r>
        <w:r w:rsidR="000A4DC7">
          <w:rPr>
            <w:webHidden/>
          </w:rPr>
        </w:r>
        <w:r w:rsidR="000A4DC7">
          <w:rPr>
            <w:webHidden/>
          </w:rPr>
          <w:fldChar w:fldCharType="separate"/>
        </w:r>
        <w:r w:rsidR="00225EEA">
          <w:rPr>
            <w:webHidden/>
          </w:rPr>
          <w:t>67</w:t>
        </w:r>
        <w:r w:rsidR="000A4DC7">
          <w:rPr>
            <w:webHidden/>
          </w:rPr>
          <w:fldChar w:fldCharType="end"/>
        </w:r>
      </w:hyperlink>
    </w:p>
    <w:p w14:paraId="0DC4C8F4" w14:textId="29D10EC8" w:rsidR="000A4DC7" w:rsidRDefault="00EB0EE2">
      <w:pPr>
        <w:pStyle w:val="TOC3"/>
        <w:rPr>
          <w:rFonts w:asciiTheme="minorHAnsi" w:eastAsiaTheme="minorEastAsia" w:hAnsiTheme="minorHAnsi" w:cstheme="minorBidi"/>
          <w:sz w:val="22"/>
          <w:szCs w:val="22"/>
          <w:lang w:eastAsia="en-AU"/>
        </w:rPr>
      </w:pPr>
      <w:hyperlink w:anchor="_Toc86158454" w:history="1">
        <w:r w:rsidR="000A4DC7" w:rsidRPr="001E54CF">
          <w:rPr>
            <w:rStyle w:val="Hyperlink"/>
            <w:bCs/>
            <w14:scene3d>
              <w14:camera w14:prst="orthographicFront"/>
              <w14:lightRig w14:rig="threePt" w14:dir="t">
                <w14:rot w14:lat="0" w14:lon="0" w14:rev="0"/>
              </w14:lightRig>
            </w14:scene3d>
          </w:rPr>
          <w:t>4.10.2</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_Toc86158454 \h </w:instrText>
        </w:r>
        <w:r w:rsidR="000A4DC7">
          <w:rPr>
            <w:webHidden/>
          </w:rPr>
        </w:r>
        <w:r w:rsidR="000A4DC7">
          <w:rPr>
            <w:webHidden/>
          </w:rPr>
          <w:fldChar w:fldCharType="separate"/>
        </w:r>
        <w:r w:rsidR="00225EEA">
          <w:rPr>
            <w:webHidden/>
          </w:rPr>
          <w:t>67</w:t>
        </w:r>
        <w:r w:rsidR="000A4DC7">
          <w:rPr>
            <w:webHidden/>
          </w:rPr>
          <w:fldChar w:fldCharType="end"/>
        </w:r>
      </w:hyperlink>
    </w:p>
    <w:p w14:paraId="515DE54C" w14:textId="72DE471C" w:rsidR="000A4DC7" w:rsidRDefault="00EB0EE2">
      <w:pPr>
        <w:pStyle w:val="TOC3"/>
        <w:rPr>
          <w:rFonts w:asciiTheme="minorHAnsi" w:eastAsiaTheme="minorEastAsia" w:hAnsiTheme="minorHAnsi" w:cstheme="minorBidi"/>
          <w:sz w:val="22"/>
          <w:szCs w:val="22"/>
          <w:lang w:eastAsia="en-AU"/>
        </w:rPr>
      </w:pPr>
      <w:hyperlink w:anchor="_Toc86158455" w:history="1">
        <w:r w:rsidR="000A4DC7" w:rsidRPr="001E54CF">
          <w:rPr>
            <w:rStyle w:val="Hyperlink"/>
            <w:bCs/>
            <w14:scene3d>
              <w14:camera w14:prst="orthographicFront"/>
              <w14:lightRig w14:rig="threePt" w14:dir="t">
                <w14:rot w14:lat="0" w14:lon="0" w14:rev="0"/>
              </w14:lightRig>
            </w14:scene3d>
          </w:rPr>
          <w:t>4.10.3</w:t>
        </w:r>
        <w:r w:rsidR="000A4DC7">
          <w:rPr>
            <w:rFonts w:asciiTheme="minorHAnsi" w:eastAsiaTheme="minorEastAsia" w:hAnsiTheme="minorHAnsi" w:cstheme="minorBidi"/>
            <w:sz w:val="22"/>
            <w:szCs w:val="22"/>
            <w:lang w:eastAsia="en-AU"/>
          </w:rPr>
          <w:tab/>
        </w:r>
        <w:r w:rsidR="000A4DC7" w:rsidRPr="001E54CF">
          <w:rPr>
            <w:rStyle w:val="Hyperlink"/>
          </w:rPr>
          <w:t>How the discount is applied</w:t>
        </w:r>
        <w:r w:rsidR="000A4DC7">
          <w:rPr>
            <w:webHidden/>
          </w:rPr>
          <w:tab/>
        </w:r>
        <w:r w:rsidR="000A4DC7">
          <w:rPr>
            <w:webHidden/>
          </w:rPr>
          <w:fldChar w:fldCharType="begin"/>
        </w:r>
        <w:r w:rsidR="000A4DC7">
          <w:rPr>
            <w:webHidden/>
          </w:rPr>
          <w:instrText xml:space="preserve"> PAGEREF _Toc86158455 \h </w:instrText>
        </w:r>
        <w:r w:rsidR="000A4DC7">
          <w:rPr>
            <w:webHidden/>
          </w:rPr>
        </w:r>
        <w:r w:rsidR="000A4DC7">
          <w:rPr>
            <w:webHidden/>
          </w:rPr>
          <w:fldChar w:fldCharType="separate"/>
        </w:r>
        <w:r w:rsidR="00225EEA">
          <w:rPr>
            <w:webHidden/>
          </w:rPr>
          <w:t>68</w:t>
        </w:r>
        <w:r w:rsidR="000A4DC7">
          <w:rPr>
            <w:webHidden/>
          </w:rPr>
          <w:fldChar w:fldCharType="end"/>
        </w:r>
      </w:hyperlink>
    </w:p>
    <w:p w14:paraId="1A327857" w14:textId="3E3925C5" w:rsidR="000A4DC7" w:rsidRDefault="00EB0EE2">
      <w:pPr>
        <w:pStyle w:val="TOC3"/>
        <w:rPr>
          <w:rFonts w:asciiTheme="minorHAnsi" w:eastAsiaTheme="minorEastAsia" w:hAnsiTheme="minorHAnsi" w:cstheme="minorBidi"/>
          <w:sz w:val="22"/>
          <w:szCs w:val="22"/>
          <w:lang w:eastAsia="en-AU"/>
        </w:rPr>
      </w:pPr>
      <w:hyperlink w:anchor="_Toc86158456" w:history="1">
        <w:r w:rsidR="000A4DC7" w:rsidRPr="001E54CF">
          <w:rPr>
            <w:rStyle w:val="Hyperlink"/>
            <w:bCs/>
            <w14:scene3d>
              <w14:camera w14:prst="orthographicFront"/>
              <w14:lightRig w14:rig="threePt" w14:dir="t">
                <w14:rot w14:lat="0" w14:lon="0" w14:rev="0"/>
              </w14:lightRig>
            </w14:scene3d>
          </w:rPr>
          <w:t>4.10.4</w:t>
        </w:r>
        <w:r w:rsidR="000A4DC7">
          <w:rPr>
            <w:rFonts w:asciiTheme="minorHAnsi" w:eastAsiaTheme="minorEastAsia" w:hAnsiTheme="minorHAnsi" w:cstheme="minorBidi"/>
            <w:sz w:val="22"/>
            <w:szCs w:val="22"/>
            <w:lang w:eastAsia="en-AU"/>
          </w:rPr>
          <w:tab/>
        </w:r>
        <w:r w:rsidR="000A4DC7" w:rsidRPr="001E54CF">
          <w:rPr>
            <w:rStyle w:val="Hyperlink"/>
          </w:rPr>
          <w:t>Impacts</w:t>
        </w:r>
        <w:r w:rsidR="000A4DC7">
          <w:rPr>
            <w:webHidden/>
          </w:rPr>
          <w:tab/>
        </w:r>
        <w:r w:rsidR="000A4DC7">
          <w:rPr>
            <w:webHidden/>
          </w:rPr>
          <w:fldChar w:fldCharType="begin"/>
        </w:r>
        <w:r w:rsidR="000A4DC7">
          <w:rPr>
            <w:webHidden/>
          </w:rPr>
          <w:instrText xml:space="preserve"> PAGEREF _Toc86158456 \h </w:instrText>
        </w:r>
        <w:r w:rsidR="000A4DC7">
          <w:rPr>
            <w:webHidden/>
          </w:rPr>
        </w:r>
        <w:r w:rsidR="000A4DC7">
          <w:rPr>
            <w:webHidden/>
          </w:rPr>
          <w:fldChar w:fldCharType="separate"/>
        </w:r>
        <w:r w:rsidR="00225EEA">
          <w:rPr>
            <w:webHidden/>
          </w:rPr>
          <w:t>68</w:t>
        </w:r>
        <w:r w:rsidR="000A4DC7">
          <w:rPr>
            <w:webHidden/>
          </w:rPr>
          <w:fldChar w:fldCharType="end"/>
        </w:r>
      </w:hyperlink>
    </w:p>
    <w:p w14:paraId="1D3F7261" w14:textId="6651BF6A" w:rsidR="000A4DC7" w:rsidRDefault="00EB0EE2">
      <w:pPr>
        <w:pStyle w:val="TOC3"/>
        <w:rPr>
          <w:rFonts w:asciiTheme="minorHAnsi" w:eastAsiaTheme="minorEastAsia" w:hAnsiTheme="minorHAnsi" w:cstheme="minorBidi"/>
          <w:sz w:val="22"/>
          <w:szCs w:val="22"/>
          <w:lang w:eastAsia="en-AU"/>
        </w:rPr>
      </w:pPr>
      <w:hyperlink w:anchor="_Toc86158457" w:history="1">
        <w:r w:rsidR="000A4DC7" w:rsidRPr="001E54CF">
          <w:rPr>
            <w:rStyle w:val="Hyperlink"/>
            <w:bCs/>
            <w14:scene3d>
              <w14:camera w14:prst="orthographicFront"/>
              <w14:lightRig w14:rig="threePt" w14:dir="t">
                <w14:rot w14:lat="0" w14:lon="0" w14:rev="0"/>
              </w14:lightRig>
            </w14:scene3d>
          </w:rPr>
          <w:t>4.10.5</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_Toc86158457 \h </w:instrText>
        </w:r>
        <w:r w:rsidR="000A4DC7">
          <w:rPr>
            <w:webHidden/>
          </w:rPr>
        </w:r>
        <w:r w:rsidR="000A4DC7">
          <w:rPr>
            <w:webHidden/>
          </w:rPr>
          <w:fldChar w:fldCharType="separate"/>
        </w:r>
        <w:r w:rsidR="00225EEA">
          <w:rPr>
            <w:webHidden/>
          </w:rPr>
          <w:t>68</w:t>
        </w:r>
        <w:r w:rsidR="000A4DC7">
          <w:rPr>
            <w:webHidden/>
          </w:rPr>
          <w:fldChar w:fldCharType="end"/>
        </w:r>
      </w:hyperlink>
    </w:p>
    <w:p w14:paraId="2613C5BC" w14:textId="6AAFBEF9" w:rsidR="000A4DC7" w:rsidRDefault="00EB0EE2">
      <w:pPr>
        <w:pStyle w:val="TOC3"/>
        <w:rPr>
          <w:rFonts w:asciiTheme="minorHAnsi" w:eastAsiaTheme="minorEastAsia" w:hAnsiTheme="minorHAnsi" w:cstheme="minorBidi"/>
          <w:sz w:val="22"/>
          <w:szCs w:val="22"/>
          <w:lang w:eastAsia="en-AU"/>
        </w:rPr>
      </w:pPr>
      <w:hyperlink w:anchor="_Toc86158458" w:history="1">
        <w:r w:rsidR="000A4DC7" w:rsidRPr="001E54CF">
          <w:rPr>
            <w:rStyle w:val="Hyperlink"/>
            <w:bCs/>
            <w14:scene3d>
              <w14:camera w14:prst="orthographicFront"/>
              <w14:lightRig w14:rig="threePt" w14:dir="t">
                <w14:rot w14:lat="0" w14:lon="0" w14:rev="0"/>
              </w14:lightRig>
            </w14:scene3d>
          </w:rPr>
          <w:t>4.10.6</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_Toc86158458 \h </w:instrText>
        </w:r>
        <w:r w:rsidR="000A4DC7">
          <w:rPr>
            <w:webHidden/>
          </w:rPr>
        </w:r>
        <w:r w:rsidR="000A4DC7">
          <w:rPr>
            <w:webHidden/>
          </w:rPr>
          <w:fldChar w:fldCharType="separate"/>
        </w:r>
        <w:r w:rsidR="00225EEA">
          <w:rPr>
            <w:webHidden/>
          </w:rPr>
          <w:t>68</w:t>
        </w:r>
        <w:r w:rsidR="000A4DC7">
          <w:rPr>
            <w:webHidden/>
          </w:rPr>
          <w:fldChar w:fldCharType="end"/>
        </w:r>
      </w:hyperlink>
    </w:p>
    <w:p w14:paraId="5F95969C" w14:textId="398C8332" w:rsidR="000A4DC7" w:rsidRDefault="00EB0EE2">
      <w:pPr>
        <w:pStyle w:val="TOC2"/>
        <w:rPr>
          <w:rFonts w:asciiTheme="minorHAnsi" w:eastAsiaTheme="minorEastAsia" w:hAnsiTheme="minorHAnsi" w:cstheme="minorBidi"/>
          <w:sz w:val="22"/>
          <w:szCs w:val="22"/>
          <w:lang w:eastAsia="en-AU"/>
        </w:rPr>
      </w:pPr>
      <w:hyperlink w:anchor="_Toc86158459" w:history="1">
        <w:r w:rsidR="000A4DC7" w:rsidRPr="001E54CF">
          <w:rPr>
            <w:rStyle w:val="Hyperlink"/>
          </w:rPr>
          <w:t>4.11</w:t>
        </w:r>
        <w:r w:rsidR="000A4DC7">
          <w:rPr>
            <w:rFonts w:asciiTheme="minorHAnsi" w:eastAsiaTheme="minorEastAsia" w:hAnsiTheme="minorHAnsi" w:cstheme="minorBidi"/>
            <w:sz w:val="22"/>
            <w:szCs w:val="22"/>
            <w:lang w:eastAsia="en-AU"/>
          </w:rPr>
          <w:tab/>
        </w:r>
        <w:r w:rsidR="000A4DC7" w:rsidRPr="001E54CF">
          <w:rPr>
            <w:rStyle w:val="Hyperlink"/>
          </w:rPr>
          <w:t>Community service obligations discount</w:t>
        </w:r>
        <w:r w:rsidR="000A4DC7">
          <w:rPr>
            <w:webHidden/>
          </w:rPr>
          <w:tab/>
        </w:r>
        <w:r w:rsidR="000A4DC7">
          <w:rPr>
            <w:webHidden/>
          </w:rPr>
          <w:fldChar w:fldCharType="begin"/>
        </w:r>
        <w:r w:rsidR="000A4DC7">
          <w:rPr>
            <w:webHidden/>
          </w:rPr>
          <w:instrText xml:space="preserve"> PAGEREF _Toc86158459 \h </w:instrText>
        </w:r>
        <w:r w:rsidR="000A4DC7">
          <w:rPr>
            <w:webHidden/>
          </w:rPr>
        </w:r>
        <w:r w:rsidR="000A4DC7">
          <w:rPr>
            <w:webHidden/>
          </w:rPr>
          <w:fldChar w:fldCharType="separate"/>
        </w:r>
        <w:r w:rsidR="00225EEA">
          <w:rPr>
            <w:webHidden/>
          </w:rPr>
          <w:t>69</w:t>
        </w:r>
        <w:r w:rsidR="000A4DC7">
          <w:rPr>
            <w:webHidden/>
          </w:rPr>
          <w:fldChar w:fldCharType="end"/>
        </w:r>
      </w:hyperlink>
    </w:p>
    <w:p w14:paraId="08BFCC4C" w14:textId="201A8492" w:rsidR="000A4DC7" w:rsidRDefault="00EB0EE2">
      <w:pPr>
        <w:pStyle w:val="TOC3"/>
        <w:rPr>
          <w:rFonts w:asciiTheme="minorHAnsi" w:eastAsiaTheme="minorEastAsia" w:hAnsiTheme="minorHAnsi" w:cstheme="minorBidi"/>
          <w:sz w:val="22"/>
          <w:szCs w:val="22"/>
          <w:lang w:eastAsia="en-AU"/>
        </w:rPr>
      </w:pPr>
      <w:hyperlink w:anchor="_Toc86158460" w:history="1">
        <w:r w:rsidR="000A4DC7" w:rsidRPr="001E54CF">
          <w:rPr>
            <w:rStyle w:val="Hyperlink"/>
            <w:bCs/>
            <w14:scene3d>
              <w14:camera w14:prst="orthographicFront"/>
              <w14:lightRig w14:rig="threePt" w14:dir="t">
                <w14:rot w14:lat="0" w14:lon="0" w14:rev="0"/>
              </w14:lightRig>
            </w14:scene3d>
          </w:rPr>
          <w:t>4.11.1</w:t>
        </w:r>
        <w:r w:rsidR="000A4DC7">
          <w:rPr>
            <w:rFonts w:asciiTheme="minorHAnsi" w:eastAsiaTheme="minorEastAsia" w:hAnsiTheme="minorHAnsi" w:cstheme="minorBidi"/>
            <w:sz w:val="22"/>
            <w:szCs w:val="22"/>
            <w:lang w:eastAsia="en-AU"/>
          </w:rPr>
          <w:tab/>
        </w:r>
        <w:r w:rsidR="000A4DC7" w:rsidRPr="001E54CF">
          <w:rPr>
            <w:rStyle w:val="Hyperlink"/>
          </w:rPr>
          <w:t>Issue</w:t>
        </w:r>
        <w:r w:rsidR="000A4DC7">
          <w:rPr>
            <w:webHidden/>
          </w:rPr>
          <w:tab/>
        </w:r>
        <w:r w:rsidR="000A4DC7">
          <w:rPr>
            <w:webHidden/>
          </w:rPr>
          <w:fldChar w:fldCharType="begin"/>
        </w:r>
        <w:r w:rsidR="000A4DC7">
          <w:rPr>
            <w:webHidden/>
          </w:rPr>
          <w:instrText xml:space="preserve"> PAGEREF _Toc86158460 \h </w:instrText>
        </w:r>
        <w:r w:rsidR="000A4DC7">
          <w:rPr>
            <w:webHidden/>
          </w:rPr>
        </w:r>
        <w:r w:rsidR="000A4DC7">
          <w:rPr>
            <w:webHidden/>
          </w:rPr>
          <w:fldChar w:fldCharType="separate"/>
        </w:r>
        <w:r w:rsidR="00225EEA">
          <w:rPr>
            <w:webHidden/>
          </w:rPr>
          <w:t>69</w:t>
        </w:r>
        <w:r w:rsidR="000A4DC7">
          <w:rPr>
            <w:webHidden/>
          </w:rPr>
          <w:fldChar w:fldCharType="end"/>
        </w:r>
      </w:hyperlink>
    </w:p>
    <w:p w14:paraId="410D291F" w14:textId="607A58C2" w:rsidR="000A4DC7" w:rsidRDefault="00EB0EE2">
      <w:pPr>
        <w:pStyle w:val="TOC3"/>
        <w:rPr>
          <w:rFonts w:asciiTheme="minorHAnsi" w:eastAsiaTheme="minorEastAsia" w:hAnsiTheme="minorHAnsi" w:cstheme="minorBidi"/>
          <w:sz w:val="22"/>
          <w:szCs w:val="22"/>
          <w:lang w:eastAsia="en-AU"/>
        </w:rPr>
      </w:pPr>
      <w:hyperlink w:anchor="_Toc86158461" w:history="1">
        <w:r w:rsidR="000A4DC7" w:rsidRPr="001E54CF">
          <w:rPr>
            <w:rStyle w:val="Hyperlink"/>
            <w:bCs/>
            <w14:scene3d>
              <w14:camera w14:prst="orthographicFront"/>
              <w14:lightRig w14:rig="threePt" w14:dir="t">
                <w14:rot w14:lat="0" w14:lon="0" w14:rev="0"/>
              </w14:lightRig>
            </w14:scene3d>
          </w:rPr>
          <w:t>4.11.2</w:t>
        </w:r>
        <w:r w:rsidR="000A4DC7">
          <w:rPr>
            <w:rFonts w:asciiTheme="minorHAnsi" w:eastAsiaTheme="minorEastAsia" w:hAnsiTheme="minorHAnsi" w:cstheme="minorBidi"/>
            <w:sz w:val="22"/>
            <w:szCs w:val="22"/>
            <w:lang w:eastAsia="en-AU"/>
          </w:rPr>
          <w:tab/>
        </w:r>
        <w:r w:rsidR="000A4DC7" w:rsidRPr="001E54CF">
          <w:rPr>
            <w:rStyle w:val="Hyperlink"/>
          </w:rPr>
          <w:t>Analysis and impacts</w:t>
        </w:r>
        <w:r w:rsidR="000A4DC7">
          <w:rPr>
            <w:webHidden/>
          </w:rPr>
          <w:tab/>
        </w:r>
        <w:r w:rsidR="000A4DC7">
          <w:rPr>
            <w:webHidden/>
          </w:rPr>
          <w:fldChar w:fldCharType="begin"/>
        </w:r>
        <w:r w:rsidR="000A4DC7">
          <w:rPr>
            <w:webHidden/>
          </w:rPr>
          <w:instrText xml:space="preserve"> PAGEREF _Toc86158461 \h </w:instrText>
        </w:r>
        <w:r w:rsidR="000A4DC7">
          <w:rPr>
            <w:webHidden/>
          </w:rPr>
        </w:r>
        <w:r w:rsidR="000A4DC7">
          <w:rPr>
            <w:webHidden/>
          </w:rPr>
          <w:fldChar w:fldCharType="separate"/>
        </w:r>
        <w:r w:rsidR="00225EEA">
          <w:rPr>
            <w:webHidden/>
          </w:rPr>
          <w:t>69</w:t>
        </w:r>
        <w:r w:rsidR="000A4DC7">
          <w:rPr>
            <w:webHidden/>
          </w:rPr>
          <w:fldChar w:fldCharType="end"/>
        </w:r>
      </w:hyperlink>
    </w:p>
    <w:p w14:paraId="30EF55DE" w14:textId="6DA20640" w:rsidR="000A4DC7" w:rsidRDefault="00EB0EE2">
      <w:pPr>
        <w:pStyle w:val="TOC3"/>
        <w:rPr>
          <w:rFonts w:asciiTheme="minorHAnsi" w:eastAsiaTheme="minorEastAsia" w:hAnsiTheme="minorHAnsi" w:cstheme="minorBidi"/>
          <w:sz w:val="22"/>
          <w:szCs w:val="22"/>
          <w:lang w:eastAsia="en-AU"/>
        </w:rPr>
      </w:pPr>
      <w:hyperlink w:anchor="_Toc86158462" w:history="1">
        <w:r w:rsidR="000A4DC7" w:rsidRPr="001E54CF">
          <w:rPr>
            <w:rStyle w:val="Hyperlink"/>
            <w:bCs/>
            <w14:scene3d>
              <w14:camera w14:prst="orthographicFront"/>
              <w14:lightRig w14:rig="threePt" w14:dir="t">
                <w14:rot w14:lat="0" w14:lon="0" w14:rev="0"/>
              </w14:lightRig>
            </w14:scene3d>
          </w:rPr>
          <w:t>4.11.3</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_Toc86158462 \h </w:instrText>
        </w:r>
        <w:r w:rsidR="000A4DC7">
          <w:rPr>
            <w:webHidden/>
          </w:rPr>
        </w:r>
        <w:r w:rsidR="000A4DC7">
          <w:rPr>
            <w:webHidden/>
          </w:rPr>
          <w:fldChar w:fldCharType="separate"/>
        </w:r>
        <w:r w:rsidR="00225EEA">
          <w:rPr>
            <w:webHidden/>
          </w:rPr>
          <w:t>69</w:t>
        </w:r>
        <w:r w:rsidR="000A4DC7">
          <w:rPr>
            <w:webHidden/>
          </w:rPr>
          <w:fldChar w:fldCharType="end"/>
        </w:r>
      </w:hyperlink>
    </w:p>
    <w:p w14:paraId="68BDE3B0" w14:textId="7739DDB7" w:rsidR="000A4DC7" w:rsidRDefault="00EB0EE2">
      <w:pPr>
        <w:pStyle w:val="TOC3"/>
        <w:rPr>
          <w:rFonts w:asciiTheme="minorHAnsi" w:eastAsiaTheme="minorEastAsia" w:hAnsiTheme="minorHAnsi" w:cstheme="minorBidi"/>
          <w:sz w:val="22"/>
          <w:szCs w:val="22"/>
          <w:lang w:eastAsia="en-AU"/>
        </w:rPr>
      </w:pPr>
      <w:hyperlink w:anchor="_Toc86158463" w:history="1">
        <w:r w:rsidR="000A4DC7" w:rsidRPr="001E54CF">
          <w:rPr>
            <w:rStyle w:val="Hyperlink"/>
            <w:bCs/>
            <w14:scene3d>
              <w14:camera w14:prst="orthographicFront"/>
              <w14:lightRig w14:rig="threePt" w14:dir="t">
                <w14:rot w14:lat="0" w14:lon="0" w14:rev="0"/>
              </w14:lightRig>
            </w14:scene3d>
          </w:rPr>
          <w:t>4.11.4</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_Toc86158463 \h </w:instrText>
        </w:r>
        <w:r w:rsidR="000A4DC7">
          <w:rPr>
            <w:webHidden/>
          </w:rPr>
        </w:r>
        <w:r w:rsidR="000A4DC7">
          <w:rPr>
            <w:webHidden/>
          </w:rPr>
          <w:fldChar w:fldCharType="separate"/>
        </w:r>
        <w:r w:rsidR="00225EEA">
          <w:rPr>
            <w:webHidden/>
          </w:rPr>
          <w:t>69</w:t>
        </w:r>
        <w:r w:rsidR="000A4DC7">
          <w:rPr>
            <w:webHidden/>
          </w:rPr>
          <w:fldChar w:fldCharType="end"/>
        </w:r>
      </w:hyperlink>
    </w:p>
    <w:p w14:paraId="57D4C010" w14:textId="2F4AD9C6" w:rsidR="000A4DC7" w:rsidRDefault="00EB0EE2">
      <w:pPr>
        <w:pStyle w:val="TOC2"/>
        <w:rPr>
          <w:rFonts w:asciiTheme="minorHAnsi" w:eastAsiaTheme="minorEastAsia" w:hAnsiTheme="minorHAnsi" w:cstheme="minorBidi"/>
          <w:sz w:val="22"/>
          <w:szCs w:val="22"/>
          <w:lang w:eastAsia="en-AU"/>
        </w:rPr>
      </w:pPr>
      <w:hyperlink w:anchor="_Toc86158464" w:history="1">
        <w:r w:rsidR="000A4DC7" w:rsidRPr="001E54CF">
          <w:rPr>
            <w:rStyle w:val="Hyperlink"/>
          </w:rPr>
          <w:t>4.12</w:t>
        </w:r>
        <w:r w:rsidR="000A4DC7">
          <w:rPr>
            <w:rFonts w:asciiTheme="minorHAnsi" w:eastAsiaTheme="minorEastAsia" w:hAnsiTheme="minorHAnsi" w:cstheme="minorBidi"/>
            <w:sz w:val="22"/>
            <w:szCs w:val="22"/>
            <w:lang w:eastAsia="en-AU"/>
          </w:rPr>
          <w:tab/>
        </w:r>
        <w:r w:rsidR="000A4DC7" w:rsidRPr="001E54CF">
          <w:rPr>
            <w:rStyle w:val="Hyperlink"/>
          </w:rPr>
          <w:t>Heavy vehicle concessions</w:t>
        </w:r>
        <w:r w:rsidR="000A4DC7">
          <w:rPr>
            <w:webHidden/>
          </w:rPr>
          <w:tab/>
        </w:r>
        <w:r w:rsidR="000A4DC7">
          <w:rPr>
            <w:webHidden/>
          </w:rPr>
          <w:fldChar w:fldCharType="begin"/>
        </w:r>
        <w:r w:rsidR="000A4DC7">
          <w:rPr>
            <w:webHidden/>
          </w:rPr>
          <w:instrText xml:space="preserve"> PAGEREF _Toc86158464 \h </w:instrText>
        </w:r>
        <w:r w:rsidR="000A4DC7">
          <w:rPr>
            <w:webHidden/>
          </w:rPr>
        </w:r>
        <w:r w:rsidR="000A4DC7">
          <w:rPr>
            <w:webHidden/>
          </w:rPr>
          <w:fldChar w:fldCharType="separate"/>
        </w:r>
        <w:r w:rsidR="00225EEA">
          <w:rPr>
            <w:webHidden/>
          </w:rPr>
          <w:t>70</w:t>
        </w:r>
        <w:r w:rsidR="000A4DC7">
          <w:rPr>
            <w:webHidden/>
          </w:rPr>
          <w:fldChar w:fldCharType="end"/>
        </w:r>
      </w:hyperlink>
    </w:p>
    <w:p w14:paraId="17D8F996" w14:textId="108B6BD4" w:rsidR="000A4DC7" w:rsidRDefault="00EB0EE2">
      <w:pPr>
        <w:pStyle w:val="TOC2"/>
        <w:rPr>
          <w:rFonts w:asciiTheme="minorHAnsi" w:eastAsiaTheme="minorEastAsia" w:hAnsiTheme="minorHAnsi" w:cstheme="minorBidi"/>
          <w:sz w:val="22"/>
          <w:szCs w:val="22"/>
          <w:lang w:eastAsia="en-AU"/>
        </w:rPr>
      </w:pPr>
      <w:hyperlink w:anchor="_Toc86158465" w:history="1">
        <w:r w:rsidR="000A4DC7" w:rsidRPr="001E54CF">
          <w:rPr>
            <w:rStyle w:val="Hyperlink"/>
          </w:rPr>
          <w:t>4.13</w:t>
        </w:r>
        <w:r w:rsidR="000A4DC7">
          <w:rPr>
            <w:rFonts w:asciiTheme="minorHAnsi" w:eastAsiaTheme="minorEastAsia" w:hAnsiTheme="minorHAnsi" w:cstheme="minorBidi"/>
            <w:sz w:val="22"/>
            <w:szCs w:val="22"/>
            <w:lang w:eastAsia="en-AU"/>
          </w:rPr>
          <w:tab/>
        </w:r>
        <w:r w:rsidR="000A4DC7" w:rsidRPr="001E54CF">
          <w:rPr>
            <w:rStyle w:val="Hyperlink"/>
          </w:rPr>
          <w:t>Electric heavy vehicles</w:t>
        </w:r>
        <w:r w:rsidR="000A4DC7">
          <w:rPr>
            <w:webHidden/>
          </w:rPr>
          <w:tab/>
        </w:r>
        <w:r w:rsidR="000A4DC7">
          <w:rPr>
            <w:webHidden/>
          </w:rPr>
          <w:fldChar w:fldCharType="begin"/>
        </w:r>
        <w:r w:rsidR="000A4DC7">
          <w:rPr>
            <w:webHidden/>
          </w:rPr>
          <w:instrText xml:space="preserve"> PAGEREF _Toc86158465 \h </w:instrText>
        </w:r>
        <w:r w:rsidR="000A4DC7">
          <w:rPr>
            <w:webHidden/>
          </w:rPr>
        </w:r>
        <w:r w:rsidR="000A4DC7">
          <w:rPr>
            <w:webHidden/>
          </w:rPr>
          <w:fldChar w:fldCharType="separate"/>
        </w:r>
        <w:r w:rsidR="00225EEA">
          <w:rPr>
            <w:webHidden/>
          </w:rPr>
          <w:t>70</w:t>
        </w:r>
        <w:r w:rsidR="000A4DC7">
          <w:rPr>
            <w:webHidden/>
          </w:rPr>
          <w:fldChar w:fldCharType="end"/>
        </w:r>
      </w:hyperlink>
    </w:p>
    <w:p w14:paraId="79EBA5D0" w14:textId="5448518C" w:rsidR="000A4DC7" w:rsidRDefault="00EB0EE2">
      <w:pPr>
        <w:pStyle w:val="TOC3"/>
        <w:rPr>
          <w:rFonts w:asciiTheme="minorHAnsi" w:eastAsiaTheme="minorEastAsia" w:hAnsiTheme="minorHAnsi" w:cstheme="minorBidi"/>
          <w:sz w:val="22"/>
          <w:szCs w:val="22"/>
          <w:lang w:eastAsia="en-AU"/>
        </w:rPr>
      </w:pPr>
      <w:hyperlink w:anchor="_Toc86158466" w:history="1">
        <w:r w:rsidR="000A4DC7" w:rsidRPr="001E54CF">
          <w:rPr>
            <w:rStyle w:val="Hyperlink"/>
            <w:bCs/>
            <w14:scene3d>
              <w14:camera w14:prst="orthographicFront"/>
              <w14:lightRig w14:rig="threePt" w14:dir="t">
                <w14:rot w14:lat="0" w14:lon="0" w14:rev="0"/>
              </w14:lightRig>
            </w14:scene3d>
          </w:rPr>
          <w:t>4.13.1</w:t>
        </w:r>
        <w:r w:rsidR="000A4DC7">
          <w:rPr>
            <w:rFonts w:asciiTheme="minorHAnsi" w:eastAsiaTheme="minorEastAsia" w:hAnsiTheme="minorHAnsi" w:cstheme="minorBidi"/>
            <w:sz w:val="22"/>
            <w:szCs w:val="22"/>
            <w:lang w:eastAsia="en-AU"/>
          </w:rPr>
          <w:tab/>
        </w:r>
        <w:r w:rsidR="000A4DC7" w:rsidRPr="001E54CF">
          <w:rPr>
            <w:rStyle w:val="Hyperlink"/>
          </w:rPr>
          <w:t>Issues</w:t>
        </w:r>
        <w:r w:rsidR="000A4DC7">
          <w:rPr>
            <w:webHidden/>
          </w:rPr>
          <w:tab/>
        </w:r>
        <w:r w:rsidR="000A4DC7">
          <w:rPr>
            <w:webHidden/>
          </w:rPr>
          <w:fldChar w:fldCharType="begin"/>
        </w:r>
        <w:r w:rsidR="000A4DC7">
          <w:rPr>
            <w:webHidden/>
          </w:rPr>
          <w:instrText xml:space="preserve"> PAGEREF _Toc86158466 \h </w:instrText>
        </w:r>
        <w:r w:rsidR="000A4DC7">
          <w:rPr>
            <w:webHidden/>
          </w:rPr>
        </w:r>
        <w:r w:rsidR="000A4DC7">
          <w:rPr>
            <w:webHidden/>
          </w:rPr>
          <w:fldChar w:fldCharType="separate"/>
        </w:r>
        <w:r w:rsidR="00225EEA">
          <w:rPr>
            <w:webHidden/>
          </w:rPr>
          <w:t>70</w:t>
        </w:r>
        <w:r w:rsidR="000A4DC7">
          <w:rPr>
            <w:webHidden/>
          </w:rPr>
          <w:fldChar w:fldCharType="end"/>
        </w:r>
      </w:hyperlink>
    </w:p>
    <w:p w14:paraId="604510D9" w14:textId="7EBFDC31" w:rsidR="000A4DC7" w:rsidRDefault="00EB0EE2">
      <w:pPr>
        <w:pStyle w:val="TOC3"/>
        <w:rPr>
          <w:rFonts w:asciiTheme="minorHAnsi" w:eastAsiaTheme="minorEastAsia" w:hAnsiTheme="minorHAnsi" w:cstheme="minorBidi"/>
          <w:sz w:val="22"/>
          <w:szCs w:val="22"/>
          <w:lang w:eastAsia="en-AU"/>
        </w:rPr>
      </w:pPr>
      <w:hyperlink w:anchor="_Toc86158467" w:history="1">
        <w:r w:rsidR="000A4DC7" w:rsidRPr="001E54CF">
          <w:rPr>
            <w:rStyle w:val="Hyperlink"/>
            <w:bCs/>
            <w14:scene3d>
              <w14:camera w14:prst="orthographicFront"/>
              <w14:lightRig w14:rig="threePt" w14:dir="t">
                <w14:rot w14:lat="0" w14:lon="0" w14:rev="0"/>
              </w14:lightRig>
            </w14:scene3d>
          </w:rPr>
          <w:t>4.13.2</w:t>
        </w:r>
        <w:r w:rsidR="000A4DC7">
          <w:rPr>
            <w:rFonts w:asciiTheme="minorHAnsi" w:eastAsiaTheme="minorEastAsia" w:hAnsiTheme="minorHAnsi" w:cstheme="minorBidi"/>
            <w:sz w:val="22"/>
            <w:szCs w:val="22"/>
            <w:lang w:eastAsia="en-AU"/>
          </w:rPr>
          <w:tab/>
        </w:r>
        <w:r w:rsidR="000A4DC7" w:rsidRPr="001E54CF">
          <w:rPr>
            <w:rStyle w:val="Hyperlink"/>
          </w:rPr>
          <w:t>The current electric heavy vehicle fleet</w:t>
        </w:r>
        <w:r w:rsidR="000A4DC7">
          <w:rPr>
            <w:webHidden/>
          </w:rPr>
          <w:tab/>
        </w:r>
        <w:r w:rsidR="000A4DC7">
          <w:rPr>
            <w:webHidden/>
          </w:rPr>
          <w:fldChar w:fldCharType="begin"/>
        </w:r>
        <w:r w:rsidR="000A4DC7">
          <w:rPr>
            <w:webHidden/>
          </w:rPr>
          <w:instrText xml:space="preserve"> PAGEREF _Toc86158467 \h </w:instrText>
        </w:r>
        <w:r w:rsidR="000A4DC7">
          <w:rPr>
            <w:webHidden/>
          </w:rPr>
        </w:r>
        <w:r w:rsidR="000A4DC7">
          <w:rPr>
            <w:webHidden/>
          </w:rPr>
          <w:fldChar w:fldCharType="separate"/>
        </w:r>
        <w:r w:rsidR="00225EEA">
          <w:rPr>
            <w:webHidden/>
          </w:rPr>
          <w:t>70</w:t>
        </w:r>
        <w:r w:rsidR="000A4DC7">
          <w:rPr>
            <w:webHidden/>
          </w:rPr>
          <w:fldChar w:fldCharType="end"/>
        </w:r>
      </w:hyperlink>
    </w:p>
    <w:p w14:paraId="54A45170" w14:textId="439F36F9" w:rsidR="000A4DC7" w:rsidRDefault="00EB0EE2">
      <w:pPr>
        <w:pStyle w:val="TOC3"/>
        <w:rPr>
          <w:rFonts w:asciiTheme="minorHAnsi" w:eastAsiaTheme="minorEastAsia" w:hAnsiTheme="minorHAnsi" w:cstheme="minorBidi"/>
          <w:sz w:val="22"/>
          <w:szCs w:val="22"/>
          <w:lang w:eastAsia="en-AU"/>
        </w:rPr>
      </w:pPr>
      <w:hyperlink w:anchor="_Toc86158468" w:history="1">
        <w:r w:rsidR="000A4DC7" w:rsidRPr="001E54CF">
          <w:rPr>
            <w:rStyle w:val="Hyperlink"/>
            <w:bCs/>
            <w14:scene3d>
              <w14:camera w14:prst="orthographicFront"/>
              <w14:lightRig w14:rig="threePt" w14:dir="t">
                <w14:rot w14:lat="0" w14:lon="0" w14:rev="0"/>
              </w14:lightRig>
            </w14:scene3d>
          </w:rPr>
          <w:t>4.13.3</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_Toc86158468 \h </w:instrText>
        </w:r>
        <w:r w:rsidR="000A4DC7">
          <w:rPr>
            <w:webHidden/>
          </w:rPr>
        </w:r>
        <w:r w:rsidR="000A4DC7">
          <w:rPr>
            <w:webHidden/>
          </w:rPr>
          <w:fldChar w:fldCharType="separate"/>
        </w:r>
        <w:r w:rsidR="00225EEA">
          <w:rPr>
            <w:webHidden/>
          </w:rPr>
          <w:t>72</w:t>
        </w:r>
        <w:r w:rsidR="000A4DC7">
          <w:rPr>
            <w:webHidden/>
          </w:rPr>
          <w:fldChar w:fldCharType="end"/>
        </w:r>
      </w:hyperlink>
    </w:p>
    <w:p w14:paraId="3ED51226" w14:textId="5C89707A" w:rsidR="000A4DC7" w:rsidRDefault="00EB0EE2">
      <w:pPr>
        <w:pStyle w:val="TOC3"/>
        <w:rPr>
          <w:rFonts w:asciiTheme="minorHAnsi" w:eastAsiaTheme="minorEastAsia" w:hAnsiTheme="minorHAnsi" w:cstheme="minorBidi"/>
          <w:sz w:val="22"/>
          <w:szCs w:val="22"/>
          <w:lang w:eastAsia="en-AU"/>
        </w:rPr>
      </w:pPr>
      <w:hyperlink w:anchor="_Toc86158469" w:history="1">
        <w:r w:rsidR="000A4DC7" w:rsidRPr="001E54CF">
          <w:rPr>
            <w:rStyle w:val="Hyperlink"/>
            <w:bCs/>
            <w14:scene3d>
              <w14:camera w14:prst="orthographicFront"/>
              <w14:lightRig w14:rig="threePt" w14:dir="t">
                <w14:rot w14:lat="0" w14:lon="0" w14:rev="0"/>
              </w14:lightRig>
            </w14:scene3d>
          </w:rPr>
          <w:t>4.13.4</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_Toc86158469 \h </w:instrText>
        </w:r>
        <w:r w:rsidR="000A4DC7">
          <w:rPr>
            <w:webHidden/>
          </w:rPr>
        </w:r>
        <w:r w:rsidR="000A4DC7">
          <w:rPr>
            <w:webHidden/>
          </w:rPr>
          <w:fldChar w:fldCharType="separate"/>
        </w:r>
        <w:r w:rsidR="00225EEA">
          <w:rPr>
            <w:webHidden/>
          </w:rPr>
          <w:t>72</w:t>
        </w:r>
        <w:r w:rsidR="000A4DC7">
          <w:rPr>
            <w:webHidden/>
          </w:rPr>
          <w:fldChar w:fldCharType="end"/>
        </w:r>
      </w:hyperlink>
    </w:p>
    <w:p w14:paraId="0F261B31" w14:textId="460F8929" w:rsidR="000A4DC7" w:rsidRDefault="00EB0EE2">
      <w:pPr>
        <w:pStyle w:val="TOC2"/>
        <w:rPr>
          <w:rFonts w:asciiTheme="minorHAnsi" w:eastAsiaTheme="minorEastAsia" w:hAnsiTheme="minorHAnsi" w:cstheme="minorBidi"/>
          <w:sz w:val="22"/>
          <w:szCs w:val="22"/>
          <w:lang w:eastAsia="en-AU"/>
        </w:rPr>
      </w:pPr>
      <w:hyperlink w:anchor="_Toc86158470" w:history="1">
        <w:r w:rsidR="000A4DC7" w:rsidRPr="001E54CF">
          <w:rPr>
            <w:rStyle w:val="Hyperlink"/>
          </w:rPr>
          <w:t>4.14</w:t>
        </w:r>
        <w:r w:rsidR="000A4DC7">
          <w:rPr>
            <w:rFonts w:asciiTheme="minorHAnsi" w:eastAsiaTheme="minorEastAsia" w:hAnsiTheme="minorHAnsi" w:cstheme="minorBidi"/>
            <w:sz w:val="22"/>
            <w:szCs w:val="22"/>
            <w:lang w:eastAsia="en-AU"/>
          </w:rPr>
          <w:tab/>
        </w:r>
        <w:r w:rsidR="000A4DC7" w:rsidRPr="001E54CF">
          <w:rPr>
            <w:rStyle w:val="Hyperlink"/>
          </w:rPr>
          <w:t>Recovery of regulatory costs</w:t>
        </w:r>
        <w:r w:rsidR="000A4DC7">
          <w:rPr>
            <w:webHidden/>
          </w:rPr>
          <w:tab/>
        </w:r>
        <w:r w:rsidR="000A4DC7">
          <w:rPr>
            <w:webHidden/>
          </w:rPr>
          <w:fldChar w:fldCharType="begin"/>
        </w:r>
        <w:r w:rsidR="000A4DC7">
          <w:rPr>
            <w:webHidden/>
          </w:rPr>
          <w:instrText xml:space="preserve"> PAGEREF _Toc86158470 \h </w:instrText>
        </w:r>
        <w:r w:rsidR="000A4DC7">
          <w:rPr>
            <w:webHidden/>
          </w:rPr>
        </w:r>
        <w:r w:rsidR="000A4DC7">
          <w:rPr>
            <w:webHidden/>
          </w:rPr>
          <w:fldChar w:fldCharType="separate"/>
        </w:r>
        <w:r w:rsidR="00225EEA">
          <w:rPr>
            <w:webHidden/>
          </w:rPr>
          <w:t>72</w:t>
        </w:r>
        <w:r w:rsidR="000A4DC7">
          <w:rPr>
            <w:webHidden/>
          </w:rPr>
          <w:fldChar w:fldCharType="end"/>
        </w:r>
      </w:hyperlink>
    </w:p>
    <w:p w14:paraId="43EDE30B" w14:textId="717D1319" w:rsidR="000A4DC7" w:rsidRDefault="00EB0EE2">
      <w:pPr>
        <w:pStyle w:val="TOC3"/>
        <w:rPr>
          <w:rFonts w:asciiTheme="minorHAnsi" w:eastAsiaTheme="minorEastAsia" w:hAnsiTheme="minorHAnsi" w:cstheme="minorBidi"/>
          <w:sz w:val="22"/>
          <w:szCs w:val="22"/>
          <w:lang w:eastAsia="en-AU"/>
        </w:rPr>
      </w:pPr>
      <w:hyperlink w:anchor="_Toc86158471" w:history="1">
        <w:r w:rsidR="000A4DC7" w:rsidRPr="001E54CF">
          <w:rPr>
            <w:rStyle w:val="Hyperlink"/>
            <w:bCs/>
            <w14:scene3d>
              <w14:camera w14:prst="orthographicFront"/>
              <w14:lightRig w14:rig="threePt" w14:dir="t">
                <w14:rot w14:lat="0" w14:lon="0" w14:rev="0"/>
              </w14:lightRig>
            </w14:scene3d>
          </w:rPr>
          <w:t>4.14.1</w:t>
        </w:r>
        <w:r w:rsidR="000A4DC7">
          <w:rPr>
            <w:rFonts w:asciiTheme="minorHAnsi" w:eastAsiaTheme="minorEastAsia" w:hAnsiTheme="minorHAnsi" w:cstheme="minorBidi"/>
            <w:sz w:val="22"/>
            <w:szCs w:val="22"/>
            <w:lang w:eastAsia="en-AU"/>
          </w:rPr>
          <w:tab/>
        </w:r>
        <w:r w:rsidR="000A4DC7" w:rsidRPr="001E54CF">
          <w:rPr>
            <w:rStyle w:val="Hyperlink"/>
          </w:rPr>
          <w:t>Background</w:t>
        </w:r>
        <w:r w:rsidR="000A4DC7">
          <w:rPr>
            <w:webHidden/>
          </w:rPr>
          <w:tab/>
        </w:r>
        <w:r w:rsidR="000A4DC7">
          <w:rPr>
            <w:webHidden/>
          </w:rPr>
          <w:fldChar w:fldCharType="begin"/>
        </w:r>
        <w:r w:rsidR="000A4DC7">
          <w:rPr>
            <w:webHidden/>
          </w:rPr>
          <w:instrText xml:space="preserve"> PAGEREF _Toc86158471 \h </w:instrText>
        </w:r>
        <w:r w:rsidR="000A4DC7">
          <w:rPr>
            <w:webHidden/>
          </w:rPr>
        </w:r>
        <w:r w:rsidR="000A4DC7">
          <w:rPr>
            <w:webHidden/>
          </w:rPr>
          <w:fldChar w:fldCharType="separate"/>
        </w:r>
        <w:r w:rsidR="00225EEA">
          <w:rPr>
            <w:webHidden/>
          </w:rPr>
          <w:t>72</w:t>
        </w:r>
        <w:r w:rsidR="000A4DC7">
          <w:rPr>
            <w:webHidden/>
          </w:rPr>
          <w:fldChar w:fldCharType="end"/>
        </w:r>
      </w:hyperlink>
    </w:p>
    <w:p w14:paraId="182BF856" w14:textId="0BDBEF08" w:rsidR="000A4DC7" w:rsidRDefault="00EB0EE2">
      <w:pPr>
        <w:pStyle w:val="TOC3"/>
        <w:rPr>
          <w:rFonts w:asciiTheme="minorHAnsi" w:eastAsiaTheme="minorEastAsia" w:hAnsiTheme="minorHAnsi" w:cstheme="minorBidi"/>
          <w:sz w:val="22"/>
          <w:szCs w:val="22"/>
          <w:lang w:eastAsia="en-AU"/>
        </w:rPr>
      </w:pPr>
      <w:hyperlink w:anchor="_Toc86158472" w:history="1">
        <w:r w:rsidR="000A4DC7" w:rsidRPr="001E54CF">
          <w:rPr>
            <w:rStyle w:val="Hyperlink"/>
            <w:bCs/>
            <w14:scene3d>
              <w14:camera w14:prst="orthographicFront"/>
              <w14:lightRig w14:rig="threePt" w14:dir="t">
                <w14:rot w14:lat="0" w14:lon="0" w14:rev="0"/>
              </w14:lightRig>
            </w14:scene3d>
          </w:rPr>
          <w:t>4.14.2</w:t>
        </w:r>
        <w:r w:rsidR="000A4DC7">
          <w:rPr>
            <w:rFonts w:asciiTheme="minorHAnsi" w:eastAsiaTheme="minorEastAsia" w:hAnsiTheme="minorHAnsi" w:cstheme="minorBidi"/>
            <w:sz w:val="22"/>
            <w:szCs w:val="22"/>
            <w:lang w:eastAsia="en-AU"/>
          </w:rPr>
          <w:tab/>
        </w:r>
        <w:r w:rsidR="000A4DC7" w:rsidRPr="001E54CF">
          <w:rPr>
            <w:rStyle w:val="Hyperlink"/>
          </w:rPr>
          <w:t>Current approach</w:t>
        </w:r>
        <w:r w:rsidR="000A4DC7">
          <w:rPr>
            <w:webHidden/>
          </w:rPr>
          <w:tab/>
        </w:r>
        <w:r w:rsidR="000A4DC7">
          <w:rPr>
            <w:webHidden/>
          </w:rPr>
          <w:fldChar w:fldCharType="begin"/>
        </w:r>
        <w:r w:rsidR="000A4DC7">
          <w:rPr>
            <w:webHidden/>
          </w:rPr>
          <w:instrText xml:space="preserve"> PAGEREF _Toc86158472 \h </w:instrText>
        </w:r>
        <w:r w:rsidR="000A4DC7">
          <w:rPr>
            <w:webHidden/>
          </w:rPr>
        </w:r>
        <w:r w:rsidR="000A4DC7">
          <w:rPr>
            <w:webHidden/>
          </w:rPr>
          <w:fldChar w:fldCharType="separate"/>
        </w:r>
        <w:r w:rsidR="00225EEA">
          <w:rPr>
            <w:webHidden/>
          </w:rPr>
          <w:t>73</w:t>
        </w:r>
        <w:r w:rsidR="000A4DC7">
          <w:rPr>
            <w:webHidden/>
          </w:rPr>
          <w:fldChar w:fldCharType="end"/>
        </w:r>
      </w:hyperlink>
    </w:p>
    <w:p w14:paraId="69E2BED3" w14:textId="7F8D54D9" w:rsidR="000A4DC7" w:rsidRDefault="00EB0EE2">
      <w:pPr>
        <w:pStyle w:val="TOC3"/>
        <w:rPr>
          <w:rFonts w:asciiTheme="minorHAnsi" w:eastAsiaTheme="minorEastAsia" w:hAnsiTheme="minorHAnsi" w:cstheme="minorBidi"/>
          <w:sz w:val="22"/>
          <w:szCs w:val="22"/>
          <w:lang w:eastAsia="en-AU"/>
        </w:rPr>
      </w:pPr>
      <w:hyperlink w:anchor="_Toc86158473" w:history="1">
        <w:r w:rsidR="000A4DC7" w:rsidRPr="001E54CF">
          <w:rPr>
            <w:rStyle w:val="Hyperlink"/>
            <w:bCs/>
            <w14:scene3d>
              <w14:camera w14:prst="orthographicFront"/>
              <w14:lightRig w14:rig="threePt" w14:dir="t">
                <w14:rot w14:lat="0" w14:lon="0" w14:rev="0"/>
              </w14:lightRig>
            </w14:scene3d>
          </w:rPr>
          <w:t>4.14.3</w:t>
        </w:r>
        <w:r w:rsidR="000A4DC7">
          <w:rPr>
            <w:rFonts w:asciiTheme="minorHAnsi" w:eastAsiaTheme="minorEastAsia" w:hAnsiTheme="minorHAnsi" w:cstheme="minorBidi"/>
            <w:sz w:val="22"/>
            <w:szCs w:val="22"/>
            <w:lang w:eastAsia="en-AU"/>
          </w:rPr>
          <w:tab/>
        </w:r>
        <w:r w:rsidR="000A4DC7" w:rsidRPr="001E54CF">
          <w:rPr>
            <w:rStyle w:val="Hyperlink"/>
          </w:rPr>
          <w:t>Issues</w:t>
        </w:r>
        <w:r w:rsidR="000A4DC7">
          <w:rPr>
            <w:webHidden/>
          </w:rPr>
          <w:tab/>
        </w:r>
        <w:r w:rsidR="000A4DC7">
          <w:rPr>
            <w:webHidden/>
          </w:rPr>
          <w:fldChar w:fldCharType="begin"/>
        </w:r>
        <w:r w:rsidR="000A4DC7">
          <w:rPr>
            <w:webHidden/>
          </w:rPr>
          <w:instrText xml:space="preserve"> PAGEREF _Toc86158473 \h </w:instrText>
        </w:r>
        <w:r w:rsidR="000A4DC7">
          <w:rPr>
            <w:webHidden/>
          </w:rPr>
        </w:r>
        <w:r w:rsidR="000A4DC7">
          <w:rPr>
            <w:webHidden/>
          </w:rPr>
          <w:fldChar w:fldCharType="separate"/>
        </w:r>
        <w:r w:rsidR="00225EEA">
          <w:rPr>
            <w:webHidden/>
          </w:rPr>
          <w:t>74</w:t>
        </w:r>
        <w:r w:rsidR="000A4DC7">
          <w:rPr>
            <w:webHidden/>
          </w:rPr>
          <w:fldChar w:fldCharType="end"/>
        </w:r>
      </w:hyperlink>
    </w:p>
    <w:p w14:paraId="3ABF9EB6" w14:textId="6433DCBE" w:rsidR="000A4DC7" w:rsidRDefault="00EB0EE2">
      <w:pPr>
        <w:pStyle w:val="TOC3"/>
        <w:rPr>
          <w:rFonts w:asciiTheme="minorHAnsi" w:eastAsiaTheme="minorEastAsia" w:hAnsiTheme="minorHAnsi" w:cstheme="minorBidi"/>
          <w:sz w:val="22"/>
          <w:szCs w:val="22"/>
          <w:lang w:eastAsia="en-AU"/>
        </w:rPr>
      </w:pPr>
      <w:hyperlink w:anchor="_Toc86158474" w:history="1">
        <w:r w:rsidR="000A4DC7" w:rsidRPr="001E54CF">
          <w:rPr>
            <w:rStyle w:val="Hyperlink"/>
            <w:bCs/>
            <w14:scene3d>
              <w14:camera w14:prst="orthographicFront"/>
              <w14:lightRig w14:rig="threePt" w14:dir="t">
                <w14:rot w14:lat="0" w14:lon="0" w14:rev="0"/>
              </w14:lightRig>
            </w14:scene3d>
          </w:rPr>
          <w:t>4.14.4</w:t>
        </w:r>
        <w:r w:rsidR="000A4DC7">
          <w:rPr>
            <w:rFonts w:asciiTheme="minorHAnsi" w:eastAsiaTheme="minorEastAsia" w:hAnsiTheme="minorHAnsi" w:cstheme="minorBidi"/>
            <w:sz w:val="22"/>
            <w:szCs w:val="22"/>
            <w:lang w:eastAsia="en-AU"/>
          </w:rPr>
          <w:tab/>
        </w:r>
        <w:r w:rsidR="000A4DC7" w:rsidRPr="001E54CF">
          <w:rPr>
            <w:rStyle w:val="Hyperlink"/>
          </w:rPr>
          <w:t>Options</w:t>
        </w:r>
        <w:r w:rsidR="000A4DC7">
          <w:rPr>
            <w:webHidden/>
          </w:rPr>
          <w:tab/>
        </w:r>
        <w:r w:rsidR="000A4DC7">
          <w:rPr>
            <w:webHidden/>
          </w:rPr>
          <w:fldChar w:fldCharType="begin"/>
        </w:r>
        <w:r w:rsidR="000A4DC7">
          <w:rPr>
            <w:webHidden/>
          </w:rPr>
          <w:instrText xml:space="preserve"> PAGEREF _Toc86158474 \h </w:instrText>
        </w:r>
        <w:r w:rsidR="000A4DC7">
          <w:rPr>
            <w:webHidden/>
          </w:rPr>
        </w:r>
        <w:r w:rsidR="000A4DC7">
          <w:rPr>
            <w:webHidden/>
          </w:rPr>
          <w:fldChar w:fldCharType="separate"/>
        </w:r>
        <w:r w:rsidR="00225EEA">
          <w:rPr>
            <w:webHidden/>
          </w:rPr>
          <w:t>74</w:t>
        </w:r>
        <w:r w:rsidR="000A4DC7">
          <w:rPr>
            <w:webHidden/>
          </w:rPr>
          <w:fldChar w:fldCharType="end"/>
        </w:r>
      </w:hyperlink>
    </w:p>
    <w:p w14:paraId="643881D5" w14:textId="39184C93" w:rsidR="000A4DC7" w:rsidRDefault="00EB0EE2">
      <w:pPr>
        <w:pStyle w:val="TOC3"/>
        <w:rPr>
          <w:rFonts w:asciiTheme="minorHAnsi" w:eastAsiaTheme="minorEastAsia" w:hAnsiTheme="minorHAnsi" w:cstheme="minorBidi"/>
          <w:sz w:val="22"/>
          <w:szCs w:val="22"/>
          <w:lang w:eastAsia="en-AU"/>
        </w:rPr>
      </w:pPr>
      <w:hyperlink w:anchor="_Toc86158475" w:history="1">
        <w:r w:rsidR="000A4DC7" w:rsidRPr="001E54CF">
          <w:rPr>
            <w:rStyle w:val="Hyperlink"/>
            <w:bCs/>
            <w14:scene3d>
              <w14:camera w14:prst="orthographicFront"/>
              <w14:lightRig w14:rig="threePt" w14:dir="t">
                <w14:rot w14:lat="0" w14:lon="0" w14:rev="0"/>
              </w14:lightRig>
            </w14:scene3d>
          </w:rPr>
          <w:t>4.14.5</w:t>
        </w:r>
        <w:r w:rsidR="000A4DC7">
          <w:rPr>
            <w:rFonts w:asciiTheme="minorHAnsi" w:eastAsiaTheme="minorEastAsia" w:hAnsiTheme="minorHAnsi" w:cstheme="minorBidi"/>
            <w:sz w:val="22"/>
            <w:szCs w:val="22"/>
            <w:lang w:eastAsia="en-AU"/>
          </w:rPr>
          <w:tab/>
        </w:r>
        <w:r w:rsidR="000A4DC7" w:rsidRPr="001E54CF">
          <w:rPr>
            <w:rStyle w:val="Hyperlink"/>
          </w:rPr>
          <w:t>Assessment</w:t>
        </w:r>
        <w:r w:rsidR="000A4DC7">
          <w:rPr>
            <w:webHidden/>
          </w:rPr>
          <w:tab/>
        </w:r>
        <w:r w:rsidR="000A4DC7">
          <w:rPr>
            <w:webHidden/>
          </w:rPr>
          <w:fldChar w:fldCharType="begin"/>
        </w:r>
        <w:r w:rsidR="000A4DC7">
          <w:rPr>
            <w:webHidden/>
          </w:rPr>
          <w:instrText xml:space="preserve"> PAGEREF _Toc86158475 \h </w:instrText>
        </w:r>
        <w:r w:rsidR="000A4DC7">
          <w:rPr>
            <w:webHidden/>
          </w:rPr>
        </w:r>
        <w:r w:rsidR="000A4DC7">
          <w:rPr>
            <w:webHidden/>
          </w:rPr>
          <w:fldChar w:fldCharType="separate"/>
        </w:r>
        <w:r w:rsidR="00225EEA">
          <w:rPr>
            <w:webHidden/>
          </w:rPr>
          <w:t>74</w:t>
        </w:r>
        <w:r w:rsidR="000A4DC7">
          <w:rPr>
            <w:webHidden/>
          </w:rPr>
          <w:fldChar w:fldCharType="end"/>
        </w:r>
      </w:hyperlink>
    </w:p>
    <w:p w14:paraId="66D9C0C9" w14:textId="1A1E5ECE" w:rsidR="000A4DC7" w:rsidRDefault="00EB0EE2">
      <w:pPr>
        <w:pStyle w:val="TOC3"/>
        <w:rPr>
          <w:rFonts w:asciiTheme="minorHAnsi" w:eastAsiaTheme="minorEastAsia" w:hAnsiTheme="minorHAnsi" w:cstheme="minorBidi"/>
          <w:sz w:val="22"/>
          <w:szCs w:val="22"/>
          <w:lang w:eastAsia="en-AU"/>
        </w:rPr>
      </w:pPr>
      <w:hyperlink w:anchor="_Toc86158476" w:history="1">
        <w:r w:rsidR="000A4DC7" w:rsidRPr="001E54CF">
          <w:rPr>
            <w:rStyle w:val="Hyperlink"/>
            <w:bCs/>
            <w14:scene3d>
              <w14:camera w14:prst="orthographicFront"/>
              <w14:lightRig w14:rig="threePt" w14:dir="t">
                <w14:rot w14:lat="0" w14:lon="0" w14:rev="0"/>
              </w14:lightRig>
            </w14:scene3d>
          </w:rPr>
          <w:t>4.14.6</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_Toc86158476 \h </w:instrText>
        </w:r>
        <w:r w:rsidR="000A4DC7">
          <w:rPr>
            <w:webHidden/>
          </w:rPr>
        </w:r>
        <w:r w:rsidR="000A4DC7">
          <w:rPr>
            <w:webHidden/>
          </w:rPr>
          <w:fldChar w:fldCharType="separate"/>
        </w:r>
        <w:r w:rsidR="00225EEA">
          <w:rPr>
            <w:webHidden/>
          </w:rPr>
          <w:t>75</w:t>
        </w:r>
        <w:r w:rsidR="000A4DC7">
          <w:rPr>
            <w:webHidden/>
          </w:rPr>
          <w:fldChar w:fldCharType="end"/>
        </w:r>
      </w:hyperlink>
    </w:p>
    <w:p w14:paraId="4AC5DB40" w14:textId="025215AB" w:rsidR="000A4DC7" w:rsidRDefault="00EB0EE2">
      <w:pPr>
        <w:pStyle w:val="TOC3"/>
        <w:rPr>
          <w:rFonts w:asciiTheme="minorHAnsi" w:eastAsiaTheme="minorEastAsia" w:hAnsiTheme="minorHAnsi" w:cstheme="minorBidi"/>
          <w:sz w:val="22"/>
          <w:szCs w:val="22"/>
          <w:lang w:eastAsia="en-AU"/>
        </w:rPr>
      </w:pPr>
      <w:hyperlink w:anchor="_Toc86158477" w:history="1">
        <w:r w:rsidR="000A4DC7" w:rsidRPr="001E54CF">
          <w:rPr>
            <w:rStyle w:val="Hyperlink"/>
            <w:bCs/>
            <w14:scene3d>
              <w14:camera w14:prst="orthographicFront"/>
              <w14:lightRig w14:rig="threePt" w14:dir="t">
                <w14:rot w14:lat="0" w14:lon="0" w14:rev="0"/>
              </w14:lightRig>
            </w14:scene3d>
          </w:rPr>
          <w:t>4.14.7</w:t>
        </w:r>
        <w:r w:rsidR="000A4DC7">
          <w:rPr>
            <w:rFonts w:asciiTheme="minorHAnsi" w:eastAsiaTheme="minorEastAsia" w:hAnsiTheme="minorHAnsi" w:cstheme="minorBidi"/>
            <w:sz w:val="22"/>
            <w:szCs w:val="22"/>
            <w:lang w:eastAsia="en-AU"/>
          </w:rPr>
          <w:tab/>
        </w:r>
        <w:r w:rsidR="000A4DC7" w:rsidRPr="001E54CF">
          <w:rPr>
            <w:rStyle w:val="Hyperlink"/>
          </w:rPr>
          <w:t>Conclusion and recommendations</w:t>
        </w:r>
        <w:r w:rsidR="000A4DC7">
          <w:rPr>
            <w:webHidden/>
          </w:rPr>
          <w:tab/>
        </w:r>
        <w:r w:rsidR="000A4DC7">
          <w:rPr>
            <w:webHidden/>
          </w:rPr>
          <w:fldChar w:fldCharType="begin"/>
        </w:r>
        <w:r w:rsidR="000A4DC7">
          <w:rPr>
            <w:webHidden/>
          </w:rPr>
          <w:instrText xml:space="preserve"> PAGEREF _Toc86158477 \h </w:instrText>
        </w:r>
        <w:r w:rsidR="000A4DC7">
          <w:rPr>
            <w:webHidden/>
          </w:rPr>
        </w:r>
        <w:r w:rsidR="000A4DC7">
          <w:rPr>
            <w:webHidden/>
          </w:rPr>
          <w:fldChar w:fldCharType="separate"/>
        </w:r>
        <w:r w:rsidR="00225EEA">
          <w:rPr>
            <w:webHidden/>
          </w:rPr>
          <w:t>76</w:t>
        </w:r>
        <w:r w:rsidR="000A4DC7">
          <w:rPr>
            <w:webHidden/>
          </w:rPr>
          <w:fldChar w:fldCharType="end"/>
        </w:r>
      </w:hyperlink>
    </w:p>
    <w:p w14:paraId="2379063C" w14:textId="3E3BAFEE" w:rsidR="000A4DC7" w:rsidRDefault="00EB0EE2">
      <w:pPr>
        <w:pStyle w:val="TOC1"/>
        <w:rPr>
          <w:rFonts w:asciiTheme="minorHAnsi" w:eastAsiaTheme="minorEastAsia" w:hAnsiTheme="minorHAnsi" w:cstheme="minorBidi"/>
          <w:b w:val="0"/>
          <w:szCs w:val="22"/>
          <w:lang w:eastAsia="en-AU"/>
        </w:rPr>
      </w:pPr>
      <w:hyperlink w:anchor="_Toc86158478" w:history="1">
        <w:r w:rsidR="000A4DC7" w:rsidRPr="001E54CF">
          <w:rPr>
            <w:rStyle w:val="Hyperlink"/>
          </w:rPr>
          <w:t>5</w:t>
        </w:r>
        <w:r w:rsidR="000A4DC7">
          <w:rPr>
            <w:rFonts w:asciiTheme="minorHAnsi" w:eastAsiaTheme="minorEastAsia" w:hAnsiTheme="minorHAnsi" w:cstheme="minorBidi"/>
            <w:b w:val="0"/>
            <w:szCs w:val="22"/>
            <w:lang w:eastAsia="en-AU"/>
          </w:rPr>
          <w:tab/>
        </w:r>
        <w:r w:rsidR="000A4DC7" w:rsidRPr="001E54CF">
          <w:rPr>
            <w:rStyle w:val="Hyperlink"/>
          </w:rPr>
          <w:t>Determination options</w:t>
        </w:r>
        <w:r w:rsidR="000A4DC7">
          <w:rPr>
            <w:webHidden/>
          </w:rPr>
          <w:tab/>
        </w:r>
        <w:r w:rsidR="000A4DC7">
          <w:rPr>
            <w:webHidden/>
          </w:rPr>
          <w:fldChar w:fldCharType="begin"/>
        </w:r>
        <w:r w:rsidR="000A4DC7">
          <w:rPr>
            <w:webHidden/>
          </w:rPr>
          <w:instrText xml:space="preserve"> PAGEREF _Toc86158478 \h </w:instrText>
        </w:r>
        <w:r w:rsidR="000A4DC7">
          <w:rPr>
            <w:webHidden/>
          </w:rPr>
        </w:r>
        <w:r w:rsidR="000A4DC7">
          <w:rPr>
            <w:webHidden/>
          </w:rPr>
          <w:fldChar w:fldCharType="separate"/>
        </w:r>
        <w:r w:rsidR="00225EEA">
          <w:rPr>
            <w:webHidden/>
          </w:rPr>
          <w:t>77</w:t>
        </w:r>
        <w:r w:rsidR="000A4DC7">
          <w:rPr>
            <w:webHidden/>
          </w:rPr>
          <w:fldChar w:fldCharType="end"/>
        </w:r>
      </w:hyperlink>
    </w:p>
    <w:p w14:paraId="74F0F96B" w14:textId="2E094F04" w:rsidR="000A4DC7" w:rsidRDefault="00EB0EE2">
      <w:pPr>
        <w:pStyle w:val="TOC2"/>
        <w:rPr>
          <w:rFonts w:asciiTheme="minorHAnsi" w:eastAsiaTheme="minorEastAsia" w:hAnsiTheme="minorHAnsi" w:cstheme="minorBidi"/>
          <w:sz w:val="22"/>
          <w:szCs w:val="22"/>
          <w:lang w:eastAsia="en-AU"/>
        </w:rPr>
      </w:pPr>
      <w:hyperlink w:anchor="_Toc86158479" w:history="1">
        <w:r w:rsidR="000A4DC7" w:rsidRPr="001E54CF">
          <w:rPr>
            <w:rStyle w:val="Hyperlink"/>
          </w:rPr>
          <w:t>5.1</w:t>
        </w:r>
        <w:r w:rsidR="000A4DC7">
          <w:rPr>
            <w:rFonts w:asciiTheme="minorHAnsi" w:eastAsiaTheme="minorEastAsia" w:hAnsiTheme="minorHAnsi" w:cstheme="minorBidi"/>
            <w:sz w:val="22"/>
            <w:szCs w:val="22"/>
            <w:lang w:eastAsia="en-AU"/>
          </w:rPr>
          <w:tab/>
        </w:r>
        <w:r w:rsidR="000A4DC7" w:rsidRPr="001E54CF">
          <w:rPr>
            <w:rStyle w:val="Hyperlink"/>
          </w:rPr>
          <w:t>Options for consideration</w:t>
        </w:r>
        <w:r w:rsidR="000A4DC7">
          <w:rPr>
            <w:webHidden/>
          </w:rPr>
          <w:tab/>
        </w:r>
        <w:r w:rsidR="000A4DC7">
          <w:rPr>
            <w:webHidden/>
          </w:rPr>
          <w:fldChar w:fldCharType="begin"/>
        </w:r>
        <w:r w:rsidR="000A4DC7">
          <w:rPr>
            <w:webHidden/>
          </w:rPr>
          <w:instrText xml:space="preserve"> PAGEREF _Toc86158479 \h </w:instrText>
        </w:r>
        <w:r w:rsidR="000A4DC7">
          <w:rPr>
            <w:webHidden/>
          </w:rPr>
        </w:r>
        <w:r w:rsidR="000A4DC7">
          <w:rPr>
            <w:webHidden/>
          </w:rPr>
          <w:fldChar w:fldCharType="separate"/>
        </w:r>
        <w:r w:rsidR="00225EEA">
          <w:rPr>
            <w:webHidden/>
          </w:rPr>
          <w:t>77</w:t>
        </w:r>
        <w:r w:rsidR="000A4DC7">
          <w:rPr>
            <w:webHidden/>
          </w:rPr>
          <w:fldChar w:fldCharType="end"/>
        </w:r>
      </w:hyperlink>
    </w:p>
    <w:p w14:paraId="5B9D84F7" w14:textId="61AC5411" w:rsidR="000A4DC7" w:rsidRDefault="00EB0EE2">
      <w:pPr>
        <w:pStyle w:val="TOC2"/>
        <w:rPr>
          <w:rFonts w:asciiTheme="minorHAnsi" w:eastAsiaTheme="minorEastAsia" w:hAnsiTheme="minorHAnsi" w:cstheme="minorBidi"/>
          <w:sz w:val="22"/>
          <w:szCs w:val="22"/>
          <w:lang w:eastAsia="en-AU"/>
        </w:rPr>
      </w:pPr>
      <w:hyperlink w:anchor="_Toc86158480" w:history="1">
        <w:r w:rsidR="000A4DC7" w:rsidRPr="001E54CF">
          <w:rPr>
            <w:rStyle w:val="Hyperlink"/>
          </w:rPr>
          <w:t>5.2</w:t>
        </w:r>
        <w:r w:rsidR="000A4DC7">
          <w:rPr>
            <w:rFonts w:asciiTheme="minorHAnsi" w:eastAsiaTheme="minorEastAsia" w:hAnsiTheme="minorHAnsi" w:cstheme="minorBidi"/>
            <w:sz w:val="22"/>
            <w:szCs w:val="22"/>
            <w:lang w:eastAsia="en-AU"/>
          </w:rPr>
          <w:tab/>
        </w:r>
        <w:r w:rsidR="000A4DC7" w:rsidRPr="001E54CF">
          <w:rPr>
            <w:rStyle w:val="Hyperlink"/>
          </w:rPr>
          <w:t>Comparison of determination options</w:t>
        </w:r>
        <w:r w:rsidR="000A4DC7">
          <w:rPr>
            <w:webHidden/>
          </w:rPr>
          <w:tab/>
        </w:r>
        <w:r w:rsidR="000A4DC7">
          <w:rPr>
            <w:webHidden/>
          </w:rPr>
          <w:fldChar w:fldCharType="begin"/>
        </w:r>
        <w:r w:rsidR="000A4DC7">
          <w:rPr>
            <w:webHidden/>
          </w:rPr>
          <w:instrText xml:space="preserve"> PAGEREF _Toc86158480 \h </w:instrText>
        </w:r>
        <w:r w:rsidR="000A4DC7">
          <w:rPr>
            <w:webHidden/>
          </w:rPr>
        </w:r>
        <w:r w:rsidR="000A4DC7">
          <w:rPr>
            <w:webHidden/>
          </w:rPr>
          <w:fldChar w:fldCharType="separate"/>
        </w:r>
        <w:r w:rsidR="00225EEA">
          <w:rPr>
            <w:webHidden/>
          </w:rPr>
          <w:t>78</w:t>
        </w:r>
        <w:r w:rsidR="000A4DC7">
          <w:rPr>
            <w:webHidden/>
          </w:rPr>
          <w:fldChar w:fldCharType="end"/>
        </w:r>
      </w:hyperlink>
    </w:p>
    <w:p w14:paraId="4502E4C0" w14:textId="505A7EC5" w:rsidR="000A4DC7" w:rsidRDefault="00EB0EE2">
      <w:pPr>
        <w:pStyle w:val="TOC3"/>
        <w:rPr>
          <w:rFonts w:asciiTheme="minorHAnsi" w:eastAsiaTheme="minorEastAsia" w:hAnsiTheme="minorHAnsi" w:cstheme="minorBidi"/>
          <w:sz w:val="22"/>
          <w:szCs w:val="22"/>
          <w:lang w:eastAsia="en-AU"/>
        </w:rPr>
      </w:pPr>
      <w:hyperlink w:anchor="_Toc86158481" w:history="1">
        <w:r w:rsidR="000A4DC7" w:rsidRPr="001E54CF">
          <w:rPr>
            <w:rStyle w:val="Hyperlink"/>
            <w:bCs/>
            <w14:scene3d>
              <w14:camera w14:prst="orthographicFront"/>
              <w14:lightRig w14:rig="threePt" w14:dir="t">
                <w14:rot w14:lat="0" w14:lon="0" w14:rev="0"/>
              </w14:lightRig>
            </w14:scene3d>
          </w:rPr>
          <w:t>5.2.1</w:t>
        </w:r>
        <w:r w:rsidR="000A4DC7">
          <w:rPr>
            <w:rFonts w:asciiTheme="minorHAnsi" w:eastAsiaTheme="minorEastAsia" w:hAnsiTheme="minorHAnsi" w:cstheme="minorBidi"/>
            <w:sz w:val="22"/>
            <w:szCs w:val="22"/>
            <w:lang w:eastAsia="en-AU"/>
          </w:rPr>
          <w:tab/>
        </w:r>
        <w:r w:rsidR="000A4DC7" w:rsidRPr="001E54CF">
          <w:rPr>
            <w:rStyle w:val="Hyperlink"/>
          </w:rPr>
          <w:t>Data</w:t>
        </w:r>
        <w:r w:rsidR="000A4DC7">
          <w:rPr>
            <w:webHidden/>
          </w:rPr>
          <w:tab/>
        </w:r>
        <w:r w:rsidR="000A4DC7">
          <w:rPr>
            <w:webHidden/>
          </w:rPr>
          <w:fldChar w:fldCharType="begin"/>
        </w:r>
        <w:r w:rsidR="000A4DC7">
          <w:rPr>
            <w:webHidden/>
          </w:rPr>
          <w:instrText xml:space="preserve"> PAGEREF _Toc86158481 \h </w:instrText>
        </w:r>
        <w:r w:rsidR="000A4DC7">
          <w:rPr>
            <w:webHidden/>
          </w:rPr>
        </w:r>
        <w:r w:rsidR="000A4DC7">
          <w:rPr>
            <w:webHidden/>
          </w:rPr>
          <w:fldChar w:fldCharType="separate"/>
        </w:r>
        <w:r w:rsidR="00225EEA">
          <w:rPr>
            <w:webHidden/>
          </w:rPr>
          <w:t>78</w:t>
        </w:r>
        <w:r w:rsidR="000A4DC7">
          <w:rPr>
            <w:webHidden/>
          </w:rPr>
          <w:fldChar w:fldCharType="end"/>
        </w:r>
      </w:hyperlink>
    </w:p>
    <w:p w14:paraId="1B0E7E9B" w14:textId="2C0CB430" w:rsidR="000A4DC7" w:rsidRDefault="00EB0EE2">
      <w:pPr>
        <w:pStyle w:val="TOC3"/>
        <w:rPr>
          <w:rFonts w:asciiTheme="minorHAnsi" w:eastAsiaTheme="minorEastAsia" w:hAnsiTheme="minorHAnsi" w:cstheme="minorBidi"/>
          <w:sz w:val="22"/>
          <w:szCs w:val="22"/>
          <w:lang w:eastAsia="en-AU"/>
        </w:rPr>
      </w:pPr>
      <w:hyperlink w:anchor="_Toc86158482" w:history="1">
        <w:r w:rsidR="000A4DC7" w:rsidRPr="001E54CF">
          <w:rPr>
            <w:rStyle w:val="Hyperlink"/>
            <w:bCs/>
            <w14:scene3d>
              <w14:camera w14:prst="orthographicFront"/>
              <w14:lightRig w14:rig="threePt" w14:dir="t">
                <w14:rot w14:lat="0" w14:lon="0" w14:rev="0"/>
              </w14:lightRig>
            </w14:scene3d>
          </w:rPr>
          <w:t>5.2.2</w:t>
        </w:r>
        <w:r w:rsidR="000A4DC7">
          <w:rPr>
            <w:rFonts w:asciiTheme="minorHAnsi" w:eastAsiaTheme="minorEastAsia" w:hAnsiTheme="minorHAnsi" w:cstheme="minorBidi"/>
            <w:sz w:val="22"/>
            <w:szCs w:val="22"/>
            <w:lang w:eastAsia="en-AU"/>
          </w:rPr>
          <w:tab/>
        </w:r>
        <w:r w:rsidR="000A4DC7" w:rsidRPr="001E54CF">
          <w:rPr>
            <w:rStyle w:val="Hyperlink"/>
          </w:rPr>
          <w:t>Heavy vehicle cost base and implications for full cost recovery</w:t>
        </w:r>
        <w:r w:rsidR="000A4DC7">
          <w:rPr>
            <w:webHidden/>
          </w:rPr>
          <w:tab/>
        </w:r>
        <w:r w:rsidR="000A4DC7">
          <w:rPr>
            <w:webHidden/>
          </w:rPr>
          <w:fldChar w:fldCharType="begin"/>
        </w:r>
        <w:r w:rsidR="000A4DC7">
          <w:rPr>
            <w:webHidden/>
          </w:rPr>
          <w:instrText xml:space="preserve"> PAGEREF _Toc86158482 \h </w:instrText>
        </w:r>
        <w:r w:rsidR="000A4DC7">
          <w:rPr>
            <w:webHidden/>
          </w:rPr>
        </w:r>
        <w:r w:rsidR="000A4DC7">
          <w:rPr>
            <w:webHidden/>
          </w:rPr>
          <w:fldChar w:fldCharType="separate"/>
        </w:r>
        <w:r w:rsidR="00225EEA">
          <w:rPr>
            <w:webHidden/>
          </w:rPr>
          <w:t>78</w:t>
        </w:r>
        <w:r w:rsidR="000A4DC7">
          <w:rPr>
            <w:webHidden/>
          </w:rPr>
          <w:fldChar w:fldCharType="end"/>
        </w:r>
      </w:hyperlink>
    </w:p>
    <w:p w14:paraId="161BC685" w14:textId="2AAB8D53" w:rsidR="000A4DC7" w:rsidRDefault="00EB0EE2">
      <w:pPr>
        <w:pStyle w:val="TOC2"/>
        <w:rPr>
          <w:rFonts w:asciiTheme="minorHAnsi" w:eastAsiaTheme="minorEastAsia" w:hAnsiTheme="minorHAnsi" w:cstheme="minorBidi"/>
          <w:sz w:val="22"/>
          <w:szCs w:val="22"/>
          <w:lang w:eastAsia="en-AU"/>
        </w:rPr>
      </w:pPr>
      <w:hyperlink w:anchor="_Toc86158483" w:history="1">
        <w:r w:rsidR="000A4DC7" w:rsidRPr="001E54CF">
          <w:rPr>
            <w:rStyle w:val="Hyperlink"/>
          </w:rPr>
          <w:t>5.3</w:t>
        </w:r>
        <w:r w:rsidR="000A4DC7">
          <w:rPr>
            <w:rFonts w:asciiTheme="minorHAnsi" w:eastAsiaTheme="minorEastAsia" w:hAnsiTheme="minorHAnsi" w:cstheme="minorBidi"/>
            <w:sz w:val="22"/>
            <w:szCs w:val="22"/>
            <w:lang w:eastAsia="en-AU"/>
          </w:rPr>
          <w:tab/>
        </w:r>
        <w:r w:rsidR="000A4DC7" w:rsidRPr="001E54CF">
          <w:rPr>
            <w:rStyle w:val="Hyperlink"/>
          </w:rPr>
          <w:t>Assessment of determination options</w:t>
        </w:r>
        <w:r w:rsidR="000A4DC7">
          <w:rPr>
            <w:webHidden/>
          </w:rPr>
          <w:tab/>
        </w:r>
        <w:r w:rsidR="000A4DC7">
          <w:rPr>
            <w:webHidden/>
          </w:rPr>
          <w:fldChar w:fldCharType="begin"/>
        </w:r>
        <w:r w:rsidR="000A4DC7">
          <w:rPr>
            <w:webHidden/>
          </w:rPr>
          <w:instrText xml:space="preserve"> PAGEREF _Toc86158483 \h </w:instrText>
        </w:r>
        <w:r w:rsidR="000A4DC7">
          <w:rPr>
            <w:webHidden/>
          </w:rPr>
        </w:r>
        <w:r w:rsidR="000A4DC7">
          <w:rPr>
            <w:webHidden/>
          </w:rPr>
          <w:fldChar w:fldCharType="separate"/>
        </w:r>
        <w:r w:rsidR="00225EEA">
          <w:rPr>
            <w:webHidden/>
          </w:rPr>
          <w:t>79</w:t>
        </w:r>
        <w:r w:rsidR="000A4DC7">
          <w:rPr>
            <w:webHidden/>
          </w:rPr>
          <w:fldChar w:fldCharType="end"/>
        </w:r>
      </w:hyperlink>
    </w:p>
    <w:p w14:paraId="429B975C" w14:textId="0CBE7613" w:rsidR="000A4DC7" w:rsidRDefault="00EB0EE2">
      <w:pPr>
        <w:pStyle w:val="TOC3"/>
        <w:rPr>
          <w:rFonts w:asciiTheme="minorHAnsi" w:eastAsiaTheme="minorEastAsia" w:hAnsiTheme="minorHAnsi" w:cstheme="minorBidi"/>
          <w:sz w:val="22"/>
          <w:szCs w:val="22"/>
          <w:lang w:eastAsia="en-AU"/>
        </w:rPr>
      </w:pPr>
      <w:hyperlink w:anchor="_Toc86158484" w:history="1">
        <w:r w:rsidR="000A4DC7" w:rsidRPr="001E54CF">
          <w:rPr>
            <w:rStyle w:val="Hyperlink"/>
            <w:bCs/>
            <w14:scene3d>
              <w14:camera w14:prst="orthographicFront"/>
              <w14:lightRig w14:rig="threePt" w14:dir="t">
                <w14:rot w14:lat="0" w14:lon="0" w14:rev="0"/>
              </w14:lightRig>
            </w14:scene3d>
          </w:rPr>
          <w:t>5.3.1</w:t>
        </w:r>
        <w:r w:rsidR="000A4DC7">
          <w:rPr>
            <w:rFonts w:asciiTheme="minorHAnsi" w:eastAsiaTheme="minorEastAsia" w:hAnsiTheme="minorHAnsi" w:cstheme="minorBidi"/>
            <w:sz w:val="22"/>
            <w:szCs w:val="22"/>
            <w:lang w:eastAsia="en-AU"/>
          </w:rPr>
          <w:tab/>
        </w:r>
        <w:r w:rsidR="000A4DC7" w:rsidRPr="001E54CF">
          <w:rPr>
            <w:rStyle w:val="Hyperlink"/>
          </w:rPr>
          <w:t>Economic considerations</w:t>
        </w:r>
        <w:r w:rsidR="000A4DC7">
          <w:rPr>
            <w:webHidden/>
          </w:rPr>
          <w:tab/>
        </w:r>
        <w:r w:rsidR="000A4DC7">
          <w:rPr>
            <w:webHidden/>
          </w:rPr>
          <w:fldChar w:fldCharType="begin"/>
        </w:r>
        <w:r w:rsidR="000A4DC7">
          <w:rPr>
            <w:webHidden/>
          </w:rPr>
          <w:instrText xml:space="preserve"> PAGEREF _Toc86158484 \h </w:instrText>
        </w:r>
        <w:r w:rsidR="000A4DC7">
          <w:rPr>
            <w:webHidden/>
          </w:rPr>
        </w:r>
        <w:r w:rsidR="000A4DC7">
          <w:rPr>
            <w:webHidden/>
          </w:rPr>
          <w:fldChar w:fldCharType="separate"/>
        </w:r>
        <w:r w:rsidR="00225EEA">
          <w:rPr>
            <w:webHidden/>
          </w:rPr>
          <w:t>79</w:t>
        </w:r>
        <w:r w:rsidR="000A4DC7">
          <w:rPr>
            <w:webHidden/>
          </w:rPr>
          <w:fldChar w:fldCharType="end"/>
        </w:r>
      </w:hyperlink>
    </w:p>
    <w:p w14:paraId="660A835B" w14:textId="6565F19A" w:rsidR="000A4DC7" w:rsidRDefault="00EB0EE2">
      <w:pPr>
        <w:pStyle w:val="TOC3"/>
        <w:rPr>
          <w:rFonts w:asciiTheme="minorHAnsi" w:eastAsiaTheme="minorEastAsia" w:hAnsiTheme="minorHAnsi" w:cstheme="minorBidi"/>
          <w:sz w:val="22"/>
          <w:szCs w:val="22"/>
          <w:lang w:eastAsia="en-AU"/>
        </w:rPr>
      </w:pPr>
      <w:hyperlink w:anchor="_Toc86158485" w:history="1">
        <w:r w:rsidR="000A4DC7" w:rsidRPr="001E54CF">
          <w:rPr>
            <w:rStyle w:val="Hyperlink"/>
            <w:bCs/>
            <w14:scene3d>
              <w14:camera w14:prst="orthographicFront"/>
              <w14:lightRig w14:rig="threePt" w14:dir="t">
                <w14:rot w14:lat="0" w14:lon="0" w14:rev="0"/>
              </w14:lightRig>
            </w14:scene3d>
          </w:rPr>
          <w:t>5.3.2</w:t>
        </w:r>
        <w:r w:rsidR="000A4DC7">
          <w:rPr>
            <w:rFonts w:asciiTheme="minorHAnsi" w:eastAsiaTheme="minorEastAsia" w:hAnsiTheme="minorHAnsi" w:cstheme="minorBidi"/>
            <w:sz w:val="22"/>
            <w:szCs w:val="22"/>
            <w:lang w:eastAsia="en-AU"/>
          </w:rPr>
          <w:tab/>
        </w:r>
        <w:r w:rsidR="000A4DC7" w:rsidRPr="001E54CF">
          <w:rPr>
            <w:rStyle w:val="Hyperlink"/>
          </w:rPr>
          <w:t>Timing and Heavy Vehicle Road Reform</w:t>
        </w:r>
        <w:r w:rsidR="000A4DC7">
          <w:rPr>
            <w:webHidden/>
          </w:rPr>
          <w:tab/>
        </w:r>
        <w:r w:rsidR="000A4DC7">
          <w:rPr>
            <w:webHidden/>
          </w:rPr>
          <w:fldChar w:fldCharType="begin"/>
        </w:r>
        <w:r w:rsidR="000A4DC7">
          <w:rPr>
            <w:webHidden/>
          </w:rPr>
          <w:instrText xml:space="preserve"> PAGEREF _Toc86158485 \h </w:instrText>
        </w:r>
        <w:r w:rsidR="000A4DC7">
          <w:rPr>
            <w:webHidden/>
          </w:rPr>
        </w:r>
        <w:r w:rsidR="000A4DC7">
          <w:rPr>
            <w:webHidden/>
          </w:rPr>
          <w:fldChar w:fldCharType="separate"/>
        </w:r>
        <w:r w:rsidR="00225EEA">
          <w:rPr>
            <w:webHidden/>
          </w:rPr>
          <w:t>80</w:t>
        </w:r>
        <w:r w:rsidR="000A4DC7">
          <w:rPr>
            <w:webHidden/>
          </w:rPr>
          <w:fldChar w:fldCharType="end"/>
        </w:r>
      </w:hyperlink>
    </w:p>
    <w:p w14:paraId="3C5E1938" w14:textId="7C600E0D" w:rsidR="000A4DC7" w:rsidRDefault="00EB0EE2">
      <w:pPr>
        <w:pStyle w:val="TOC3"/>
        <w:rPr>
          <w:rFonts w:asciiTheme="minorHAnsi" w:eastAsiaTheme="minorEastAsia" w:hAnsiTheme="minorHAnsi" w:cstheme="minorBidi"/>
          <w:sz w:val="22"/>
          <w:szCs w:val="22"/>
          <w:lang w:eastAsia="en-AU"/>
        </w:rPr>
      </w:pPr>
      <w:hyperlink w:anchor="_Toc86158486" w:history="1">
        <w:r w:rsidR="000A4DC7" w:rsidRPr="001E54CF">
          <w:rPr>
            <w:rStyle w:val="Hyperlink"/>
            <w:bCs/>
            <w14:scene3d>
              <w14:camera w14:prst="orthographicFront"/>
              <w14:lightRig w14:rig="threePt" w14:dir="t">
                <w14:rot w14:lat="0" w14:lon="0" w14:rev="0"/>
              </w14:lightRig>
            </w14:scene3d>
          </w:rPr>
          <w:t>5.3.3</w:t>
        </w:r>
        <w:r w:rsidR="000A4DC7">
          <w:rPr>
            <w:rFonts w:asciiTheme="minorHAnsi" w:eastAsiaTheme="minorEastAsia" w:hAnsiTheme="minorHAnsi" w:cstheme="minorBidi"/>
            <w:sz w:val="22"/>
            <w:szCs w:val="22"/>
            <w:lang w:eastAsia="en-AU"/>
          </w:rPr>
          <w:tab/>
        </w:r>
        <w:r w:rsidR="000A4DC7" w:rsidRPr="001E54CF">
          <w:rPr>
            <w:rStyle w:val="Hyperlink"/>
          </w:rPr>
          <w:t>Other issues</w:t>
        </w:r>
        <w:r w:rsidR="000A4DC7">
          <w:rPr>
            <w:webHidden/>
          </w:rPr>
          <w:tab/>
        </w:r>
        <w:r w:rsidR="000A4DC7">
          <w:rPr>
            <w:webHidden/>
          </w:rPr>
          <w:fldChar w:fldCharType="begin"/>
        </w:r>
        <w:r w:rsidR="000A4DC7">
          <w:rPr>
            <w:webHidden/>
          </w:rPr>
          <w:instrText xml:space="preserve"> PAGEREF _Toc86158486 \h </w:instrText>
        </w:r>
        <w:r w:rsidR="000A4DC7">
          <w:rPr>
            <w:webHidden/>
          </w:rPr>
        </w:r>
        <w:r w:rsidR="000A4DC7">
          <w:rPr>
            <w:webHidden/>
          </w:rPr>
          <w:fldChar w:fldCharType="separate"/>
        </w:r>
        <w:r w:rsidR="00225EEA">
          <w:rPr>
            <w:webHidden/>
          </w:rPr>
          <w:t>80</w:t>
        </w:r>
        <w:r w:rsidR="000A4DC7">
          <w:rPr>
            <w:webHidden/>
          </w:rPr>
          <w:fldChar w:fldCharType="end"/>
        </w:r>
      </w:hyperlink>
    </w:p>
    <w:p w14:paraId="00FA470C" w14:textId="2BC6D85C" w:rsidR="000A4DC7" w:rsidRDefault="00EB0EE2">
      <w:pPr>
        <w:pStyle w:val="TOC3"/>
        <w:rPr>
          <w:rFonts w:asciiTheme="minorHAnsi" w:eastAsiaTheme="minorEastAsia" w:hAnsiTheme="minorHAnsi" w:cstheme="minorBidi"/>
          <w:sz w:val="22"/>
          <w:szCs w:val="22"/>
          <w:lang w:eastAsia="en-AU"/>
        </w:rPr>
      </w:pPr>
      <w:hyperlink w:anchor="_Toc86158487" w:history="1">
        <w:r w:rsidR="000A4DC7" w:rsidRPr="001E54CF">
          <w:rPr>
            <w:rStyle w:val="Hyperlink"/>
            <w:bCs/>
            <w14:scene3d>
              <w14:camera w14:prst="orthographicFront"/>
              <w14:lightRig w14:rig="threePt" w14:dir="t">
                <w14:rot w14:lat="0" w14:lon="0" w14:rev="0"/>
              </w14:lightRig>
            </w14:scene3d>
          </w:rPr>
          <w:t>5.3.4</w:t>
        </w:r>
        <w:r w:rsidR="000A4DC7">
          <w:rPr>
            <w:rFonts w:asciiTheme="minorHAnsi" w:eastAsiaTheme="minorEastAsia" w:hAnsiTheme="minorHAnsi" w:cstheme="minorBidi"/>
            <w:sz w:val="22"/>
            <w:szCs w:val="22"/>
            <w:lang w:eastAsia="en-AU"/>
          </w:rPr>
          <w:tab/>
        </w:r>
        <w:r w:rsidR="000A4DC7" w:rsidRPr="001E54CF">
          <w:rPr>
            <w:rStyle w:val="Hyperlink"/>
          </w:rPr>
          <w:t>Basis for decision</w:t>
        </w:r>
        <w:r w:rsidR="000A4DC7">
          <w:rPr>
            <w:webHidden/>
          </w:rPr>
          <w:tab/>
        </w:r>
        <w:r w:rsidR="000A4DC7">
          <w:rPr>
            <w:webHidden/>
          </w:rPr>
          <w:fldChar w:fldCharType="begin"/>
        </w:r>
        <w:r w:rsidR="000A4DC7">
          <w:rPr>
            <w:webHidden/>
          </w:rPr>
          <w:instrText xml:space="preserve"> PAGEREF _Toc86158487 \h </w:instrText>
        </w:r>
        <w:r w:rsidR="000A4DC7">
          <w:rPr>
            <w:webHidden/>
          </w:rPr>
        </w:r>
        <w:r w:rsidR="000A4DC7">
          <w:rPr>
            <w:webHidden/>
          </w:rPr>
          <w:fldChar w:fldCharType="separate"/>
        </w:r>
        <w:r w:rsidR="00225EEA">
          <w:rPr>
            <w:webHidden/>
          </w:rPr>
          <w:t>81</w:t>
        </w:r>
        <w:r w:rsidR="000A4DC7">
          <w:rPr>
            <w:webHidden/>
          </w:rPr>
          <w:fldChar w:fldCharType="end"/>
        </w:r>
      </w:hyperlink>
    </w:p>
    <w:p w14:paraId="1C8458B3" w14:textId="3B03DCBB" w:rsidR="000A4DC7" w:rsidRDefault="00EB0EE2">
      <w:pPr>
        <w:pStyle w:val="TOC3"/>
        <w:rPr>
          <w:rFonts w:asciiTheme="minorHAnsi" w:eastAsiaTheme="minorEastAsia" w:hAnsiTheme="minorHAnsi" w:cstheme="minorBidi"/>
          <w:sz w:val="22"/>
          <w:szCs w:val="22"/>
          <w:lang w:eastAsia="en-AU"/>
        </w:rPr>
      </w:pPr>
      <w:hyperlink w:anchor="_Toc86158488" w:history="1">
        <w:r w:rsidR="000A4DC7" w:rsidRPr="001E54CF">
          <w:rPr>
            <w:rStyle w:val="Hyperlink"/>
            <w:bCs/>
            <w14:scene3d>
              <w14:camera w14:prst="orthographicFront"/>
              <w14:lightRig w14:rig="threePt" w14:dir="t">
                <w14:rot w14:lat="0" w14:lon="0" w14:rev="0"/>
              </w14:lightRig>
            </w14:scene3d>
          </w:rPr>
          <w:t>5.3.5</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_Toc86158488 \h </w:instrText>
        </w:r>
        <w:r w:rsidR="000A4DC7">
          <w:rPr>
            <w:webHidden/>
          </w:rPr>
        </w:r>
        <w:r w:rsidR="000A4DC7">
          <w:rPr>
            <w:webHidden/>
          </w:rPr>
          <w:fldChar w:fldCharType="separate"/>
        </w:r>
        <w:r w:rsidR="00225EEA">
          <w:rPr>
            <w:webHidden/>
          </w:rPr>
          <w:t>81</w:t>
        </w:r>
        <w:r w:rsidR="000A4DC7">
          <w:rPr>
            <w:webHidden/>
          </w:rPr>
          <w:fldChar w:fldCharType="end"/>
        </w:r>
      </w:hyperlink>
    </w:p>
    <w:p w14:paraId="1C4B8D7E" w14:textId="5BDF3021" w:rsidR="000A4DC7" w:rsidRDefault="00EB0EE2">
      <w:pPr>
        <w:pStyle w:val="TOC3"/>
        <w:rPr>
          <w:rFonts w:asciiTheme="minorHAnsi" w:eastAsiaTheme="minorEastAsia" w:hAnsiTheme="minorHAnsi" w:cstheme="minorBidi"/>
          <w:sz w:val="22"/>
          <w:szCs w:val="22"/>
          <w:lang w:eastAsia="en-AU"/>
        </w:rPr>
      </w:pPr>
      <w:hyperlink w:anchor="_Toc86158489" w:history="1">
        <w:r w:rsidR="000A4DC7" w:rsidRPr="001E54CF">
          <w:rPr>
            <w:rStyle w:val="Hyperlink"/>
            <w:bCs/>
            <w14:scene3d>
              <w14:camera w14:prst="orthographicFront"/>
              <w14:lightRig w14:rig="threePt" w14:dir="t">
                <w14:rot w14:lat="0" w14:lon="0" w14:rev="0"/>
              </w14:lightRig>
            </w14:scene3d>
          </w:rPr>
          <w:t>5.3.6</w:t>
        </w:r>
        <w:r w:rsidR="000A4DC7">
          <w:rPr>
            <w:rFonts w:asciiTheme="minorHAnsi" w:eastAsiaTheme="minorEastAsia" w:hAnsiTheme="minorHAnsi" w:cstheme="minorBidi"/>
            <w:sz w:val="22"/>
            <w:szCs w:val="22"/>
            <w:lang w:eastAsia="en-AU"/>
          </w:rPr>
          <w:tab/>
        </w:r>
        <w:r w:rsidR="000A4DC7" w:rsidRPr="001E54CF">
          <w:rPr>
            <w:rStyle w:val="Hyperlink"/>
          </w:rPr>
          <w:t>NTC response to submissions</w:t>
        </w:r>
        <w:r w:rsidR="000A4DC7">
          <w:rPr>
            <w:webHidden/>
          </w:rPr>
          <w:tab/>
        </w:r>
        <w:r w:rsidR="000A4DC7">
          <w:rPr>
            <w:webHidden/>
          </w:rPr>
          <w:fldChar w:fldCharType="begin"/>
        </w:r>
        <w:r w:rsidR="000A4DC7">
          <w:rPr>
            <w:webHidden/>
          </w:rPr>
          <w:instrText xml:space="preserve"> PAGEREF _Toc86158489 \h </w:instrText>
        </w:r>
        <w:r w:rsidR="000A4DC7">
          <w:rPr>
            <w:webHidden/>
          </w:rPr>
        </w:r>
        <w:r w:rsidR="000A4DC7">
          <w:rPr>
            <w:webHidden/>
          </w:rPr>
          <w:fldChar w:fldCharType="separate"/>
        </w:r>
        <w:r w:rsidR="00225EEA">
          <w:rPr>
            <w:webHidden/>
          </w:rPr>
          <w:t>82</w:t>
        </w:r>
        <w:r w:rsidR="000A4DC7">
          <w:rPr>
            <w:webHidden/>
          </w:rPr>
          <w:fldChar w:fldCharType="end"/>
        </w:r>
      </w:hyperlink>
    </w:p>
    <w:p w14:paraId="197FDE2D" w14:textId="4EA597D9" w:rsidR="000A4DC7" w:rsidRDefault="00EB0EE2">
      <w:pPr>
        <w:pStyle w:val="TOC2"/>
        <w:rPr>
          <w:rFonts w:asciiTheme="minorHAnsi" w:eastAsiaTheme="minorEastAsia" w:hAnsiTheme="minorHAnsi" w:cstheme="minorBidi"/>
          <w:sz w:val="22"/>
          <w:szCs w:val="22"/>
          <w:lang w:eastAsia="en-AU"/>
        </w:rPr>
      </w:pPr>
      <w:hyperlink w:anchor="_Toc86158490" w:history="1">
        <w:r w:rsidR="000A4DC7" w:rsidRPr="001E54CF">
          <w:rPr>
            <w:rStyle w:val="Hyperlink"/>
          </w:rPr>
          <w:t>5.4</w:t>
        </w:r>
        <w:r w:rsidR="000A4DC7">
          <w:rPr>
            <w:rFonts w:asciiTheme="minorHAnsi" w:eastAsiaTheme="minorEastAsia" w:hAnsiTheme="minorHAnsi" w:cstheme="minorBidi"/>
            <w:sz w:val="22"/>
            <w:szCs w:val="22"/>
            <w:lang w:eastAsia="en-AU"/>
          </w:rPr>
          <w:tab/>
        </w:r>
        <w:r w:rsidR="000A4DC7" w:rsidRPr="001E54CF">
          <w:rPr>
            <w:rStyle w:val="Hyperlink"/>
          </w:rPr>
          <w:t>Final recommendation</w:t>
        </w:r>
        <w:r w:rsidR="000A4DC7">
          <w:rPr>
            <w:webHidden/>
          </w:rPr>
          <w:tab/>
        </w:r>
        <w:r w:rsidR="000A4DC7">
          <w:rPr>
            <w:webHidden/>
          </w:rPr>
          <w:fldChar w:fldCharType="begin"/>
        </w:r>
        <w:r w:rsidR="000A4DC7">
          <w:rPr>
            <w:webHidden/>
          </w:rPr>
          <w:instrText xml:space="preserve"> PAGEREF _Toc86158490 \h </w:instrText>
        </w:r>
        <w:r w:rsidR="000A4DC7">
          <w:rPr>
            <w:webHidden/>
          </w:rPr>
        </w:r>
        <w:r w:rsidR="000A4DC7">
          <w:rPr>
            <w:webHidden/>
          </w:rPr>
          <w:fldChar w:fldCharType="separate"/>
        </w:r>
        <w:r w:rsidR="00225EEA">
          <w:rPr>
            <w:webHidden/>
          </w:rPr>
          <w:t>82</w:t>
        </w:r>
        <w:r w:rsidR="000A4DC7">
          <w:rPr>
            <w:webHidden/>
          </w:rPr>
          <w:fldChar w:fldCharType="end"/>
        </w:r>
      </w:hyperlink>
    </w:p>
    <w:p w14:paraId="597B1370" w14:textId="62EB8C6F" w:rsidR="000A4DC7" w:rsidRDefault="00EB0EE2">
      <w:pPr>
        <w:pStyle w:val="TOC1"/>
        <w:rPr>
          <w:rFonts w:asciiTheme="minorHAnsi" w:eastAsiaTheme="minorEastAsia" w:hAnsiTheme="minorHAnsi" w:cstheme="minorBidi"/>
          <w:b w:val="0"/>
          <w:szCs w:val="22"/>
          <w:lang w:eastAsia="en-AU"/>
        </w:rPr>
      </w:pPr>
      <w:hyperlink w:anchor="_Toc86158491" w:history="1">
        <w:r w:rsidR="000A4DC7" w:rsidRPr="001E54CF">
          <w:rPr>
            <w:rStyle w:val="Hyperlink"/>
          </w:rPr>
          <w:t>6</w:t>
        </w:r>
        <w:r w:rsidR="000A4DC7">
          <w:rPr>
            <w:rFonts w:asciiTheme="minorHAnsi" w:eastAsiaTheme="minorEastAsia" w:hAnsiTheme="minorHAnsi" w:cstheme="minorBidi"/>
            <w:b w:val="0"/>
            <w:szCs w:val="22"/>
            <w:lang w:eastAsia="en-AU"/>
          </w:rPr>
          <w:tab/>
        </w:r>
        <w:r w:rsidR="000A4DC7" w:rsidRPr="001E54CF">
          <w:rPr>
            <w:rStyle w:val="Hyperlink"/>
          </w:rPr>
          <w:t>Implementation options</w:t>
        </w:r>
        <w:r w:rsidR="000A4DC7">
          <w:rPr>
            <w:webHidden/>
          </w:rPr>
          <w:tab/>
        </w:r>
        <w:r w:rsidR="000A4DC7">
          <w:rPr>
            <w:webHidden/>
          </w:rPr>
          <w:fldChar w:fldCharType="begin"/>
        </w:r>
        <w:r w:rsidR="000A4DC7">
          <w:rPr>
            <w:webHidden/>
          </w:rPr>
          <w:instrText xml:space="preserve"> PAGEREF _Toc86158491 \h </w:instrText>
        </w:r>
        <w:r w:rsidR="000A4DC7">
          <w:rPr>
            <w:webHidden/>
          </w:rPr>
        </w:r>
        <w:r w:rsidR="000A4DC7">
          <w:rPr>
            <w:webHidden/>
          </w:rPr>
          <w:fldChar w:fldCharType="separate"/>
        </w:r>
        <w:r w:rsidR="00225EEA">
          <w:rPr>
            <w:webHidden/>
          </w:rPr>
          <w:t>83</w:t>
        </w:r>
        <w:r w:rsidR="000A4DC7">
          <w:rPr>
            <w:webHidden/>
          </w:rPr>
          <w:fldChar w:fldCharType="end"/>
        </w:r>
      </w:hyperlink>
    </w:p>
    <w:p w14:paraId="61A5A2E3" w14:textId="5F26FF42" w:rsidR="000A4DC7" w:rsidRDefault="00EB0EE2">
      <w:pPr>
        <w:pStyle w:val="TOC2"/>
        <w:rPr>
          <w:rFonts w:asciiTheme="minorHAnsi" w:eastAsiaTheme="minorEastAsia" w:hAnsiTheme="minorHAnsi" w:cstheme="minorBidi"/>
          <w:sz w:val="22"/>
          <w:szCs w:val="22"/>
          <w:lang w:eastAsia="en-AU"/>
        </w:rPr>
      </w:pPr>
      <w:hyperlink w:anchor="_Toc86158492" w:history="1">
        <w:r w:rsidR="000A4DC7" w:rsidRPr="001E54CF">
          <w:rPr>
            <w:rStyle w:val="Hyperlink"/>
          </w:rPr>
          <w:t>6.1</w:t>
        </w:r>
        <w:r w:rsidR="000A4DC7">
          <w:rPr>
            <w:rFonts w:asciiTheme="minorHAnsi" w:eastAsiaTheme="minorEastAsia" w:hAnsiTheme="minorHAnsi" w:cstheme="minorBidi"/>
            <w:sz w:val="22"/>
            <w:szCs w:val="22"/>
            <w:lang w:eastAsia="en-AU"/>
          </w:rPr>
          <w:tab/>
        </w:r>
        <w:r w:rsidR="000A4DC7" w:rsidRPr="001E54CF">
          <w:rPr>
            <w:rStyle w:val="Hyperlink"/>
          </w:rPr>
          <w:t>Implementation objectives</w:t>
        </w:r>
        <w:r w:rsidR="000A4DC7">
          <w:rPr>
            <w:webHidden/>
          </w:rPr>
          <w:tab/>
        </w:r>
        <w:r w:rsidR="000A4DC7">
          <w:rPr>
            <w:webHidden/>
          </w:rPr>
          <w:fldChar w:fldCharType="begin"/>
        </w:r>
        <w:r w:rsidR="000A4DC7">
          <w:rPr>
            <w:webHidden/>
          </w:rPr>
          <w:instrText xml:space="preserve"> PAGEREF _Toc86158492 \h </w:instrText>
        </w:r>
        <w:r w:rsidR="000A4DC7">
          <w:rPr>
            <w:webHidden/>
          </w:rPr>
        </w:r>
        <w:r w:rsidR="000A4DC7">
          <w:rPr>
            <w:webHidden/>
          </w:rPr>
          <w:fldChar w:fldCharType="separate"/>
        </w:r>
        <w:r w:rsidR="00225EEA">
          <w:rPr>
            <w:webHidden/>
          </w:rPr>
          <w:t>83</w:t>
        </w:r>
        <w:r w:rsidR="000A4DC7">
          <w:rPr>
            <w:webHidden/>
          </w:rPr>
          <w:fldChar w:fldCharType="end"/>
        </w:r>
      </w:hyperlink>
    </w:p>
    <w:p w14:paraId="2A66D5E7" w14:textId="15B6D409" w:rsidR="000A4DC7" w:rsidRDefault="00EB0EE2">
      <w:pPr>
        <w:pStyle w:val="TOC2"/>
        <w:rPr>
          <w:rFonts w:asciiTheme="minorHAnsi" w:eastAsiaTheme="minorEastAsia" w:hAnsiTheme="minorHAnsi" w:cstheme="minorBidi"/>
          <w:sz w:val="22"/>
          <w:szCs w:val="22"/>
          <w:lang w:eastAsia="en-AU"/>
        </w:rPr>
      </w:pPr>
      <w:hyperlink w:anchor="_Toc86158493" w:history="1">
        <w:r w:rsidR="000A4DC7" w:rsidRPr="001E54CF">
          <w:rPr>
            <w:rStyle w:val="Hyperlink"/>
          </w:rPr>
          <w:t>6.2</w:t>
        </w:r>
        <w:r w:rsidR="000A4DC7">
          <w:rPr>
            <w:rFonts w:asciiTheme="minorHAnsi" w:eastAsiaTheme="minorEastAsia" w:hAnsiTheme="minorHAnsi" w:cstheme="minorBidi"/>
            <w:sz w:val="22"/>
            <w:szCs w:val="22"/>
            <w:lang w:eastAsia="en-AU"/>
          </w:rPr>
          <w:tab/>
        </w:r>
        <w:r w:rsidR="000A4DC7" w:rsidRPr="001E54CF">
          <w:rPr>
            <w:rStyle w:val="Hyperlink"/>
          </w:rPr>
          <w:t>Historical approach to implementing determinations</w:t>
        </w:r>
        <w:r w:rsidR="000A4DC7">
          <w:rPr>
            <w:webHidden/>
          </w:rPr>
          <w:tab/>
        </w:r>
        <w:r w:rsidR="000A4DC7">
          <w:rPr>
            <w:webHidden/>
          </w:rPr>
          <w:fldChar w:fldCharType="begin"/>
        </w:r>
        <w:r w:rsidR="000A4DC7">
          <w:rPr>
            <w:webHidden/>
          </w:rPr>
          <w:instrText xml:space="preserve"> PAGEREF _Toc86158493 \h </w:instrText>
        </w:r>
        <w:r w:rsidR="000A4DC7">
          <w:rPr>
            <w:webHidden/>
          </w:rPr>
        </w:r>
        <w:r w:rsidR="000A4DC7">
          <w:rPr>
            <w:webHidden/>
          </w:rPr>
          <w:fldChar w:fldCharType="separate"/>
        </w:r>
        <w:r w:rsidR="00225EEA">
          <w:rPr>
            <w:webHidden/>
          </w:rPr>
          <w:t>83</w:t>
        </w:r>
        <w:r w:rsidR="000A4DC7">
          <w:rPr>
            <w:webHidden/>
          </w:rPr>
          <w:fldChar w:fldCharType="end"/>
        </w:r>
      </w:hyperlink>
    </w:p>
    <w:p w14:paraId="4628C6ED" w14:textId="39FF2B55" w:rsidR="000A4DC7" w:rsidRDefault="00EB0EE2">
      <w:pPr>
        <w:pStyle w:val="TOC2"/>
        <w:rPr>
          <w:rFonts w:asciiTheme="minorHAnsi" w:eastAsiaTheme="minorEastAsia" w:hAnsiTheme="minorHAnsi" w:cstheme="minorBidi"/>
          <w:sz w:val="22"/>
          <w:szCs w:val="22"/>
          <w:lang w:eastAsia="en-AU"/>
        </w:rPr>
      </w:pPr>
      <w:hyperlink w:anchor="_Toc86158494" w:history="1">
        <w:r w:rsidR="000A4DC7" w:rsidRPr="001E54CF">
          <w:rPr>
            <w:rStyle w:val="Hyperlink"/>
          </w:rPr>
          <w:t>6.3</w:t>
        </w:r>
        <w:r w:rsidR="000A4DC7">
          <w:rPr>
            <w:rFonts w:asciiTheme="minorHAnsi" w:eastAsiaTheme="minorEastAsia" w:hAnsiTheme="minorHAnsi" w:cstheme="minorBidi"/>
            <w:sz w:val="22"/>
            <w:szCs w:val="22"/>
            <w:lang w:eastAsia="en-AU"/>
          </w:rPr>
          <w:tab/>
        </w:r>
        <w:r w:rsidR="000A4DC7" w:rsidRPr="001E54CF">
          <w:rPr>
            <w:rStyle w:val="Hyperlink"/>
          </w:rPr>
          <w:t>Direct implementation may not be feasible</w:t>
        </w:r>
        <w:r w:rsidR="000A4DC7">
          <w:rPr>
            <w:webHidden/>
          </w:rPr>
          <w:tab/>
        </w:r>
        <w:r w:rsidR="000A4DC7">
          <w:rPr>
            <w:webHidden/>
          </w:rPr>
          <w:fldChar w:fldCharType="begin"/>
        </w:r>
        <w:r w:rsidR="000A4DC7">
          <w:rPr>
            <w:webHidden/>
          </w:rPr>
          <w:instrText xml:space="preserve"> PAGEREF _Toc86158494 \h </w:instrText>
        </w:r>
        <w:r w:rsidR="000A4DC7">
          <w:rPr>
            <w:webHidden/>
          </w:rPr>
        </w:r>
        <w:r w:rsidR="000A4DC7">
          <w:rPr>
            <w:webHidden/>
          </w:rPr>
          <w:fldChar w:fldCharType="separate"/>
        </w:r>
        <w:r w:rsidR="00225EEA">
          <w:rPr>
            <w:webHidden/>
          </w:rPr>
          <w:t>84</w:t>
        </w:r>
        <w:r w:rsidR="000A4DC7">
          <w:rPr>
            <w:webHidden/>
          </w:rPr>
          <w:fldChar w:fldCharType="end"/>
        </w:r>
      </w:hyperlink>
    </w:p>
    <w:p w14:paraId="25643AEE" w14:textId="40796965" w:rsidR="000A4DC7" w:rsidRDefault="00EB0EE2">
      <w:pPr>
        <w:pStyle w:val="TOC2"/>
        <w:rPr>
          <w:rFonts w:asciiTheme="minorHAnsi" w:eastAsiaTheme="minorEastAsia" w:hAnsiTheme="minorHAnsi" w:cstheme="minorBidi"/>
          <w:sz w:val="22"/>
          <w:szCs w:val="22"/>
          <w:lang w:eastAsia="en-AU"/>
        </w:rPr>
      </w:pPr>
      <w:hyperlink w:anchor="_Toc86158495" w:history="1">
        <w:r w:rsidR="000A4DC7" w:rsidRPr="001E54CF">
          <w:rPr>
            <w:rStyle w:val="Hyperlink"/>
          </w:rPr>
          <w:t>6.4</w:t>
        </w:r>
        <w:r w:rsidR="000A4DC7">
          <w:rPr>
            <w:rFonts w:asciiTheme="minorHAnsi" w:eastAsiaTheme="minorEastAsia" w:hAnsiTheme="minorHAnsi" w:cstheme="minorBidi"/>
            <w:sz w:val="22"/>
            <w:szCs w:val="22"/>
            <w:lang w:eastAsia="en-AU"/>
          </w:rPr>
          <w:tab/>
        </w:r>
        <w:r w:rsidR="000A4DC7" w:rsidRPr="001E54CF">
          <w:rPr>
            <w:rStyle w:val="Hyperlink"/>
          </w:rPr>
          <w:t>Multi-year price periods</w:t>
        </w:r>
        <w:r w:rsidR="000A4DC7">
          <w:rPr>
            <w:webHidden/>
          </w:rPr>
          <w:tab/>
        </w:r>
        <w:r w:rsidR="000A4DC7">
          <w:rPr>
            <w:webHidden/>
          </w:rPr>
          <w:fldChar w:fldCharType="begin"/>
        </w:r>
        <w:r w:rsidR="000A4DC7">
          <w:rPr>
            <w:webHidden/>
          </w:rPr>
          <w:instrText xml:space="preserve"> PAGEREF _Toc86158495 \h </w:instrText>
        </w:r>
        <w:r w:rsidR="000A4DC7">
          <w:rPr>
            <w:webHidden/>
          </w:rPr>
        </w:r>
        <w:r w:rsidR="000A4DC7">
          <w:rPr>
            <w:webHidden/>
          </w:rPr>
          <w:fldChar w:fldCharType="separate"/>
        </w:r>
        <w:r w:rsidR="00225EEA">
          <w:rPr>
            <w:webHidden/>
          </w:rPr>
          <w:t>84</w:t>
        </w:r>
        <w:r w:rsidR="000A4DC7">
          <w:rPr>
            <w:webHidden/>
          </w:rPr>
          <w:fldChar w:fldCharType="end"/>
        </w:r>
      </w:hyperlink>
    </w:p>
    <w:p w14:paraId="11358538" w14:textId="35C2A21D" w:rsidR="000A4DC7" w:rsidRDefault="00EB0EE2">
      <w:pPr>
        <w:pStyle w:val="TOC3"/>
        <w:rPr>
          <w:rFonts w:asciiTheme="minorHAnsi" w:eastAsiaTheme="minorEastAsia" w:hAnsiTheme="minorHAnsi" w:cstheme="minorBidi"/>
          <w:sz w:val="22"/>
          <w:szCs w:val="22"/>
          <w:lang w:eastAsia="en-AU"/>
        </w:rPr>
      </w:pPr>
      <w:hyperlink w:anchor="_Toc86158496" w:history="1">
        <w:r w:rsidR="000A4DC7" w:rsidRPr="001E54CF">
          <w:rPr>
            <w:rStyle w:val="Hyperlink"/>
            <w:bCs/>
            <w14:scene3d>
              <w14:camera w14:prst="orthographicFront"/>
              <w14:lightRig w14:rig="threePt" w14:dir="t">
                <w14:rot w14:lat="0" w14:lon="0" w14:rev="0"/>
              </w14:lightRig>
            </w14:scene3d>
          </w:rPr>
          <w:t>6.4.1</w:t>
        </w:r>
        <w:r w:rsidR="000A4DC7">
          <w:rPr>
            <w:rFonts w:asciiTheme="minorHAnsi" w:eastAsiaTheme="minorEastAsia" w:hAnsiTheme="minorHAnsi" w:cstheme="minorBidi"/>
            <w:sz w:val="22"/>
            <w:szCs w:val="22"/>
            <w:lang w:eastAsia="en-AU"/>
          </w:rPr>
          <w:tab/>
        </w:r>
        <w:r w:rsidR="000A4DC7" w:rsidRPr="001E54CF">
          <w:rPr>
            <w:rStyle w:val="Hyperlink"/>
          </w:rPr>
          <w:t>Specifying the multi-year pricing period</w:t>
        </w:r>
        <w:r w:rsidR="000A4DC7">
          <w:rPr>
            <w:webHidden/>
          </w:rPr>
          <w:tab/>
        </w:r>
        <w:r w:rsidR="000A4DC7">
          <w:rPr>
            <w:webHidden/>
          </w:rPr>
          <w:fldChar w:fldCharType="begin"/>
        </w:r>
        <w:r w:rsidR="000A4DC7">
          <w:rPr>
            <w:webHidden/>
          </w:rPr>
          <w:instrText xml:space="preserve"> PAGEREF _Toc86158496 \h </w:instrText>
        </w:r>
        <w:r w:rsidR="000A4DC7">
          <w:rPr>
            <w:webHidden/>
          </w:rPr>
        </w:r>
        <w:r w:rsidR="000A4DC7">
          <w:rPr>
            <w:webHidden/>
          </w:rPr>
          <w:fldChar w:fldCharType="separate"/>
        </w:r>
        <w:r w:rsidR="00225EEA">
          <w:rPr>
            <w:webHidden/>
          </w:rPr>
          <w:t>85</w:t>
        </w:r>
        <w:r w:rsidR="000A4DC7">
          <w:rPr>
            <w:webHidden/>
          </w:rPr>
          <w:fldChar w:fldCharType="end"/>
        </w:r>
      </w:hyperlink>
    </w:p>
    <w:p w14:paraId="4D447721" w14:textId="3FAAF928" w:rsidR="000A4DC7" w:rsidRDefault="00EB0EE2">
      <w:pPr>
        <w:pStyle w:val="TOC2"/>
        <w:rPr>
          <w:rFonts w:asciiTheme="minorHAnsi" w:eastAsiaTheme="minorEastAsia" w:hAnsiTheme="minorHAnsi" w:cstheme="minorBidi"/>
          <w:sz w:val="22"/>
          <w:szCs w:val="22"/>
          <w:lang w:eastAsia="en-AU"/>
        </w:rPr>
      </w:pPr>
      <w:hyperlink w:anchor="_Toc86158497" w:history="1">
        <w:r w:rsidR="000A4DC7" w:rsidRPr="001E54CF">
          <w:rPr>
            <w:rStyle w:val="Hyperlink"/>
          </w:rPr>
          <w:t>6.5</w:t>
        </w:r>
        <w:r w:rsidR="000A4DC7">
          <w:rPr>
            <w:rFonts w:asciiTheme="minorHAnsi" w:eastAsiaTheme="minorEastAsia" w:hAnsiTheme="minorHAnsi" w:cstheme="minorBidi"/>
            <w:sz w:val="22"/>
            <w:szCs w:val="22"/>
            <w:lang w:eastAsia="en-AU"/>
          </w:rPr>
          <w:tab/>
        </w:r>
        <w:r w:rsidR="000A4DC7" w:rsidRPr="001E54CF">
          <w:rPr>
            <w:rStyle w:val="Hyperlink"/>
          </w:rPr>
          <w:t>Initial evaluation of implementation options</w:t>
        </w:r>
        <w:r w:rsidR="000A4DC7">
          <w:rPr>
            <w:webHidden/>
          </w:rPr>
          <w:tab/>
        </w:r>
        <w:r w:rsidR="000A4DC7">
          <w:rPr>
            <w:webHidden/>
          </w:rPr>
          <w:fldChar w:fldCharType="begin"/>
        </w:r>
        <w:r w:rsidR="000A4DC7">
          <w:rPr>
            <w:webHidden/>
          </w:rPr>
          <w:instrText xml:space="preserve"> PAGEREF _Toc86158497 \h </w:instrText>
        </w:r>
        <w:r w:rsidR="000A4DC7">
          <w:rPr>
            <w:webHidden/>
          </w:rPr>
        </w:r>
        <w:r w:rsidR="000A4DC7">
          <w:rPr>
            <w:webHidden/>
          </w:rPr>
          <w:fldChar w:fldCharType="separate"/>
        </w:r>
        <w:r w:rsidR="00225EEA">
          <w:rPr>
            <w:webHidden/>
          </w:rPr>
          <w:t>85</w:t>
        </w:r>
        <w:r w:rsidR="000A4DC7">
          <w:rPr>
            <w:webHidden/>
          </w:rPr>
          <w:fldChar w:fldCharType="end"/>
        </w:r>
      </w:hyperlink>
    </w:p>
    <w:p w14:paraId="569B1942" w14:textId="397819CF" w:rsidR="000A4DC7" w:rsidRDefault="00EB0EE2">
      <w:pPr>
        <w:pStyle w:val="TOC2"/>
        <w:rPr>
          <w:rFonts w:asciiTheme="minorHAnsi" w:eastAsiaTheme="minorEastAsia" w:hAnsiTheme="minorHAnsi" w:cstheme="minorBidi"/>
          <w:sz w:val="22"/>
          <w:szCs w:val="22"/>
          <w:lang w:eastAsia="en-AU"/>
        </w:rPr>
      </w:pPr>
      <w:hyperlink w:anchor="_Toc86158498" w:history="1">
        <w:r w:rsidR="000A4DC7" w:rsidRPr="001E54CF">
          <w:rPr>
            <w:rStyle w:val="Hyperlink"/>
          </w:rPr>
          <w:t>6.6</w:t>
        </w:r>
        <w:r w:rsidR="000A4DC7">
          <w:rPr>
            <w:rFonts w:asciiTheme="minorHAnsi" w:eastAsiaTheme="minorEastAsia" w:hAnsiTheme="minorHAnsi" w:cstheme="minorBidi"/>
            <w:sz w:val="22"/>
            <w:szCs w:val="22"/>
            <w:lang w:eastAsia="en-AU"/>
          </w:rPr>
          <w:tab/>
        </w:r>
        <w:r w:rsidR="000A4DC7" w:rsidRPr="001E54CF">
          <w:rPr>
            <w:rStyle w:val="Hyperlink"/>
          </w:rPr>
          <w:t>Assessment of implementation options</w:t>
        </w:r>
        <w:r w:rsidR="000A4DC7">
          <w:rPr>
            <w:webHidden/>
          </w:rPr>
          <w:tab/>
        </w:r>
        <w:r w:rsidR="000A4DC7">
          <w:rPr>
            <w:webHidden/>
          </w:rPr>
          <w:fldChar w:fldCharType="begin"/>
        </w:r>
        <w:r w:rsidR="000A4DC7">
          <w:rPr>
            <w:webHidden/>
          </w:rPr>
          <w:instrText xml:space="preserve"> PAGEREF _Toc86158498 \h </w:instrText>
        </w:r>
        <w:r w:rsidR="000A4DC7">
          <w:rPr>
            <w:webHidden/>
          </w:rPr>
        </w:r>
        <w:r w:rsidR="000A4DC7">
          <w:rPr>
            <w:webHidden/>
          </w:rPr>
          <w:fldChar w:fldCharType="separate"/>
        </w:r>
        <w:r w:rsidR="00225EEA">
          <w:rPr>
            <w:webHidden/>
          </w:rPr>
          <w:t>87</w:t>
        </w:r>
        <w:r w:rsidR="000A4DC7">
          <w:rPr>
            <w:webHidden/>
          </w:rPr>
          <w:fldChar w:fldCharType="end"/>
        </w:r>
      </w:hyperlink>
    </w:p>
    <w:p w14:paraId="1724E4E0" w14:textId="6AB9D941" w:rsidR="000A4DC7" w:rsidRDefault="00EB0EE2">
      <w:pPr>
        <w:pStyle w:val="TOC3"/>
        <w:rPr>
          <w:rFonts w:asciiTheme="minorHAnsi" w:eastAsiaTheme="minorEastAsia" w:hAnsiTheme="minorHAnsi" w:cstheme="minorBidi"/>
          <w:sz w:val="22"/>
          <w:szCs w:val="22"/>
          <w:lang w:eastAsia="en-AU"/>
        </w:rPr>
      </w:pPr>
      <w:hyperlink w:anchor="_Toc86158499" w:history="1">
        <w:r w:rsidR="000A4DC7" w:rsidRPr="001E54CF">
          <w:rPr>
            <w:rStyle w:val="Hyperlink"/>
            <w:bCs/>
            <w14:scene3d>
              <w14:camera w14:prst="orthographicFront"/>
              <w14:lightRig w14:rig="threePt" w14:dir="t">
                <w14:rot w14:lat="0" w14:lon="0" w14:rev="0"/>
              </w14:lightRig>
            </w14:scene3d>
          </w:rPr>
          <w:t>6.6.1</w:t>
        </w:r>
        <w:r w:rsidR="000A4DC7">
          <w:rPr>
            <w:rFonts w:asciiTheme="minorHAnsi" w:eastAsiaTheme="minorEastAsia" w:hAnsiTheme="minorHAnsi" w:cstheme="minorBidi"/>
            <w:sz w:val="22"/>
            <w:szCs w:val="22"/>
            <w:lang w:eastAsia="en-AU"/>
          </w:rPr>
          <w:tab/>
        </w:r>
        <w:r w:rsidR="000A4DC7" w:rsidRPr="001E54CF">
          <w:rPr>
            <w:rStyle w:val="Hyperlink"/>
          </w:rPr>
          <w:t>Financial and fiscal implications</w:t>
        </w:r>
        <w:r w:rsidR="000A4DC7">
          <w:rPr>
            <w:webHidden/>
          </w:rPr>
          <w:tab/>
        </w:r>
        <w:r w:rsidR="000A4DC7">
          <w:rPr>
            <w:webHidden/>
          </w:rPr>
          <w:fldChar w:fldCharType="begin"/>
        </w:r>
        <w:r w:rsidR="000A4DC7">
          <w:rPr>
            <w:webHidden/>
          </w:rPr>
          <w:instrText xml:space="preserve"> PAGEREF _Toc86158499 \h </w:instrText>
        </w:r>
        <w:r w:rsidR="000A4DC7">
          <w:rPr>
            <w:webHidden/>
          </w:rPr>
        </w:r>
        <w:r w:rsidR="000A4DC7">
          <w:rPr>
            <w:webHidden/>
          </w:rPr>
          <w:fldChar w:fldCharType="separate"/>
        </w:r>
        <w:r w:rsidR="00225EEA">
          <w:rPr>
            <w:webHidden/>
          </w:rPr>
          <w:t>87</w:t>
        </w:r>
        <w:r w:rsidR="000A4DC7">
          <w:rPr>
            <w:webHidden/>
          </w:rPr>
          <w:fldChar w:fldCharType="end"/>
        </w:r>
      </w:hyperlink>
    </w:p>
    <w:p w14:paraId="7D6D2E6D" w14:textId="39C2B76D" w:rsidR="000A4DC7" w:rsidRDefault="00EB0EE2">
      <w:pPr>
        <w:pStyle w:val="TOC3"/>
        <w:rPr>
          <w:rFonts w:asciiTheme="minorHAnsi" w:eastAsiaTheme="minorEastAsia" w:hAnsiTheme="minorHAnsi" w:cstheme="minorBidi"/>
          <w:sz w:val="22"/>
          <w:szCs w:val="22"/>
          <w:lang w:eastAsia="en-AU"/>
        </w:rPr>
      </w:pPr>
      <w:hyperlink w:anchor="_Toc86158500" w:history="1">
        <w:r w:rsidR="000A4DC7" w:rsidRPr="001E54CF">
          <w:rPr>
            <w:rStyle w:val="Hyperlink"/>
            <w:bCs/>
            <w14:scene3d>
              <w14:camera w14:prst="orthographicFront"/>
              <w14:lightRig w14:rig="threePt" w14:dir="t">
                <w14:rot w14:lat="0" w14:lon="0" w14:rev="0"/>
              </w14:lightRig>
            </w14:scene3d>
          </w:rPr>
          <w:t>6.6.2</w:t>
        </w:r>
        <w:r w:rsidR="000A4DC7">
          <w:rPr>
            <w:rFonts w:asciiTheme="minorHAnsi" w:eastAsiaTheme="minorEastAsia" w:hAnsiTheme="minorHAnsi" w:cstheme="minorBidi"/>
            <w:sz w:val="22"/>
            <w:szCs w:val="22"/>
            <w:lang w:eastAsia="en-AU"/>
          </w:rPr>
          <w:tab/>
        </w:r>
        <w:r w:rsidR="000A4DC7" w:rsidRPr="001E54CF">
          <w:rPr>
            <w:rStyle w:val="Hyperlink"/>
          </w:rPr>
          <w:t>Impact on industry</w:t>
        </w:r>
        <w:r w:rsidR="000A4DC7">
          <w:rPr>
            <w:webHidden/>
          </w:rPr>
          <w:tab/>
        </w:r>
        <w:r w:rsidR="000A4DC7">
          <w:rPr>
            <w:webHidden/>
          </w:rPr>
          <w:fldChar w:fldCharType="begin"/>
        </w:r>
        <w:r w:rsidR="000A4DC7">
          <w:rPr>
            <w:webHidden/>
          </w:rPr>
          <w:instrText xml:space="preserve"> PAGEREF _Toc86158500 \h </w:instrText>
        </w:r>
        <w:r w:rsidR="000A4DC7">
          <w:rPr>
            <w:webHidden/>
          </w:rPr>
        </w:r>
        <w:r w:rsidR="000A4DC7">
          <w:rPr>
            <w:webHidden/>
          </w:rPr>
          <w:fldChar w:fldCharType="separate"/>
        </w:r>
        <w:r w:rsidR="00225EEA">
          <w:rPr>
            <w:webHidden/>
          </w:rPr>
          <w:t>91</w:t>
        </w:r>
        <w:r w:rsidR="000A4DC7">
          <w:rPr>
            <w:webHidden/>
          </w:rPr>
          <w:fldChar w:fldCharType="end"/>
        </w:r>
      </w:hyperlink>
    </w:p>
    <w:p w14:paraId="609B0F9F" w14:textId="6E945203" w:rsidR="000A4DC7" w:rsidRDefault="00EB0EE2">
      <w:pPr>
        <w:pStyle w:val="TOC3"/>
        <w:rPr>
          <w:rFonts w:asciiTheme="minorHAnsi" w:eastAsiaTheme="minorEastAsia" w:hAnsiTheme="minorHAnsi" w:cstheme="minorBidi"/>
          <w:sz w:val="22"/>
          <w:szCs w:val="22"/>
          <w:lang w:eastAsia="en-AU"/>
        </w:rPr>
      </w:pPr>
      <w:hyperlink w:anchor="_Toc86158501" w:history="1">
        <w:r w:rsidR="000A4DC7" w:rsidRPr="001E54CF">
          <w:rPr>
            <w:rStyle w:val="Hyperlink"/>
            <w:bCs/>
            <w14:scene3d>
              <w14:camera w14:prst="orthographicFront"/>
              <w14:lightRig w14:rig="threePt" w14:dir="t">
                <w14:rot w14:lat="0" w14:lon="0" w14:rev="0"/>
              </w14:lightRig>
            </w14:scene3d>
          </w:rPr>
          <w:t>6.6.3</w:t>
        </w:r>
        <w:r w:rsidR="000A4DC7">
          <w:rPr>
            <w:rFonts w:asciiTheme="minorHAnsi" w:eastAsiaTheme="minorEastAsia" w:hAnsiTheme="minorHAnsi" w:cstheme="minorBidi"/>
            <w:sz w:val="22"/>
            <w:szCs w:val="22"/>
            <w:lang w:eastAsia="en-AU"/>
          </w:rPr>
          <w:tab/>
        </w:r>
        <w:r w:rsidR="000A4DC7" w:rsidRPr="001E54CF">
          <w:rPr>
            <w:rStyle w:val="Hyperlink"/>
          </w:rPr>
          <w:t>Heavy vehicle operating costs as context</w:t>
        </w:r>
        <w:r w:rsidR="000A4DC7">
          <w:rPr>
            <w:webHidden/>
          </w:rPr>
          <w:tab/>
        </w:r>
        <w:r w:rsidR="000A4DC7">
          <w:rPr>
            <w:webHidden/>
          </w:rPr>
          <w:fldChar w:fldCharType="begin"/>
        </w:r>
        <w:r w:rsidR="000A4DC7">
          <w:rPr>
            <w:webHidden/>
          </w:rPr>
          <w:instrText xml:space="preserve"> PAGEREF _Toc86158501 \h </w:instrText>
        </w:r>
        <w:r w:rsidR="000A4DC7">
          <w:rPr>
            <w:webHidden/>
          </w:rPr>
        </w:r>
        <w:r w:rsidR="000A4DC7">
          <w:rPr>
            <w:webHidden/>
          </w:rPr>
          <w:fldChar w:fldCharType="separate"/>
        </w:r>
        <w:r w:rsidR="00225EEA">
          <w:rPr>
            <w:webHidden/>
          </w:rPr>
          <w:t>93</w:t>
        </w:r>
        <w:r w:rsidR="000A4DC7">
          <w:rPr>
            <w:webHidden/>
          </w:rPr>
          <w:fldChar w:fldCharType="end"/>
        </w:r>
      </w:hyperlink>
    </w:p>
    <w:p w14:paraId="37B322B3" w14:textId="6B95DFD3" w:rsidR="000A4DC7" w:rsidRDefault="00EB0EE2">
      <w:pPr>
        <w:pStyle w:val="TOC3"/>
        <w:rPr>
          <w:rFonts w:asciiTheme="minorHAnsi" w:eastAsiaTheme="minorEastAsia" w:hAnsiTheme="minorHAnsi" w:cstheme="minorBidi"/>
          <w:sz w:val="22"/>
          <w:szCs w:val="22"/>
          <w:lang w:eastAsia="en-AU"/>
        </w:rPr>
      </w:pPr>
      <w:hyperlink w:anchor="_Toc86158502" w:history="1">
        <w:r w:rsidR="000A4DC7" w:rsidRPr="001E54CF">
          <w:rPr>
            <w:rStyle w:val="Hyperlink"/>
            <w:bCs/>
            <w14:scene3d>
              <w14:camera w14:prst="orthographicFront"/>
              <w14:lightRig w14:rig="threePt" w14:dir="t">
                <w14:rot w14:lat="0" w14:lon="0" w14:rev="0"/>
              </w14:lightRig>
            </w14:scene3d>
          </w:rPr>
          <w:t>6.6.4</w:t>
        </w:r>
        <w:r w:rsidR="000A4DC7">
          <w:rPr>
            <w:rFonts w:asciiTheme="minorHAnsi" w:eastAsiaTheme="minorEastAsia" w:hAnsiTheme="minorHAnsi" w:cstheme="minorBidi"/>
            <w:sz w:val="22"/>
            <w:szCs w:val="22"/>
            <w:lang w:eastAsia="en-AU"/>
          </w:rPr>
          <w:tab/>
        </w:r>
        <w:r w:rsidR="000A4DC7" w:rsidRPr="001E54CF">
          <w:rPr>
            <w:rStyle w:val="Hyperlink"/>
          </w:rPr>
          <w:t>Summary of submissions</w:t>
        </w:r>
        <w:r w:rsidR="000A4DC7">
          <w:rPr>
            <w:webHidden/>
          </w:rPr>
          <w:tab/>
        </w:r>
        <w:r w:rsidR="000A4DC7">
          <w:rPr>
            <w:webHidden/>
          </w:rPr>
          <w:fldChar w:fldCharType="begin"/>
        </w:r>
        <w:r w:rsidR="000A4DC7">
          <w:rPr>
            <w:webHidden/>
          </w:rPr>
          <w:instrText xml:space="preserve"> PAGEREF _Toc86158502 \h </w:instrText>
        </w:r>
        <w:r w:rsidR="000A4DC7">
          <w:rPr>
            <w:webHidden/>
          </w:rPr>
        </w:r>
        <w:r w:rsidR="000A4DC7">
          <w:rPr>
            <w:webHidden/>
          </w:rPr>
          <w:fldChar w:fldCharType="separate"/>
        </w:r>
        <w:r w:rsidR="00225EEA">
          <w:rPr>
            <w:webHidden/>
          </w:rPr>
          <w:t>95</w:t>
        </w:r>
        <w:r w:rsidR="000A4DC7">
          <w:rPr>
            <w:webHidden/>
          </w:rPr>
          <w:fldChar w:fldCharType="end"/>
        </w:r>
      </w:hyperlink>
    </w:p>
    <w:p w14:paraId="6E4701FE" w14:textId="14DEF1A8" w:rsidR="000A4DC7" w:rsidRDefault="00EB0EE2">
      <w:pPr>
        <w:pStyle w:val="TOC3"/>
        <w:rPr>
          <w:rFonts w:asciiTheme="minorHAnsi" w:eastAsiaTheme="minorEastAsia" w:hAnsiTheme="minorHAnsi" w:cstheme="minorBidi"/>
          <w:sz w:val="22"/>
          <w:szCs w:val="22"/>
          <w:lang w:eastAsia="en-AU"/>
        </w:rPr>
      </w:pPr>
      <w:hyperlink w:anchor="_Toc86158503" w:history="1">
        <w:r w:rsidR="000A4DC7" w:rsidRPr="001E54CF">
          <w:rPr>
            <w:rStyle w:val="Hyperlink"/>
            <w:bCs/>
            <w14:scene3d>
              <w14:camera w14:prst="orthographicFront"/>
              <w14:lightRig w14:rig="threePt" w14:dir="t">
                <w14:rot w14:lat="0" w14:lon="0" w14:rev="0"/>
              </w14:lightRig>
            </w14:scene3d>
          </w:rPr>
          <w:t>6.6.5</w:t>
        </w:r>
        <w:r w:rsidR="000A4DC7">
          <w:rPr>
            <w:rFonts w:asciiTheme="minorHAnsi" w:eastAsiaTheme="minorEastAsia" w:hAnsiTheme="minorHAnsi" w:cstheme="minorBidi"/>
            <w:sz w:val="22"/>
            <w:szCs w:val="22"/>
            <w:lang w:eastAsia="en-AU"/>
          </w:rPr>
          <w:tab/>
        </w:r>
        <w:r w:rsidR="000A4DC7" w:rsidRPr="001E54CF">
          <w:rPr>
            <w:rStyle w:val="Hyperlink"/>
          </w:rPr>
          <w:t>NTC response to submissions</w:t>
        </w:r>
        <w:r w:rsidR="000A4DC7">
          <w:rPr>
            <w:webHidden/>
          </w:rPr>
          <w:tab/>
        </w:r>
        <w:r w:rsidR="000A4DC7">
          <w:rPr>
            <w:webHidden/>
          </w:rPr>
          <w:fldChar w:fldCharType="begin"/>
        </w:r>
        <w:r w:rsidR="000A4DC7">
          <w:rPr>
            <w:webHidden/>
          </w:rPr>
          <w:instrText xml:space="preserve"> PAGEREF _Toc86158503 \h </w:instrText>
        </w:r>
        <w:r w:rsidR="000A4DC7">
          <w:rPr>
            <w:webHidden/>
          </w:rPr>
        </w:r>
        <w:r w:rsidR="000A4DC7">
          <w:rPr>
            <w:webHidden/>
          </w:rPr>
          <w:fldChar w:fldCharType="separate"/>
        </w:r>
        <w:r w:rsidR="00225EEA">
          <w:rPr>
            <w:webHidden/>
          </w:rPr>
          <w:t>96</w:t>
        </w:r>
        <w:r w:rsidR="000A4DC7">
          <w:rPr>
            <w:webHidden/>
          </w:rPr>
          <w:fldChar w:fldCharType="end"/>
        </w:r>
      </w:hyperlink>
    </w:p>
    <w:p w14:paraId="35246CBA" w14:textId="62B8D346" w:rsidR="000A4DC7" w:rsidRDefault="00EB0EE2">
      <w:pPr>
        <w:pStyle w:val="TOC3"/>
        <w:rPr>
          <w:rFonts w:asciiTheme="minorHAnsi" w:eastAsiaTheme="minorEastAsia" w:hAnsiTheme="minorHAnsi" w:cstheme="minorBidi"/>
          <w:sz w:val="22"/>
          <w:szCs w:val="22"/>
          <w:lang w:eastAsia="en-AU"/>
        </w:rPr>
      </w:pPr>
      <w:hyperlink w:anchor="_Toc86158504" w:history="1">
        <w:r w:rsidR="000A4DC7" w:rsidRPr="001E54CF">
          <w:rPr>
            <w:rStyle w:val="Hyperlink"/>
            <w:bCs/>
            <w14:scene3d>
              <w14:camera w14:prst="orthographicFront"/>
              <w14:lightRig w14:rig="threePt" w14:dir="t">
                <w14:rot w14:lat="0" w14:lon="0" w14:rev="0"/>
              </w14:lightRig>
            </w14:scene3d>
          </w:rPr>
          <w:t>6.6.6</w:t>
        </w:r>
        <w:r w:rsidR="000A4DC7">
          <w:rPr>
            <w:rFonts w:asciiTheme="minorHAnsi" w:eastAsiaTheme="minorEastAsia" w:hAnsiTheme="minorHAnsi" w:cstheme="minorBidi"/>
            <w:sz w:val="22"/>
            <w:szCs w:val="22"/>
            <w:lang w:eastAsia="en-AU"/>
          </w:rPr>
          <w:tab/>
        </w:r>
        <w:r w:rsidR="000A4DC7" w:rsidRPr="001E54CF">
          <w:rPr>
            <w:rStyle w:val="Hyperlink"/>
          </w:rPr>
          <w:t>Overall assessment of implementation options</w:t>
        </w:r>
        <w:r w:rsidR="000A4DC7">
          <w:rPr>
            <w:webHidden/>
          </w:rPr>
          <w:tab/>
        </w:r>
        <w:r w:rsidR="000A4DC7">
          <w:rPr>
            <w:webHidden/>
          </w:rPr>
          <w:fldChar w:fldCharType="begin"/>
        </w:r>
        <w:r w:rsidR="000A4DC7">
          <w:rPr>
            <w:webHidden/>
          </w:rPr>
          <w:instrText xml:space="preserve"> PAGEREF _Toc86158504 \h </w:instrText>
        </w:r>
        <w:r w:rsidR="000A4DC7">
          <w:rPr>
            <w:webHidden/>
          </w:rPr>
        </w:r>
        <w:r w:rsidR="000A4DC7">
          <w:rPr>
            <w:webHidden/>
          </w:rPr>
          <w:fldChar w:fldCharType="separate"/>
        </w:r>
        <w:r w:rsidR="00225EEA">
          <w:rPr>
            <w:webHidden/>
          </w:rPr>
          <w:t>96</w:t>
        </w:r>
        <w:r w:rsidR="000A4DC7">
          <w:rPr>
            <w:webHidden/>
          </w:rPr>
          <w:fldChar w:fldCharType="end"/>
        </w:r>
      </w:hyperlink>
    </w:p>
    <w:p w14:paraId="516BF45C" w14:textId="505D0C56" w:rsidR="000A4DC7" w:rsidRDefault="00EB0EE2">
      <w:pPr>
        <w:pStyle w:val="TOC1"/>
        <w:rPr>
          <w:rFonts w:asciiTheme="minorHAnsi" w:eastAsiaTheme="minorEastAsia" w:hAnsiTheme="minorHAnsi" w:cstheme="minorBidi"/>
          <w:b w:val="0"/>
          <w:szCs w:val="22"/>
          <w:lang w:eastAsia="en-AU"/>
        </w:rPr>
      </w:pPr>
      <w:hyperlink w:anchor="_Toc86158505" w:history="1">
        <w:r w:rsidR="000A4DC7" w:rsidRPr="001E54CF">
          <w:rPr>
            <w:rStyle w:val="Hyperlink"/>
          </w:rPr>
          <w:t>7</w:t>
        </w:r>
        <w:r w:rsidR="000A4DC7">
          <w:rPr>
            <w:rFonts w:asciiTheme="minorHAnsi" w:eastAsiaTheme="minorEastAsia" w:hAnsiTheme="minorHAnsi" w:cstheme="minorBidi"/>
            <w:b w:val="0"/>
            <w:szCs w:val="22"/>
            <w:lang w:eastAsia="en-AU"/>
          </w:rPr>
          <w:tab/>
        </w:r>
        <w:r w:rsidR="000A4DC7" w:rsidRPr="001E54CF">
          <w:rPr>
            <w:rStyle w:val="Hyperlink"/>
          </w:rPr>
          <w:t>Final recommendations and next steps</w:t>
        </w:r>
        <w:r w:rsidR="000A4DC7">
          <w:rPr>
            <w:webHidden/>
          </w:rPr>
          <w:tab/>
        </w:r>
        <w:r w:rsidR="000A4DC7">
          <w:rPr>
            <w:webHidden/>
          </w:rPr>
          <w:fldChar w:fldCharType="begin"/>
        </w:r>
        <w:r w:rsidR="000A4DC7">
          <w:rPr>
            <w:webHidden/>
          </w:rPr>
          <w:instrText xml:space="preserve"> PAGEREF _Toc86158505 \h </w:instrText>
        </w:r>
        <w:r w:rsidR="000A4DC7">
          <w:rPr>
            <w:webHidden/>
          </w:rPr>
        </w:r>
        <w:r w:rsidR="000A4DC7">
          <w:rPr>
            <w:webHidden/>
          </w:rPr>
          <w:fldChar w:fldCharType="separate"/>
        </w:r>
        <w:r w:rsidR="00225EEA">
          <w:rPr>
            <w:webHidden/>
          </w:rPr>
          <w:t>98</w:t>
        </w:r>
        <w:r w:rsidR="000A4DC7">
          <w:rPr>
            <w:webHidden/>
          </w:rPr>
          <w:fldChar w:fldCharType="end"/>
        </w:r>
      </w:hyperlink>
    </w:p>
    <w:p w14:paraId="358A50A1" w14:textId="06C370E3" w:rsidR="000A4DC7" w:rsidRDefault="00EB0EE2">
      <w:pPr>
        <w:pStyle w:val="TOC2"/>
        <w:rPr>
          <w:rFonts w:asciiTheme="minorHAnsi" w:eastAsiaTheme="minorEastAsia" w:hAnsiTheme="minorHAnsi" w:cstheme="minorBidi"/>
          <w:sz w:val="22"/>
          <w:szCs w:val="22"/>
          <w:lang w:eastAsia="en-AU"/>
        </w:rPr>
      </w:pPr>
      <w:hyperlink w:anchor="_Toc86158506" w:history="1">
        <w:r w:rsidR="000A4DC7" w:rsidRPr="001E54CF">
          <w:rPr>
            <w:rStyle w:val="Hyperlink"/>
          </w:rPr>
          <w:t>7.1</w:t>
        </w:r>
        <w:r w:rsidR="000A4DC7">
          <w:rPr>
            <w:rFonts w:asciiTheme="minorHAnsi" w:eastAsiaTheme="minorEastAsia" w:hAnsiTheme="minorHAnsi" w:cstheme="minorBidi"/>
            <w:sz w:val="22"/>
            <w:szCs w:val="22"/>
            <w:lang w:eastAsia="en-AU"/>
          </w:rPr>
          <w:tab/>
        </w:r>
        <w:r w:rsidR="000A4DC7" w:rsidRPr="001E54CF">
          <w:rPr>
            <w:rStyle w:val="Hyperlink"/>
          </w:rPr>
          <w:t>Summary of final recommendations</w:t>
        </w:r>
        <w:r w:rsidR="000A4DC7">
          <w:rPr>
            <w:webHidden/>
          </w:rPr>
          <w:tab/>
        </w:r>
        <w:r w:rsidR="000A4DC7">
          <w:rPr>
            <w:webHidden/>
          </w:rPr>
          <w:fldChar w:fldCharType="begin"/>
        </w:r>
        <w:r w:rsidR="000A4DC7">
          <w:rPr>
            <w:webHidden/>
          </w:rPr>
          <w:instrText xml:space="preserve"> PAGEREF _Toc86158506 \h </w:instrText>
        </w:r>
        <w:r w:rsidR="000A4DC7">
          <w:rPr>
            <w:webHidden/>
          </w:rPr>
        </w:r>
        <w:r w:rsidR="000A4DC7">
          <w:rPr>
            <w:webHidden/>
          </w:rPr>
          <w:fldChar w:fldCharType="separate"/>
        </w:r>
        <w:r w:rsidR="00225EEA">
          <w:rPr>
            <w:webHidden/>
          </w:rPr>
          <w:t>98</w:t>
        </w:r>
        <w:r w:rsidR="000A4DC7">
          <w:rPr>
            <w:webHidden/>
          </w:rPr>
          <w:fldChar w:fldCharType="end"/>
        </w:r>
      </w:hyperlink>
    </w:p>
    <w:p w14:paraId="1643F6D9" w14:textId="14B28C00" w:rsidR="000A4DC7" w:rsidRDefault="00EB0EE2">
      <w:pPr>
        <w:pStyle w:val="TOC2"/>
        <w:rPr>
          <w:rFonts w:asciiTheme="minorHAnsi" w:eastAsiaTheme="minorEastAsia" w:hAnsiTheme="minorHAnsi" w:cstheme="minorBidi"/>
          <w:sz w:val="22"/>
          <w:szCs w:val="22"/>
          <w:lang w:eastAsia="en-AU"/>
        </w:rPr>
      </w:pPr>
      <w:hyperlink w:anchor="_Toc86158507" w:history="1">
        <w:r w:rsidR="000A4DC7" w:rsidRPr="001E54CF">
          <w:rPr>
            <w:rStyle w:val="Hyperlink"/>
            <w:rFonts w:eastAsia="Cambria"/>
          </w:rPr>
          <w:t>7.2</w:t>
        </w:r>
        <w:r w:rsidR="000A4DC7">
          <w:rPr>
            <w:rFonts w:asciiTheme="minorHAnsi" w:eastAsiaTheme="minorEastAsia" w:hAnsiTheme="minorHAnsi" w:cstheme="minorBidi"/>
            <w:sz w:val="22"/>
            <w:szCs w:val="22"/>
            <w:lang w:eastAsia="en-AU"/>
          </w:rPr>
          <w:tab/>
        </w:r>
        <w:r w:rsidR="000A4DC7" w:rsidRPr="001E54CF">
          <w:rPr>
            <w:rStyle w:val="Hyperlink"/>
            <w:rFonts w:eastAsia="Cambria"/>
          </w:rPr>
          <w:t>Next steps</w:t>
        </w:r>
        <w:r w:rsidR="000A4DC7">
          <w:rPr>
            <w:webHidden/>
          </w:rPr>
          <w:tab/>
        </w:r>
        <w:r w:rsidR="000A4DC7">
          <w:rPr>
            <w:webHidden/>
          </w:rPr>
          <w:fldChar w:fldCharType="begin"/>
        </w:r>
        <w:r w:rsidR="000A4DC7">
          <w:rPr>
            <w:webHidden/>
          </w:rPr>
          <w:instrText xml:space="preserve"> PAGEREF _Toc86158507 \h </w:instrText>
        </w:r>
        <w:r w:rsidR="000A4DC7">
          <w:rPr>
            <w:webHidden/>
          </w:rPr>
        </w:r>
        <w:r w:rsidR="000A4DC7">
          <w:rPr>
            <w:webHidden/>
          </w:rPr>
          <w:fldChar w:fldCharType="separate"/>
        </w:r>
        <w:r w:rsidR="00225EEA">
          <w:rPr>
            <w:webHidden/>
          </w:rPr>
          <w:t>100</w:t>
        </w:r>
        <w:r w:rsidR="000A4DC7">
          <w:rPr>
            <w:webHidden/>
          </w:rPr>
          <w:fldChar w:fldCharType="end"/>
        </w:r>
      </w:hyperlink>
    </w:p>
    <w:p w14:paraId="4861ABD0" w14:textId="57D7019C" w:rsidR="000A4DC7" w:rsidRDefault="00EB0EE2">
      <w:pPr>
        <w:pStyle w:val="TOC1"/>
        <w:rPr>
          <w:rFonts w:asciiTheme="minorHAnsi" w:eastAsiaTheme="minorEastAsia" w:hAnsiTheme="minorHAnsi" w:cstheme="minorBidi"/>
          <w:b w:val="0"/>
          <w:szCs w:val="22"/>
          <w:lang w:eastAsia="en-AU"/>
        </w:rPr>
      </w:pPr>
      <w:hyperlink w:anchor="_Toc86158508" w:history="1">
        <w:r w:rsidR="000A4DC7" w:rsidRPr="001E54CF">
          <w:rPr>
            <w:rStyle w:val="Hyperlink"/>
          </w:rPr>
          <w:t>References</w:t>
        </w:r>
        <w:r w:rsidR="000A4DC7">
          <w:rPr>
            <w:webHidden/>
          </w:rPr>
          <w:tab/>
        </w:r>
        <w:r w:rsidR="000A4DC7">
          <w:rPr>
            <w:webHidden/>
          </w:rPr>
          <w:fldChar w:fldCharType="begin"/>
        </w:r>
        <w:r w:rsidR="000A4DC7">
          <w:rPr>
            <w:webHidden/>
          </w:rPr>
          <w:instrText xml:space="preserve"> PAGEREF _Toc86158508 \h </w:instrText>
        </w:r>
        <w:r w:rsidR="000A4DC7">
          <w:rPr>
            <w:webHidden/>
          </w:rPr>
        </w:r>
        <w:r w:rsidR="000A4DC7">
          <w:rPr>
            <w:webHidden/>
          </w:rPr>
          <w:fldChar w:fldCharType="separate"/>
        </w:r>
        <w:r w:rsidR="00225EEA">
          <w:rPr>
            <w:webHidden/>
          </w:rPr>
          <w:t>101</w:t>
        </w:r>
        <w:r w:rsidR="000A4DC7">
          <w:rPr>
            <w:webHidden/>
          </w:rPr>
          <w:fldChar w:fldCharType="end"/>
        </w:r>
      </w:hyperlink>
    </w:p>
    <w:p w14:paraId="66092141" w14:textId="4D85EAD3" w:rsidR="000A4DC7" w:rsidRDefault="00EB0EE2">
      <w:pPr>
        <w:pStyle w:val="TOC1"/>
        <w:rPr>
          <w:rFonts w:asciiTheme="minorHAnsi" w:eastAsiaTheme="minorEastAsia" w:hAnsiTheme="minorHAnsi" w:cstheme="minorBidi"/>
          <w:b w:val="0"/>
          <w:szCs w:val="22"/>
          <w:lang w:eastAsia="en-AU"/>
        </w:rPr>
      </w:pPr>
      <w:hyperlink w:anchor="_Toc86158509" w:history="1">
        <w:r w:rsidR="000A4DC7" w:rsidRPr="001E54CF">
          <w:rPr>
            <w:rStyle w:val="Hyperlink"/>
          </w:rPr>
          <w:t>Glossary</w:t>
        </w:r>
        <w:r w:rsidR="000A4DC7">
          <w:rPr>
            <w:webHidden/>
          </w:rPr>
          <w:tab/>
        </w:r>
        <w:r w:rsidR="000A4DC7">
          <w:rPr>
            <w:webHidden/>
          </w:rPr>
          <w:fldChar w:fldCharType="begin"/>
        </w:r>
        <w:r w:rsidR="000A4DC7">
          <w:rPr>
            <w:webHidden/>
          </w:rPr>
          <w:instrText xml:space="preserve"> PAGEREF _Toc86158509 \h </w:instrText>
        </w:r>
        <w:r w:rsidR="000A4DC7">
          <w:rPr>
            <w:webHidden/>
          </w:rPr>
        </w:r>
        <w:r w:rsidR="000A4DC7">
          <w:rPr>
            <w:webHidden/>
          </w:rPr>
          <w:fldChar w:fldCharType="separate"/>
        </w:r>
        <w:r w:rsidR="00225EEA">
          <w:rPr>
            <w:webHidden/>
          </w:rPr>
          <w:t>103</w:t>
        </w:r>
        <w:r w:rsidR="000A4DC7">
          <w:rPr>
            <w:webHidden/>
          </w:rPr>
          <w:fldChar w:fldCharType="end"/>
        </w:r>
      </w:hyperlink>
    </w:p>
    <w:p w14:paraId="074D9A86" w14:textId="692E60B7" w:rsidR="000A4DC7" w:rsidRDefault="00EB0EE2">
      <w:pPr>
        <w:pStyle w:val="TOC1"/>
        <w:tabs>
          <w:tab w:val="left" w:pos="1560"/>
        </w:tabs>
        <w:rPr>
          <w:rFonts w:asciiTheme="minorHAnsi" w:eastAsiaTheme="minorEastAsia" w:hAnsiTheme="minorHAnsi" w:cstheme="minorBidi"/>
          <w:b w:val="0"/>
          <w:szCs w:val="22"/>
          <w:lang w:eastAsia="en-AU"/>
        </w:rPr>
      </w:pPr>
      <w:hyperlink w:anchor="_Toc86158510" w:history="1">
        <w:r w:rsidR="000A4DC7" w:rsidRPr="001E54CF">
          <w:rPr>
            <w:rStyle w:val="Hyperlink"/>
            <w:b/>
          </w:rPr>
          <w:t>Appendix A</w:t>
        </w:r>
        <w:r w:rsidR="000A4DC7">
          <w:rPr>
            <w:rFonts w:asciiTheme="minorHAnsi" w:eastAsiaTheme="minorEastAsia" w:hAnsiTheme="minorHAnsi" w:cstheme="minorBidi"/>
            <w:b w:val="0"/>
            <w:szCs w:val="22"/>
            <w:lang w:eastAsia="en-AU"/>
          </w:rPr>
          <w:tab/>
        </w:r>
        <w:r w:rsidR="000A4DC7" w:rsidRPr="001E54CF">
          <w:rPr>
            <w:rStyle w:val="Hyperlink"/>
          </w:rPr>
          <w:t>Enlarged figures</w:t>
        </w:r>
        <w:r w:rsidR="000A4DC7">
          <w:rPr>
            <w:webHidden/>
          </w:rPr>
          <w:tab/>
        </w:r>
        <w:r w:rsidR="000A4DC7">
          <w:rPr>
            <w:webHidden/>
          </w:rPr>
          <w:fldChar w:fldCharType="begin"/>
        </w:r>
        <w:r w:rsidR="000A4DC7">
          <w:rPr>
            <w:webHidden/>
          </w:rPr>
          <w:instrText xml:space="preserve"> PAGEREF _Toc86158510 \h </w:instrText>
        </w:r>
        <w:r w:rsidR="000A4DC7">
          <w:rPr>
            <w:webHidden/>
          </w:rPr>
        </w:r>
        <w:r w:rsidR="000A4DC7">
          <w:rPr>
            <w:webHidden/>
          </w:rPr>
          <w:fldChar w:fldCharType="separate"/>
        </w:r>
        <w:r w:rsidR="00225EEA">
          <w:rPr>
            <w:webHidden/>
          </w:rPr>
          <w:t>105</w:t>
        </w:r>
        <w:r w:rsidR="000A4DC7">
          <w:rPr>
            <w:webHidden/>
          </w:rPr>
          <w:fldChar w:fldCharType="end"/>
        </w:r>
      </w:hyperlink>
    </w:p>
    <w:p w14:paraId="472DCD56" w14:textId="682B09A5" w:rsidR="000A4DC7" w:rsidRDefault="00EB0EE2">
      <w:pPr>
        <w:pStyle w:val="TOC1"/>
        <w:tabs>
          <w:tab w:val="left" w:pos="1560"/>
        </w:tabs>
        <w:rPr>
          <w:rFonts w:asciiTheme="minorHAnsi" w:eastAsiaTheme="minorEastAsia" w:hAnsiTheme="minorHAnsi" w:cstheme="minorBidi"/>
          <w:b w:val="0"/>
          <w:szCs w:val="22"/>
          <w:lang w:eastAsia="en-AU"/>
        </w:rPr>
      </w:pPr>
      <w:hyperlink w:anchor="_Toc86158511" w:history="1">
        <w:r w:rsidR="000A4DC7" w:rsidRPr="001E54CF">
          <w:rPr>
            <w:rStyle w:val="Hyperlink"/>
            <w:b/>
          </w:rPr>
          <w:t>Appendix B</w:t>
        </w:r>
        <w:r w:rsidR="000A4DC7">
          <w:rPr>
            <w:rFonts w:asciiTheme="minorHAnsi" w:eastAsiaTheme="minorEastAsia" w:hAnsiTheme="minorHAnsi" w:cstheme="minorBidi"/>
            <w:b w:val="0"/>
            <w:szCs w:val="22"/>
            <w:lang w:eastAsia="en-AU"/>
          </w:rPr>
          <w:tab/>
        </w:r>
        <w:r w:rsidR="000A4DC7" w:rsidRPr="001E54CF">
          <w:rPr>
            <w:rStyle w:val="Hyperlink"/>
          </w:rPr>
          <w:t>Charging schedules</w:t>
        </w:r>
        <w:r w:rsidR="000A4DC7">
          <w:rPr>
            <w:webHidden/>
          </w:rPr>
          <w:tab/>
        </w:r>
        <w:r w:rsidR="000A4DC7">
          <w:rPr>
            <w:webHidden/>
          </w:rPr>
          <w:fldChar w:fldCharType="begin"/>
        </w:r>
        <w:r w:rsidR="000A4DC7">
          <w:rPr>
            <w:webHidden/>
          </w:rPr>
          <w:instrText xml:space="preserve"> PAGEREF _Toc86158511 \h </w:instrText>
        </w:r>
        <w:r w:rsidR="000A4DC7">
          <w:rPr>
            <w:webHidden/>
          </w:rPr>
        </w:r>
        <w:r w:rsidR="000A4DC7">
          <w:rPr>
            <w:webHidden/>
          </w:rPr>
          <w:fldChar w:fldCharType="separate"/>
        </w:r>
        <w:r w:rsidR="00225EEA">
          <w:rPr>
            <w:webHidden/>
          </w:rPr>
          <w:t>112</w:t>
        </w:r>
        <w:r w:rsidR="000A4DC7">
          <w:rPr>
            <w:webHidden/>
          </w:rPr>
          <w:fldChar w:fldCharType="end"/>
        </w:r>
      </w:hyperlink>
    </w:p>
    <w:p w14:paraId="432B4119" w14:textId="554E1D15" w:rsidR="000A4DC7" w:rsidRDefault="00EB0EE2">
      <w:pPr>
        <w:pStyle w:val="TOC1"/>
        <w:tabs>
          <w:tab w:val="left" w:pos="1560"/>
        </w:tabs>
        <w:rPr>
          <w:rFonts w:asciiTheme="minorHAnsi" w:eastAsiaTheme="minorEastAsia" w:hAnsiTheme="minorHAnsi" w:cstheme="minorBidi"/>
          <w:b w:val="0"/>
          <w:szCs w:val="22"/>
          <w:lang w:eastAsia="en-AU"/>
        </w:rPr>
      </w:pPr>
      <w:hyperlink w:anchor="_Toc86158512" w:history="1">
        <w:r w:rsidR="000A4DC7" w:rsidRPr="001E54CF">
          <w:rPr>
            <w:rStyle w:val="Hyperlink"/>
            <w:b/>
          </w:rPr>
          <w:t>Appendix C</w:t>
        </w:r>
        <w:r w:rsidR="000A4DC7">
          <w:rPr>
            <w:rFonts w:asciiTheme="minorHAnsi" w:eastAsiaTheme="minorEastAsia" w:hAnsiTheme="minorHAnsi" w:cstheme="minorBidi"/>
            <w:b w:val="0"/>
            <w:szCs w:val="22"/>
            <w:lang w:eastAsia="en-AU"/>
          </w:rPr>
          <w:tab/>
        </w:r>
        <w:r w:rsidR="000A4DC7" w:rsidRPr="001E54CF">
          <w:rPr>
            <w:rStyle w:val="Hyperlink"/>
          </w:rPr>
          <w:t>Proposed treatments for innovative funding and financing</w:t>
        </w:r>
        <w:r w:rsidR="000A4DC7">
          <w:rPr>
            <w:webHidden/>
          </w:rPr>
          <w:tab/>
        </w:r>
        <w:r w:rsidR="000A4DC7">
          <w:rPr>
            <w:webHidden/>
          </w:rPr>
          <w:fldChar w:fldCharType="begin"/>
        </w:r>
        <w:r w:rsidR="000A4DC7">
          <w:rPr>
            <w:webHidden/>
          </w:rPr>
          <w:instrText xml:space="preserve"> PAGEREF _Toc86158512 \h </w:instrText>
        </w:r>
        <w:r w:rsidR="000A4DC7">
          <w:rPr>
            <w:webHidden/>
          </w:rPr>
        </w:r>
        <w:r w:rsidR="000A4DC7">
          <w:rPr>
            <w:webHidden/>
          </w:rPr>
          <w:fldChar w:fldCharType="separate"/>
        </w:r>
        <w:r w:rsidR="00225EEA">
          <w:rPr>
            <w:webHidden/>
          </w:rPr>
          <w:t>121</w:t>
        </w:r>
        <w:r w:rsidR="000A4DC7">
          <w:rPr>
            <w:webHidden/>
          </w:rPr>
          <w:fldChar w:fldCharType="end"/>
        </w:r>
      </w:hyperlink>
    </w:p>
    <w:p w14:paraId="6D6D224A" w14:textId="18D0F1E8" w:rsidR="000A4DC7" w:rsidRDefault="00EB0EE2">
      <w:pPr>
        <w:pStyle w:val="TOC1"/>
        <w:tabs>
          <w:tab w:val="left" w:pos="1560"/>
        </w:tabs>
        <w:rPr>
          <w:rFonts w:asciiTheme="minorHAnsi" w:eastAsiaTheme="minorEastAsia" w:hAnsiTheme="minorHAnsi" w:cstheme="minorBidi"/>
          <w:b w:val="0"/>
          <w:szCs w:val="22"/>
          <w:lang w:eastAsia="en-AU"/>
        </w:rPr>
      </w:pPr>
      <w:hyperlink w:anchor="_Toc86158513" w:history="1">
        <w:r w:rsidR="000A4DC7" w:rsidRPr="001E54CF">
          <w:rPr>
            <w:rStyle w:val="Hyperlink"/>
            <w:b/>
          </w:rPr>
          <w:t>Appendix D</w:t>
        </w:r>
        <w:r w:rsidR="000A4DC7">
          <w:rPr>
            <w:rFonts w:asciiTheme="minorHAnsi" w:eastAsiaTheme="minorEastAsia" w:hAnsiTheme="minorHAnsi" w:cstheme="minorBidi"/>
            <w:b w:val="0"/>
            <w:szCs w:val="22"/>
            <w:lang w:eastAsia="en-AU"/>
          </w:rPr>
          <w:tab/>
        </w:r>
        <w:r w:rsidR="000A4DC7" w:rsidRPr="001E54CF">
          <w:rPr>
            <w:rStyle w:val="Hyperlink"/>
          </w:rPr>
          <w:t>How the PAYGO model works</w:t>
        </w:r>
        <w:r w:rsidR="000A4DC7">
          <w:rPr>
            <w:webHidden/>
          </w:rPr>
          <w:tab/>
        </w:r>
        <w:r w:rsidR="000A4DC7">
          <w:rPr>
            <w:webHidden/>
          </w:rPr>
          <w:fldChar w:fldCharType="begin"/>
        </w:r>
        <w:r w:rsidR="000A4DC7">
          <w:rPr>
            <w:webHidden/>
          </w:rPr>
          <w:instrText xml:space="preserve"> PAGEREF _Toc86158513 \h </w:instrText>
        </w:r>
        <w:r w:rsidR="000A4DC7">
          <w:rPr>
            <w:webHidden/>
          </w:rPr>
        </w:r>
        <w:r w:rsidR="000A4DC7">
          <w:rPr>
            <w:webHidden/>
          </w:rPr>
          <w:fldChar w:fldCharType="separate"/>
        </w:r>
        <w:r w:rsidR="00225EEA">
          <w:rPr>
            <w:webHidden/>
          </w:rPr>
          <w:t>125</w:t>
        </w:r>
        <w:r w:rsidR="000A4DC7">
          <w:rPr>
            <w:webHidden/>
          </w:rPr>
          <w:fldChar w:fldCharType="end"/>
        </w:r>
      </w:hyperlink>
    </w:p>
    <w:p w14:paraId="0EC9524B" w14:textId="152BCB38" w:rsidR="000A4DC7" w:rsidRDefault="00EB0EE2">
      <w:pPr>
        <w:pStyle w:val="TOC2"/>
        <w:rPr>
          <w:rFonts w:asciiTheme="minorHAnsi" w:eastAsiaTheme="minorEastAsia" w:hAnsiTheme="minorHAnsi" w:cstheme="minorBidi"/>
          <w:sz w:val="22"/>
          <w:szCs w:val="22"/>
          <w:lang w:eastAsia="en-AU"/>
        </w:rPr>
      </w:pPr>
      <w:hyperlink w:anchor="_Toc86158514" w:history="1">
        <w:r w:rsidR="000A4DC7" w:rsidRPr="001E54CF">
          <w:rPr>
            <w:rStyle w:val="Hyperlink"/>
          </w:rPr>
          <w:t>Overview</w:t>
        </w:r>
        <w:r w:rsidR="000A4DC7">
          <w:rPr>
            <w:webHidden/>
          </w:rPr>
          <w:tab/>
        </w:r>
        <w:r w:rsidR="000A4DC7">
          <w:rPr>
            <w:webHidden/>
          </w:rPr>
          <w:fldChar w:fldCharType="begin"/>
        </w:r>
        <w:r w:rsidR="000A4DC7">
          <w:rPr>
            <w:webHidden/>
          </w:rPr>
          <w:instrText xml:space="preserve"> PAGEREF _Toc86158514 \h </w:instrText>
        </w:r>
        <w:r w:rsidR="000A4DC7">
          <w:rPr>
            <w:webHidden/>
          </w:rPr>
        </w:r>
        <w:r w:rsidR="000A4DC7">
          <w:rPr>
            <w:webHidden/>
          </w:rPr>
          <w:fldChar w:fldCharType="separate"/>
        </w:r>
        <w:r w:rsidR="00225EEA">
          <w:rPr>
            <w:webHidden/>
          </w:rPr>
          <w:t>125</w:t>
        </w:r>
        <w:r w:rsidR="000A4DC7">
          <w:rPr>
            <w:webHidden/>
          </w:rPr>
          <w:fldChar w:fldCharType="end"/>
        </w:r>
      </w:hyperlink>
    </w:p>
    <w:p w14:paraId="5C66BFD1" w14:textId="7DEB37AA" w:rsidR="000A4DC7" w:rsidRDefault="00EB0EE2">
      <w:pPr>
        <w:pStyle w:val="TOC3"/>
        <w:rPr>
          <w:rFonts w:asciiTheme="minorHAnsi" w:eastAsiaTheme="minorEastAsia" w:hAnsiTheme="minorHAnsi" w:cstheme="minorBidi"/>
          <w:sz w:val="22"/>
          <w:szCs w:val="22"/>
          <w:lang w:eastAsia="en-AU"/>
        </w:rPr>
      </w:pPr>
      <w:hyperlink w:anchor="_Toc86158515" w:history="1">
        <w:r w:rsidR="000A4DC7" w:rsidRPr="001E54CF">
          <w:rPr>
            <w:rStyle w:val="Hyperlink"/>
          </w:rPr>
          <w:t>The National Transport Commission’s responsibilities</w:t>
        </w:r>
        <w:r w:rsidR="000A4DC7">
          <w:rPr>
            <w:webHidden/>
          </w:rPr>
          <w:tab/>
        </w:r>
        <w:r w:rsidR="000A4DC7">
          <w:rPr>
            <w:webHidden/>
          </w:rPr>
          <w:fldChar w:fldCharType="begin"/>
        </w:r>
        <w:r w:rsidR="000A4DC7">
          <w:rPr>
            <w:webHidden/>
          </w:rPr>
          <w:instrText xml:space="preserve"> PAGEREF _Toc86158515 \h </w:instrText>
        </w:r>
        <w:r w:rsidR="000A4DC7">
          <w:rPr>
            <w:webHidden/>
          </w:rPr>
        </w:r>
        <w:r w:rsidR="000A4DC7">
          <w:rPr>
            <w:webHidden/>
          </w:rPr>
          <w:fldChar w:fldCharType="separate"/>
        </w:r>
        <w:r w:rsidR="00225EEA">
          <w:rPr>
            <w:webHidden/>
          </w:rPr>
          <w:t>125</w:t>
        </w:r>
        <w:r w:rsidR="000A4DC7">
          <w:rPr>
            <w:webHidden/>
          </w:rPr>
          <w:fldChar w:fldCharType="end"/>
        </w:r>
      </w:hyperlink>
    </w:p>
    <w:p w14:paraId="6CD99415" w14:textId="3945F753" w:rsidR="000A4DC7" w:rsidRDefault="00EB0EE2">
      <w:pPr>
        <w:pStyle w:val="TOC3"/>
        <w:rPr>
          <w:rFonts w:asciiTheme="minorHAnsi" w:eastAsiaTheme="minorEastAsia" w:hAnsiTheme="minorHAnsi" w:cstheme="minorBidi"/>
          <w:sz w:val="22"/>
          <w:szCs w:val="22"/>
          <w:lang w:eastAsia="en-AU"/>
        </w:rPr>
      </w:pPr>
      <w:hyperlink w:anchor="_Toc86158516" w:history="1">
        <w:r w:rsidR="000A4DC7" w:rsidRPr="001E54CF">
          <w:rPr>
            <w:rStyle w:val="Hyperlink"/>
          </w:rPr>
          <w:t>Charges that apply to heavy vehicles</w:t>
        </w:r>
        <w:r w:rsidR="000A4DC7">
          <w:rPr>
            <w:webHidden/>
          </w:rPr>
          <w:tab/>
        </w:r>
        <w:r w:rsidR="000A4DC7">
          <w:rPr>
            <w:webHidden/>
          </w:rPr>
          <w:fldChar w:fldCharType="begin"/>
        </w:r>
        <w:r w:rsidR="000A4DC7">
          <w:rPr>
            <w:webHidden/>
          </w:rPr>
          <w:instrText xml:space="preserve"> PAGEREF _Toc86158516 \h </w:instrText>
        </w:r>
        <w:r w:rsidR="000A4DC7">
          <w:rPr>
            <w:webHidden/>
          </w:rPr>
        </w:r>
        <w:r w:rsidR="000A4DC7">
          <w:rPr>
            <w:webHidden/>
          </w:rPr>
          <w:fldChar w:fldCharType="separate"/>
        </w:r>
        <w:r w:rsidR="00225EEA">
          <w:rPr>
            <w:webHidden/>
          </w:rPr>
          <w:t>125</w:t>
        </w:r>
        <w:r w:rsidR="000A4DC7">
          <w:rPr>
            <w:webHidden/>
          </w:rPr>
          <w:fldChar w:fldCharType="end"/>
        </w:r>
      </w:hyperlink>
    </w:p>
    <w:p w14:paraId="7212DDB1" w14:textId="1DEF6586" w:rsidR="000A4DC7" w:rsidRDefault="00EB0EE2">
      <w:pPr>
        <w:pStyle w:val="TOC3"/>
        <w:rPr>
          <w:rFonts w:asciiTheme="minorHAnsi" w:eastAsiaTheme="minorEastAsia" w:hAnsiTheme="minorHAnsi" w:cstheme="minorBidi"/>
          <w:sz w:val="22"/>
          <w:szCs w:val="22"/>
          <w:lang w:eastAsia="en-AU"/>
        </w:rPr>
      </w:pPr>
      <w:hyperlink w:anchor="_Toc86158517" w:history="1">
        <w:r w:rsidR="000A4DC7" w:rsidRPr="001E54CF">
          <w:rPr>
            <w:rStyle w:val="Hyperlink"/>
          </w:rPr>
          <w:t>Legislative framework</w:t>
        </w:r>
        <w:r w:rsidR="000A4DC7">
          <w:rPr>
            <w:webHidden/>
          </w:rPr>
          <w:tab/>
        </w:r>
        <w:r w:rsidR="000A4DC7">
          <w:rPr>
            <w:webHidden/>
          </w:rPr>
          <w:fldChar w:fldCharType="begin"/>
        </w:r>
        <w:r w:rsidR="000A4DC7">
          <w:rPr>
            <w:webHidden/>
          </w:rPr>
          <w:instrText xml:space="preserve"> PAGEREF _Toc86158517 \h </w:instrText>
        </w:r>
        <w:r w:rsidR="000A4DC7">
          <w:rPr>
            <w:webHidden/>
          </w:rPr>
        </w:r>
        <w:r w:rsidR="000A4DC7">
          <w:rPr>
            <w:webHidden/>
          </w:rPr>
          <w:fldChar w:fldCharType="separate"/>
        </w:r>
        <w:r w:rsidR="00225EEA">
          <w:rPr>
            <w:webHidden/>
          </w:rPr>
          <w:t>125</w:t>
        </w:r>
        <w:r w:rsidR="000A4DC7">
          <w:rPr>
            <w:webHidden/>
          </w:rPr>
          <w:fldChar w:fldCharType="end"/>
        </w:r>
      </w:hyperlink>
    </w:p>
    <w:p w14:paraId="58CFB713" w14:textId="6F2F8E4F" w:rsidR="000A4DC7" w:rsidRDefault="00EB0EE2">
      <w:pPr>
        <w:pStyle w:val="TOC2"/>
        <w:rPr>
          <w:rFonts w:asciiTheme="minorHAnsi" w:eastAsiaTheme="minorEastAsia" w:hAnsiTheme="minorHAnsi" w:cstheme="minorBidi"/>
          <w:sz w:val="22"/>
          <w:szCs w:val="22"/>
          <w:lang w:eastAsia="en-AU"/>
        </w:rPr>
      </w:pPr>
      <w:hyperlink w:anchor="_Toc86158518" w:history="1">
        <w:r w:rsidR="000A4DC7" w:rsidRPr="001E54CF">
          <w:rPr>
            <w:rStyle w:val="Hyperlink"/>
          </w:rPr>
          <w:t>Original PAYGO objectives</w:t>
        </w:r>
        <w:r w:rsidR="000A4DC7">
          <w:rPr>
            <w:webHidden/>
          </w:rPr>
          <w:tab/>
        </w:r>
        <w:r w:rsidR="000A4DC7">
          <w:rPr>
            <w:webHidden/>
          </w:rPr>
          <w:fldChar w:fldCharType="begin"/>
        </w:r>
        <w:r w:rsidR="000A4DC7">
          <w:rPr>
            <w:webHidden/>
          </w:rPr>
          <w:instrText xml:space="preserve"> PAGEREF _Toc86158518 \h </w:instrText>
        </w:r>
        <w:r w:rsidR="000A4DC7">
          <w:rPr>
            <w:webHidden/>
          </w:rPr>
        </w:r>
        <w:r w:rsidR="000A4DC7">
          <w:rPr>
            <w:webHidden/>
          </w:rPr>
          <w:fldChar w:fldCharType="separate"/>
        </w:r>
        <w:r w:rsidR="00225EEA">
          <w:rPr>
            <w:webHidden/>
          </w:rPr>
          <w:t>126</w:t>
        </w:r>
        <w:r w:rsidR="000A4DC7">
          <w:rPr>
            <w:webHidden/>
          </w:rPr>
          <w:fldChar w:fldCharType="end"/>
        </w:r>
      </w:hyperlink>
    </w:p>
    <w:p w14:paraId="33AF43C5" w14:textId="7D004D6B" w:rsidR="000A4DC7" w:rsidRDefault="00EB0EE2">
      <w:pPr>
        <w:pStyle w:val="TOC2"/>
        <w:rPr>
          <w:rFonts w:asciiTheme="minorHAnsi" w:eastAsiaTheme="minorEastAsia" w:hAnsiTheme="minorHAnsi" w:cstheme="minorBidi"/>
          <w:sz w:val="22"/>
          <w:szCs w:val="22"/>
          <w:lang w:eastAsia="en-AU"/>
        </w:rPr>
      </w:pPr>
      <w:hyperlink w:anchor="_Toc86158519" w:history="1">
        <w:r w:rsidR="000A4DC7" w:rsidRPr="001E54CF">
          <w:rPr>
            <w:rStyle w:val="Hyperlink"/>
          </w:rPr>
          <w:t>The pricing principles</w:t>
        </w:r>
        <w:r w:rsidR="000A4DC7">
          <w:rPr>
            <w:webHidden/>
          </w:rPr>
          <w:tab/>
        </w:r>
        <w:r w:rsidR="000A4DC7">
          <w:rPr>
            <w:webHidden/>
          </w:rPr>
          <w:fldChar w:fldCharType="begin"/>
        </w:r>
        <w:r w:rsidR="000A4DC7">
          <w:rPr>
            <w:webHidden/>
          </w:rPr>
          <w:instrText xml:space="preserve"> PAGEREF _Toc86158519 \h </w:instrText>
        </w:r>
        <w:r w:rsidR="000A4DC7">
          <w:rPr>
            <w:webHidden/>
          </w:rPr>
        </w:r>
        <w:r w:rsidR="000A4DC7">
          <w:rPr>
            <w:webHidden/>
          </w:rPr>
          <w:fldChar w:fldCharType="separate"/>
        </w:r>
        <w:r w:rsidR="00225EEA">
          <w:rPr>
            <w:webHidden/>
          </w:rPr>
          <w:t>126</w:t>
        </w:r>
        <w:r w:rsidR="000A4DC7">
          <w:rPr>
            <w:webHidden/>
          </w:rPr>
          <w:fldChar w:fldCharType="end"/>
        </w:r>
      </w:hyperlink>
    </w:p>
    <w:p w14:paraId="65C7BDAC" w14:textId="13949569" w:rsidR="000A4DC7" w:rsidRDefault="00EB0EE2">
      <w:pPr>
        <w:pStyle w:val="TOC2"/>
        <w:rPr>
          <w:rFonts w:asciiTheme="minorHAnsi" w:eastAsiaTheme="minorEastAsia" w:hAnsiTheme="minorHAnsi" w:cstheme="minorBidi"/>
          <w:sz w:val="22"/>
          <w:szCs w:val="22"/>
          <w:lang w:eastAsia="en-AU"/>
        </w:rPr>
      </w:pPr>
      <w:hyperlink w:anchor="_Toc86158520" w:history="1">
        <w:r w:rsidR="000A4DC7" w:rsidRPr="001E54CF">
          <w:rPr>
            <w:rStyle w:val="Hyperlink"/>
          </w:rPr>
          <w:t>How PAYGO works</w:t>
        </w:r>
        <w:r w:rsidR="000A4DC7">
          <w:rPr>
            <w:webHidden/>
          </w:rPr>
          <w:tab/>
        </w:r>
        <w:r w:rsidR="000A4DC7">
          <w:rPr>
            <w:webHidden/>
          </w:rPr>
          <w:fldChar w:fldCharType="begin"/>
        </w:r>
        <w:r w:rsidR="000A4DC7">
          <w:rPr>
            <w:webHidden/>
          </w:rPr>
          <w:instrText xml:space="preserve"> PAGEREF _Toc86158520 \h </w:instrText>
        </w:r>
        <w:r w:rsidR="000A4DC7">
          <w:rPr>
            <w:webHidden/>
          </w:rPr>
        </w:r>
        <w:r w:rsidR="000A4DC7">
          <w:rPr>
            <w:webHidden/>
          </w:rPr>
          <w:fldChar w:fldCharType="separate"/>
        </w:r>
        <w:r w:rsidR="00225EEA">
          <w:rPr>
            <w:webHidden/>
          </w:rPr>
          <w:t>126</w:t>
        </w:r>
        <w:r w:rsidR="000A4DC7">
          <w:rPr>
            <w:webHidden/>
          </w:rPr>
          <w:fldChar w:fldCharType="end"/>
        </w:r>
      </w:hyperlink>
    </w:p>
    <w:p w14:paraId="3AC458E9" w14:textId="6AD08798" w:rsidR="000A4DC7" w:rsidRDefault="00EB0EE2">
      <w:pPr>
        <w:pStyle w:val="TOC2"/>
        <w:rPr>
          <w:rFonts w:asciiTheme="minorHAnsi" w:eastAsiaTheme="minorEastAsia" w:hAnsiTheme="minorHAnsi" w:cstheme="minorBidi"/>
          <w:sz w:val="22"/>
          <w:szCs w:val="22"/>
          <w:lang w:eastAsia="en-AU"/>
        </w:rPr>
      </w:pPr>
      <w:hyperlink w:anchor="_Toc86158521" w:history="1">
        <w:r w:rsidR="000A4DC7" w:rsidRPr="001E54CF">
          <w:rPr>
            <w:rStyle w:val="Hyperlink"/>
          </w:rPr>
          <w:t>Calculating the cost base</w:t>
        </w:r>
        <w:r w:rsidR="000A4DC7">
          <w:rPr>
            <w:webHidden/>
          </w:rPr>
          <w:tab/>
        </w:r>
        <w:r w:rsidR="000A4DC7">
          <w:rPr>
            <w:webHidden/>
          </w:rPr>
          <w:fldChar w:fldCharType="begin"/>
        </w:r>
        <w:r w:rsidR="000A4DC7">
          <w:rPr>
            <w:webHidden/>
          </w:rPr>
          <w:instrText xml:space="preserve"> PAGEREF _Toc86158521 \h </w:instrText>
        </w:r>
        <w:r w:rsidR="000A4DC7">
          <w:rPr>
            <w:webHidden/>
          </w:rPr>
        </w:r>
        <w:r w:rsidR="000A4DC7">
          <w:rPr>
            <w:webHidden/>
          </w:rPr>
          <w:fldChar w:fldCharType="separate"/>
        </w:r>
        <w:r w:rsidR="00225EEA">
          <w:rPr>
            <w:webHidden/>
          </w:rPr>
          <w:t>127</w:t>
        </w:r>
        <w:r w:rsidR="000A4DC7">
          <w:rPr>
            <w:webHidden/>
          </w:rPr>
          <w:fldChar w:fldCharType="end"/>
        </w:r>
      </w:hyperlink>
    </w:p>
    <w:p w14:paraId="1993ABED" w14:textId="4E22CC67" w:rsidR="000A4DC7" w:rsidRDefault="00EB0EE2">
      <w:pPr>
        <w:pStyle w:val="TOC2"/>
        <w:rPr>
          <w:rFonts w:asciiTheme="minorHAnsi" w:eastAsiaTheme="minorEastAsia" w:hAnsiTheme="minorHAnsi" w:cstheme="minorBidi"/>
          <w:sz w:val="22"/>
          <w:szCs w:val="22"/>
          <w:lang w:eastAsia="en-AU"/>
        </w:rPr>
      </w:pPr>
      <w:hyperlink w:anchor="_Toc86158522" w:history="1">
        <w:r w:rsidR="000A4DC7" w:rsidRPr="001E54CF">
          <w:rPr>
            <w:rStyle w:val="Hyperlink"/>
          </w:rPr>
          <w:t>The PAYGO model’s cross-subsidy check and its limitations</w:t>
        </w:r>
        <w:r w:rsidR="000A4DC7">
          <w:rPr>
            <w:webHidden/>
          </w:rPr>
          <w:tab/>
        </w:r>
        <w:r w:rsidR="000A4DC7">
          <w:rPr>
            <w:webHidden/>
          </w:rPr>
          <w:fldChar w:fldCharType="begin"/>
        </w:r>
        <w:r w:rsidR="000A4DC7">
          <w:rPr>
            <w:webHidden/>
          </w:rPr>
          <w:instrText xml:space="preserve"> PAGEREF _Toc86158522 \h </w:instrText>
        </w:r>
        <w:r w:rsidR="000A4DC7">
          <w:rPr>
            <w:webHidden/>
          </w:rPr>
        </w:r>
        <w:r w:rsidR="000A4DC7">
          <w:rPr>
            <w:webHidden/>
          </w:rPr>
          <w:fldChar w:fldCharType="separate"/>
        </w:r>
        <w:r w:rsidR="00225EEA">
          <w:rPr>
            <w:webHidden/>
          </w:rPr>
          <w:t>128</w:t>
        </w:r>
        <w:r w:rsidR="000A4DC7">
          <w:rPr>
            <w:webHidden/>
          </w:rPr>
          <w:fldChar w:fldCharType="end"/>
        </w:r>
      </w:hyperlink>
    </w:p>
    <w:p w14:paraId="51376F4D" w14:textId="640A9331" w:rsidR="000A4DC7" w:rsidRDefault="00EB0EE2">
      <w:pPr>
        <w:pStyle w:val="TOC1"/>
        <w:tabs>
          <w:tab w:val="left" w:pos="1560"/>
        </w:tabs>
        <w:rPr>
          <w:rFonts w:asciiTheme="minorHAnsi" w:eastAsiaTheme="minorEastAsia" w:hAnsiTheme="minorHAnsi" w:cstheme="minorBidi"/>
          <w:b w:val="0"/>
          <w:szCs w:val="22"/>
          <w:lang w:eastAsia="en-AU"/>
        </w:rPr>
      </w:pPr>
      <w:hyperlink w:anchor="_Toc86158523" w:history="1">
        <w:r w:rsidR="000A4DC7" w:rsidRPr="001E54CF">
          <w:rPr>
            <w:rStyle w:val="Hyperlink"/>
            <w:b/>
          </w:rPr>
          <w:t>Appendix E</w:t>
        </w:r>
        <w:r w:rsidR="000A4DC7">
          <w:rPr>
            <w:rFonts w:asciiTheme="minorHAnsi" w:eastAsiaTheme="minorEastAsia" w:hAnsiTheme="minorHAnsi" w:cstheme="minorBidi"/>
            <w:b w:val="0"/>
            <w:szCs w:val="22"/>
            <w:lang w:eastAsia="en-AU"/>
          </w:rPr>
          <w:tab/>
        </w:r>
        <w:r w:rsidR="000A4DC7" w:rsidRPr="001E54CF">
          <w:rPr>
            <w:rStyle w:val="Hyperlink"/>
          </w:rPr>
          <w:t>Summary of submissions on the C-RIS</w:t>
        </w:r>
        <w:r w:rsidR="000A4DC7">
          <w:rPr>
            <w:webHidden/>
          </w:rPr>
          <w:tab/>
        </w:r>
        <w:r w:rsidR="000A4DC7">
          <w:rPr>
            <w:webHidden/>
          </w:rPr>
          <w:fldChar w:fldCharType="begin"/>
        </w:r>
        <w:r w:rsidR="000A4DC7">
          <w:rPr>
            <w:webHidden/>
          </w:rPr>
          <w:instrText xml:space="preserve"> PAGEREF _Toc86158523 \h </w:instrText>
        </w:r>
        <w:r w:rsidR="000A4DC7">
          <w:rPr>
            <w:webHidden/>
          </w:rPr>
        </w:r>
        <w:r w:rsidR="000A4DC7">
          <w:rPr>
            <w:webHidden/>
          </w:rPr>
          <w:fldChar w:fldCharType="separate"/>
        </w:r>
        <w:r w:rsidR="00225EEA">
          <w:rPr>
            <w:webHidden/>
          </w:rPr>
          <w:t>130</w:t>
        </w:r>
        <w:r w:rsidR="000A4DC7">
          <w:rPr>
            <w:webHidden/>
          </w:rPr>
          <w:fldChar w:fldCharType="end"/>
        </w:r>
      </w:hyperlink>
    </w:p>
    <w:p w14:paraId="0B7D7A3A" w14:textId="56B5AC65" w:rsidR="00E808A2" w:rsidRDefault="00000EB3" w:rsidP="00E808A2">
      <w:pPr>
        <w:rPr>
          <w:noProof/>
        </w:rPr>
      </w:pPr>
      <w:r w:rsidRPr="00907FF5">
        <w:rPr>
          <w:noProof/>
        </w:rPr>
        <w:fldChar w:fldCharType="end"/>
      </w:r>
      <w:bookmarkStart w:id="6" w:name="_Toc283459925"/>
      <w:bookmarkStart w:id="7" w:name="_Toc283460405"/>
      <w:bookmarkStart w:id="8" w:name="_Toc481659234"/>
      <w:bookmarkStart w:id="9" w:name="_Toc496689327"/>
      <w:bookmarkEnd w:id="4"/>
      <w:bookmarkEnd w:id="5"/>
    </w:p>
    <w:p w14:paraId="70F47DFD" w14:textId="77777777" w:rsidR="0059266A" w:rsidRDefault="0059266A" w:rsidP="00E808A2">
      <w:pPr>
        <w:rPr>
          <w:noProof/>
        </w:rPr>
      </w:pPr>
    </w:p>
    <w:p w14:paraId="39FD22FA" w14:textId="55334FEC" w:rsidR="00367482" w:rsidRPr="000660B4" w:rsidRDefault="00367482" w:rsidP="00BF129C">
      <w:pPr>
        <w:pStyle w:val="Heading1"/>
        <w:numPr>
          <w:ilvl w:val="0"/>
          <w:numId w:val="0"/>
        </w:numPr>
        <w:spacing w:after="120"/>
        <w:ind w:left="6" w:hanging="6"/>
        <w:rPr>
          <w:color w:val="auto"/>
        </w:rPr>
      </w:pPr>
      <w:bookmarkStart w:id="10" w:name="_Toc86158366"/>
      <w:r w:rsidRPr="000660B4">
        <w:rPr>
          <w:color w:val="auto"/>
        </w:rPr>
        <w:lastRenderedPageBreak/>
        <w:t>List of figures and tables</w:t>
      </w:r>
      <w:bookmarkEnd w:id="10"/>
    </w:p>
    <w:p w14:paraId="732DB3FA" w14:textId="7C3936ED" w:rsidR="00996C85" w:rsidRPr="00907FF5" w:rsidRDefault="00475459" w:rsidP="00BF129C">
      <w:pPr>
        <w:pStyle w:val="NTCHeading3"/>
        <w:spacing w:before="120"/>
      </w:pPr>
      <w:bookmarkStart w:id="11" w:name="_Toc16856709"/>
      <w:bookmarkStart w:id="12" w:name="_Toc17294842"/>
      <w:bookmarkStart w:id="13" w:name="_Toc18056950"/>
      <w:bookmarkStart w:id="14" w:name="_Toc18266965"/>
      <w:bookmarkStart w:id="15" w:name="_Toc19870637"/>
      <w:bookmarkStart w:id="16" w:name="_Toc20918044"/>
      <w:bookmarkStart w:id="17" w:name="_Toc21609911"/>
      <w:bookmarkStart w:id="18" w:name="_Toc21615173"/>
      <w:bookmarkStart w:id="19" w:name="_Toc21619253"/>
      <w:bookmarkStart w:id="20" w:name="_Toc22125537"/>
      <w:bookmarkStart w:id="21" w:name="_Toc22204347"/>
      <w:bookmarkStart w:id="22" w:name="_Toc22650349"/>
      <w:bookmarkStart w:id="23" w:name="_Toc86158367"/>
      <w:r w:rsidRPr="00907FF5">
        <w:t>List of figures</w:t>
      </w:r>
      <w:bookmarkEnd w:id="11"/>
      <w:bookmarkEnd w:id="12"/>
      <w:bookmarkEnd w:id="13"/>
      <w:bookmarkEnd w:id="14"/>
      <w:bookmarkEnd w:id="15"/>
      <w:bookmarkEnd w:id="16"/>
      <w:bookmarkEnd w:id="17"/>
      <w:bookmarkEnd w:id="18"/>
      <w:bookmarkEnd w:id="19"/>
      <w:bookmarkEnd w:id="20"/>
      <w:bookmarkEnd w:id="21"/>
      <w:bookmarkEnd w:id="22"/>
      <w:bookmarkEnd w:id="23"/>
    </w:p>
    <w:p w14:paraId="5A79B0A8" w14:textId="55EB9519" w:rsidR="000A4DC7" w:rsidRDefault="00CB2940">
      <w:pPr>
        <w:pStyle w:val="TableofFigures"/>
        <w:rPr>
          <w:rFonts w:asciiTheme="minorHAnsi" w:eastAsiaTheme="minorEastAsia" w:hAnsiTheme="minorHAnsi" w:cstheme="minorBidi"/>
          <w:noProof/>
          <w:szCs w:val="22"/>
          <w:lang w:eastAsia="en-AU"/>
        </w:rPr>
      </w:pPr>
      <w:r>
        <w:fldChar w:fldCharType="begin"/>
      </w:r>
      <w:r>
        <w:instrText xml:space="preserve"> TOC \t "Figure title" \c </w:instrText>
      </w:r>
      <w:r>
        <w:fldChar w:fldCharType="separate"/>
      </w:r>
      <w:r w:rsidR="000A4DC7">
        <w:rPr>
          <w:noProof/>
        </w:rPr>
        <w:t>Figure 1.</w:t>
      </w:r>
      <w:r w:rsidR="000A4DC7">
        <w:rPr>
          <w:rFonts w:asciiTheme="minorHAnsi" w:eastAsiaTheme="minorEastAsia" w:hAnsiTheme="minorHAnsi" w:cstheme="minorBidi"/>
          <w:noProof/>
          <w:szCs w:val="22"/>
          <w:lang w:eastAsia="en-AU"/>
        </w:rPr>
        <w:tab/>
      </w:r>
      <w:r w:rsidR="000A4DC7">
        <w:rPr>
          <w:noProof/>
        </w:rPr>
        <w:t>Project timeline</w:t>
      </w:r>
      <w:r w:rsidR="000A4DC7">
        <w:rPr>
          <w:noProof/>
        </w:rPr>
        <w:tab/>
      </w:r>
      <w:r w:rsidR="000A4DC7">
        <w:rPr>
          <w:noProof/>
        </w:rPr>
        <w:fldChar w:fldCharType="begin"/>
      </w:r>
      <w:r w:rsidR="000A4DC7">
        <w:rPr>
          <w:noProof/>
        </w:rPr>
        <w:instrText xml:space="preserve"> PAGEREF _Toc86158524 \h </w:instrText>
      </w:r>
      <w:r w:rsidR="000A4DC7">
        <w:rPr>
          <w:noProof/>
        </w:rPr>
      </w:r>
      <w:r w:rsidR="000A4DC7">
        <w:rPr>
          <w:noProof/>
        </w:rPr>
        <w:fldChar w:fldCharType="separate"/>
      </w:r>
      <w:r w:rsidR="00225EEA">
        <w:rPr>
          <w:noProof/>
        </w:rPr>
        <w:t>16</w:t>
      </w:r>
      <w:r w:rsidR="000A4DC7">
        <w:rPr>
          <w:noProof/>
        </w:rPr>
        <w:fldChar w:fldCharType="end"/>
      </w:r>
    </w:p>
    <w:p w14:paraId="097AF24E" w14:textId="7586BB7B" w:rsidR="000A4DC7" w:rsidRDefault="000A4DC7">
      <w:pPr>
        <w:pStyle w:val="TableofFigures"/>
        <w:rPr>
          <w:rFonts w:asciiTheme="minorHAnsi" w:eastAsiaTheme="minorEastAsia" w:hAnsiTheme="minorHAnsi" w:cstheme="minorBidi"/>
          <w:noProof/>
          <w:szCs w:val="22"/>
          <w:lang w:eastAsia="en-AU"/>
        </w:rPr>
      </w:pPr>
      <w:r>
        <w:rPr>
          <w:noProof/>
        </w:rPr>
        <w:t>Figure 2.</w:t>
      </w:r>
      <w:r>
        <w:rPr>
          <w:rFonts w:asciiTheme="minorHAnsi" w:eastAsiaTheme="minorEastAsia" w:hAnsiTheme="minorHAnsi" w:cstheme="minorBidi"/>
          <w:noProof/>
          <w:szCs w:val="22"/>
          <w:lang w:eastAsia="en-AU"/>
        </w:rPr>
        <w:tab/>
      </w:r>
      <w:r>
        <w:rPr>
          <w:noProof/>
        </w:rPr>
        <w:t>Overview of the PAYGO model</w:t>
      </w:r>
      <w:r>
        <w:rPr>
          <w:noProof/>
        </w:rPr>
        <w:tab/>
      </w:r>
      <w:r>
        <w:rPr>
          <w:noProof/>
        </w:rPr>
        <w:fldChar w:fldCharType="begin"/>
      </w:r>
      <w:r>
        <w:rPr>
          <w:noProof/>
        </w:rPr>
        <w:instrText xml:space="preserve"> PAGEREF _Toc86158525 \h </w:instrText>
      </w:r>
      <w:r>
        <w:rPr>
          <w:noProof/>
        </w:rPr>
      </w:r>
      <w:r>
        <w:rPr>
          <w:noProof/>
        </w:rPr>
        <w:fldChar w:fldCharType="separate"/>
      </w:r>
      <w:r w:rsidR="00225EEA">
        <w:rPr>
          <w:noProof/>
        </w:rPr>
        <w:t>20</w:t>
      </w:r>
      <w:r>
        <w:rPr>
          <w:noProof/>
        </w:rPr>
        <w:fldChar w:fldCharType="end"/>
      </w:r>
    </w:p>
    <w:p w14:paraId="4CAE4292" w14:textId="6155DB59" w:rsidR="000A4DC7" w:rsidRDefault="000A4DC7">
      <w:pPr>
        <w:pStyle w:val="TableofFigures"/>
        <w:rPr>
          <w:rFonts w:asciiTheme="minorHAnsi" w:eastAsiaTheme="minorEastAsia" w:hAnsiTheme="minorHAnsi" w:cstheme="minorBidi"/>
          <w:noProof/>
          <w:szCs w:val="22"/>
          <w:lang w:eastAsia="en-AU"/>
        </w:rPr>
      </w:pPr>
      <w:r>
        <w:rPr>
          <w:noProof/>
        </w:rPr>
        <w:t>Figure 3.</w:t>
      </w:r>
      <w:r>
        <w:rPr>
          <w:rFonts w:asciiTheme="minorHAnsi" w:eastAsiaTheme="minorEastAsia" w:hAnsiTheme="minorHAnsi" w:cstheme="minorBidi"/>
          <w:noProof/>
          <w:szCs w:val="22"/>
          <w:lang w:eastAsia="en-AU"/>
        </w:rPr>
        <w:tab/>
      </w:r>
      <w:r>
        <w:rPr>
          <w:noProof/>
        </w:rPr>
        <w:t>PAYGO – timing difference illustration</w:t>
      </w:r>
      <w:r>
        <w:rPr>
          <w:noProof/>
        </w:rPr>
        <w:tab/>
      </w:r>
      <w:r>
        <w:rPr>
          <w:noProof/>
        </w:rPr>
        <w:fldChar w:fldCharType="begin"/>
      </w:r>
      <w:r>
        <w:rPr>
          <w:noProof/>
        </w:rPr>
        <w:instrText xml:space="preserve"> PAGEREF _Toc86158526 \h </w:instrText>
      </w:r>
      <w:r>
        <w:rPr>
          <w:noProof/>
        </w:rPr>
      </w:r>
      <w:r>
        <w:rPr>
          <w:noProof/>
        </w:rPr>
        <w:fldChar w:fldCharType="separate"/>
      </w:r>
      <w:r w:rsidR="00225EEA">
        <w:rPr>
          <w:noProof/>
        </w:rPr>
        <w:t>24</w:t>
      </w:r>
      <w:r>
        <w:rPr>
          <w:noProof/>
        </w:rPr>
        <w:fldChar w:fldCharType="end"/>
      </w:r>
    </w:p>
    <w:p w14:paraId="543CC9A2" w14:textId="0E9D40D1" w:rsidR="000A4DC7" w:rsidRDefault="000A4DC7">
      <w:pPr>
        <w:pStyle w:val="TableofFigures"/>
        <w:rPr>
          <w:rFonts w:asciiTheme="minorHAnsi" w:eastAsiaTheme="minorEastAsia" w:hAnsiTheme="minorHAnsi" w:cstheme="minorBidi"/>
          <w:noProof/>
          <w:szCs w:val="22"/>
          <w:lang w:eastAsia="en-AU"/>
        </w:rPr>
      </w:pPr>
      <w:r>
        <w:rPr>
          <w:noProof/>
        </w:rPr>
        <w:t>Figure 4.</w:t>
      </w:r>
      <w:r>
        <w:rPr>
          <w:rFonts w:asciiTheme="minorHAnsi" w:eastAsiaTheme="minorEastAsia" w:hAnsiTheme="minorHAnsi" w:cstheme="minorBidi"/>
          <w:noProof/>
          <w:szCs w:val="22"/>
          <w:lang w:eastAsia="en-AU"/>
        </w:rPr>
        <w:tab/>
      </w:r>
      <w:r>
        <w:rPr>
          <w:noProof/>
        </w:rPr>
        <w:t>Heavy vehicle cost base and estimated revenue ($m)</w:t>
      </w:r>
      <w:r>
        <w:rPr>
          <w:noProof/>
        </w:rPr>
        <w:tab/>
      </w:r>
      <w:r>
        <w:rPr>
          <w:noProof/>
        </w:rPr>
        <w:fldChar w:fldCharType="begin"/>
      </w:r>
      <w:r>
        <w:rPr>
          <w:noProof/>
        </w:rPr>
        <w:instrText xml:space="preserve"> PAGEREF _Toc86158527 \h </w:instrText>
      </w:r>
      <w:r>
        <w:rPr>
          <w:noProof/>
        </w:rPr>
      </w:r>
      <w:r>
        <w:rPr>
          <w:noProof/>
        </w:rPr>
        <w:fldChar w:fldCharType="separate"/>
      </w:r>
      <w:r w:rsidR="00225EEA">
        <w:rPr>
          <w:noProof/>
        </w:rPr>
        <w:t>26</w:t>
      </w:r>
      <w:r>
        <w:rPr>
          <w:noProof/>
        </w:rPr>
        <w:fldChar w:fldCharType="end"/>
      </w:r>
    </w:p>
    <w:p w14:paraId="3B102996" w14:textId="57D98C32" w:rsidR="000A4DC7" w:rsidRDefault="000A4DC7">
      <w:pPr>
        <w:pStyle w:val="TableofFigures"/>
        <w:rPr>
          <w:rFonts w:asciiTheme="minorHAnsi" w:eastAsiaTheme="minorEastAsia" w:hAnsiTheme="minorHAnsi" w:cstheme="minorBidi"/>
          <w:noProof/>
          <w:szCs w:val="22"/>
          <w:lang w:eastAsia="en-AU"/>
        </w:rPr>
      </w:pPr>
      <w:r>
        <w:rPr>
          <w:noProof/>
        </w:rPr>
        <w:t>Figure 5.</w:t>
      </w:r>
      <w:r>
        <w:rPr>
          <w:rFonts w:asciiTheme="minorHAnsi" w:eastAsiaTheme="minorEastAsia" w:hAnsiTheme="minorHAnsi" w:cstheme="minorBidi"/>
          <w:noProof/>
          <w:szCs w:val="22"/>
          <w:lang w:eastAsia="en-AU"/>
        </w:rPr>
        <w:tab/>
      </w:r>
      <w:r>
        <w:rPr>
          <w:noProof/>
        </w:rPr>
        <w:t>Estimated heavy vehicle cost bases under different cost allocators</w:t>
      </w:r>
      <w:r>
        <w:rPr>
          <w:noProof/>
        </w:rPr>
        <w:tab/>
      </w:r>
      <w:r>
        <w:rPr>
          <w:noProof/>
        </w:rPr>
        <w:fldChar w:fldCharType="begin"/>
      </w:r>
      <w:r>
        <w:rPr>
          <w:noProof/>
        </w:rPr>
        <w:instrText xml:space="preserve"> PAGEREF _Toc86158528 \h </w:instrText>
      </w:r>
      <w:r>
        <w:rPr>
          <w:noProof/>
        </w:rPr>
      </w:r>
      <w:r>
        <w:rPr>
          <w:noProof/>
        </w:rPr>
        <w:fldChar w:fldCharType="separate"/>
      </w:r>
      <w:r w:rsidR="00225EEA">
        <w:rPr>
          <w:noProof/>
        </w:rPr>
        <w:t>56</w:t>
      </w:r>
      <w:r>
        <w:rPr>
          <w:noProof/>
        </w:rPr>
        <w:fldChar w:fldCharType="end"/>
      </w:r>
    </w:p>
    <w:p w14:paraId="7618423F" w14:textId="039FDA07" w:rsidR="000A4DC7" w:rsidRDefault="000A4DC7">
      <w:pPr>
        <w:pStyle w:val="TableofFigures"/>
        <w:rPr>
          <w:rFonts w:asciiTheme="minorHAnsi" w:eastAsiaTheme="minorEastAsia" w:hAnsiTheme="minorHAnsi" w:cstheme="minorBidi"/>
          <w:noProof/>
          <w:szCs w:val="22"/>
          <w:lang w:eastAsia="en-AU"/>
        </w:rPr>
      </w:pPr>
      <w:r>
        <w:rPr>
          <w:noProof/>
        </w:rPr>
        <w:t>Figure 6.</w:t>
      </w:r>
      <w:r>
        <w:rPr>
          <w:rFonts w:asciiTheme="minorHAnsi" w:eastAsiaTheme="minorEastAsia" w:hAnsiTheme="minorHAnsi" w:cstheme="minorBidi"/>
          <w:noProof/>
          <w:szCs w:val="22"/>
          <w:lang w:eastAsia="en-AU"/>
        </w:rPr>
        <w:tab/>
      </w:r>
      <w:r>
        <w:rPr>
          <w:noProof/>
        </w:rPr>
        <w:t>Heavy vehicle cost base with and without MaxMan ($m)</w:t>
      </w:r>
      <w:r>
        <w:rPr>
          <w:noProof/>
        </w:rPr>
        <w:tab/>
      </w:r>
      <w:r>
        <w:rPr>
          <w:noProof/>
        </w:rPr>
        <w:fldChar w:fldCharType="begin"/>
      </w:r>
      <w:r>
        <w:rPr>
          <w:noProof/>
        </w:rPr>
        <w:instrText xml:space="preserve"> PAGEREF _Toc86158529 \h </w:instrText>
      </w:r>
      <w:r>
        <w:rPr>
          <w:noProof/>
        </w:rPr>
      </w:r>
      <w:r>
        <w:rPr>
          <w:noProof/>
        </w:rPr>
        <w:fldChar w:fldCharType="separate"/>
      </w:r>
      <w:r w:rsidR="00225EEA">
        <w:rPr>
          <w:noProof/>
        </w:rPr>
        <w:t>59</w:t>
      </w:r>
      <w:r>
        <w:rPr>
          <w:noProof/>
        </w:rPr>
        <w:fldChar w:fldCharType="end"/>
      </w:r>
    </w:p>
    <w:p w14:paraId="1BB2542A" w14:textId="7A7C6CF2" w:rsidR="000A4DC7" w:rsidRDefault="000A4DC7">
      <w:pPr>
        <w:pStyle w:val="TableofFigures"/>
        <w:rPr>
          <w:rFonts w:asciiTheme="minorHAnsi" w:eastAsiaTheme="minorEastAsia" w:hAnsiTheme="minorHAnsi" w:cstheme="minorBidi"/>
          <w:noProof/>
          <w:szCs w:val="22"/>
          <w:lang w:eastAsia="en-AU"/>
        </w:rPr>
      </w:pPr>
      <w:r>
        <w:rPr>
          <w:noProof/>
        </w:rPr>
        <w:t>Figure 7.</w:t>
      </w:r>
      <w:r>
        <w:rPr>
          <w:rFonts w:asciiTheme="minorHAnsi" w:eastAsiaTheme="minorEastAsia" w:hAnsiTheme="minorHAnsi" w:cstheme="minorBidi"/>
          <w:noProof/>
          <w:szCs w:val="22"/>
          <w:lang w:eastAsia="en-AU"/>
        </w:rPr>
        <w:tab/>
      </w:r>
      <w:r>
        <w:rPr>
          <w:noProof/>
        </w:rPr>
        <w:t>Allocated costs, with and without MaxMan, for double and triple road trains ($m)</w:t>
      </w:r>
      <w:r>
        <w:rPr>
          <w:noProof/>
        </w:rPr>
        <w:tab/>
      </w:r>
      <w:r>
        <w:rPr>
          <w:noProof/>
        </w:rPr>
        <w:fldChar w:fldCharType="begin"/>
      </w:r>
      <w:r>
        <w:rPr>
          <w:noProof/>
        </w:rPr>
        <w:instrText xml:space="preserve"> PAGEREF _Toc86158530 \h </w:instrText>
      </w:r>
      <w:r>
        <w:rPr>
          <w:noProof/>
        </w:rPr>
      </w:r>
      <w:r>
        <w:rPr>
          <w:noProof/>
        </w:rPr>
        <w:fldChar w:fldCharType="separate"/>
      </w:r>
      <w:r w:rsidR="00225EEA">
        <w:rPr>
          <w:noProof/>
        </w:rPr>
        <w:t>60</w:t>
      </w:r>
      <w:r>
        <w:rPr>
          <w:noProof/>
        </w:rPr>
        <w:fldChar w:fldCharType="end"/>
      </w:r>
    </w:p>
    <w:p w14:paraId="23538AAE" w14:textId="648D9279" w:rsidR="000A4DC7" w:rsidRDefault="000A4DC7">
      <w:pPr>
        <w:pStyle w:val="TableofFigures"/>
        <w:rPr>
          <w:rFonts w:asciiTheme="minorHAnsi" w:eastAsiaTheme="minorEastAsia" w:hAnsiTheme="minorHAnsi" w:cstheme="minorBidi"/>
          <w:noProof/>
          <w:szCs w:val="22"/>
          <w:lang w:eastAsia="en-AU"/>
        </w:rPr>
      </w:pPr>
      <w:r>
        <w:rPr>
          <w:noProof/>
        </w:rPr>
        <w:t>Figure 8.</w:t>
      </w:r>
      <w:r>
        <w:rPr>
          <w:rFonts w:asciiTheme="minorHAnsi" w:eastAsiaTheme="minorEastAsia" w:hAnsiTheme="minorHAnsi" w:cstheme="minorBidi"/>
          <w:noProof/>
          <w:szCs w:val="22"/>
          <w:lang w:eastAsia="en-AU"/>
        </w:rPr>
        <w:tab/>
      </w:r>
      <w:r>
        <w:rPr>
          <w:noProof/>
        </w:rPr>
        <w:t>Impact on heavy vehicle cost base from changes considered in this D-RIS ($m)</w:t>
      </w:r>
      <w:r>
        <w:rPr>
          <w:noProof/>
        </w:rPr>
        <w:tab/>
      </w:r>
      <w:r>
        <w:rPr>
          <w:noProof/>
        </w:rPr>
        <w:fldChar w:fldCharType="begin"/>
      </w:r>
      <w:r>
        <w:rPr>
          <w:noProof/>
        </w:rPr>
        <w:instrText xml:space="preserve"> PAGEREF _Toc86158531 \h </w:instrText>
      </w:r>
      <w:r>
        <w:rPr>
          <w:noProof/>
        </w:rPr>
      </w:r>
      <w:r>
        <w:rPr>
          <w:noProof/>
        </w:rPr>
        <w:fldChar w:fldCharType="separate"/>
      </w:r>
      <w:r w:rsidR="00225EEA">
        <w:rPr>
          <w:noProof/>
        </w:rPr>
        <w:t>79</w:t>
      </w:r>
      <w:r>
        <w:rPr>
          <w:noProof/>
        </w:rPr>
        <w:fldChar w:fldCharType="end"/>
      </w:r>
    </w:p>
    <w:p w14:paraId="56FBEA42" w14:textId="76DC3B0B" w:rsidR="000A4DC7" w:rsidRDefault="000A4DC7">
      <w:pPr>
        <w:pStyle w:val="TableofFigures"/>
        <w:rPr>
          <w:rFonts w:asciiTheme="minorHAnsi" w:eastAsiaTheme="minorEastAsia" w:hAnsiTheme="minorHAnsi" w:cstheme="minorBidi"/>
          <w:noProof/>
          <w:szCs w:val="22"/>
          <w:lang w:eastAsia="en-AU"/>
        </w:rPr>
      </w:pPr>
      <w:r>
        <w:rPr>
          <w:noProof/>
        </w:rPr>
        <w:t>Figure 9.</w:t>
      </w:r>
      <w:r>
        <w:rPr>
          <w:rFonts w:asciiTheme="minorHAnsi" w:eastAsiaTheme="minorEastAsia" w:hAnsiTheme="minorHAnsi" w:cstheme="minorBidi"/>
          <w:noProof/>
          <w:szCs w:val="22"/>
          <w:lang w:eastAsia="en-AU"/>
        </w:rPr>
        <w:tab/>
      </w:r>
      <w:r>
        <w:rPr>
          <w:noProof/>
        </w:rPr>
        <w:t>Projected financial implications for heavy vehicle charge revenue ($m)</w:t>
      </w:r>
      <w:r>
        <w:rPr>
          <w:noProof/>
        </w:rPr>
        <w:tab/>
      </w:r>
      <w:r>
        <w:rPr>
          <w:noProof/>
        </w:rPr>
        <w:fldChar w:fldCharType="begin"/>
      </w:r>
      <w:r>
        <w:rPr>
          <w:noProof/>
        </w:rPr>
        <w:instrText xml:space="preserve"> PAGEREF _Toc86158532 \h </w:instrText>
      </w:r>
      <w:r>
        <w:rPr>
          <w:noProof/>
        </w:rPr>
      </w:r>
      <w:r>
        <w:rPr>
          <w:noProof/>
        </w:rPr>
        <w:fldChar w:fldCharType="separate"/>
      </w:r>
      <w:r w:rsidR="00225EEA">
        <w:rPr>
          <w:noProof/>
        </w:rPr>
        <w:t>88</w:t>
      </w:r>
      <w:r>
        <w:rPr>
          <w:noProof/>
        </w:rPr>
        <w:fldChar w:fldCharType="end"/>
      </w:r>
    </w:p>
    <w:p w14:paraId="1956D6E5" w14:textId="094810F0" w:rsidR="000A4DC7" w:rsidRDefault="000A4DC7">
      <w:pPr>
        <w:pStyle w:val="TableofFigures"/>
        <w:rPr>
          <w:rFonts w:asciiTheme="minorHAnsi" w:eastAsiaTheme="minorEastAsia" w:hAnsiTheme="minorHAnsi" w:cstheme="minorBidi"/>
          <w:noProof/>
          <w:szCs w:val="22"/>
          <w:lang w:eastAsia="en-AU"/>
        </w:rPr>
      </w:pPr>
      <w:r>
        <w:rPr>
          <w:noProof/>
        </w:rPr>
        <w:t>Figure 10.</w:t>
      </w:r>
      <w:r>
        <w:rPr>
          <w:rFonts w:asciiTheme="minorHAnsi" w:eastAsiaTheme="minorEastAsia" w:hAnsiTheme="minorHAnsi" w:cstheme="minorBidi"/>
          <w:noProof/>
          <w:szCs w:val="22"/>
          <w:lang w:eastAsia="en-AU"/>
        </w:rPr>
        <w:tab/>
      </w:r>
      <w:r>
        <w:rPr>
          <w:noProof/>
        </w:rPr>
        <w:t>Changes in operating costs from 2013 to 2020</w:t>
      </w:r>
      <w:r>
        <w:rPr>
          <w:noProof/>
        </w:rPr>
        <w:tab/>
      </w:r>
      <w:r>
        <w:rPr>
          <w:noProof/>
        </w:rPr>
        <w:fldChar w:fldCharType="begin"/>
      </w:r>
      <w:r>
        <w:rPr>
          <w:noProof/>
        </w:rPr>
        <w:instrText xml:space="preserve"> PAGEREF _Toc86158533 \h </w:instrText>
      </w:r>
      <w:r>
        <w:rPr>
          <w:noProof/>
        </w:rPr>
      </w:r>
      <w:r>
        <w:rPr>
          <w:noProof/>
        </w:rPr>
        <w:fldChar w:fldCharType="separate"/>
      </w:r>
      <w:r w:rsidR="00225EEA">
        <w:rPr>
          <w:noProof/>
        </w:rPr>
        <w:t>94</w:t>
      </w:r>
      <w:r>
        <w:rPr>
          <w:noProof/>
        </w:rPr>
        <w:fldChar w:fldCharType="end"/>
      </w:r>
    </w:p>
    <w:p w14:paraId="337EDEC4" w14:textId="2491051E" w:rsidR="000A4DC7" w:rsidRDefault="000A4DC7">
      <w:pPr>
        <w:pStyle w:val="TableofFigures"/>
        <w:rPr>
          <w:rFonts w:asciiTheme="minorHAnsi" w:eastAsiaTheme="minorEastAsia" w:hAnsiTheme="minorHAnsi" w:cstheme="minorBidi"/>
          <w:noProof/>
          <w:szCs w:val="22"/>
          <w:lang w:eastAsia="en-AU"/>
        </w:rPr>
      </w:pPr>
      <w:r>
        <w:rPr>
          <w:noProof/>
        </w:rPr>
        <w:t xml:space="preserve">Figure 7. </w:t>
      </w:r>
      <w:r>
        <w:rPr>
          <w:noProof/>
        </w:rPr>
        <w:tab/>
        <w:t>Allocated costs, with and without MaxMan for double and triple road trains ($m)</w:t>
      </w:r>
      <w:r>
        <w:rPr>
          <w:noProof/>
        </w:rPr>
        <w:tab/>
      </w:r>
      <w:r>
        <w:rPr>
          <w:noProof/>
        </w:rPr>
        <w:fldChar w:fldCharType="begin"/>
      </w:r>
      <w:r>
        <w:rPr>
          <w:noProof/>
        </w:rPr>
        <w:instrText xml:space="preserve"> PAGEREF _Toc86158534 \h </w:instrText>
      </w:r>
      <w:r>
        <w:rPr>
          <w:noProof/>
        </w:rPr>
      </w:r>
      <w:r>
        <w:rPr>
          <w:noProof/>
        </w:rPr>
        <w:fldChar w:fldCharType="separate"/>
      </w:r>
      <w:r w:rsidR="00225EEA">
        <w:rPr>
          <w:noProof/>
        </w:rPr>
        <w:t>108</w:t>
      </w:r>
      <w:r>
        <w:rPr>
          <w:noProof/>
        </w:rPr>
        <w:fldChar w:fldCharType="end"/>
      </w:r>
    </w:p>
    <w:p w14:paraId="2534DB4C" w14:textId="03E3570B" w:rsidR="000A4DC7" w:rsidRDefault="000A4DC7">
      <w:pPr>
        <w:pStyle w:val="TableofFigures"/>
        <w:rPr>
          <w:rFonts w:asciiTheme="minorHAnsi" w:eastAsiaTheme="minorEastAsia" w:hAnsiTheme="minorHAnsi" w:cstheme="minorBidi"/>
          <w:noProof/>
          <w:szCs w:val="22"/>
          <w:lang w:eastAsia="en-AU"/>
        </w:rPr>
      </w:pPr>
      <w:r>
        <w:rPr>
          <w:noProof/>
        </w:rPr>
        <w:t xml:space="preserve">Figure 8. </w:t>
      </w:r>
      <w:r>
        <w:rPr>
          <w:noProof/>
        </w:rPr>
        <w:tab/>
        <w:t>Impact on heavy vehicle cost base from changes considered in this RIS ($m)</w:t>
      </w:r>
      <w:r>
        <w:rPr>
          <w:noProof/>
        </w:rPr>
        <w:tab/>
      </w:r>
      <w:r>
        <w:rPr>
          <w:noProof/>
        </w:rPr>
        <w:fldChar w:fldCharType="begin"/>
      </w:r>
      <w:r>
        <w:rPr>
          <w:noProof/>
        </w:rPr>
        <w:instrText xml:space="preserve"> PAGEREF _Toc86158535 \h </w:instrText>
      </w:r>
      <w:r>
        <w:rPr>
          <w:noProof/>
        </w:rPr>
      </w:r>
      <w:r>
        <w:rPr>
          <w:noProof/>
        </w:rPr>
        <w:fldChar w:fldCharType="separate"/>
      </w:r>
      <w:r w:rsidR="00225EEA">
        <w:rPr>
          <w:noProof/>
        </w:rPr>
        <w:t>109</w:t>
      </w:r>
      <w:r>
        <w:rPr>
          <w:noProof/>
        </w:rPr>
        <w:fldChar w:fldCharType="end"/>
      </w:r>
    </w:p>
    <w:p w14:paraId="77CDC122" w14:textId="606D7ECC" w:rsidR="000A4DC7" w:rsidRDefault="000A4DC7">
      <w:pPr>
        <w:pStyle w:val="TableofFigures"/>
        <w:rPr>
          <w:rFonts w:asciiTheme="minorHAnsi" w:eastAsiaTheme="minorEastAsia" w:hAnsiTheme="minorHAnsi" w:cstheme="minorBidi"/>
          <w:noProof/>
          <w:szCs w:val="22"/>
          <w:lang w:eastAsia="en-AU"/>
        </w:rPr>
      </w:pPr>
      <w:r w:rsidRPr="00601DE0">
        <w:rPr>
          <w:bCs/>
          <w:noProof/>
        </w:rPr>
        <w:t xml:space="preserve">Figure 9. </w:t>
      </w:r>
      <w:r>
        <w:rPr>
          <w:bCs/>
          <w:noProof/>
        </w:rPr>
        <w:tab/>
      </w:r>
      <w:r>
        <w:rPr>
          <w:noProof/>
        </w:rPr>
        <w:t>Projected financial implications for heavy vehicle charge revenue ($m)</w:t>
      </w:r>
      <w:r>
        <w:rPr>
          <w:noProof/>
        </w:rPr>
        <w:tab/>
      </w:r>
      <w:r>
        <w:rPr>
          <w:noProof/>
        </w:rPr>
        <w:fldChar w:fldCharType="begin"/>
      </w:r>
      <w:r>
        <w:rPr>
          <w:noProof/>
        </w:rPr>
        <w:instrText xml:space="preserve"> PAGEREF _Toc86158536 \h </w:instrText>
      </w:r>
      <w:r>
        <w:rPr>
          <w:noProof/>
        </w:rPr>
      </w:r>
      <w:r>
        <w:rPr>
          <w:noProof/>
        </w:rPr>
        <w:fldChar w:fldCharType="separate"/>
      </w:r>
      <w:r w:rsidR="00225EEA">
        <w:rPr>
          <w:noProof/>
        </w:rPr>
        <w:t>110</w:t>
      </w:r>
      <w:r>
        <w:rPr>
          <w:noProof/>
        </w:rPr>
        <w:fldChar w:fldCharType="end"/>
      </w:r>
    </w:p>
    <w:p w14:paraId="2B771CFB" w14:textId="7BEDB0E4" w:rsidR="000A4DC7" w:rsidRDefault="000A4DC7">
      <w:pPr>
        <w:pStyle w:val="TableofFigures"/>
        <w:rPr>
          <w:rFonts w:asciiTheme="minorHAnsi" w:eastAsiaTheme="minorEastAsia" w:hAnsiTheme="minorHAnsi" w:cstheme="minorBidi"/>
          <w:noProof/>
          <w:szCs w:val="22"/>
          <w:lang w:eastAsia="en-AU"/>
        </w:rPr>
      </w:pPr>
      <w:r>
        <w:rPr>
          <w:noProof/>
        </w:rPr>
        <w:t xml:space="preserve">Figure 10. </w:t>
      </w:r>
      <w:r>
        <w:rPr>
          <w:noProof/>
        </w:rPr>
        <w:tab/>
        <w:t>Changes in operating costs from 2013 to 2020</w:t>
      </w:r>
      <w:r>
        <w:rPr>
          <w:noProof/>
        </w:rPr>
        <w:tab/>
      </w:r>
      <w:r>
        <w:rPr>
          <w:noProof/>
        </w:rPr>
        <w:fldChar w:fldCharType="begin"/>
      </w:r>
      <w:r>
        <w:rPr>
          <w:noProof/>
        </w:rPr>
        <w:instrText xml:space="preserve"> PAGEREF _Toc86158537 \h </w:instrText>
      </w:r>
      <w:r>
        <w:rPr>
          <w:noProof/>
        </w:rPr>
      </w:r>
      <w:r>
        <w:rPr>
          <w:noProof/>
        </w:rPr>
        <w:fldChar w:fldCharType="separate"/>
      </w:r>
      <w:r w:rsidR="00225EEA">
        <w:rPr>
          <w:noProof/>
        </w:rPr>
        <w:t>111</w:t>
      </w:r>
      <w:r>
        <w:rPr>
          <w:noProof/>
        </w:rPr>
        <w:fldChar w:fldCharType="end"/>
      </w:r>
    </w:p>
    <w:p w14:paraId="139F84C1" w14:textId="142D5324" w:rsidR="000A4DC7" w:rsidRDefault="000A4DC7">
      <w:pPr>
        <w:pStyle w:val="TableofFigures"/>
        <w:rPr>
          <w:rFonts w:asciiTheme="minorHAnsi" w:eastAsiaTheme="minorEastAsia" w:hAnsiTheme="minorHAnsi" w:cstheme="minorBidi"/>
          <w:noProof/>
          <w:szCs w:val="22"/>
          <w:lang w:eastAsia="en-AU"/>
        </w:rPr>
      </w:pPr>
      <w:r>
        <w:rPr>
          <w:noProof/>
        </w:rPr>
        <w:t>Figure 11.</w:t>
      </w:r>
      <w:r>
        <w:rPr>
          <w:rFonts w:asciiTheme="minorHAnsi" w:eastAsiaTheme="minorEastAsia" w:hAnsiTheme="minorHAnsi" w:cstheme="minorBidi"/>
          <w:noProof/>
          <w:szCs w:val="22"/>
          <w:lang w:eastAsia="en-AU"/>
        </w:rPr>
        <w:tab/>
      </w:r>
      <w:r>
        <w:rPr>
          <w:noProof/>
        </w:rPr>
        <w:t>Overview of the current PAYGO system</w:t>
      </w:r>
      <w:r>
        <w:rPr>
          <w:noProof/>
        </w:rPr>
        <w:tab/>
      </w:r>
      <w:r>
        <w:rPr>
          <w:noProof/>
        </w:rPr>
        <w:fldChar w:fldCharType="begin"/>
      </w:r>
      <w:r>
        <w:rPr>
          <w:noProof/>
        </w:rPr>
        <w:instrText xml:space="preserve"> PAGEREF _Toc86158538 \h </w:instrText>
      </w:r>
      <w:r>
        <w:rPr>
          <w:noProof/>
        </w:rPr>
      </w:r>
      <w:r>
        <w:rPr>
          <w:noProof/>
        </w:rPr>
        <w:fldChar w:fldCharType="separate"/>
      </w:r>
      <w:r w:rsidR="00225EEA">
        <w:rPr>
          <w:noProof/>
        </w:rPr>
        <w:t>127</w:t>
      </w:r>
      <w:r>
        <w:rPr>
          <w:noProof/>
        </w:rPr>
        <w:fldChar w:fldCharType="end"/>
      </w:r>
    </w:p>
    <w:p w14:paraId="69B4A319" w14:textId="59A3AD75" w:rsidR="000A4DC7" w:rsidRDefault="000A4DC7">
      <w:pPr>
        <w:pStyle w:val="TableofFigures"/>
        <w:rPr>
          <w:rFonts w:asciiTheme="minorHAnsi" w:eastAsiaTheme="minorEastAsia" w:hAnsiTheme="minorHAnsi" w:cstheme="minorBidi"/>
          <w:noProof/>
          <w:szCs w:val="22"/>
          <w:lang w:eastAsia="en-AU"/>
        </w:rPr>
      </w:pPr>
      <w:r>
        <w:rPr>
          <w:noProof/>
        </w:rPr>
        <w:t>Figure 12.</w:t>
      </w:r>
      <w:r>
        <w:rPr>
          <w:rFonts w:asciiTheme="minorHAnsi" w:eastAsiaTheme="minorEastAsia" w:hAnsiTheme="minorHAnsi" w:cstheme="minorBidi"/>
          <w:noProof/>
          <w:szCs w:val="22"/>
          <w:lang w:eastAsia="en-AU"/>
        </w:rPr>
        <w:tab/>
      </w:r>
      <w:r>
        <w:rPr>
          <w:noProof/>
        </w:rPr>
        <w:t>Overview of existing PAYGO regulatory process</w:t>
      </w:r>
      <w:r>
        <w:rPr>
          <w:noProof/>
        </w:rPr>
        <w:tab/>
      </w:r>
      <w:r>
        <w:rPr>
          <w:noProof/>
        </w:rPr>
        <w:fldChar w:fldCharType="begin"/>
      </w:r>
      <w:r>
        <w:rPr>
          <w:noProof/>
        </w:rPr>
        <w:instrText xml:space="preserve"> PAGEREF _Toc86158539 \h </w:instrText>
      </w:r>
      <w:r>
        <w:rPr>
          <w:noProof/>
        </w:rPr>
      </w:r>
      <w:r>
        <w:rPr>
          <w:noProof/>
        </w:rPr>
        <w:fldChar w:fldCharType="separate"/>
      </w:r>
      <w:r w:rsidR="00225EEA">
        <w:rPr>
          <w:noProof/>
        </w:rPr>
        <w:t>127</w:t>
      </w:r>
      <w:r>
        <w:rPr>
          <w:noProof/>
        </w:rPr>
        <w:fldChar w:fldCharType="end"/>
      </w:r>
    </w:p>
    <w:p w14:paraId="154A50A3" w14:textId="51E1DEC2" w:rsidR="00475459" w:rsidRPr="00907FF5" w:rsidRDefault="00CB2940" w:rsidP="00475459">
      <w:pPr>
        <w:spacing w:before="0" w:after="0"/>
      </w:pPr>
      <w:r>
        <w:rPr>
          <w:b/>
          <w:bCs/>
          <w:noProof/>
          <w:lang w:val="en-US"/>
        </w:rPr>
        <w:fldChar w:fldCharType="end"/>
      </w:r>
    </w:p>
    <w:p w14:paraId="7454D1D9" w14:textId="3D4E794E" w:rsidR="00996C85" w:rsidRPr="00907FF5" w:rsidRDefault="00475459" w:rsidP="00BF129C">
      <w:pPr>
        <w:pStyle w:val="NTCHeading3"/>
        <w:spacing w:before="0"/>
      </w:pPr>
      <w:bookmarkStart w:id="24" w:name="_Toc16856710"/>
      <w:bookmarkStart w:id="25" w:name="_Toc17294843"/>
      <w:bookmarkStart w:id="26" w:name="_Toc18056951"/>
      <w:bookmarkStart w:id="27" w:name="_Toc18266966"/>
      <w:bookmarkStart w:id="28" w:name="_Toc19870638"/>
      <w:bookmarkStart w:id="29" w:name="_Toc20918045"/>
      <w:bookmarkStart w:id="30" w:name="_Toc21609912"/>
      <w:bookmarkStart w:id="31" w:name="_Toc21615174"/>
      <w:bookmarkStart w:id="32" w:name="_Toc21619254"/>
      <w:bookmarkStart w:id="33" w:name="_Toc22125538"/>
      <w:bookmarkStart w:id="34" w:name="_Toc22204348"/>
      <w:bookmarkStart w:id="35" w:name="_Toc22650350"/>
      <w:bookmarkStart w:id="36" w:name="_Toc86158368"/>
      <w:r w:rsidRPr="00907FF5">
        <w:t>List of tables</w:t>
      </w:r>
      <w:bookmarkEnd w:id="24"/>
      <w:bookmarkEnd w:id="25"/>
      <w:bookmarkEnd w:id="26"/>
      <w:bookmarkEnd w:id="27"/>
      <w:bookmarkEnd w:id="28"/>
      <w:bookmarkEnd w:id="29"/>
      <w:bookmarkEnd w:id="30"/>
      <w:bookmarkEnd w:id="31"/>
      <w:bookmarkEnd w:id="32"/>
      <w:bookmarkEnd w:id="33"/>
      <w:bookmarkEnd w:id="34"/>
      <w:bookmarkEnd w:id="35"/>
      <w:bookmarkEnd w:id="36"/>
    </w:p>
    <w:p w14:paraId="557E226A" w14:textId="4480BE68" w:rsidR="000A4DC7" w:rsidRDefault="00475459">
      <w:pPr>
        <w:pStyle w:val="TableofFigures"/>
        <w:rPr>
          <w:rFonts w:asciiTheme="minorHAnsi" w:eastAsiaTheme="minorEastAsia" w:hAnsiTheme="minorHAnsi" w:cstheme="minorBidi"/>
          <w:noProof/>
          <w:szCs w:val="22"/>
          <w:lang w:eastAsia="en-AU"/>
        </w:rPr>
      </w:pPr>
      <w:r w:rsidRPr="000660B4">
        <w:rPr>
          <w:color w:val="000000"/>
        </w:rPr>
        <w:fldChar w:fldCharType="begin"/>
      </w:r>
      <w:r w:rsidRPr="00907FF5">
        <w:instrText xml:space="preserve"> TOC \t "Table title" \c </w:instrText>
      </w:r>
      <w:r w:rsidRPr="000660B4">
        <w:rPr>
          <w:color w:val="000000"/>
        </w:rPr>
        <w:fldChar w:fldCharType="separate"/>
      </w:r>
      <w:r w:rsidR="000A4DC7" w:rsidRPr="008168C4">
        <w:rPr>
          <w:noProof/>
          <w14:scene3d>
            <w14:camera w14:prst="orthographicFront"/>
            <w14:lightRig w14:rig="threePt" w14:dir="t">
              <w14:rot w14:lat="0" w14:lon="0" w14:rev="0"/>
            </w14:lightRig>
          </w14:scene3d>
        </w:rPr>
        <w:t>Table 1.</w:t>
      </w:r>
      <w:r w:rsidR="000A4DC7">
        <w:rPr>
          <w:rFonts w:asciiTheme="minorHAnsi" w:eastAsiaTheme="minorEastAsia" w:hAnsiTheme="minorHAnsi" w:cstheme="minorBidi"/>
          <w:noProof/>
          <w:szCs w:val="22"/>
          <w:lang w:eastAsia="en-AU"/>
        </w:rPr>
        <w:tab/>
      </w:r>
      <w:r w:rsidR="000A4DC7">
        <w:rPr>
          <w:noProof/>
        </w:rPr>
        <w:t>Cost allocation options – estimated heavy vehicle cost base and revenue gaps</w:t>
      </w:r>
      <w:r w:rsidR="000A4DC7">
        <w:rPr>
          <w:noProof/>
        </w:rPr>
        <w:tab/>
      </w:r>
      <w:r w:rsidR="000A4DC7">
        <w:rPr>
          <w:noProof/>
        </w:rPr>
        <w:fldChar w:fldCharType="begin"/>
      </w:r>
      <w:r w:rsidR="000A4DC7">
        <w:rPr>
          <w:noProof/>
        </w:rPr>
        <w:instrText xml:space="preserve"> PAGEREF _Toc86158540 \h </w:instrText>
      </w:r>
      <w:r w:rsidR="000A4DC7">
        <w:rPr>
          <w:noProof/>
        </w:rPr>
      </w:r>
      <w:r w:rsidR="000A4DC7">
        <w:rPr>
          <w:noProof/>
        </w:rPr>
        <w:fldChar w:fldCharType="separate"/>
      </w:r>
      <w:r w:rsidR="00225EEA">
        <w:rPr>
          <w:noProof/>
        </w:rPr>
        <w:t>12</w:t>
      </w:r>
      <w:r w:rsidR="000A4DC7">
        <w:rPr>
          <w:noProof/>
        </w:rPr>
        <w:fldChar w:fldCharType="end"/>
      </w:r>
    </w:p>
    <w:p w14:paraId="62FB2E9F" w14:textId="436830C8"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w:t>
      </w:r>
      <w:r>
        <w:rPr>
          <w:rFonts w:asciiTheme="minorHAnsi" w:eastAsiaTheme="minorEastAsia" w:hAnsiTheme="minorHAnsi" w:cstheme="minorBidi"/>
          <w:noProof/>
          <w:szCs w:val="22"/>
          <w:lang w:eastAsia="en-AU"/>
        </w:rPr>
        <w:tab/>
      </w:r>
      <w:r>
        <w:rPr>
          <w:noProof/>
        </w:rPr>
        <w:t>Topics covered at workshops</w:t>
      </w:r>
      <w:r>
        <w:rPr>
          <w:noProof/>
        </w:rPr>
        <w:tab/>
      </w:r>
      <w:r>
        <w:rPr>
          <w:noProof/>
        </w:rPr>
        <w:fldChar w:fldCharType="begin"/>
      </w:r>
      <w:r>
        <w:rPr>
          <w:noProof/>
        </w:rPr>
        <w:instrText xml:space="preserve"> PAGEREF _Toc86158541 \h </w:instrText>
      </w:r>
      <w:r>
        <w:rPr>
          <w:noProof/>
        </w:rPr>
      </w:r>
      <w:r>
        <w:rPr>
          <w:noProof/>
        </w:rPr>
        <w:fldChar w:fldCharType="separate"/>
      </w:r>
      <w:r w:rsidR="00225EEA">
        <w:rPr>
          <w:noProof/>
        </w:rPr>
        <w:t>18</w:t>
      </w:r>
      <w:r>
        <w:rPr>
          <w:noProof/>
        </w:rPr>
        <w:fldChar w:fldCharType="end"/>
      </w:r>
    </w:p>
    <w:p w14:paraId="59387C1A" w14:textId="7AB0AF7B"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w:t>
      </w:r>
      <w:r>
        <w:rPr>
          <w:rFonts w:asciiTheme="minorHAnsi" w:eastAsiaTheme="minorEastAsia" w:hAnsiTheme="minorHAnsi" w:cstheme="minorBidi"/>
          <w:noProof/>
          <w:szCs w:val="22"/>
          <w:lang w:eastAsia="en-AU"/>
        </w:rPr>
        <w:tab/>
      </w:r>
      <w:r>
        <w:rPr>
          <w:noProof/>
        </w:rPr>
        <w:t>Summary of model improvements considered</w:t>
      </w:r>
      <w:r>
        <w:rPr>
          <w:noProof/>
        </w:rPr>
        <w:tab/>
      </w:r>
      <w:r>
        <w:rPr>
          <w:noProof/>
        </w:rPr>
        <w:fldChar w:fldCharType="begin"/>
      </w:r>
      <w:r>
        <w:rPr>
          <w:noProof/>
        </w:rPr>
        <w:instrText xml:space="preserve"> PAGEREF _Toc86158542 \h </w:instrText>
      </w:r>
      <w:r>
        <w:rPr>
          <w:noProof/>
        </w:rPr>
      </w:r>
      <w:r>
        <w:rPr>
          <w:noProof/>
        </w:rPr>
        <w:fldChar w:fldCharType="separate"/>
      </w:r>
      <w:r w:rsidR="00225EEA">
        <w:rPr>
          <w:noProof/>
        </w:rPr>
        <w:t>31</w:t>
      </w:r>
      <w:r>
        <w:rPr>
          <w:noProof/>
        </w:rPr>
        <w:fldChar w:fldCharType="end"/>
      </w:r>
    </w:p>
    <w:p w14:paraId="66FDD253" w14:textId="76B7B4C3"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4.</w:t>
      </w:r>
      <w:r>
        <w:rPr>
          <w:rFonts w:asciiTheme="minorHAnsi" w:eastAsiaTheme="minorEastAsia" w:hAnsiTheme="minorHAnsi" w:cstheme="minorBidi"/>
          <w:noProof/>
          <w:szCs w:val="22"/>
          <w:lang w:eastAsia="en-AU"/>
        </w:rPr>
        <w:tab/>
      </w:r>
      <w:r>
        <w:rPr>
          <w:noProof/>
        </w:rPr>
        <w:t>Audit program options</w:t>
      </w:r>
      <w:r>
        <w:rPr>
          <w:noProof/>
        </w:rPr>
        <w:tab/>
      </w:r>
      <w:r>
        <w:rPr>
          <w:noProof/>
        </w:rPr>
        <w:fldChar w:fldCharType="begin"/>
      </w:r>
      <w:r>
        <w:rPr>
          <w:noProof/>
        </w:rPr>
        <w:instrText xml:space="preserve"> PAGEREF _Toc86158543 \h </w:instrText>
      </w:r>
      <w:r>
        <w:rPr>
          <w:noProof/>
        </w:rPr>
      </w:r>
      <w:r>
        <w:rPr>
          <w:noProof/>
        </w:rPr>
        <w:fldChar w:fldCharType="separate"/>
      </w:r>
      <w:r w:rsidR="00225EEA">
        <w:rPr>
          <w:noProof/>
        </w:rPr>
        <w:t>33</w:t>
      </w:r>
      <w:r>
        <w:rPr>
          <w:noProof/>
        </w:rPr>
        <w:fldChar w:fldCharType="end"/>
      </w:r>
    </w:p>
    <w:p w14:paraId="327AB509" w14:textId="5CDF44A4"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5.</w:t>
      </w:r>
      <w:r>
        <w:rPr>
          <w:rFonts w:asciiTheme="minorHAnsi" w:eastAsiaTheme="minorEastAsia" w:hAnsiTheme="minorHAnsi" w:cstheme="minorBidi"/>
          <w:noProof/>
          <w:szCs w:val="22"/>
          <w:lang w:eastAsia="en-AU"/>
        </w:rPr>
        <w:tab/>
      </w:r>
      <w:r>
        <w:rPr>
          <w:noProof/>
        </w:rPr>
        <w:t>Advantages and disadvantages of using PAYGO or FLCB categories</w:t>
      </w:r>
      <w:r>
        <w:rPr>
          <w:noProof/>
        </w:rPr>
        <w:tab/>
      </w:r>
      <w:r>
        <w:rPr>
          <w:noProof/>
        </w:rPr>
        <w:fldChar w:fldCharType="begin"/>
      </w:r>
      <w:r>
        <w:rPr>
          <w:noProof/>
        </w:rPr>
        <w:instrText xml:space="preserve"> PAGEREF _Toc86158544 \h </w:instrText>
      </w:r>
      <w:r>
        <w:rPr>
          <w:noProof/>
        </w:rPr>
      </w:r>
      <w:r>
        <w:rPr>
          <w:noProof/>
        </w:rPr>
        <w:fldChar w:fldCharType="separate"/>
      </w:r>
      <w:r w:rsidR="00225EEA">
        <w:rPr>
          <w:noProof/>
        </w:rPr>
        <w:t>36</w:t>
      </w:r>
      <w:r>
        <w:rPr>
          <w:noProof/>
        </w:rPr>
        <w:fldChar w:fldCharType="end"/>
      </w:r>
    </w:p>
    <w:p w14:paraId="287FEFEA" w14:textId="0301FBE6"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6.</w:t>
      </w:r>
      <w:r>
        <w:rPr>
          <w:rFonts w:asciiTheme="minorHAnsi" w:eastAsiaTheme="minorEastAsia" w:hAnsiTheme="minorHAnsi" w:cstheme="minorBidi"/>
          <w:noProof/>
          <w:szCs w:val="22"/>
          <w:lang w:eastAsia="en-AU"/>
        </w:rPr>
        <w:tab/>
      </w:r>
      <w:r>
        <w:rPr>
          <w:noProof/>
        </w:rPr>
        <w:t>Treatment approaches for innovative funding and financing</w:t>
      </w:r>
      <w:r>
        <w:rPr>
          <w:noProof/>
        </w:rPr>
        <w:tab/>
      </w:r>
      <w:r>
        <w:rPr>
          <w:noProof/>
        </w:rPr>
        <w:fldChar w:fldCharType="begin"/>
      </w:r>
      <w:r>
        <w:rPr>
          <w:noProof/>
        </w:rPr>
        <w:instrText xml:space="preserve"> PAGEREF _Toc86158545 \h </w:instrText>
      </w:r>
      <w:r>
        <w:rPr>
          <w:noProof/>
        </w:rPr>
      </w:r>
      <w:r>
        <w:rPr>
          <w:noProof/>
        </w:rPr>
        <w:fldChar w:fldCharType="separate"/>
      </w:r>
      <w:r w:rsidR="00225EEA">
        <w:rPr>
          <w:noProof/>
        </w:rPr>
        <w:t>40</w:t>
      </w:r>
      <w:r>
        <w:rPr>
          <w:noProof/>
        </w:rPr>
        <w:fldChar w:fldCharType="end"/>
      </w:r>
    </w:p>
    <w:p w14:paraId="4F23AF16" w14:textId="12B7BEDC"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7.</w:t>
      </w:r>
      <w:r>
        <w:rPr>
          <w:rFonts w:asciiTheme="minorHAnsi" w:eastAsiaTheme="minorEastAsia" w:hAnsiTheme="minorHAnsi" w:cstheme="minorBidi"/>
          <w:noProof/>
          <w:szCs w:val="22"/>
          <w:lang w:eastAsia="en-AU"/>
        </w:rPr>
        <w:tab/>
      </w:r>
      <w:r>
        <w:rPr>
          <w:noProof/>
        </w:rPr>
        <w:t>Revised national weighted ESA values</w:t>
      </w:r>
      <w:r>
        <w:rPr>
          <w:noProof/>
        </w:rPr>
        <w:tab/>
      </w:r>
      <w:r>
        <w:rPr>
          <w:noProof/>
        </w:rPr>
        <w:fldChar w:fldCharType="begin"/>
      </w:r>
      <w:r>
        <w:rPr>
          <w:noProof/>
        </w:rPr>
        <w:instrText xml:space="preserve"> PAGEREF _Toc86158546 \h </w:instrText>
      </w:r>
      <w:r>
        <w:rPr>
          <w:noProof/>
        </w:rPr>
      </w:r>
      <w:r>
        <w:rPr>
          <w:noProof/>
        </w:rPr>
        <w:fldChar w:fldCharType="separate"/>
      </w:r>
      <w:r w:rsidR="00225EEA">
        <w:rPr>
          <w:noProof/>
        </w:rPr>
        <w:t>48</w:t>
      </w:r>
      <w:r>
        <w:rPr>
          <w:noProof/>
        </w:rPr>
        <w:fldChar w:fldCharType="end"/>
      </w:r>
    </w:p>
    <w:p w14:paraId="2700B8FC" w14:textId="604B88F2" w:rsidR="000A4DC7" w:rsidRDefault="000A4DC7">
      <w:pPr>
        <w:pStyle w:val="TableofFigures"/>
        <w:rPr>
          <w:rFonts w:asciiTheme="minorHAnsi" w:eastAsiaTheme="minorEastAsia" w:hAnsiTheme="minorHAnsi" w:cstheme="minorBidi"/>
          <w:noProof/>
          <w:szCs w:val="22"/>
          <w:lang w:eastAsia="en-AU"/>
        </w:rPr>
      </w:pPr>
      <w:r w:rsidRPr="008168C4">
        <w:rPr>
          <w:noProof/>
          <w:lang w:eastAsia="en-AU"/>
          <w14:scene3d>
            <w14:camera w14:prst="orthographicFront"/>
            <w14:lightRig w14:rig="threePt" w14:dir="t">
              <w14:rot w14:lat="0" w14:lon="0" w14:rev="0"/>
            </w14:lightRig>
          </w14:scene3d>
        </w:rPr>
        <w:t>Table 8.</w:t>
      </w:r>
      <w:r>
        <w:rPr>
          <w:rFonts w:asciiTheme="minorHAnsi" w:eastAsiaTheme="minorEastAsia" w:hAnsiTheme="minorHAnsi" w:cstheme="minorBidi"/>
          <w:noProof/>
          <w:szCs w:val="22"/>
          <w:lang w:eastAsia="en-AU"/>
        </w:rPr>
        <w:tab/>
      </w:r>
      <w:r>
        <w:rPr>
          <w:noProof/>
          <w:lang w:eastAsia="en-AU"/>
        </w:rPr>
        <w:t>Impact of new ESAs on allocated cost</w:t>
      </w:r>
      <w:r>
        <w:rPr>
          <w:noProof/>
        </w:rPr>
        <w:tab/>
      </w:r>
      <w:r>
        <w:rPr>
          <w:noProof/>
        </w:rPr>
        <w:fldChar w:fldCharType="begin"/>
      </w:r>
      <w:r>
        <w:rPr>
          <w:noProof/>
        </w:rPr>
        <w:instrText xml:space="preserve"> PAGEREF _Toc86158547 \h </w:instrText>
      </w:r>
      <w:r>
        <w:rPr>
          <w:noProof/>
        </w:rPr>
      </w:r>
      <w:r>
        <w:rPr>
          <w:noProof/>
        </w:rPr>
        <w:fldChar w:fldCharType="separate"/>
      </w:r>
      <w:r w:rsidR="00225EEA">
        <w:rPr>
          <w:noProof/>
        </w:rPr>
        <w:t>50</w:t>
      </w:r>
      <w:r>
        <w:rPr>
          <w:noProof/>
        </w:rPr>
        <w:fldChar w:fldCharType="end"/>
      </w:r>
    </w:p>
    <w:p w14:paraId="61C554CA" w14:textId="1F71F2DA" w:rsidR="000A4DC7" w:rsidRDefault="000A4DC7">
      <w:pPr>
        <w:pStyle w:val="TableofFigures"/>
        <w:rPr>
          <w:rFonts w:asciiTheme="minorHAnsi" w:eastAsiaTheme="minorEastAsia" w:hAnsiTheme="minorHAnsi" w:cstheme="minorBidi"/>
          <w:noProof/>
          <w:szCs w:val="22"/>
          <w:lang w:eastAsia="en-AU"/>
        </w:rPr>
      </w:pPr>
      <w:r w:rsidRPr="008168C4">
        <w:rPr>
          <w:rFonts w:eastAsia="Arial"/>
          <w:noProof/>
          <w14:scene3d>
            <w14:camera w14:prst="orthographicFront"/>
            <w14:lightRig w14:rig="threePt" w14:dir="t">
              <w14:rot w14:lat="0" w14:lon="0" w14:rev="0"/>
            </w14:lightRig>
          </w14:scene3d>
        </w:rPr>
        <w:t>Table 9.</w:t>
      </w:r>
      <w:r>
        <w:rPr>
          <w:rFonts w:asciiTheme="minorHAnsi" w:eastAsiaTheme="minorEastAsia" w:hAnsiTheme="minorHAnsi" w:cstheme="minorBidi"/>
          <w:noProof/>
          <w:szCs w:val="22"/>
          <w:lang w:eastAsia="en-AU"/>
        </w:rPr>
        <w:tab/>
      </w:r>
      <w:r w:rsidRPr="008168C4">
        <w:rPr>
          <w:rFonts w:eastAsia="Arial"/>
          <w:noProof/>
        </w:rPr>
        <w:t>Current cost allocators</w:t>
      </w:r>
      <w:r>
        <w:rPr>
          <w:noProof/>
        </w:rPr>
        <w:tab/>
      </w:r>
      <w:r>
        <w:rPr>
          <w:noProof/>
        </w:rPr>
        <w:fldChar w:fldCharType="begin"/>
      </w:r>
      <w:r>
        <w:rPr>
          <w:noProof/>
        </w:rPr>
        <w:instrText xml:space="preserve"> PAGEREF _Toc86158548 \h </w:instrText>
      </w:r>
      <w:r>
        <w:rPr>
          <w:noProof/>
        </w:rPr>
      </w:r>
      <w:r>
        <w:rPr>
          <w:noProof/>
        </w:rPr>
        <w:fldChar w:fldCharType="separate"/>
      </w:r>
      <w:r w:rsidR="00225EEA">
        <w:rPr>
          <w:noProof/>
        </w:rPr>
        <w:t>53</w:t>
      </w:r>
      <w:r>
        <w:rPr>
          <w:noProof/>
        </w:rPr>
        <w:fldChar w:fldCharType="end"/>
      </w:r>
    </w:p>
    <w:p w14:paraId="6A52C0E4" w14:textId="193A4C2B"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10.</w:t>
      </w:r>
      <w:r>
        <w:rPr>
          <w:rFonts w:asciiTheme="minorHAnsi" w:eastAsiaTheme="minorEastAsia" w:hAnsiTheme="minorHAnsi" w:cstheme="minorBidi"/>
          <w:noProof/>
          <w:szCs w:val="22"/>
          <w:lang w:eastAsia="en-AU"/>
        </w:rPr>
        <w:tab/>
      </w:r>
      <w:r>
        <w:rPr>
          <w:noProof/>
        </w:rPr>
        <w:t>Modified current cost allocators</w:t>
      </w:r>
      <w:r>
        <w:rPr>
          <w:noProof/>
        </w:rPr>
        <w:tab/>
      </w:r>
      <w:r>
        <w:rPr>
          <w:noProof/>
        </w:rPr>
        <w:fldChar w:fldCharType="begin"/>
      </w:r>
      <w:r>
        <w:rPr>
          <w:noProof/>
        </w:rPr>
        <w:instrText xml:space="preserve"> PAGEREF _Toc86158549 \h </w:instrText>
      </w:r>
      <w:r>
        <w:rPr>
          <w:noProof/>
        </w:rPr>
      </w:r>
      <w:r>
        <w:rPr>
          <w:noProof/>
        </w:rPr>
        <w:fldChar w:fldCharType="separate"/>
      </w:r>
      <w:r w:rsidR="00225EEA">
        <w:rPr>
          <w:noProof/>
        </w:rPr>
        <w:t>54</w:t>
      </w:r>
      <w:r>
        <w:rPr>
          <w:noProof/>
        </w:rPr>
        <w:fldChar w:fldCharType="end"/>
      </w:r>
    </w:p>
    <w:p w14:paraId="03BEE02B" w14:textId="5A04F878"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11.</w:t>
      </w:r>
      <w:r>
        <w:rPr>
          <w:rFonts w:asciiTheme="minorHAnsi" w:eastAsiaTheme="minorEastAsia" w:hAnsiTheme="minorHAnsi" w:cstheme="minorBidi"/>
          <w:noProof/>
          <w:szCs w:val="22"/>
          <w:lang w:eastAsia="en-AU"/>
        </w:rPr>
        <w:tab/>
      </w:r>
      <w:r>
        <w:rPr>
          <w:noProof/>
        </w:rPr>
        <w:t>VIC DTF/DOT cost allocators</w:t>
      </w:r>
      <w:r>
        <w:rPr>
          <w:noProof/>
        </w:rPr>
        <w:tab/>
      </w:r>
      <w:r>
        <w:rPr>
          <w:noProof/>
        </w:rPr>
        <w:fldChar w:fldCharType="begin"/>
      </w:r>
      <w:r>
        <w:rPr>
          <w:noProof/>
        </w:rPr>
        <w:instrText xml:space="preserve"> PAGEREF _Toc86158550 \h </w:instrText>
      </w:r>
      <w:r>
        <w:rPr>
          <w:noProof/>
        </w:rPr>
      </w:r>
      <w:r>
        <w:rPr>
          <w:noProof/>
        </w:rPr>
        <w:fldChar w:fldCharType="separate"/>
      </w:r>
      <w:r w:rsidR="00225EEA">
        <w:rPr>
          <w:noProof/>
        </w:rPr>
        <w:t>54</w:t>
      </w:r>
      <w:r>
        <w:rPr>
          <w:noProof/>
        </w:rPr>
        <w:fldChar w:fldCharType="end"/>
      </w:r>
    </w:p>
    <w:p w14:paraId="4CAA9654" w14:textId="6E265C5E"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12.</w:t>
      </w:r>
      <w:r>
        <w:rPr>
          <w:rFonts w:asciiTheme="minorHAnsi" w:eastAsiaTheme="minorEastAsia" w:hAnsiTheme="minorHAnsi" w:cstheme="minorBidi"/>
          <w:noProof/>
          <w:szCs w:val="22"/>
          <w:lang w:eastAsia="en-AU"/>
        </w:rPr>
        <w:tab/>
      </w:r>
      <w:r>
        <w:rPr>
          <w:noProof/>
        </w:rPr>
        <w:t>Effect on heavy vehicle cost base over time under different cost allocators</w:t>
      </w:r>
      <w:r>
        <w:rPr>
          <w:noProof/>
        </w:rPr>
        <w:tab/>
      </w:r>
      <w:r>
        <w:rPr>
          <w:noProof/>
        </w:rPr>
        <w:fldChar w:fldCharType="begin"/>
      </w:r>
      <w:r>
        <w:rPr>
          <w:noProof/>
        </w:rPr>
        <w:instrText xml:space="preserve"> PAGEREF _Toc86158551 \h </w:instrText>
      </w:r>
      <w:r>
        <w:rPr>
          <w:noProof/>
        </w:rPr>
      </w:r>
      <w:r>
        <w:rPr>
          <w:noProof/>
        </w:rPr>
        <w:fldChar w:fldCharType="separate"/>
      </w:r>
      <w:r w:rsidR="00225EEA">
        <w:rPr>
          <w:noProof/>
        </w:rPr>
        <w:t>55</w:t>
      </w:r>
      <w:r>
        <w:rPr>
          <w:noProof/>
        </w:rPr>
        <w:fldChar w:fldCharType="end"/>
      </w:r>
    </w:p>
    <w:p w14:paraId="47560402" w14:textId="68EF6315"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13.</w:t>
      </w:r>
      <w:r>
        <w:rPr>
          <w:rFonts w:asciiTheme="minorHAnsi" w:eastAsiaTheme="minorEastAsia" w:hAnsiTheme="minorHAnsi" w:cstheme="minorBidi"/>
          <w:noProof/>
          <w:szCs w:val="22"/>
          <w:lang w:eastAsia="en-AU"/>
        </w:rPr>
        <w:tab/>
      </w:r>
      <w:r>
        <w:rPr>
          <w:noProof/>
        </w:rPr>
        <w:t>Reasons to potentially remove MaxMan from PAYGO</w:t>
      </w:r>
      <w:r>
        <w:rPr>
          <w:noProof/>
        </w:rPr>
        <w:tab/>
      </w:r>
      <w:r>
        <w:rPr>
          <w:noProof/>
        </w:rPr>
        <w:fldChar w:fldCharType="begin"/>
      </w:r>
      <w:r>
        <w:rPr>
          <w:noProof/>
        </w:rPr>
        <w:instrText xml:space="preserve"> PAGEREF _Toc86158552 \h </w:instrText>
      </w:r>
      <w:r>
        <w:rPr>
          <w:noProof/>
        </w:rPr>
      </w:r>
      <w:r>
        <w:rPr>
          <w:noProof/>
        </w:rPr>
        <w:fldChar w:fldCharType="separate"/>
      </w:r>
      <w:r w:rsidR="00225EEA">
        <w:rPr>
          <w:noProof/>
        </w:rPr>
        <w:t>60</w:t>
      </w:r>
      <w:r>
        <w:rPr>
          <w:noProof/>
        </w:rPr>
        <w:fldChar w:fldCharType="end"/>
      </w:r>
    </w:p>
    <w:p w14:paraId="49E4A55B" w14:textId="4E8BF77A"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14.</w:t>
      </w:r>
      <w:r>
        <w:rPr>
          <w:rFonts w:asciiTheme="minorHAnsi" w:eastAsiaTheme="minorEastAsia" w:hAnsiTheme="minorHAnsi" w:cstheme="minorBidi"/>
          <w:noProof/>
          <w:szCs w:val="22"/>
          <w:lang w:eastAsia="en-AU"/>
        </w:rPr>
        <w:tab/>
      </w:r>
      <w:r>
        <w:rPr>
          <w:noProof/>
        </w:rPr>
        <w:t>Potential approaches for determining the RUC rate</w:t>
      </w:r>
      <w:r>
        <w:rPr>
          <w:noProof/>
        </w:rPr>
        <w:tab/>
      </w:r>
      <w:r>
        <w:rPr>
          <w:noProof/>
        </w:rPr>
        <w:fldChar w:fldCharType="begin"/>
      </w:r>
      <w:r>
        <w:rPr>
          <w:noProof/>
        </w:rPr>
        <w:instrText xml:space="preserve"> PAGEREF _Toc86158553 \h </w:instrText>
      </w:r>
      <w:r>
        <w:rPr>
          <w:noProof/>
        </w:rPr>
      </w:r>
      <w:r>
        <w:rPr>
          <w:noProof/>
        </w:rPr>
        <w:fldChar w:fldCharType="separate"/>
      </w:r>
      <w:r w:rsidR="00225EEA">
        <w:rPr>
          <w:noProof/>
        </w:rPr>
        <w:t>64</w:t>
      </w:r>
      <w:r>
        <w:rPr>
          <w:noProof/>
        </w:rPr>
        <w:fldChar w:fldCharType="end"/>
      </w:r>
    </w:p>
    <w:p w14:paraId="63A86BB9" w14:textId="61DBBAF7"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15.</w:t>
      </w:r>
      <w:r>
        <w:rPr>
          <w:rFonts w:asciiTheme="minorHAnsi" w:eastAsiaTheme="minorEastAsia" w:hAnsiTheme="minorHAnsi" w:cstheme="minorBidi"/>
          <w:noProof/>
          <w:szCs w:val="22"/>
          <w:lang w:eastAsia="en-AU"/>
        </w:rPr>
        <w:tab/>
      </w:r>
      <w:r>
        <w:rPr>
          <w:noProof/>
        </w:rPr>
        <w:t>Assessment of potential approaches for treating RUC leakages</w:t>
      </w:r>
      <w:r>
        <w:rPr>
          <w:noProof/>
        </w:rPr>
        <w:tab/>
      </w:r>
      <w:r>
        <w:rPr>
          <w:noProof/>
        </w:rPr>
        <w:fldChar w:fldCharType="begin"/>
      </w:r>
      <w:r>
        <w:rPr>
          <w:noProof/>
        </w:rPr>
        <w:instrText xml:space="preserve"> PAGEREF _Toc86158554 \h </w:instrText>
      </w:r>
      <w:r>
        <w:rPr>
          <w:noProof/>
        </w:rPr>
      </w:r>
      <w:r>
        <w:rPr>
          <w:noProof/>
        </w:rPr>
        <w:fldChar w:fldCharType="separate"/>
      </w:r>
      <w:r w:rsidR="00225EEA">
        <w:rPr>
          <w:noProof/>
        </w:rPr>
        <w:t>65</w:t>
      </w:r>
      <w:r>
        <w:rPr>
          <w:noProof/>
        </w:rPr>
        <w:fldChar w:fldCharType="end"/>
      </w:r>
    </w:p>
    <w:p w14:paraId="4F3985FA" w14:textId="3A463EC9"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16.</w:t>
      </w:r>
      <w:r>
        <w:rPr>
          <w:rFonts w:asciiTheme="minorHAnsi" w:eastAsiaTheme="minorEastAsia" w:hAnsiTheme="minorHAnsi" w:cstheme="minorBidi"/>
          <w:noProof/>
          <w:szCs w:val="22"/>
          <w:lang w:eastAsia="en-AU"/>
        </w:rPr>
        <w:tab/>
      </w:r>
      <w:r>
        <w:rPr>
          <w:noProof/>
        </w:rPr>
        <w:t>Electric heavy vehicles reported to date</w:t>
      </w:r>
      <w:r>
        <w:rPr>
          <w:noProof/>
        </w:rPr>
        <w:tab/>
      </w:r>
      <w:r>
        <w:rPr>
          <w:noProof/>
        </w:rPr>
        <w:fldChar w:fldCharType="begin"/>
      </w:r>
      <w:r>
        <w:rPr>
          <w:noProof/>
        </w:rPr>
        <w:instrText xml:space="preserve"> PAGEREF _Toc86158555 \h </w:instrText>
      </w:r>
      <w:r>
        <w:rPr>
          <w:noProof/>
        </w:rPr>
      </w:r>
      <w:r>
        <w:rPr>
          <w:noProof/>
        </w:rPr>
        <w:fldChar w:fldCharType="separate"/>
      </w:r>
      <w:r w:rsidR="00225EEA">
        <w:rPr>
          <w:noProof/>
        </w:rPr>
        <w:t>71</w:t>
      </w:r>
      <w:r>
        <w:rPr>
          <w:noProof/>
        </w:rPr>
        <w:fldChar w:fldCharType="end"/>
      </w:r>
    </w:p>
    <w:p w14:paraId="6CD5A5A1" w14:textId="3789C67C"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lastRenderedPageBreak/>
        <w:t>Table 17.</w:t>
      </w:r>
      <w:r>
        <w:rPr>
          <w:rFonts w:asciiTheme="minorHAnsi" w:eastAsiaTheme="minorEastAsia" w:hAnsiTheme="minorHAnsi" w:cstheme="minorBidi"/>
          <w:noProof/>
          <w:szCs w:val="22"/>
          <w:lang w:eastAsia="en-AU"/>
        </w:rPr>
        <w:tab/>
      </w:r>
      <w:r>
        <w:rPr>
          <w:noProof/>
        </w:rPr>
        <w:t>Roads and regulatory components of registration charges in 2020–21</w:t>
      </w:r>
      <w:r>
        <w:rPr>
          <w:noProof/>
        </w:rPr>
        <w:tab/>
      </w:r>
      <w:r>
        <w:rPr>
          <w:noProof/>
        </w:rPr>
        <w:fldChar w:fldCharType="begin"/>
      </w:r>
      <w:r>
        <w:rPr>
          <w:noProof/>
        </w:rPr>
        <w:instrText xml:space="preserve"> PAGEREF _Toc86158556 \h </w:instrText>
      </w:r>
      <w:r>
        <w:rPr>
          <w:noProof/>
        </w:rPr>
      </w:r>
      <w:r>
        <w:rPr>
          <w:noProof/>
        </w:rPr>
        <w:fldChar w:fldCharType="separate"/>
      </w:r>
      <w:r w:rsidR="00225EEA">
        <w:rPr>
          <w:noProof/>
        </w:rPr>
        <w:t>73</w:t>
      </w:r>
      <w:r>
        <w:rPr>
          <w:noProof/>
        </w:rPr>
        <w:fldChar w:fldCharType="end"/>
      </w:r>
    </w:p>
    <w:p w14:paraId="5B3FFB36" w14:textId="2C4B2202"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18.</w:t>
      </w:r>
      <w:r>
        <w:rPr>
          <w:rFonts w:asciiTheme="minorHAnsi" w:eastAsiaTheme="minorEastAsia" w:hAnsiTheme="minorHAnsi" w:cstheme="minorBidi"/>
          <w:noProof/>
          <w:szCs w:val="22"/>
          <w:lang w:eastAsia="en-AU"/>
        </w:rPr>
        <w:tab/>
      </w:r>
      <w:r>
        <w:rPr>
          <w:noProof/>
        </w:rPr>
        <w:t>Recalculated regulatory components of registration charges</w:t>
      </w:r>
      <w:r>
        <w:rPr>
          <w:noProof/>
        </w:rPr>
        <w:tab/>
      </w:r>
      <w:r>
        <w:rPr>
          <w:noProof/>
        </w:rPr>
        <w:fldChar w:fldCharType="begin"/>
      </w:r>
      <w:r>
        <w:rPr>
          <w:noProof/>
        </w:rPr>
        <w:instrText xml:space="preserve"> PAGEREF _Toc86158557 \h </w:instrText>
      </w:r>
      <w:r>
        <w:rPr>
          <w:noProof/>
        </w:rPr>
      </w:r>
      <w:r>
        <w:rPr>
          <w:noProof/>
        </w:rPr>
        <w:fldChar w:fldCharType="separate"/>
      </w:r>
      <w:r w:rsidR="00225EEA">
        <w:rPr>
          <w:noProof/>
        </w:rPr>
        <w:t>75</w:t>
      </w:r>
      <w:r>
        <w:rPr>
          <w:noProof/>
        </w:rPr>
        <w:fldChar w:fldCharType="end"/>
      </w:r>
    </w:p>
    <w:p w14:paraId="40952BD8" w14:textId="7EF5B43C"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19.</w:t>
      </w:r>
      <w:r>
        <w:rPr>
          <w:rFonts w:asciiTheme="minorHAnsi" w:eastAsiaTheme="minorEastAsia" w:hAnsiTheme="minorHAnsi" w:cstheme="minorBidi"/>
          <w:noProof/>
          <w:szCs w:val="22"/>
          <w:lang w:eastAsia="en-AU"/>
        </w:rPr>
        <w:tab/>
      </w:r>
      <w:r>
        <w:rPr>
          <w:noProof/>
        </w:rPr>
        <w:t>Key determination options</w:t>
      </w:r>
      <w:r>
        <w:rPr>
          <w:noProof/>
        </w:rPr>
        <w:tab/>
      </w:r>
      <w:r>
        <w:rPr>
          <w:noProof/>
        </w:rPr>
        <w:fldChar w:fldCharType="begin"/>
      </w:r>
      <w:r>
        <w:rPr>
          <w:noProof/>
        </w:rPr>
        <w:instrText xml:space="preserve"> PAGEREF _Toc86158558 \h </w:instrText>
      </w:r>
      <w:r>
        <w:rPr>
          <w:noProof/>
        </w:rPr>
      </w:r>
      <w:r>
        <w:rPr>
          <w:noProof/>
        </w:rPr>
        <w:fldChar w:fldCharType="separate"/>
      </w:r>
      <w:r w:rsidR="00225EEA">
        <w:rPr>
          <w:noProof/>
        </w:rPr>
        <w:t>77</w:t>
      </w:r>
      <w:r>
        <w:rPr>
          <w:noProof/>
        </w:rPr>
        <w:fldChar w:fldCharType="end"/>
      </w:r>
    </w:p>
    <w:p w14:paraId="35BFE685" w14:textId="13E8EA11"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20.</w:t>
      </w:r>
      <w:r>
        <w:rPr>
          <w:rFonts w:asciiTheme="minorHAnsi" w:eastAsiaTheme="minorEastAsia" w:hAnsiTheme="minorHAnsi" w:cstheme="minorBidi"/>
          <w:noProof/>
          <w:szCs w:val="22"/>
          <w:lang w:eastAsia="en-AU"/>
        </w:rPr>
        <w:tab/>
      </w:r>
      <w:r>
        <w:rPr>
          <w:noProof/>
        </w:rPr>
        <w:t>Latest available expenditure, usage and fleet data</w:t>
      </w:r>
      <w:r>
        <w:rPr>
          <w:noProof/>
        </w:rPr>
        <w:tab/>
      </w:r>
      <w:r>
        <w:rPr>
          <w:noProof/>
        </w:rPr>
        <w:fldChar w:fldCharType="begin"/>
      </w:r>
      <w:r>
        <w:rPr>
          <w:noProof/>
        </w:rPr>
        <w:instrText xml:space="preserve"> PAGEREF _Toc86158559 \h </w:instrText>
      </w:r>
      <w:r>
        <w:rPr>
          <w:noProof/>
        </w:rPr>
      </w:r>
      <w:r>
        <w:rPr>
          <w:noProof/>
        </w:rPr>
        <w:fldChar w:fldCharType="separate"/>
      </w:r>
      <w:r w:rsidR="00225EEA">
        <w:rPr>
          <w:noProof/>
        </w:rPr>
        <w:t>78</w:t>
      </w:r>
      <w:r>
        <w:rPr>
          <w:noProof/>
        </w:rPr>
        <w:fldChar w:fldCharType="end"/>
      </w:r>
    </w:p>
    <w:p w14:paraId="1DFB491F" w14:textId="610185F3"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21.</w:t>
      </w:r>
      <w:r>
        <w:rPr>
          <w:rFonts w:asciiTheme="minorHAnsi" w:eastAsiaTheme="minorEastAsia" w:hAnsiTheme="minorHAnsi" w:cstheme="minorBidi"/>
          <w:noProof/>
          <w:szCs w:val="22"/>
          <w:lang w:eastAsia="en-AU"/>
        </w:rPr>
        <w:tab/>
      </w:r>
      <w:r>
        <w:rPr>
          <w:noProof/>
        </w:rPr>
        <w:t>Allocated heavy vehicle cost bases</w:t>
      </w:r>
      <w:r>
        <w:rPr>
          <w:noProof/>
        </w:rPr>
        <w:tab/>
      </w:r>
      <w:r>
        <w:rPr>
          <w:noProof/>
        </w:rPr>
        <w:fldChar w:fldCharType="begin"/>
      </w:r>
      <w:r>
        <w:rPr>
          <w:noProof/>
        </w:rPr>
        <w:instrText xml:space="preserve"> PAGEREF _Toc86158560 \h </w:instrText>
      </w:r>
      <w:r>
        <w:rPr>
          <w:noProof/>
        </w:rPr>
      </w:r>
      <w:r>
        <w:rPr>
          <w:noProof/>
        </w:rPr>
        <w:fldChar w:fldCharType="separate"/>
      </w:r>
      <w:r w:rsidR="00225EEA">
        <w:rPr>
          <w:noProof/>
        </w:rPr>
        <w:t>78</w:t>
      </w:r>
      <w:r>
        <w:rPr>
          <w:noProof/>
        </w:rPr>
        <w:fldChar w:fldCharType="end"/>
      </w:r>
    </w:p>
    <w:p w14:paraId="4C30E4B5" w14:textId="519F43FE"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22.</w:t>
      </w:r>
      <w:r>
        <w:rPr>
          <w:rFonts w:asciiTheme="minorHAnsi" w:eastAsiaTheme="minorEastAsia" w:hAnsiTheme="minorHAnsi" w:cstheme="minorBidi"/>
          <w:noProof/>
          <w:szCs w:val="22"/>
          <w:lang w:eastAsia="en-AU"/>
        </w:rPr>
        <w:tab/>
      </w:r>
      <w:r>
        <w:rPr>
          <w:noProof/>
        </w:rPr>
        <w:t>Estimated revenue from the roads component of registration charges and RUC – direct implementation ($m)</w:t>
      </w:r>
      <w:r>
        <w:rPr>
          <w:noProof/>
        </w:rPr>
        <w:tab/>
      </w:r>
      <w:r>
        <w:rPr>
          <w:noProof/>
        </w:rPr>
        <w:fldChar w:fldCharType="begin"/>
      </w:r>
      <w:r>
        <w:rPr>
          <w:noProof/>
        </w:rPr>
        <w:instrText xml:space="preserve"> PAGEREF _Toc86158561 \h </w:instrText>
      </w:r>
      <w:r>
        <w:rPr>
          <w:noProof/>
        </w:rPr>
      </w:r>
      <w:r>
        <w:rPr>
          <w:noProof/>
        </w:rPr>
        <w:fldChar w:fldCharType="separate"/>
      </w:r>
      <w:r w:rsidR="00225EEA">
        <w:rPr>
          <w:noProof/>
        </w:rPr>
        <w:t>89</w:t>
      </w:r>
      <w:r>
        <w:rPr>
          <w:noProof/>
        </w:rPr>
        <w:fldChar w:fldCharType="end"/>
      </w:r>
    </w:p>
    <w:p w14:paraId="0AC2C14F" w14:textId="31227A7A"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23.</w:t>
      </w:r>
      <w:r>
        <w:rPr>
          <w:rFonts w:asciiTheme="minorHAnsi" w:eastAsiaTheme="minorEastAsia" w:hAnsiTheme="minorHAnsi" w:cstheme="minorBidi"/>
          <w:noProof/>
          <w:szCs w:val="22"/>
          <w:lang w:eastAsia="en-AU"/>
        </w:rPr>
        <w:tab/>
      </w:r>
      <w:r>
        <w:rPr>
          <w:noProof/>
        </w:rPr>
        <w:t>Estimated revenue from the roads component of registration charges and RUC – three-year fixed price pathway 1: up to 3.5 per cent per annum ($m)</w:t>
      </w:r>
      <w:r>
        <w:rPr>
          <w:noProof/>
        </w:rPr>
        <w:tab/>
      </w:r>
      <w:r>
        <w:rPr>
          <w:noProof/>
        </w:rPr>
        <w:fldChar w:fldCharType="begin"/>
      </w:r>
      <w:r>
        <w:rPr>
          <w:noProof/>
        </w:rPr>
        <w:instrText xml:space="preserve"> PAGEREF _Toc86158562 \h </w:instrText>
      </w:r>
      <w:r>
        <w:rPr>
          <w:noProof/>
        </w:rPr>
      </w:r>
      <w:r>
        <w:rPr>
          <w:noProof/>
        </w:rPr>
        <w:fldChar w:fldCharType="separate"/>
      </w:r>
      <w:r w:rsidR="00225EEA">
        <w:rPr>
          <w:noProof/>
        </w:rPr>
        <w:t>89</w:t>
      </w:r>
      <w:r>
        <w:rPr>
          <w:noProof/>
        </w:rPr>
        <w:fldChar w:fldCharType="end"/>
      </w:r>
    </w:p>
    <w:p w14:paraId="6C7EA719" w14:textId="22897AF5"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24.</w:t>
      </w:r>
      <w:r>
        <w:rPr>
          <w:rFonts w:asciiTheme="minorHAnsi" w:eastAsiaTheme="minorEastAsia" w:hAnsiTheme="minorHAnsi" w:cstheme="minorBidi"/>
          <w:noProof/>
          <w:szCs w:val="22"/>
          <w:lang w:eastAsia="en-AU"/>
        </w:rPr>
        <w:tab/>
      </w:r>
      <w:r>
        <w:rPr>
          <w:noProof/>
        </w:rPr>
        <w:t>Estimated revenue from the roads component of registration charges and RUC – three-year fixed price pathway 2: 6 per cent per annum ($m)</w:t>
      </w:r>
      <w:r>
        <w:rPr>
          <w:noProof/>
        </w:rPr>
        <w:tab/>
      </w:r>
      <w:r>
        <w:rPr>
          <w:noProof/>
        </w:rPr>
        <w:fldChar w:fldCharType="begin"/>
      </w:r>
      <w:r>
        <w:rPr>
          <w:noProof/>
        </w:rPr>
        <w:instrText xml:space="preserve"> PAGEREF _Toc86158563 \h </w:instrText>
      </w:r>
      <w:r>
        <w:rPr>
          <w:noProof/>
        </w:rPr>
      </w:r>
      <w:r>
        <w:rPr>
          <w:noProof/>
        </w:rPr>
        <w:fldChar w:fldCharType="separate"/>
      </w:r>
      <w:r w:rsidR="00225EEA">
        <w:rPr>
          <w:noProof/>
        </w:rPr>
        <w:t>90</w:t>
      </w:r>
      <w:r>
        <w:rPr>
          <w:noProof/>
        </w:rPr>
        <w:fldChar w:fldCharType="end"/>
      </w:r>
    </w:p>
    <w:p w14:paraId="51DD5B26" w14:textId="769A97CA"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25.</w:t>
      </w:r>
      <w:r>
        <w:rPr>
          <w:rFonts w:asciiTheme="minorHAnsi" w:eastAsiaTheme="minorEastAsia" w:hAnsiTheme="minorHAnsi" w:cstheme="minorBidi"/>
          <w:noProof/>
          <w:szCs w:val="22"/>
          <w:lang w:eastAsia="en-AU"/>
        </w:rPr>
        <w:tab/>
      </w:r>
      <w:r>
        <w:rPr>
          <w:noProof/>
        </w:rPr>
        <w:t>Estimated revenue from the regulatory component of registration charges ($m)</w:t>
      </w:r>
      <w:r>
        <w:rPr>
          <w:noProof/>
        </w:rPr>
        <w:tab/>
      </w:r>
      <w:r>
        <w:rPr>
          <w:noProof/>
        </w:rPr>
        <w:fldChar w:fldCharType="begin"/>
      </w:r>
      <w:r>
        <w:rPr>
          <w:noProof/>
        </w:rPr>
        <w:instrText xml:space="preserve"> PAGEREF _Toc86158564 \h </w:instrText>
      </w:r>
      <w:r>
        <w:rPr>
          <w:noProof/>
        </w:rPr>
      </w:r>
      <w:r>
        <w:rPr>
          <w:noProof/>
        </w:rPr>
        <w:fldChar w:fldCharType="separate"/>
      </w:r>
      <w:r w:rsidR="00225EEA">
        <w:rPr>
          <w:noProof/>
        </w:rPr>
        <w:t>90</w:t>
      </w:r>
      <w:r>
        <w:rPr>
          <w:noProof/>
        </w:rPr>
        <w:fldChar w:fldCharType="end"/>
      </w:r>
    </w:p>
    <w:p w14:paraId="33FE9E64" w14:textId="4F6DD23E"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26.</w:t>
      </w:r>
      <w:r>
        <w:rPr>
          <w:rFonts w:asciiTheme="minorHAnsi" w:eastAsiaTheme="minorEastAsia" w:hAnsiTheme="minorHAnsi" w:cstheme="minorBidi"/>
          <w:noProof/>
          <w:szCs w:val="22"/>
          <w:lang w:eastAsia="en-AU"/>
        </w:rPr>
        <w:tab/>
      </w:r>
      <w:r>
        <w:rPr>
          <w:noProof/>
        </w:rPr>
        <w:t>Road user charge under current cost allocation option for each implementation option (cents per litre)</w:t>
      </w:r>
      <w:r>
        <w:rPr>
          <w:noProof/>
        </w:rPr>
        <w:tab/>
      </w:r>
      <w:r>
        <w:rPr>
          <w:noProof/>
        </w:rPr>
        <w:fldChar w:fldCharType="begin"/>
      </w:r>
      <w:r>
        <w:rPr>
          <w:noProof/>
        </w:rPr>
        <w:instrText xml:space="preserve"> PAGEREF _Toc86158565 \h </w:instrText>
      </w:r>
      <w:r>
        <w:rPr>
          <w:noProof/>
        </w:rPr>
      </w:r>
      <w:r>
        <w:rPr>
          <w:noProof/>
        </w:rPr>
        <w:fldChar w:fldCharType="separate"/>
      </w:r>
      <w:r w:rsidR="00225EEA">
        <w:rPr>
          <w:noProof/>
        </w:rPr>
        <w:t>91</w:t>
      </w:r>
      <w:r>
        <w:rPr>
          <w:noProof/>
        </w:rPr>
        <w:fldChar w:fldCharType="end"/>
      </w:r>
    </w:p>
    <w:p w14:paraId="4A0F3726" w14:textId="5AF85500"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27.</w:t>
      </w:r>
      <w:r>
        <w:rPr>
          <w:rFonts w:asciiTheme="minorHAnsi" w:eastAsiaTheme="minorEastAsia" w:hAnsiTheme="minorHAnsi" w:cstheme="minorBidi"/>
          <w:noProof/>
          <w:szCs w:val="22"/>
          <w:lang w:eastAsia="en-AU"/>
        </w:rPr>
        <w:tab/>
      </w:r>
      <w:r>
        <w:rPr>
          <w:noProof/>
        </w:rPr>
        <w:t>Registration charges for common vehicle types: direct implementation</w:t>
      </w:r>
      <w:r>
        <w:rPr>
          <w:noProof/>
        </w:rPr>
        <w:tab/>
      </w:r>
      <w:r>
        <w:rPr>
          <w:noProof/>
        </w:rPr>
        <w:fldChar w:fldCharType="begin"/>
      </w:r>
      <w:r>
        <w:rPr>
          <w:noProof/>
        </w:rPr>
        <w:instrText xml:space="preserve"> PAGEREF _Toc86158566 \h </w:instrText>
      </w:r>
      <w:r>
        <w:rPr>
          <w:noProof/>
        </w:rPr>
      </w:r>
      <w:r>
        <w:rPr>
          <w:noProof/>
        </w:rPr>
        <w:fldChar w:fldCharType="separate"/>
      </w:r>
      <w:r w:rsidR="00225EEA">
        <w:rPr>
          <w:noProof/>
        </w:rPr>
        <w:t>91</w:t>
      </w:r>
      <w:r>
        <w:rPr>
          <w:noProof/>
        </w:rPr>
        <w:fldChar w:fldCharType="end"/>
      </w:r>
    </w:p>
    <w:p w14:paraId="44C377F5" w14:textId="057BFF46"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28.</w:t>
      </w:r>
      <w:r>
        <w:rPr>
          <w:rFonts w:asciiTheme="minorHAnsi" w:eastAsiaTheme="minorEastAsia" w:hAnsiTheme="minorHAnsi" w:cstheme="minorBidi"/>
          <w:noProof/>
          <w:szCs w:val="22"/>
          <w:lang w:eastAsia="en-AU"/>
        </w:rPr>
        <w:tab/>
      </w:r>
      <w:r>
        <w:rPr>
          <w:noProof/>
        </w:rPr>
        <w:t>Registration charges for common vehicle types: three-year fixed price pathway 1: up to 3.5 per cent per annum</w:t>
      </w:r>
      <w:r>
        <w:rPr>
          <w:noProof/>
        </w:rPr>
        <w:tab/>
      </w:r>
      <w:r>
        <w:rPr>
          <w:noProof/>
        </w:rPr>
        <w:fldChar w:fldCharType="begin"/>
      </w:r>
      <w:r>
        <w:rPr>
          <w:noProof/>
        </w:rPr>
        <w:instrText xml:space="preserve"> PAGEREF _Toc86158567 \h </w:instrText>
      </w:r>
      <w:r>
        <w:rPr>
          <w:noProof/>
        </w:rPr>
      </w:r>
      <w:r>
        <w:rPr>
          <w:noProof/>
        </w:rPr>
        <w:fldChar w:fldCharType="separate"/>
      </w:r>
      <w:r w:rsidR="00225EEA">
        <w:rPr>
          <w:noProof/>
        </w:rPr>
        <w:t>92</w:t>
      </w:r>
      <w:r>
        <w:rPr>
          <w:noProof/>
        </w:rPr>
        <w:fldChar w:fldCharType="end"/>
      </w:r>
    </w:p>
    <w:p w14:paraId="19DDD2F7" w14:textId="7DB66452"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29.</w:t>
      </w:r>
      <w:r>
        <w:rPr>
          <w:rFonts w:asciiTheme="minorHAnsi" w:eastAsiaTheme="minorEastAsia" w:hAnsiTheme="minorHAnsi" w:cstheme="minorBidi"/>
          <w:noProof/>
          <w:szCs w:val="22"/>
          <w:lang w:eastAsia="en-AU"/>
        </w:rPr>
        <w:tab/>
      </w:r>
      <w:r>
        <w:rPr>
          <w:noProof/>
        </w:rPr>
        <w:t>Registration charges for common vehicle types: three-year fixed price pathway 2: 6 per cent per annum</w:t>
      </w:r>
      <w:r>
        <w:rPr>
          <w:noProof/>
        </w:rPr>
        <w:tab/>
      </w:r>
      <w:r>
        <w:rPr>
          <w:noProof/>
        </w:rPr>
        <w:fldChar w:fldCharType="begin"/>
      </w:r>
      <w:r>
        <w:rPr>
          <w:noProof/>
        </w:rPr>
        <w:instrText xml:space="preserve"> PAGEREF _Toc86158568 \h </w:instrText>
      </w:r>
      <w:r>
        <w:rPr>
          <w:noProof/>
        </w:rPr>
      </w:r>
      <w:r>
        <w:rPr>
          <w:noProof/>
        </w:rPr>
        <w:fldChar w:fldCharType="separate"/>
      </w:r>
      <w:r w:rsidR="00225EEA">
        <w:rPr>
          <w:noProof/>
        </w:rPr>
        <w:t>93</w:t>
      </w:r>
      <w:r>
        <w:rPr>
          <w:noProof/>
        </w:rPr>
        <w:fldChar w:fldCharType="end"/>
      </w:r>
    </w:p>
    <w:p w14:paraId="6DF302DA" w14:textId="2CE4CF1D"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30.</w:t>
      </w:r>
      <w:r>
        <w:rPr>
          <w:rFonts w:asciiTheme="minorHAnsi" w:eastAsiaTheme="minorEastAsia" w:hAnsiTheme="minorHAnsi" w:cstheme="minorBidi"/>
          <w:noProof/>
          <w:szCs w:val="22"/>
          <w:lang w:eastAsia="en-AU"/>
        </w:rPr>
        <w:tab/>
      </w:r>
      <w:r>
        <w:rPr>
          <w:noProof/>
        </w:rPr>
        <w:t>Charges relative to operating costs for selected heavy vehicles</w:t>
      </w:r>
      <w:r>
        <w:rPr>
          <w:noProof/>
        </w:rPr>
        <w:tab/>
      </w:r>
      <w:r>
        <w:rPr>
          <w:noProof/>
        </w:rPr>
        <w:fldChar w:fldCharType="begin"/>
      </w:r>
      <w:r>
        <w:rPr>
          <w:noProof/>
        </w:rPr>
        <w:instrText xml:space="preserve"> PAGEREF _Toc86158569 \h </w:instrText>
      </w:r>
      <w:r>
        <w:rPr>
          <w:noProof/>
        </w:rPr>
      </w:r>
      <w:r>
        <w:rPr>
          <w:noProof/>
        </w:rPr>
        <w:fldChar w:fldCharType="separate"/>
      </w:r>
      <w:r w:rsidR="00225EEA">
        <w:rPr>
          <w:noProof/>
        </w:rPr>
        <w:t>93</w:t>
      </w:r>
      <w:r>
        <w:rPr>
          <w:noProof/>
        </w:rPr>
        <w:fldChar w:fldCharType="end"/>
      </w:r>
    </w:p>
    <w:p w14:paraId="1EC15D15" w14:textId="1A515049"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31.</w:t>
      </w:r>
      <w:r>
        <w:rPr>
          <w:rFonts w:asciiTheme="minorHAnsi" w:eastAsiaTheme="minorEastAsia" w:hAnsiTheme="minorHAnsi" w:cstheme="minorBidi"/>
          <w:noProof/>
          <w:szCs w:val="22"/>
          <w:lang w:eastAsia="en-AU"/>
        </w:rPr>
        <w:tab/>
      </w:r>
      <w:r>
        <w:rPr>
          <w:noProof/>
        </w:rPr>
        <w:t>Summary of recommendations</w:t>
      </w:r>
      <w:r>
        <w:rPr>
          <w:noProof/>
        </w:rPr>
        <w:tab/>
      </w:r>
      <w:r>
        <w:rPr>
          <w:noProof/>
        </w:rPr>
        <w:fldChar w:fldCharType="begin"/>
      </w:r>
      <w:r>
        <w:rPr>
          <w:noProof/>
        </w:rPr>
        <w:instrText xml:space="preserve"> PAGEREF _Toc86158570 \h </w:instrText>
      </w:r>
      <w:r>
        <w:rPr>
          <w:noProof/>
        </w:rPr>
      </w:r>
      <w:r>
        <w:rPr>
          <w:noProof/>
        </w:rPr>
        <w:fldChar w:fldCharType="separate"/>
      </w:r>
      <w:r w:rsidR="00225EEA">
        <w:rPr>
          <w:noProof/>
        </w:rPr>
        <w:t>98</w:t>
      </w:r>
      <w:r>
        <w:rPr>
          <w:noProof/>
        </w:rPr>
        <w:fldChar w:fldCharType="end"/>
      </w:r>
    </w:p>
    <w:p w14:paraId="7B1CBA14" w14:textId="565635A5"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32.</w:t>
      </w:r>
      <w:r>
        <w:rPr>
          <w:rFonts w:asciiTheme="minorHAnsi" w:eastAsiaTheme="minorEastAsia" w:hAnsiTheme="minorHAnsi" w:cstheme="minorBidi"/>
          <w:noProof/>
          <w:szCs w:val="22"/>
          <w:lang w:eastAsia="en-AU"/>
        </w:rPr>
        <w:tab/>
      </w:r>
      <w:r>
        <w:rPr>
          <w:noProof/>
        </w:rPr>
        <w:t>Charging schedule for the roads component of registration charges under direction implementation of option B, 2022–23</w:t>
      </w:r>
      <w:r>
        <w:rPr>
          <w:noProof/>
        </w:rPr>
        <w:tab/>
      </w:r>
      <w:r>
        <w:rPr>
          <w:noProof/>
        </w:rPr>
        <w:fldChar w:fldCharType="begin"/>
      </w:r>
      <w:r>
        <w:rPr>
          <w:noProof/>
        </w:rPr>
        <w:instrText xml:space="preserve"> PAGEREF _Toc86158571 \h </w:instrText>
      </w:r>
      <w:r>
        <w:rPr>
          <w:noProof/>
        </w:rPr>
      </w:r>
      <w:r>
        <w:rPr>
          <w:noProof/>
        </w:rPr>
        <w:fldChar w:fldCharType="separate"/>
      </w:r>
      <w:r w:rsidR="00225EEA">
        <w:rPr>
          <w:noProof/>
        </w:rPr>
        <w:t>113</w:t>
      </w:r>
      <w:r>
        <w:rPr>
          <w:noProof/>
        </w:rPr>
        <w:fldChar w:fldCharType="end"/>
      </w:r>
    </w:p>
    <w:p w14:paraId="181B8E19" w14:textId="06E69DA6"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33.</w:t>
      </w:r>
      <w:r>
        <w:rPr>
          <w:rFonts w:asciiTheme="minorHAnsi" w:eastAsiaTheme="minorEastAsia" w:hAnsiTheme="minorHAnsi" w:cstheme="minorBidi"/>
          <w:noProof/>
          <w:szCs w:val="22"/>
          <w:lang w:eastAsia="en-AU"/>
        </w:rPr>
        <w:tab/>
      </w:r>
      <w:r>
        <w:rPr>
          <w:noProof/>
        </w:rPr>
        <w:t>Charging schedule for the roads component of registration charges under pathway 1 of the three-year fixed price implementation pathway, 2022–23</w:t>
      </w:r>
      <w:r>
        <w:rPr>
          <w:noProof/>
        </w:rPr>
        <w:tab/>
      </w:r>
      <w:r>
        <w:rPr>
          <w:noProof/>
        </w:rPr>
        <w:fldChar w:fldCharType="begin"/>
      </w:r>
      <w:r>
        <w:rPr>
          <w:noProof/>
        </w:rPr>
        <w:instrText xml:space="preserve"> PAGEREF _Toc86158572 \h </w:instrText>
      </w:r>
      <w:r>
        <w:rPr>
          <w:noProof/>
        </w:rPr>
      </w:r>
      <w:r>
        <w:rPr>
          <w:noProof/>
        </w:rPr>
        <w:fldChar w:fldCharType="separate"/>
      </w:r>
      <w:r w:rsidR="00225EEA">
        <w:rPr>
          <w:noProof/>
        </w:rPr>
        <w:t>114</w:t>
      </w:r>
      <w:r>
        <w:rPr>
          <w:noProof/>
        </w:rPr>
        <w:fldChar w:fldCharType="end"/>
      </w:r>
    </w:p>
    <w:p w14:paraId="7427203B" w14:textId="5C5E0DA9"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34.</w:t>
      </w:r>
      <w:r>
        <w:rPr>
          <w:rFonts w:asciiTheme="minorHAnsi" w:eastAsiaTheme="minorEastAsia" w:hAnsiTheme="minorHAnsi" w:cstheme="minorBidi"/>
          <w:noProof/>
          <w:szCs w:val="22"/>
          <w:lang w:eastAsia="en-AU"/>
        </w:rPr>
        <w:tab/>
      </w:r>
      <w:r>
        <w:rPr>
          <w:noProof/>
        </w:rPr>
        <w:t>Charging schedule for the roads component of registration charges under pathway 1 of the three-year fixed price implementation pathway, 2023–24</w:t>
      </w:r>
      <w:r>
        <w:rPr>
          <w:noProof/>
        </w:rPr>
        <w:tab/>
      </w:r>
      <w:r>
        <w:rPr>
          <w:noProof/>
        </w:rPr>
        <w:fldChar w:fldCharType="begin"/>
      </w:r>
      <w:r>
        <w:rPr>
          <w:noProof/>
        </w:rPr>
        <w:instrText xml:space="preserve"> PAGEREF _Toc86158573 \h </w:instrText>
      </w:r>
      <w:r>
        <w:rPr>
          <w:noProof/>
        </w:rPr>
      </w:r>
      <w:r>
        <w:rPr>
          <w:noProof/>
        </w:rPr>
        <w:fldChar w:fldCharType="separate"/>
      </w:r>
      <w:r w:rsidR="00225EEA">
        <w:rPr>
          <w:noProof/>
        </w:rPr>
        <w:t>115</w:t>
      </w:r>
      <w:r>
        <w:rPr>
          <w:noProof/>
        </w:rPr>
        <w:fldChar w:fldCharType="end"/>
      </w:r>
    </w:p>
    <w:p w14:paraId="1C0C7EC2" w14:textId="4F9F8917"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35.</w:t>
      </w:r>
      <w:r>
        <w:rPr>
          <w:rFonts w:asciiTheme="minorHAnsi" w:eastAsiaTheme="minorEastAsia" w:hAnsiTheme="minorHAnsi" w:cstheme="minorBidi"/>
          <w:noProof/>
          <w:szCs w:val="22"/>
          <w:lang w:eastAsia="en-AU"/>
        </w:rPr>
        <w:tab/>
      </w:r>
      <w:r>
        <w:rPr>
          <w:noProof/>
        </w:rPr>
        <w:t>Charging schedule for the roads component of registration charges under pathway 1 of the three-year fixed price implementation pathway, 2024–25</w:t>
      </w:r>
      <w:r>
        <w:rPr>
          <w:noProof/>
        </w:rPr>
        <w:tab/>
      </w:r>
      <w:r>
        <w:rPr>
          <w:noProof/>
        </w:rPr>
        <w:fldChar w:fldCharType="begin"/>
      </w:r>
      <w:r>
        <w:rPr>
          <w:noProof/>
        </w:rPr>
        <w:instrText xml:space="preserve"> PAGEREF _Toc86158574 \h </w:instrText>
      </w:r>
      <w:r>
        <w:rPr>
          <w:noProof/>
        </w:rPr>
      </w:r>
      <w:r>
        <w:rPr>
          <w:noProof/>
        </w:rPr>
        <w:fldChar w:fldCharType="separate"/>
      </w:r>
      <w:r w:rsidR="00225EEA">
        <w:rPr>
          <w:noProof/>
        </w:rPr>
        <w:t>116</w:t>
      </w:r>
      <w:r>
        <w:rPr>
          <w:noProof/>
        </w:rPr>
        <w:fldChar w:fldCharType="end"/>
      </w:r>
    </w:p>
    <w:p w14:paraId="26678DC1" w14:textId="61757CE4"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36.</w:t>
      </w:r>
      <w:r>
        <w:rPr>
          <w:rFonts w:asciiTheme="minorHAnsi" w:eastAsiaTheme="minorEastAsia" w:hAnsiTheme="minorHAnsi" w:cstheme="minorBidi"/>
          <w:noProof/>
          <w:szCs w:val="22"/>
          <w:lang w:eastAsia="en-AU"/>
        </w:rPr>
        <w:tab/>
      </w:r>
      <w:r>
        <w:rPr>
          <w:noProof/>
        </w:rPr>
        <w:t>Charging schedule for the roads component of registration charges under pathway 2 of the three-year fixed price implementation pathway, 2022–23</w:t>
      </w:r>
      <w:r>
        <w:rPr>
          <w:noProof/>
        </w:rPr>
        <w:tab/>
      </w:r>
      <w:r>
        <w:rPr>
          <w:noProof/>
        </w:rPr>
        <w:fldChar w:fldCharType="begin"/>
      </w:r>
      <w:r>
        <w:rPr>
          <w:noProof/>
        </w:rPr>
        <w:instrText xml:space="preserve"> PAGEREF _Toc86158575 \h </w:instrText>
      </w:r>
      <w:r>
        <w:rPr>
          <w:noProof/>
        </w:rPr>
      </w:r>
      <w:r>
        <w:rPr>
          <w:noProof/>
        </w:rPr>
        <w:fldChar w:fldCharType="separate"/>
      </w:r>
      <w:r w:rsidR="00225EEA">
        <w:rPr>
          <w:noProof/>
        </w:rPr>
        <w:t>117</w:t>
      </w:r>
      <w:r>
        <w:rPr>
          <w:noProof/>
        </w:rPr>
        <w:fldChar w:fldCharType="end"/>
      </w:r>
    </w:p>
    <w:p w14:paraId="6DB5DE35" w14:textId="3E3B03A9"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37.</w:t>
      </w:r>
      <w:r>
        <w:rPr>
          <w:rFonts w:asciiTheme="minorHAnsi" w:eastAsiaTheme="minorEastAsia" w:hAnsiTheme="minorHAnsi" w:cstheme="minorBidi"/>
          <w:noProof/>
          <w:szCs w:val="22"/>
          <w:lang w:eastAsia="en-AU"/>
        </w:rPr>
        <w:tab/>
      </w:r>
      <w:r>
        <w:rPr>
          <w:noProof/>
        </w:rPr>
        <w:t>Charging schedule for the roads component of registration charges under pathway 2 of the three-year fixed price implementation pathway, 2023–24</w:t>
      </w:r>
      <w:r>
        <w:rPr>
          <w:noProof/>
        </w:rPr>
        <w:tab/>
      </w:r>
      <w:r>
        <w:rPr>
          <w:noProof/>
        </w:rPr>
        <w:fldChar w:fldCharType="begin"/>
      </w:r>
      <w:r>
        <w:rPr>
          <w:noProof/>
        </w:rPr>
        <w:instrText xml:space="preserve"> PAGEREF _Toc86158576 \h </w:instrText>
      </w:r>
      <w:r>
        <w:rPr>
          <w:noProof/>
        </w:rPr>
      </w:r>
      <w:r>
        <w:rPr>
          <w:noProof/>
        </w:rPr>
        <w:fldChar w:fldCharType="separate"/>
      </w:r>
      <w:r w:rsidR="00225EEA">
        <w:rPr>
          <w:noProof/>
        </w:rPr>
        <w:t>118</w:t>
      </w:r>
      <w:r>
        <w:rPr>
          <w:noProof/>
        </w:rPr>
        <w:fldChar w:fldCharType="end"/>
      </w:r>
    </w:p>
    <w:p w14:paraId="751A80D3" w14:textId="4CF5060E"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38.</w:t>
      </w:r>
      <w:r>
        <w:rPr>
          <w:rFonts w:asciiTheme="minorHAnsi" w:eastAsiaTheme="minorEastAsia" w:hAnsiTheme="minorHAnsi" w:cstheme="minorBidi"/>
          <w:noProof/>
          <w:szCs w:val="22"/>
          <w:lang w:eastAsia="en-AU"/>
        </w:rPr>
        <w:tab/>
      </w:r>
      <w:r>
        <w:rPr>
          <w:noProof/>
        </w:rPr>
        <w:t>Charging schedule for the roads component of registration charges under pathway 2 of the three-year fixed price implementation pathway, 2024–25</w:t>
      </w:r>
      <w:r>
        <w:rPr>
          <w:noProof/>
        </w:rPr>
        <w:tab/>
      </w:r>
      <w:r>
        <w:rPr>
          <w:noProof/>
        </w:rPr>
        <w:fldChar w:fldCharType="begin"/>
      </w:r>
      <w:r>
        <w:rPr>
          <w:noProof/>
        </w:rPr>
        <w:instrText xml:space="preserve"> PAGEREF _Toc86158577 \h </w:instrText>
      </w:r>
      <w:r>
        <w:rPr>
          <w:noProof/>
        </w:rPr>
      </w:r>
      <w:r>
        <w:rPr>
          <w:noProof/>
        </w:rPr>
        <w:fldChar w:fldCharType="separate"/>
      </w:r>
      <w:r w:rsidR="00225EEA">
        <w:rPr>
          <w:noProof/>
        </w:rPr>
        <w:t>119</w:t>
      </w:r>
      <w:r>
        <w:rPr>
          <w:noProof/>
        </w:rPr>
        <w:fldChar w:fldCharType="end"/>
      </w:r>
    </w:p>
    <w:p w14:paraId="14CD1C4F" w14:textId="7428EC75"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39.</w:t>
      </w:r>
      <w:r>
        <w:rPr>
          <w:rFonts w:asciiTheme="minorHAnsi" w:eastAsiaTheme="minorEastAsia" w:hAnsiTheme="minorHAnsi" w:cstheme="minorBidi"/>
          <w:noProof/>
          <w:szCs w:val="22"/>
          <w:lang w:eastAsia="en-AU"/>
        </w:rPr>
        <w:tab/>
      </w:r>
      <w:r>
        <w:rPr>
          <w:noProof/>
        </w:rPr>
        <w:t>Charging schedule for the regulatory component of registration charges</w:t>
      </w:r>
      <w:r>
        <w:rPr>
          <w:noProof/>
        </w:rPr>
        <w:tab/>
      </w:r>
      <w:r>
        <w:rPr>
          <w:noProof/>
        </w:rPr>
        <w:fldChar w:fldCharType="begin"/>
      </w:r>
      <w:r>
        <w:rPr>
          <w:noProof/>
        </w:rPr>
        <w:instrText xml:space="preserve"> PAGEREF _Toc86158578 \h </w:instrText>
      </w:r>
      <w:r>
        <w:rPr>
          <w:noProof/>
        </w:rPr>
      </w:r>
      <w:r>
        <w:rPr>
          <w:noProof/>
        </w:rPr>
        <w:fldChar w:fldCharType="separate"/>
      </w:r>
      <w:r w:rsidR="00225EEA">
        <w:rPr>
          <w:noProof/>
        </w:rPr>
        <w:t>120</w:t>
      </w:r>
      <w:r>
        <w:rPr>
          <w:noProof/>
        </w:rPr>
        <w:fldChar w:fldCharType="end"/>
      </w:r>
    </w:p>
    <w:p w14:paraId="1BC3CDB4" w14:textId="778856A4" w:rsidR="000A4DC7" w:rsidRDefault="000A4DC7">
      <w:pPr>
        <w:pStyle w:val="TableofFigures"/>
        <w:rPr>
          <w:rFonts w:asciiTheme="minorHAnsi" w:eastAsiaTheme="minorEastAsia" w:hAnsiTheme="minorHAnsi" w:cstheme="minorBidi"/>
          <w:noProof/>
          <w:szCs w:val="22"/>
          <w:lang w:eastAsia="en-AU"/>
        </w:rPr>
      </w:pPr>
      <w:r w:rsidRPr="008168C4">
        <w:rPr>
          <w:rFonts w:eastAsia="Cambria"/>
          <w:noProof/>
          <w14:scene3d>
            <w14:camera w14:prst="orthographicFront"/>
            <w14:lightRig w14:rig="threePt" w14:dir="t">
              <w14:rot w14:lat="0" w14:lon="0" w14:rev="0"/>
            </w14:lightRig>
          </w14:scene3d>
        </w:rPr>
        <w:t>Table 40.</w:t>
      </w:r>
      <w:r>
        <w:rPr>
          <w:rFonts w:asciiTheme="minorHAnsi" w:eastAsiaTheme="minorEastAsia" w:hAnsiTheme="minorHAnsi" w:cstheme="minorBidi"/>
          <w:noProof/>
          <w:szCs w:val="22"/>
          <w:lang w:eastAsia="en-AU"/>
        </w:rPr>
        <w:tab/>
      </w:r>
      <w:r w:rsidRPr="008168C4">
        <w:rPr>
          <w:rFonts w:eastAsia="Cambria"/>
          <w:noProof/>
        </w:rPr>
        <w:t>Proposed treatments of selected innovative funding and financing</w:t>
      </w:r>
      <w:r>
        <w:rPr>
          <w:noProof/>
        </w:rPr>
        <w:tab/>
      </w:r>
      <w:r>
        <w:rPr>
          <w:noProof/>
        </w:rPr>
        <w:fldChar w:fldCharType="begin"/>
      </w:r>
      <w:r>
        <w:rPr>
          <w:noProof/>
        </w:rPr>
        <w:instrText xml:space="preserve"> PAGEREF _Toc86158579 \h </w:instrText>
      </w:r>
      <w:r>
        <w:rPr>
          <w:noProof/>
        </w:rPr>
      </w:r>
      <w:r>
        <w:rPr>
          <w:noProof/>
        </w:rPr>
        <w:fldChar w:fldCharType="separate"/>
      </w:r>
      <w:r w:rsidR="00225EEA">
        <w:rPr>
          <w:noProof/>
        </w:rPr>
        <w:t>122</w:t>
      </w:r>
      <w:r>
        <w:rPr>
          <w:noProof/>
        </w:rPr>
        <w:fldChar w:fldCharType="end"/>
      </w:r>
    </w:p>
    <w:p w14:paraId="41B74569" w14:textId="371E5820" w:rsidR="000A4DC7" w:rsidRDefault="000A4DC7">
      <w:pPr>
        <w:pStyle w:val="TableofFigures"/>
        <w:rPr>
          <w:rFonts w:asciiTheme="minorHAnsi" w:eastAsiaTheme="minorEastAsia" w:hAnsiTheme="minorHAnsi" w:cstheme="minorBidi"/>
          <w:noProof/>
          <w:szCs w:val="22"/>
          <w:lang w:eastAsia="en-AU"/>
        </w:rPr>
      </w:pPr>
      <w:r w:rsidRPr="008168C4">
        <w:rPr>
          <w:noProof/>
          <w14:scene3d>
            <w14:camera w14:prst="orthographicFront"/>
            <w14:lightRig w14:rig="threePt" w14:dir="t">
              <w14:rot w14:lat="0" w14:lon="0" w14:rev="0"/>
            </w14:lightRig>
          </w14:scene3d>
        </w:rPr>
        <w:t>Table 41.</w:t>
      </w:r>
      <w:r>
        <w:rPr>
          <w:rFonts w:asciiTheme="minorHAnsi" w:eastAsiaTheme="minorEastAsia" w:hAnsiTheme="minorHAnsi" w:cstheme="minorBidi"/>
          <w:noProof/>
          <w:szCs w:val="22"/>
          <w:lang w:eastAsia="en-AU"/>
        </w:rPr>
        <w:tab/>
      </w:r>
      <w:r>
        <w:rPr>
          <w:noProof/>
        </w:rPr>
        <w:t>Summary of submissions and the NTC’s responses</w:t>
      </w:r>
      <w:r>
        <w:rPr>
          <w:noProof/>
        </w:rPr>
        <w:tab/>
      </w:r>
      <w:r>
        <w:rPr>
          <w:noProof/>
        </w:rPr>
        <w:fldChar w:fldCharType="begin"/>
      </w:r>
      <w:r>
        <w:rPr>
          <w:noProof/>
        </w:rPr>
        <w:instrText xml:space="preserve"> PAGEREF _Toc86158580 \h </w:instrText>
      </w:r>
      <w:r>
        <w:rPr>
          <w:noProof/>
        </w:rPr>
      </w:r>
      <w:r>
        <w:rPr>
          <w:noProof/>
        </w:rPr>
        <w:fldChar w:fldCharType="separate"/>
      </w:r>
      <w:r w:rsidR="00225EEA">
        <w:rPr>
          <w:noProof/>
        </w:rPr>
        <w:t>130</w:t>
      </w:r>
      <w:r>
        <w:rPr>
          <w:noProof/>
        </w:rPr>
        <w:fldChar w:fldCharType="end"/>
      </w:r>
    </w:p>
    <w:p w14:paraId="4F8E51AB" w14:textId="2EEEB0E0" w:rsidR="00DD2E16" w:rsidRDefault="00475459" w:rsidP="00BF129C">
      <w:pPr>
        <w:pStyle w:val="TableofFigures"/>
      </w:pPr>
      <w:r w:rsidRPr="000660B4">
        <w:lastRenderedPageBreak/>
        <w:fldChar w:fldCharType="end"/>
      </w:r>
      <w:r w:rsidRPr="000660B4">
        <w:t xml:space="preserve"> </w:t>
      </w:r>
      <w:r w:rsidR="00DD2E16">
        <w:br w:type="page"/>
      </w:r>
    </w:p>
    <w:p w14:paraId="386779D8" w14:textId="00640F5E" w:rsidR="00475459" w:rsidRPr="00907FF5" w:rsidRDefault="006D0FEC" w:rsidP="00FB2E3E">
      <w:pPr>
        <w:pStyle w:val="Heading1"/>
        <w:numPr>
          <w:ilvl w:val="0"/>
          <w:numId w:val="0"/>
        </w:numPr>
        <w:ind w:left="7"/>
      </w:pPr>
      <w:bookmarkStart w:id="37" w:name="_Toc86158369"/>
      <w:r>
        <w:lastRenderedPageBreak/>
        <w:t>S</w:t>
      </w:r>
      <w:r w:rsidR="00DD2E16">
        <w:t>ummary</w:t>
      </w:r>
      <w:bookmarkEnd w:id="37"/>
    </w:p>
    <w:p w14:paraId="524041B7" w14:textId="7FC97A69" w:rsidR="003C30B8" w:rsidRDefault="003C30B8" w:rsidP="00475459">
      <w:pPr>
        <w:spacing w:before="0" w:after="0"/>
        <w:rPr>
          <w:sz w:val="22"/>
          <w:szCs w:val="22"/>
        </w:rPr>
      </w:pPr>
      <w:r>
        <w:rPr>
          <w:sz w:val="22"/>
          <w:szCs w:val="22"/>
        </w:rPr>
        <w:t xml:space="preserve">This </w:t>
      </w:r>
      <w:r w:rsidR="009F0EA2">
        <w:rPr>
          <w:sz w:val="22"/>
          <w:szCs w:val="22"/>
        </w:rPr>
        <w:t xml:space="preserve">decision </w:t>
      </w:r>
      <w:r w:rsidR="00D95137">
        <w:rPr>
          <w:sz w:val="22"/>
          <w:szCs w:val="22"/>
        </w:rPr>
        <w:t>r</w:t>
      </w:r>
      <w:r>
        <w:rPr>
          <w:sz w:val="22"/>
          <w:szCs w:val="22"/>
        </w:rPr>
        <w:t>egulat</w:t>
      </w:r>
      <w:r w:rsidR="001D59C3">
        <w:rPr>
          <w:sz w:val="22"/>
          <w:szCs w:val="22"/>
        </w:rPr>
        <w:t>ion</w:t>
      </w:r>
      <w:r>
        <w:rPr>
          <w:sz w:val="22"/>
          <w:szCs w:val="22"/>
        </w:rPr>
        <w:t xml:space="preserve"> </w:t>
      </w:r>
      <w:r w:rsidR="00D95137">
        <w:rPr>
          <w:sz w:val="22"/>
          <w:szCs w:val="22"/>
        </w:rPr>
        <w:t>i</w:t>
      </w:r>
      <w:r>
        <w:rPr>
          <w:sz w:val="22"/>
          <w:szCs w:val="22"/>
        </w:rPr>
        <w:t xml:space="preserve">mpact </w:t>
      </w:r>
      <w:r w:rsidR="00D95137">
        <w:rPr>
          <w:sz w:val="22"/>
          <w:szCs w:val="22"/>
        </w:rPr>
        <w:t>s</w:t>
      </w:r>
      <w:r>
        <w:rPr>
          <w:sz w:val="22"/>
          <w:szCs w:val="22"/>
        </w:rPr>
        <w:t>tatement (</w:t>
      </w:r>
      <w:r w:rsidR="009F0EA2">
        <w:rPr>
          <w:sz w:val="22"/>
          <w:szCs w:val="22"/>
        </w:rPr>
        <w:t>D</w:t>
      </w:r>
      <w:r w:rsidR="00C14D08">
        <w:rPr>
          <w:sz w:val="22"/>
          <w:szCs w:val="22"/>
        </w:rPr>
        <w:t>-</w:t>
      </w:r>
      <w:r>
        <w:rPr>
          <w:sz w:val="22"/>
          <w:szCs w:val="22"/>
        </w:rPr>
        <w:t>RIS) seeks feedback on options</w:t>
      </w:r>
      <w:r w:rsidR="00811AC0">
        <w:rPr>
          <w:sz w:val="22"/>
          <w:szCs w:val="22"/>
        </w:rPr>
        <w:t xml:space="preserve"> for setting future heavy vehicle charges</w:t>
      </w:r>
      <w:r>
        <w:rPr>
          <w:sz w:val="22"/>
          <w:szCs w:val="22"/>
        </w:rPr>
        <w:t xml:space="preserve"> </w:t>
      </w:r>
      <w:r w:rsidR="00811AC0">
        <w:rPr>
          <w:sz w:val="22"/>
          <w:szCs w:val="22"/>
        </w:rPr>
        <w:t>to recover</w:t>
      </w:r>
      <w:r>
        <w:rPr>
          <w:sz w:val="22"/>
          <w:szCs w:val="22"/>
        </w:rPr>
        <w:t xml:space="preserve"> the cost of road construction and maintenance attributed to 27 classes of heavy vehicles </w:t>
      </w:r>
      <w:r w:rsidR="00C14D08">
        <w:rPr>
          <w:sz w:val="22"/>
          <w:szCs w:val="22"/>
        </w:rPr>
        <w:t xml:space="preserve">that </w:t>
      </w:r>
      <w:r>
        <w:rPr>
          <w:sz w:val="22"/>
          <w:szCs w:val="22"/>
        </w:rPr>
        <w:t xml:space="preserve">form the basis of the </w:t>
      </w:r>
      <w:r w:rsidR="006F7F4A">
        <w:rPr>
          <w:sz w:val="22"/>
          <w:szCs w:val="22"/>
        </w:rPr>
        <w:t>h</w:t>
      </w:r>
      <w:r>
        <w:rPr>
          <w:sz w:val="22"/>
          <w:szCs w:val="22"/>
        </w:rPr>
        <w:t xml:space="preserve">eavy </w:t>
      </w:r>
      <w:r w:rsidR="006F7F4A">
        <w:rPr>
          <w:sz w:val="22"/>
          <w:szCs w:val="22"/>
        </w:rPr>
        <w:t>v</w:t>
      </w:r>
      <w:r>
        <w:rPr>
          <w:sz w:val="22"/>
          <w:szCs w:val="22"/>
        </w:rPr>
        <w:t xml:space="preserve">ehicle </w:t>
      </w:r>
      <w:r w:rsidR="006F7F4A">
        <w:rPr>
          <w:sz w:val="22"/>
          <w:szCs w:val="22"/>
        </w:rPr>
        <w:t>c</w:t>
      </w:r>
      <w:r>
        <w:rPr>
          <w:sz w:val="22"/>
          <w:szCs w:val="22"/>
        </w:rPr>
        <w:t xml:space="preserve">harges </w:t>
      </w:r>
      <w:r w:rsidR="006F7F4A">
        <w:rPr>
          <w:sz w:val="22"/>
          <w:szCs w:val="22"/>
        </w:rPr>
        <w:t>d</w:t>
      </w:r>
      <w:r>
        <w:rPr>
          <w:sz w:val="22"/>
          <w:szCs w:val="22"/>
        </w:rPr>
        <w:t>etermination.</w:t>
      </w:r>
    </w:p>
    <w:p w14:paraId="3D1C795D" w14:textId="77777777" w:rsidR="003C30B8" w:rsidRDefault="003C30B8" w:rsidP="00475459">
      <w:pPr>
        <w:spacing w:before="0" w:after="0"/>
        <w:rPr>
          <w:sz w:val="22"/>
          <w:szCs w:val="22"/>
        </w:rPr>
      </w:pPr>
    </w:p>
    <w:p w14:paraId="69EADE8C" w14:textId="4C278875" w:rsidR="007B5A43" w:rsidRDefault="00DD2E16" w:rsidP="00475459">
      <w:pPr>
        <w:spacing w:before="0" w:after="0"/>
        <w:rPr>
          <w:sz w:val="22"/>
          <w:szCs w:val="22"/>
        </w:rPr>
      </w:pPr>
      <w:r w:rsidRPr="00FB2E3E">
        <w:rPr>
          <w:sz w:val="22"/>
          <w:szCs w:val="22"/>
        </w:rPr>
        <w:t xml:space="preserve">The </w:t>
      </w:r>
      <w:r w:rsidR="00C14D08">
        <w:rPr>
          <w:sz w:val="22"/>
          <w:szCs w:val="22"/>
        </w:rPr>
        <w:t>National Transport Commission (</w:t>
      </w:r>
      <w:r w:rsidRPr="00FB2E3E">
        <w:rPr>
          <w:sz w:val="22"/>
          <w:szCs w:val="22"/>
        </w:rPr>
        <w:t>NTC</w:t>
      </w:r>
      <w:r w:rsidR="00C14D08">
        <w:rPr>
          <w:sz w:val="22"/>
          <w:szCs w:val="22"/>
        </w:rPr>
        <w:t>)</w:t>
      </w:r>
      <w:r w:rsidRPr="00FB2E3E">
        <w:rPr>
          <w:sz w:val="22"/>
          <w:szCs w:val="22"/>
        </w:rPr>
        <w:t xml:space="preserve"> was directed by </w:t>
      </w:r>
      <w:r w:rsidR="00D66039">
        <w:rPr>
          <w:sz w:val="22"/>
          <w:szCs w:val="22"/>
        </w:rPr>
        <w:t>t</w:t>
      </w:r>
      <w:r w:rsidRPr="00FB2E3E">
        <w:rPr>
          <w:sz w:val="22"/>
          <w:szCs w:val="22"/>
        </w:rPr>
        <w:t xml:space="preserve">ransport </w:t>
      </w:r>
      <w:r w:rsidR="00D66039">
        <w:rPr>
          <w:sz w:val="22"/>
          <w:szCs w:val="22"/>
        </w:rPr>
        <w:t>m</w:t>
      </w:r>
      <w:r w:rsidRPr="00FB2E3E">
        <w:rPr>
          <w:sz w:val="22"/>
          <w:szCs w:val="22"/>
        </w:rPr>
        <w:t xml:space="preserve">inisters in November 2019 to conduct a new </w:t>
      </w:r>
      <w:r w:rsidR="00811AC0">
        <w:rPr>
          <w:sz w:val="22"/>
          <w:szCs w:val="22"/>
        </w:rPr>
        <w:t xml:space="preserve">heavy vehicle charges </w:t>
      </w:r>
      <w:r w:rsidRPr="00FB2E3E">
        <w:rPr>
          <w:sz w:val="22"/>
          <w:szCs w:val="22"/>
        </w:rPr>
        <w:t xml:space="preserve">determination that </w:t>
      </w:r>
      <w:r w:rsidR="00274180">
        <w:rPr>
          <w:sz w:val="22"/>
          <w:szCs w:val="22"/>
        </w:rPr>
        <w:t>would form the basis for setting</w:t>
      </w:r>
      <w:r w:rsidRPr="00FB2E3E">
        <w:rPr>
          <w:sz w:val="22"/>
          <w:szCs w:val="22"/>
        </w:rPr>
        <w:t xml:space="preserve"> heavy vehicle charges </w:t>
      </w:r>
      <w:r w:rsidR="00C14D08">
        <w:rPr>
          <w:sz w:val="22"/>
          <w:szCs w:val="22"/>
        </w:rPr>
        <w:t>to</w:t>
      </w:r>
      <w:r w:rsidRPr="00FB2E3E">
        <w:rPr>
          <w:sz w:val="22"/>
          <w:szCs w:val="22"/>
        </w:rPr>
        <w:t xml:space="preserve"> apply from 2022</w:t>
      </w:r>
      <w:r w:rsidR="00D66039">
        <w:rPr>
          <w:sz w:val="22"/>
          <w:szCs w:val="22"/>
        </w:rPr>
        <w:t>–</w:t>
      </w:r>
      <w:r w:rsidRPr="00FB2E3E">
        <w:rPr>
          <w:sz w:val="22"/>
          <w:szCs w:val="22"/>
        </w:rPr>
        <w:t>23.</w:t>
      </w:r>
      <w:r w:rsidR="00830D17">
        <w:rPr>
          <w:sz w:val="22"/>
          <w:szCs w:val="22"/>
        </w:rPr>
        <w:t xml:space="preserve"> </w:t>
      </w:r>
    </w:p>
    <w:p w14:paraId="279DB9D4" w14:textId="77777777" w:rsidR="007B5A43" w:rsidRDefault="007B5A43" w:rsidP="00475459">
      <w:pPr>
        <w:spacing w:before="0" w:after="0"/>
        <w:rPr>
          <w:sz w:val="22"/>
          <w:szCs w:val="22"/>
        </w:rPr>
      </w:pPr>
    </w:p>
    <w:p w14:paraId="3B4B5EFA" w14:textId="454E995B" w:rsidR="00DD2E16" w:rsidRPr="00FB2E3E" w:rsidRDefault="00274180" w:rsidP="00475459">
      <w:pPr>
        <w:spacing w:before="0" w:after="0"/>
        <w:rPr>
          <w:sz w:val="22"/>
          <w:szCs w:val="22"/>
        </w:rPr>
      </w:pPr>
      <w:r>
        <w:rPr>
          <w:sz w:val="22"/>
          <w:szCs w:val="22"/>
        </w:rPr>
        <w:t xml:space="preserve">Heavy vehicle charges consist of a yearly registration charge and a </w:t>
      </w:r>
      <w:r w:rsidR="00D66039">
        <w:rPr>
          <w:sz w:val="22"/>
          <w:szCs w:val="22"/>
        </w:rPr>
        <w:t>r</w:t>
      </w:r>
      <w:r>
        <w:rPr>
          <w:sz w:val="22"/>
          <w:szCs w:val="22"/>
        </w:rPr>
        <w:t xml:space="preserve">oad </w:t>
      </w:r>
      <w:r w:rsidR="00D66039">
        <w:rPr>
          <w:sz w:val="22"/>
          <w:szCs w:val="22"/>
        </w:rPr>
        <w:t>u</w:t>
      </w:r>
      <w:r>
        <w:rPr>
          <w:sz w:val="22"/>
          <w:szCs w:val="22"/>
        </w:rPr>
        <w:t xml:space="preserve">ser </w:t>
      </w:r>
      <w:r w:rsidR="00D66039">
        <w:rPr>
          <w:sz w:val="22"/>
          <w:szCs w:val="22"/>
        </w:rPr>
        <w:t>c</w:t>
      </w:r>
      <w:r>
        <w:rPr>
          <w:sz w:val="22"/>
          <w:szCs w:val="22"/>
        </w:rPr>
        <w:t>harge (RUC) on diesel fuel.</w:t>
      </w:r>
      <w:r w:rsidR="00830D17">
        <w:rPr>
          <w:sz w:val="22"/>
          <w:szCs w:val="22"/>
        </w:rPr>
        <w:t xml:space="preserve"> </w:t>
      </w:r>
      <w:r w:rsidR="00DD2E16" w:rsidRPr="00FB2E3E">
        <w:rPr>
          <w:sz w:val="22"/>
          <w:szCs w:val="22"/>
        </w:rPr>
        <w:t>These charges are set under a charging framework known as ‘pay as you go’ (PAYGO).</w:t>
      </w:r>
    </w:p>
    <w:p w14:paraId="4C75C4F8" w14:textId="5F26EDE1" w:rsidR="00274180" w:rsidRDefault="00DD2E16" w:rsidP="00FB2E3E">
      <w:pPr>
        <w:pStyle w:val="BodyCopy"/>
      </w:pPr>
      <w:r w:rsidRPr="00556D37">
        <w:rPr>
          <w:szCs w:val="22"/>
        </w:rPr>
        <w:t>The overarching regulatory problem for this determination is to recommend</w:t>
      </w:r>
      <w:r>
        <w:t xml:space="preserve"> an efficient and equitable set of heavy vehicle </w:t>
      </w:r>
      <w:r w:rsidRPr="00C2033E">
        <w:t>charges</w:t>
      </w:r>
      <w:r>
        <w:t xml:space="preserve"> that adequately recovers the cost of road construction and maintenance f</w:t>
      </w:r>
      <w:r w:rsidR="0011298F">
        <w:t>rom</w:t>
      </w:r>
      <w:r>
        <w:t xml:space="preserve"> heavy vehicles in Australia</w:t>
      </w:r>
      <w:r w:rsidR="007B5A43">
        <w:t xml:space="preserve"> </w:t>
      </w:r>
      <w:r w:rsidR="00972FED">
        <w:t>(</w:t>
      </w:r>
      <w:r w:rsidR="0011298F">
        <w:t>t</w:t>
      </w:r>
      <w:r w:rsidR="00972FED">
        <w:t xml:space="preserve">he problem and related limitations are discussed in chapter 2). </w:t>
      </w:r>
      <w:r w:rsidR="00274180">
        <w:t>This must occur while complying with a range of pricing principles.</w:t>
      </w:r>
      <w:r w:rsidR="00830D17">
        <w:t xml:space="preserve"> </w:t>
      </w:r>
    </w:p>
    <w:p w14:paraId="5549376F" w14:textId="23FFF3AE" w:rsidR="00DD2E16" w:rsidRPr="00FB2E3E" w:rsidRDefault="00D94BCF" w:rsidP="00FB2E3E">
      <w:pPr>
        <w:pStyle w:val="BodyCopy"/>
        <w:pBdr>
          <w:bottom w:val="single" w:sz="4" w:space="4" w:color="000000"/>
        </w:pBdr>
        <w:spacing w:before="360"/>
        <w:rPr>
          <w:b/>
          <w:sz w:val="28"/>
          <w:szCs w:val="28"/>
        </w:rPr>
      </w:pPr>
      <w:r w:rsidRPr="00FB2E3E">
        <w:rPr>
          <w:b/>
          <w:sz w:val="28"/>
          <w:szCs w:val="28"/>
        </w:rPr>
        <w:t>Context</w:t>
      </w:r>
    </w:p>
    <w:p w14:paraId="1FC48F31" w14:textId="35DDDE9F" w:rsidR="00EC26CD" w:rsidRDefault="00EC26CD" w:rsidP="00EC26CD">
      <w:pPr>
        <w:pStyle w:val="BodyCopy"/>
      </w:pPr>
      <w:r>
        <w:t xml:space="preserve">In </w:t>
      </w:r>
      <w:r w:rsidR="00274180">
        <w:t xml:space="preserve">making recommendations for setting heavy vehicle charges, </w:t>
      </w:r>
      <w:r>
        <w:t xml:space="preserve">the NTC </w:t>
      </w:r>
      <w:r w:rsidR="00C14D08">
        <w:t>must</w:t>
      </w:r>
      <w:r>
        <w:t xml:space="preserve"> adhere to a set of pricing principles set by </w:t>
      </w:r>
      <w:r w:rsidR="00D66039">
        <w:t>t</w:t>
      </w:r>
      <w:r>
        <w:t xml:space="preserve">ransport </w:t>
      </w:r>
      <w:r w:rsidR="00D66039">
        <w:t>m</w:t>
      </w:r>
      <w:r>
        <w:t>inisters.</w:t>
      </w:r>
      <w:r w:rsidR="00830D17">
        <w:t xml:space="preserve"> </w:t>
      </w:r>
      <w:r>
        <w:t>These principles are:</w:t>
      </w:r>
    </w:p>
    <w:p w14:paraId="52B60DC9" w14:textId="77777777" w:rsidR="00EC26CD" w:rsidRPr="00A621B8" w:rsidRDefault="00EC26CD" w:rsidP="00C14D08">
      <w:pPr>
        <w:pStyle w:val="BodyCopy"/>
        <w:ind w:left="720" w:right="1107"/>
      </w:pPr>
      <w:r w:rsidRPr="00A621B8">
        <w:t>‘National heavy vehicle road use prices should promote optimal use of infrastructure, vehicles and transport modes.</w:t>
      </w:r>
    </w:p>
    <w:p w14:paraId="2D3BC0B2" w14:textId="77777777" w:rsidR="00EC26CD" w:rsidRPr="00A621B8" w:rsidRDefault="00EC26CD" w:rsidP="00C14D08">
      <w:pPr>
        <w:pStyle w:val="BodyCopy"/>
        <w:ind w:left="720" w:right="1107"/>
      </w:pPr>
      <w:r w:rsidRPr="00A621B8">
        <w:t>This is subject to the following:</w:t>
      </w:r>
    </w:p>
    <w:p w14:paraId="685C3CFC" w14:textId="77777777" w:rsidR="00EC26CD" w:rsidRPr="00A621B8" w:rsidRDefault="00EC26CD" w:rsidP="00C14D08">
      <w:pPr>
        <w:pStyle w:val="List-bulletlvl1"/>
        <w:ind w:left="720" w:right="1107"/>
      </w:pPr>
      <w:r w:rsidRPr="00A621B8">
        <w:t>full recovery of allocated infrastructure costs while minimising both the over and under recovery from any class of vehicle</w:t>
      </w:r>
    </w:p>
    <w:p w14:paraId="359C84F6" w14:textId="62B5D943" w:rsidR="00EC26CD" w:rsidRPr="00A621B8" w:rsidRDefault="00EC26CD" w:rsidP="00C14D08">
      <w:pPr>
        <w:pStyle w:val="List-bulletlvl1"/>
        <w:ind w:left="720" w:right="1107"/>
      </w:pPr>
      <w:r w:rsidRPr="00A621B8">
        <w:t>cost</w:t>
      </w:r>
      <w:r w:rsidR="00C14D08">
        <w:t>-</w:t>
      </w:r>
      <w:r w:rsidRPr="00A621B8">
        <w:t>effectiveness of pricing instruments</w:t>
      </w:r>
    </w:p>
    <w:p w14:paraId="50A59D0B" w14:textId="77777777" w:rsidR="00EC26CD" w:rsidRPr="00A621B8" w:rsidRDefault="00EC26CD" w:rsidP="00C14D08">
      <w:pPr>
        <w:pStyle w:val="List-bulletlvl1"/>
        <w:ind w:left="720" w:right="1107"/>
      </w:pPr>
      <w:r w:rsidRPr="00A621B8">
        <w:t>transparency</w:t>
      </w:r>
    </w:p>
    <w:p w14:paraId="7C869A5D" w14:textId="77777777" w:rsidR="00EC26CD" w:rsidRPr="00A621B8" w:rsidRDefault="00EC26CD" w:rsidP="00C14D08">
      <w:pPr>
        <w:pStyle w:val="List-bulletlvl1"/>
        <w:ind w:left="720" w:right="1107"/>
      </w:pPr>
      <w:r w:rsidRPr="00A621B8">
        <w:t>the need to balance administrative simplicity, efficiency and equity (e.g. impact on regional and remote communities/access)</w:t>
      </w:r>
    </w:p>
    <w:p w14:paraId="52DCED27" w14:textId="77777777" w:rsidR="00EC26CD" w:rsidRPr="00A621B8" w:rsidRDefault="00EC26CD" w:rsidP="00C14D08">
      <w:pPr>
        <w:pStyle w:val="List-bulletlvl1"/>
        <w:ind w:left="720" w:right="1107"/>
      </w:pPr>
      <w:r w:rsidRPr="00A621B8">
        <w:t>the need to have regard to other pricing applications such as light vehicle charges, tolling and congestion.’</w:t>
      </w:r>
    </w:p>
    <w:p w14:paraId="20D2C4C6" w14:textId="7984E6F0" w:rsidR="00213809" w:rsidRDefault="00BA04D2" w:rsidP="00877541">
      <w:pPr>
        <w:pStyle w:val="BodyCopy"/>
      </w:pPr>
      <w:r>
        <w:t>T</w:t>
      </w:r>
      <w:r w:rsidR="00D94BCF">
        <w:t>h</w:t>
      </w:r>
      <w:r w:rsidR="00D46D2B">
        <w:t>is</w:t>
      </w:r>
      <w:r w:rsidR="00D94BCF">
        <w:t xml:space="preserve"> determination is being prepared against a backdrop of </w:t>
      </w:r>
      <w:r w:rsidR="00996A84">
        <w:t>a global pandemic that has caused significant social and economic disruption for Australia, consideration</w:t>
      </w:r>
      <w:r w:rsidR="00D94BCF">
        <w:t xml:space="preserve"> </w:t>
      </w:r>
      <w:r w:rsidR="00996A84">
        <w:t xml:space="preserve">of </w:t>
      </w:r>
      <w:r w:rsidR="00934298">
        <w:t>H</w:t>
      </w:r>
      <w:r w:rsidR="00D94BCF">
        <w:t xml:space="preserve">eavy </w:t>
      </w:r>
      <w:r w:rsidR="00934298">
        <w:t>V</w:t>
      </w:r>
      <w:r w:rsidR="00D94BCF">
        <w:t xml:space="preserve">ehicle </w:t>
      </w:r>
      <w:r w:rsidR="00934298">
        <w:t>R</w:t>
      </w:r>
      <w:r w:rsidR="00D94BCF">
        <w:t xml:space="preserve">oad </w:t>
      </w:r>
      <w:r w:rsidR="00934298">
        <w:t>R</w:t>
      </w:r>
      <w:r w:rsidR="00D94BCF">
        <w:t>eform</w:t>
      </w:r>
      <w:r w:rsidR="004B4E71">
        <w:t xml:space="preserve"> </w:t>
      </w:r>
      <w:r w:rsidR="007F649B">
        <w:t xml:space="preserve">that </w:t>
      </w:r>
      <w:r w:rsidR="004E0E48">
        <w:t>is expected to replace the PAYGO model</w:t>
      </w:r>
      <w:r w:rsidR="00583704">
        <w:t>,</w:t>
      </w:r>
      <w:r>
        <w:t xml:space="preserve"> and</w:t>
      </w:r>
      <w:r w:rsidR="00213809">
        <w:t xml:space="preserve"> inherent limitations of the PAYGO model.</w:t>
      </w:r>
      <w:r w:rsidR="00830D17">
        <w:t xml:space="preserve"> </w:t>
      </w:r>
      <w:r>
        <w:t xml:space="preserve">Collectively, these </w:t>
      </w:r>
      <w:r w:rsidR="00D46D2B">
        <w:t xml:space="preserve">shape the </w:t>
      </w:r>
      <w:r>
        <w:t xml:space="preserve">options </w:t>
      </w:r>
      <w:r w:rsidR="00D46D2B">
        <w:t xml:space="preserve">that </w:t>
      </w:r>
      <w:r>
        <w:t xml:space="preserve">are </w:t>
      </w:r>
      <w:r w:rsidR="00D46D2B">
        <w:t>feasible within</w:t>
      </w:r>
      <w:r>
        <w:t xml:space="preserve"> the scope of the </w:t>
      </w:r>
      <w:r w:rsidR="00D46D2B">
        <w:t>d</w:t>
      </w:r>
      <w:r>
        <w:t>etermination.</w:t>
      </w:r>
    </w:p>
    <w:p w14:paraId="4EEAA86E" w14:textId="40E89D31" w:rsidR="007714B1" w:rsidRDefault="007714B1" w:rsidP="00877541">
      <w:pPr>
        <w:pStyle w:val="BodyCopy"/>
      </w:pPr>
      <w:r>
        <w:t xml:space="preserve">We </w:t>
      </w:r>
      <w:r w:rsidR="002463D2">
        <w:t>explored</w:t>
      </w:r>
      <w:r w:rsidR="00791465">
        <w:t xml:space="preserve"> a wide range of </w:t>
      </w:r>
      <w:r w:rsidR="00D46D2B">
        <w:t xml:space="preserve">technical </w:t>
      </w:r>
      <w:r w:rsidR="00791465">
        <w:t>issues</w:t>
      </w:r>
      <w:r w:rsidR="002463D2">
        <w:t xml:space="preserve"> in the </w:t>
      </w:r>
      <w:r w:rsidR="00CA7288">
        <w:t>consultation regulation impact statement (</w:t>
      </w:r>
      <w:r w:rsidR="002463D2">
        <w:t>C-RIS</w:t>
      </w:r>
      <w:r w:rsidR="00CA7288">
        <w:t>)</w:t>
      </w:r>
      <w:r w:rsidR="006840C2">
        <w:t xml:space="preserve"> </w:t>
      </w:r>
      <w:sdt>
        <w:sdtPr>
          <w:id w:val="1709836295"/>
          <w:citation/>
        </w:sdtPr>
        <w:sdtContent>
          <w:r w:rsidR="006840C2">
            <w:fldChar w:fldCharType="begin"/>
          </w:r>
          <w:r w:rsidR="006840C2">
            <w:instrText xml:space="preserve"> CITATION NTC21 \l 3081 </w:instrText>
          </w:r>
          <w:r w:rsidR="006840C2">
            <w:fldChar w:fldCharType="separate"/>
          </w:r>
          <w:r w:rsidR="000A4DC7" w:rsidRPr="000A4DC7">
            <w:rPr>
              <w:noProof/>
            </w:rPr>
            <w:t>(NTC, 2021)</w:t>
          </w:r>
          <w:r w:rsidR="006840C2">
            <w:fldChar w:fldCharType="end"/>
          </w:r>
        </w:sdtContent>
      </w:sdt>
      <w:r w:rsidR="00E71F91">
        <w:t>.</w:t>
      </w:r>
      <w:r w:rsidR="00D46D2B">
        <w:t xml:space="preserve"> </w:t>
      </w:r>
      <w:r w:rsidR="00A561A4">
        <w:t>Key recommended technical changes include</w:t>
      </w:r>
      <w:r w:rsidR="002463D2">
        <w:t>d</w:t>
      </w:r>
      <w:r w:rsidR="00A561A4">
        <w:t>:</w:t>
      </w:r>
    </w:p>
    <w:p w14:paraId="4CB763DE" w14:textId="466A4666" w:rsidR="00A561A4" w:rsidRPr="00A561A4" w:rsidRDefault="00A561A4" w:rsidP="00A561A4">
      <w:pPr>
        <w:pStyle w:val="List-bulletlvl1"/>
      </w:pPr>
      <w:r>
        <w:t>exploring options to ensure the</w:t>
      </w:r>
      <w:r w:rsidRPr="00A561A4">
        <w:t xml:space="preserve"> ongoing availability of usage data </w:t>
      </w:r>
    </w:p>
    <w:p w14:paraId="327F1AE2" w14:textId="5B6D0A35" w:rsidR="00A561A4" w:rsidRPr="00A561A4" w:rsidRDefault="00A561A4" w:rsidP="00A561A4">
      <w:pPr>
        <w:pStyle w:val="List-bulletlvl1"/>
      </w:pPr>
      <w:r>
        <w:t>using</w:t>
      </w:r>
      <w:r w:rsidRPr="00A561A4">
        <w:t xml:space="preserve"> new, updated </w:t>
      </w:r>
      <w:r w:rsidR="00BC2B20">
        <w:t>e</w:t>
      </w:r>
      <w:r w:rsidR="00B943FB">
        <w:t xml:space="preserve">quivalent </w:t>
      </w:r>
      <w:r w:rsidR="00BC2B20">
        <w:t>s</w:t>
      </w:r>
      <w:r w:rsidR="00B943FB">
        <w:t xml:space="preserve">tandard </w:t>
      </w:r>
      <w:r w:rsidR="00BC2B20">
        <w:t>a</w:t>
      </w:r>
      <w:r w:rsidR="00B943FB">
        <w:t>xle (ESA, a measure of the road</w:t>
      </w:r>
      <w:r w:rsidR="00BC2B20">
        <w:t xml:space="preserve"> </w:t>
      </w:r>
      <w:r w:rsidR="00B943FB">
        <w:t>wear caused by different heavy vehicle types)</w:t>
      </w:r>
      <w:r w:rsidRPr="00A561A4">
        <w:t xml:space="preserve"> values</w:t>
      </w:r>
      <w:r>
        <w:t xml:space="preserve"> to allocate costs</w:t>
      </w:r>
      <w:r w:rsidRPr="00A561A4">
        <w:t xml:space="preserve"> </w:t>
      </w:r>
    </w:p>
    <w:p w14:paraId="7F16B750" w14:textId="3D9858CE" w:rsidR="00A561A4" w:rsidRPr="00A561A4" w:rsidRDefault="00A561A4" w:rsidP="00A561A4">
      <w:pPr>
        <w:pStyle w:val="List-bulletlvl1"/>
      </w:pPr>
      <w:r>
        <w:lastRenderedPageBreak/>
        <w:t>removing</w:t>
      </w:r>
      <w:r w:rsidRPr="00A561A4">
        <w:t xml:space="preserve"> MaxMan</w:t>
      </w:r>
      <w:r w:rsidR="00B943FB">
        <w:t xml:space="preserve"> (Matrix Manipulation, a section of the PAYGO model used to reallocate costs between different heavy vehicle types)</w:t>
      </w:r>
      <w:r>
        <w:t xml:space="preserve"> from the model</w:t>
      </w:r>
    </w:p>
    <w:p w14:paraId="258376FE" w14:textId="35354550" w:rsidR="00A561A4" w:rsidRPr="00A561A4" w:rsidRDefault="00A561A4" w:rsidP="00A561A4">
      <w:pPr>
        <w:pStyle w:val="List-bulletlvl1"/>
      </w:pPr>
      <w:r>
        <w:t xml:space="preserve">adjusting </w:t>
      </w:r>
      <w:r w:rsidRPr="00A561A4">
        <w:t xml:space="preserve">fuel usage </w:t>
      </w:r>
      <w:r>
        <w:t xml:space="preserve">estimates </w:t>
      </w:r>
      <w:r w:rsidRPr="00A561A4">
        <w:t>for leakages</w:t>
      </w:r>
      <w:r>
        <w:t xml:space="preserve"> due to RUC exemptions for fuel used to drive auxiliary equipment</w:t>
      </w:r>
      <w:r w:rsidRPr="00A561A4">
        <w:t xml:space="preserve"> </w:t>
      </w:r>
    </w:p>
    <w:p w14:paraId="3F78BCB9" w14:textId="3CEDE062" w:rsidR="00A561A4" w:rsidRPr="00A561A4" w:rsidRDefault="00A561A4" w:rsidP="00A561A4">
      <w:pPr>
        <w:pStyle w:val="List-bulletlvl1"/>
      </w:pPr>
      <w:r>
        <w:t>r</w:t>
      </w:r>
      <w:r w:rsidRPr="00A561A4">
        <w:t>eview</w:t>
      </w:r>
      <w:r>
        <w:t>ing and updating the unsealed road travel discount</w:t>
      </w:r>
      <w:r w:rsidRPr="00A561A4">
        <w:t xml:space="preserve"> based on </w:t>
      </w:r>
      <w:r>
        <w:t xml:space="preserve">a </w:t>
      </w:r>
      <w:r w:rsidRPr="00A561A4">
        <w:t>new survey</w:t>
      </w:r>
    </w:p>
    <w:p w14:paraId="15ECE5DE" w14:textId="6996A78A" w:rsidR="00A561A4" w:rsidRPr="00A561A4" w:rsidRDefault="00A561A4" w:rsidP="00A561A4">
      <w:pPr>
        <w:pStyle w:val="List-bulletlvl1"/>
      </w:pPr>
      <w:r>
        <w:t>removing the community service obligations discount</w:t>
      </w:r>
    </w:p>
    <w:p w14:paraId="41C37FCE" w14:textId="6818ADC1" w:rsidR="002463D2" w:rsidRDefault="00A561A4" w:rsidP="00A561A4">
      <w:pPr>
        <w:pStyle w:val="List-bulletlvl1"/>
      </w:pPr>
      <w:r>
        <w:t>r</w:t>
      </w:r>
      <w:r w:rsidRPr="00A561A4">
        <w:t>ecalculat</w:t>
      </w:r>
      <w:r>
        <w:t>ing the</w:t>
      </w:r>
      <w:r w:rsidRPr="00A561A4">
        <w:t xml:space="preserve"> regulatory component of registration charges using</w:t>
      </w:r>
      <w:r>
        <w:t xml:space="preserve"> the</w:t>
      </w:r>
      <w:r w:rsidRPr="00A561A4">
        <w:t xml:space="preserve"> current formula, updated usage data and</w:t>
      </w:r>
      <w:r>
        <w:t xml:space="preserve"> the</w:t>
      </w:r>
      <w:r w:rsidRPr="00A561A4">
        <w:t xml:space="preserve"> current approved N</w:t>
      </w:r>
      <w:r w:rsidR="00B943FB">
        <w:t xml:space="preserve">ational </w:t>
      </w:r>
      <w:r w:rsidRPr="00A561A4">
        <w:t>H</w:t>
      </w:r>
      <w:r w:rsidR="00B943FB">
        <w:t xml:space="preserve">eavy </w:t>
      </w:r>
      <w:r w:rsidRPr="00A561A4">
        <w:t>V</w:t>
      </w:r>
      <w:r w:rsidR="00B943FB">
        <w:t xml:space="preserve">ehicle </w:t>
      </w:r>
      <w:r w:rsidRPr="00A561A4">
        <w:t>R</w:t>
      </w:r>
      <w:r w:rsidR="00B943FB">
        <w:t>egulator</w:t>
      </w:r>
      <w:r w:rsidRPr="00A561A4">
        <w:t xml:space="preserve"> budget</w:t>
      </w:r>
      <w:r>
        <w:t xml:space="preserve"> as inputs</w:t>
      </w:r>
    </w:p>
    <w:p w14:paraId="60BB4A29" w14:textId="24DD73FB" w:rsidR="00A561A4" w:rsidRDefault="002463D2" w:rsidP="00A561A4">
      <w:pPr>
        <w:pStyle w:val="List-bulletlvl1"/>
      </w:pPr>
      <w:r>
        <w:t>taking action to ensure the ongoing availability of suitable usage data given that the Australian Bureau of Statistics has discontinued the Survey of Motor Vehicle Use</w:t>
      </w:r>
      <w:r w:rsidR="00A561A4">
        <w:t>.</w:t>
      </w:r>
    </w:p>
    <w:p w14:paraId="070EB112" w14:textId="1C1123FD" w:rsidR="00791465" w:rsidRDefault="00D46D2B" w:rsidP="00877541">
      <w:pPr>
        <w:pStyle w:val="BodyCopy"/>
      </w:pPr>
      <w:r>
        <w:t>The recommended technical model improvements underpin</w:t>
      </w:r>
      <w:r w:rsidR="006A4A44">
        <w:t>ned</w:t>
      </w:r>
      <w:r>
        <w:t xml:space="preserve"> all options explored in</w:t>
      </w:r>
      <w:r w:rsidR="002463D2">
        <w:t xml:space="preserve"> the C-RIS. </w:t>
      </w:r>
      <w:r w:rsidR="00516020">
        <w:t>They also underpin the</w:t>
      </w:r>
      <w:r w:rsidR="004D1A34">
        <w:t xml:space="preserve"> </w:t>
      </w:r>
      <w:r w:rsidR="00516020">
        <w:t>options explored in this D</w:t>
      </w:r>
      <w:r w:rsidR="0059098D">
        <w:t>-RIS.</w:t>
      </w:r>
    </w:p>
    <w:p w14:paraId="5A55DBCE" w14:textId="688EBECC" w:rsidR="009629F1" w:rsidRPr="00FB2E3E" w:rsidRDefault="00591535" w:rsidP="00FB2E3E">
      <w:pPr>
        <w:pStyle w:val="BodyCopy"/>
        <w:pBdr>
          <w:bottom w:val="single" w:sz="4" w:space="4" w:color="000000"/>
        </w:pBdr>
        <w:spacing w:before="360"/>
        <w:rPr>
          <w:b/>
          <w:sz w:val="28"/>
          <w:szCs w:val="28"/>
        </w:rPr>
      </w:pPr>
      <w:r w:rsidRPr="00FB2E3E">
        <w:rPr>
          <w:b/>
          <w:sz w:val="28"/>
          <w:szCs w:val="28"/>
        </w:rPr>
        <w:t xml:space="preserve">The </w:t>
      </w:r>
      <w:r w:rsidR="000046E1">
        <w:rPr>
          <w:b/>
          <w:sz w:val="28"/>
          <w:szCs w:val="28"/>
        </w:rPr>
        <w:t>o</w:t>
      </w:r>
      <w:r w:rsidRPr="00FB2E3E">
        <w:rPr>
          <w:b/>
          <w:sz w:val="28"/>
          <w:szCs w:val="28"/>
        </w:rPr>
        <w:t>ptions</w:t>
      </w:r>
    </w:p>
    <w:p w14:paraId="39633B4A" w14:textId="642CD746" w:rsidR="00591535" w:rsidRDefault="00D46D2B" w:rsidP="00877541">
      <w:pPr>
        <w:pStyle w:val="BodyCopy"/>
      </w:pPr>
      <w:r>
        <w:t>Incorporating the</w:t>
      </w:r>
      <w:r w:rsidR="002463D2">
        <w:t xml:space="preserve"> recommended</w:t>
      </w:r>
      <w:r>
        <w:t xml:space="preserve"> technical changes </w:t>
      </w:r>
      <w:r w:rsidR="002463D2">
        <w:t>outlined</w:t>
      </w:r>
      <w:r>
        <w:t xml:space="preserve"> in </w:t>
      </w:r>
      <w:r w:rsidR="000046E1">
        <w:t>c</w:t>
      </w:r>
      <w:r>
        <w:t xml:space="preserve">hapter </w:t>
      </w:r>
      <w:r w:rsidR="006A4A44">
        <w:fldChar w:fldCharType="begin"/>
      </w:r>
      <w:r w:rsidR="006A4A44">
        <w:instrText xml:space="preserve"> REF _Ref59548332 \r \h </w:instrText>
      </w:r>
      <w:r w:rsidR="006A4A44">
        <w:fldChar w:fldCharType="separate"/>
      </w:r>
      <w:r w:rsidR="00225EEA">
        <w:t>4</w:t>
      </w:r>
      <w:r w:rsidR="006A4A44">
        <w:fldChar w:fldCharType="end"/>
      </w:r>
      <w:r>
        <w:t>, t</w:t>
      </w:r>
      <w:r w:rsidR="00BA04D2">
        <w:t xml:space="preserve">his </w:t>
      </w:r>
      <w:r w:rsidR="009F0EA2">
        <w:t>D</w:t>
      </w:r>
      <w:r w:rsidR="00B25452">
        <w:t>-</w:t>
      </w:r>
      <w:r w:rsidR="00BA04D2">
        <w:t>RIS</w:t>
      </w:r>
      <w:r w:rsidR="002463D2">
        <w:t xml:space="preserve"> recommends a preferred cost allocation option and a preferred implementation pathway</w:t>
      </w:r>
      <w:r w:rsidR="00FA48D2">
        <w:t>.</w:t>
      </w:r>
      <w:r w:rsidR="00830D17">
        <w:t xml:space="preserve"> </w:t>
      </w:r>
      <w:r w:rsidR="00FA48D2">
        <w:t>In developing these</w:t>
      </w:r>
      <w:r w:rsidR="002463D2">
        <w:t xml:space="preserve"> preferred</w:t>
      </w:r>
      <w:r w:rsidR="00FA48D2">
        <w:t xml:space="preserve"> options, t</w:t>
      </w:r>
      <w:r w:rsidR="00591535">
        <w:t>he NTC</w:t>
      </w:r>
      <w:r w:rsidR="002463D2">
        <w:t xml:space="preserve"> took into account the information</w:t>
      </w:r>
      <w:r w:rsidR="00DC49A1">
        <w:t xml:space="preserve"> and initial feedback</w:t>
      </w:r>
      <w:r w:rsidR="002463D2">
        <w:t xml:space="preserve"> received through</w:t>
      </w:r>
      <w:r w:rsidR="00C31EB4">
        <w:t xml:space="preserve"> </w:t>
      </w:r>
      <w:r w:rsidR="002463D2">
        <w:t>the</w:t>
      </w:r>
      <w:r w:rsidR="00591535">
        <w:t xml:space="preserve"> series of initial </w:t>
      </w:r>
      <w:r w:rsidR="00F30273">
        <w:t>workshops</w:t>
      </w:r>
      <w:r w:rsidR="00591535">
        <w:t xml:space="preserve"> with industry and government stakeholders</w:t>
      </w:r>
      <w:r w:rsidR="00DC49A1">
        <w:t>.</w:t>
      </w:r>
      <w:r w:rsidR="002463D2">
        <w:t xml:space="preserve"> </w:t>
      </w:r>
    </w:p>
    <w:p w14:paraId="7C315246" w14:textId="510605A5" w:rsidR="00FA48D2" w:rsidRPr="00FB2E3E" w:rsidRDefault="00FA48D2" w:rsidP="00556D37">
      <w:pPr>
        <w:pStyle w:val="BodyCopy"/>
        <w:rPr>
          <w:b/>
          <w:bCs/>
          <w:szCs w:val="22"/>
        </w:rPr>
      </w:pPr>
      <w:r w:rsidRPr="00FB2E3E">
        <w:rPr>
          <w:b/>
          <w:bCs/>
          <w:szCs w:val="22"/>
        </w:rPr>
        <w:t>Cost allocation options</w:t>
      </w:r>
    </w:p>
    <w:p w14:paraId="6AF652F0" w14:textId="25A69688" w:rsidR="00F0767E" w:rsidRPr="00201B41" w:rsidRDefault="00F0767E" w:rsidP="00633194">
      <w:pPr>
        <w:pStyle w:val="BodyCopy"/>
      </w:pPr>
      <w:r>
        <w:t>Under PAYGO</w:t>
      </w:r>
      <w:r w:rsidR="00545687">
        <w:t>,</w:t>
      </w:r>
      <w:r>
        <w:t xml:space="preserve"> costs to each vehicle class are allocated using a </w:t>
      </w:r>
      <w:r w:rsidR="00CB6AD1">
        <w:t xml:space="preserve">combination of a </w:t>
      </w:r>
      <w:r>
        <w:t>cost allocation matrix</w:t>
      </w:r>
      <w:r w:rsidR="00CB6AD1">
        <w:t xml:space="preserve"> and data on vehicle use, commonly referred to as ‘usage data’</w:t>
      </w:r>
      <w:r>
        <w:t>. This process determines the percentage of total costs allocated to heavy vehicles and light vehicles respectively.</w:t>
      </w:r>
      <w:r w:rsidR="00830D17">
        <w:t xml:space="preserve"> </w:t>
      </w:r>
    </w:p>
    <w:p w14:paraId="068AFE17" w14:textId="5B3B4735" w:rsidR="00F0767E" w:rsidRPr="007C35EE" w:rsidRDefault="00F0767E" w:rsidP="00AD61AF">
      <w:pPr>
        <w:pStyle w:val="BodyCopy"/>
      </w:pPr>
      <w:r>
        <w:t>The size of the heavy vehicle cost base, and the level of heavy vehicle charges</w:t>
      </w:r>
      <w:r w:rsidR="00545687">
        <w:t>,</w:t>
      </w:r>
      <w:r>
        <w:t xml:space="preserve"> are sensitive to the cost allocation specified in the cost allocation matrix. Government revenues from heavy vehicle charges are also directly affected by the cost allocation process. </w:t>
      </w:r>
    </w:p>
    <w:p w14:paraId="36F1CAF5" w14:textId="1FD61F1F" w:rsidR="006C048A" w:rsidRDefault="001158D5" w:rsidP="00877541">
      <w:pPr>
        <w:pStyle w:val="BodyCopy"/>
      </w:pPr>
      <w:r>
        <w:rPr>
          <w:szCs w:val="22"/>
        </w:rPr>
        <w:t>After analysis, t</w:t>
      </w:r>
      <w:r>
        <w:t xml:space="preserve">he challenge that emerged for this </w:t>
      </w:r>
      <w:r w:rsidR="009F0EA2">
        <w:t>D</w:t>
      </w:r>
      <w:r w:rsidR="00B25452">
        <w:t>-</w:t>
      </w:r>
      <w:r>
        <w:t>RIS is that</w:t>
      </w:r>
      <w:r w:rsidR="00C14E27">
        <w:t xml:space="preserve"> all options produce outcomes that comply with the principle that the cost allocation to a particular group of users should fall between standalone and incremental cost.</w:t>
      </w:r>
      <w:r w:rsidR="006C048A">
        <w:t xml:space="preserve"> This means that the choice between cost allocation approaches is one of judgement based on wider considerations, rather than</w:t>
      </w:r>
      <w:r w:rsidR="00C14E27">
        <w:t xml:space="preserve"> pure economic or</w:t>
      </w:r>
      <w:r w:rsidR="006C048A">
        <w:t xml:space="preserve"> scientific analysis.</w:t>
      </w:r>
      <w:r w:rsidR="00C14E27">
        <w:t xml:space="preserve"> One of the motivating factors to consider a possible change is that some options may allocate road wear costs more accurately than others. However, the benefits of doing so are likely to be limited by the highly averaged nature of heavy vehicle charges.</w:t>
      </w:r>
    </w:p>
    <w:p w14:paraId="7503E5E1" w14:textId="75B6F825" w:rsidR="006C048A" w:rsidRDefault="006C048A" w:rsidP="00877541">
      <w:pPr>
        <w:pStyle w:val="BodyCopy"/>
      </w:pPr>
      <w:r>
        <w:t>We</w:t>
      </w:r>
      <w:r w:rsidR="0059098D">
        <w:t xml:space="preserve"> have</w:t>
      </w:r>
      <w:r>
        <w:t xml:space="preserve"> therefore built</w:t>
      </w:r>
      <w:r w:rsidR="00633A9D">
        <w:t xml:space="preserve"> the options for consideration in this determination</w:t>
      </w:r>
      <w:r>
        <w:t xml:space="preserve"> around the three possible cost allocation approaches</w:t>
      </w:r>
      <w:r w:rsidR="00545687">
        <w:t>,</w:t>
      </w:r>
      <w:r>
        <w:t xml:space="preserve"> being the:</w:t>
      </w:r>
    </w:p>
    <w:p w14:paraId="7B5F5CDF" w14:textId="13F66FC5" w:rsidR="006C048A" w:rsidRDefault="000046E1" w:rsidP="006C048A">
      <w:pPr>
        <w:pStyle w:val="List-bulletlvl1"/>
      </w:pPr>
      <w:r>
        <w:t>c</w:t>
      </w:r>
      <w:r w:rsidR="006C048A">
        <w:t>urrent approach – this is the status quo and retains the current cost allocation matrix</w:t>
      </w:r>
    </w:p>
    <w:p w14:paraId="136C3A92" w14:textId="58EA256E" w:rsidR="006C048A" w:rsidRDefault="000046E1">
      <w:pPr>
        <w:pStyle w:val="List-bulletlvl1"/>
      </w:pPr>
      <w:r>
        <w:t>m</w:t>
      </w:r>
      <w:r w:rsidR="006C048A">
        <w:t xml:space="preserve">odified </w:t>
      </w:r>
      <w:r>
        <w:t>c</w:t>
      </w:r>
      <w:r w:rsidR="006C048A">
        <w:t xml:space="preserve">urrent </w:t>
      </w:r>
      <w:r>
        <w:t>–</w:t>
      </w:r>
      <w:r w:rsidR="006C048A">
        <w:t xml:space="preserve"> </w:t>
      </w:r>
      <w:r>
        <w:t>m</w:t>
      </w:r>
      <w:r w:rsidR="006C048A">
        <w:t>odify the current cost allocation matrix to allocate 70</w:t>
      </w:r>
      <w:r w:rsidR="00272BD6">
        <w:t xml:space="preserve"> per cent</w:t>
      </w:r>
      <w:r w:rsidR="006C048A">
        <w:t xml:space="preserve"> of costs in expenditure category B2 using </w:t>
      </w:r>
      <w:r w:rsidR="00B943FB">
        <w:t>ESA</w:t>
      </w:r>
      <w:r w:rsidR="001C5799">
        <w:t xml:space="preserve"> per kilometre as </w:t>
      </w:r>
      <w:r w:rsidR="00EF03BE">
        <w:t xml:space="preserve">the </w:t>
      </w:r>
      <w:r w:rsidR="001C5799">
        <w:t>measure</w:t>
      </w:r>
    </w:p>
    <w:p w14:paraId="71D64FE2" w14:textId="7180F1F8" w:rsidR="006C048A" w:rsidRPr="00C602B1" w:rsidRDefault="006C048A">
      <w:pPr>
        <w:pStyle w:val="List-bulletlvl1"/>
      </w:pPr>
      <w:r>
        <w:t xml:space="preserve">VIC DTF/DOT </w:t>
      </w:r>
      <w:r w:rsidR="000046E1">
        <w:t>–</w:t>
      </w:r>
      <w:r>
        <w:t xml:space="preserve"> </w:t>
      </w:r>
      <w:r w:rsidR="000046E1">
        <w:t>u</w:t>
      </w:r>
      <w:r>
        <w:t xml:space="preserve">se the work commissioned by Victorian Department of Treasury and Finance and the Victorian Department </w:t>
      </w:r>
      <w:r w:rsidR="001158D5">
        <w:t>o</w:t>
      </w:r>
      <w:r>
        <w:t>f Transport to develop alternative cost allocators</w:t>
      </w:r>
      <w:r w:rsidR="000046E1">
        <w:t>,</w:t>
      </w:r>
      <w:r>
        <w:t xml:space="preserve"> </w:t>
      </w:r>
      <w:r>
        <w:lastRenderedPageBreak/>
        <w:t>which broadly reflect</w:t>
      </w:r>
      <w:r w:rsidR="0055055F">
        <w:t>s</w:t>
      </w:r>
      <w:r>
        <w:t xml:space="preserve"> the cost allocators recommended by </w:t>
      </w:r>
      <w:r w:rsidR="00EF03BE">
        <w:t xml:space="preserve">the </w:t>
      </w:r>
      <w:r w:rsidR="00EF03BE" w:rsidRPr="00EF03BE">
        <w:t>Australian Road Research Board</w:t>
      </w:r>
      <w:r w:rsidR="00EF03BE">
        <w:t xml:space="preserve"> </w:t>
      </w:r>
      <w:r>
        <w:t xml:space="preserve">in its report </w:t>
      </w:r>
      <w:sdt>
        <w:sdtPr>
          <w:id w:val="-110670593"/>
          <w:citation/>
        </w:sdtPr>
        <w:sdtContent>
          <w:r>
            <w:fldChar w:fldCharType="begin"/>
          </w:r>
          <w:r w:rsidR="00406F3F">
            <w:instrText xml:space="preserve">CITATION ARR19 \l 3081 </w:instrText>
          </w:r>
          <w:r>
            <w:fldChar w:fldCharType="separate"/>
          </w:r>
          <w:r w:rsidR="000A4DC7" w:rsidRPr="000A4DC7">
            <w:rPr>
              <w:noProof/>
            </w:rPr>
            <w:t>(ARRB, 2019)</w:t>
          </w:r>
          <w:r>
            <w:fldChar w:fldCharType="end"/>
          </w:r>
        </w:sdtContent>
      </w:sdt>
      <w:r>
        <w:t>.</w:t>
      </w:r>
      <w:r w:rsidR="00BB333F">
        <w:rPr>
          <w:rStyle w:val="FootnoteReference"/>
        </w:rPr>
        <w:footnoteReference w:id="2"/>
      </w:r>
    </w:p>
    <w:p w14:paraId="6EA86BCC" w14:textId="150F6B5F" w:rsidR="00B853B7" w:rsidRDefault="00F2290A" w:rsidP="00D66F06">
      <w:pPr>
        <w:pStyle w:val="BodyCopy"/>
      </w:pPr>
      <w:r>
        <w:fldChar w:fldCharType="begin"/>
      </w:r>
      <w:r>
        <w:instrText xml:space="preserve"> REF _Ref82165113 \r \h </w:instrText>
      </w:r>
      <w:r>
        <w:fldChar w:fldCharType="separate"/>
      </w:r>
      <w:r w:rsidR="00225EEA">
        <w:t>Table 1</w:t>
      </w:r>
      <w:r>
        <w:fldChar w:fldCharType="end"/>
      </w:r>
      <w:r w:rsidR="00D46D2B">
        <w:t xml:space="preserve"> describe</w:t>
      </w:r>
      <w:r w:rsidR="00D66F06">
        <w:t>s the impact of the three</w:t>
      </w:r>
      <w:r w:rsidR="00D46D2B">
        <w:t xml:space="preserve"> cost allocation options</w:t>
      </w:r>
      <w:r w:rsidR="00CE36DA">
        <w:t xml:space="preserve"> on the estimated heavy vehicle cost base and the gap between estimated revenue and the heavy vehicle cost base</w:t>
      </w:r>
      <w:r w:rsidR="00545687">
        <w:t>.</w:t>
      </w:r>
    </w:p>
    <w:p w14:paraId="676FBC79" w14:textId="40E3E14D" w:rsidR="00CE36DA" w:rsidRDefault="00CE36DA" w:rsidP="00A621B8">
      <w:pPr>
        <w:pStyle w:val="Tabletitle"/>
      </w:pPr>
      <w:bookmarkStart w:id="38" w:name="_Ref82165113"/>
      <w:bookmarkStart w:id="39" w:name="_Toc86158540"/>
      <w:r>
        <w:t>Cost allocation options – estimated heavy vehicle cost base and revenue gaps</w:t>
      </w:r>
      <w:bookmarkEnd w:id="38"/>
      <w:bookmarkEnd w:id="39"/>
    </w:p>
    <w:tbl>
      <w:tblPr>
        <w:tblStyle w:val="NTCtable"/>
        <w:tblW w:w="0" w:type="auto"/>
        <w:tblBorders>
          <w:bottom w:val="single" w:sz="4" w:space="0" w:color="auto"/>
        </w:tblBorders>
        <w:tblLayout w:type="fixed"/>
        <w:tblLook w:val="04A0" w:firstRow="1" w:lastRow="0" w:firstColumn="1" w:lastColumn="0" w:noHBand="0" w:noVBand="1"/>
      </w:tblPr>
      <w:tblGrid>
        <w:gridCol w:w="2972"/>
        <w:gridCol w:w="2410"/>
        <w:gridCol w:w="2410"/>
        <w:gridCol w:w="1134"/>
      </w:tblGrid>
      <w:tr w:rsidR="009739F8" w:rsidRPr="00650B1F" w14:paraId="66625256" w14:textId="77777777" w:rsidTr="00887E87">
        <w:trPr>
          <w:cnfStyle w:val="100000000000" w:firstRow="1" w:lastRow="0" w:firstColumn="0" w:lastColumn="0" w:oddVBand="0" w:evenVBand="0" w:oddHBand="0" w:evenHBand="0" w:firstRowFirstColumn="0" w:firstRowLastColumn="0" w:lastRowFirstColumn="0" w:lastRowLastColumn="0"/>
          <w:trHeight w:val="288"/>
          <w:tblHeader/>
        </w:trPr>
        <w:tc>
          <w:tcPr>
            <w:tcW w:w="2972" w:type="dxa"/>
            <w:noWrap/>
            <w:hideMark/>
          </w:tcPr>
          <w:p w14:paraId="304728A3" w14:textId="1B60C20F" w:rsidR="009739F8" w:rsidRPr="00C4270B" w:rsidRDefault="009739F8" w:rsidP="009739F8">
            <w:pPr>
              <w:pStyle w:val="BodyCopy"/>
              <w:rPr>
                <w:b/>
                <w:bCs/>
                <w:sz w:val="20"/>
                <w:szCs w:val="20"/>
              </w:rPr>
            </w:pPr>
            <w:r w:rsidRPr="00C4270B">
              <w:rPr>
                <w:b/>
                <w:bCs/>
                <w:sz w:val="20"/>
                <w:szCs w:val="20"/>
              </w:rPr>
              <w:t xml:space="preserve">Estimated </w:t>
            </w:r>
            <w:r w:rsidR="00C4270B" w:rsidRPr="00C4270B">
              <w:rPr>
                <w:b/>
                <w:bCs/>
                <w:sz w:val="20"/>
                <w:szCs w:val="20"/>
              </w:rPr>
              <w:t>r</w:t>
            </w:r>
            <w:r w:rsidRPr="00C4270B">
              <w:rPr>
                <w:b/>
                <w:bCs/>
                <w:sz w:val="20"/>
                <w:szCs w:val="20"/>
              </w:rPr>
              <w:t xml:space="preserve">evenue </w:t>
            </w:r>
            <w:r w:rsidR="00C4270B" w:rsidRPr="00C4270B">
              <w:rPr>
                <w:b/>
                <w:bCs/>
                <w:sz w:val="20"/>
                <w:szCs w:val="20"/>
              </w:rPr>
              <w:t>g</w:t>
            </w:r>
            <w:r w:rsidRPr="00C4270B">
              <w:rPr>
                <w:b/>
                <w:bCs/>
                <w:sz w:val="20"/>
                <w:szCs w:val="20"/>
              </w:rPr>
              <w:t>ap 202</w:t>
            </w:r>
            <w:r w:rsidR="00137273">
              <w:rPr>
                <w:b/>
                <w:bCs/>
                <w:sz w:val="20"/>
                <w:szCs w:val="20"/>
              </w:rPr>
              <w:t>2</w:t>
            </w:r>
            <w:r w:rsidR="00830D17" w:rsidRPr="00C4270B">
              <w:rPr>
                <w:b/>
                <w:bCs/>
                <w:sz w:val="20"/>
                <w:szCs w:val="20"/>
              </w:rPr>
              <w:t>–</w:t>
            </w:r>
            <w:r w:rsidRPr="00C4270B">
              <w:rPr>
                <w:b/>
                <w:bCs/>
                <w:sz w:val="20"/>
                <w:szCs w:val="20"/>
              </w:rPr>
              <w:t>2</w:t>
            </w:r>
            <w:r w:rsidR="00137273">
              <w:rPr>
                <w:b/>
                <w:bCs/>
                <w:sz w:val="20"/>
                <w:szCs w:val="20"/>
              </w:rPr>
              <w:t>3</w:t>
            </w:r>
          </w:p>
        </w:tc>
        <w:tc>
          <w:tcPr>
            <w:tcW w:w="2410" w:type="dxa"/>
            <w:noWrap/>
            <w:hideMark/>
          </w:tcPr>
          <w:p w14:paraId="34EEB5BB" w14:textId="77777777" w:rsidR="009739F8" w:rsidRPr="00C4270B" w:rsidRDefault="009739F8" w:rsidP="009739F8">
            <w:pPr>
              <w:pStyle w:val="BodyCopy"/>
              <w:rPr>
                <w:b/>
                <w:bCs/>
                <w:sz w:val="20"/>
                <w:szCs w:val="20"/>
              </w:rPr>
            </w:pPr>
            <w:r w:rsidRPr="00C4270B">
              <w:rPr>
                <w:b/>
                <w:bCs/>
                <w:sz w:val="20"/>
                <w:szCs w:val="20"/>
              </w:rPr>
              <w:t>$m</w:t>
            </w:r>
          </w:p>
        </w:tc>
        <w:tc>
          <w:tcPr>
            <w:tcW w:w="2410" w:type="dxa"/>
            <w:noWrap/>
            <w:hideMark/>
          </w:tcPr>
          <w:p w14:paraId="44BE8978" w14:textId="3C9914CB" w:rsidR="009739F8" w:rsidRPr="00C4270B" w:rsidRDefault="009739F8" w:rsidP="009739F8">
            <w:pPr>
              <w:pStyle w:val="BodyCopy"/>
              <w:rPr>
                <w:b/>
                <w:bCs/>
                <w:sz w:val="20"/>
                <w:szCs w:val="20"/>
              </w:rPr>
            </w:pPr>
            <w:r w:rsidRPr="00C4270B">
              <w:rPr>
                <w:b/>
                <w:bCs/>
                <w:sz w:val="20"/>
                <w:szCs w:val="20"/>
              </w:rPr>
              <w:t xml:space="preserve">Gap </w:t>
            </w:r>
            <w:r w:rsidR="000046E1" w:rsidRPr="00C4270B">
              <w:rPr>
                <w:b/>
                <w:bCs/>
                <w:sz w:val="20"/>
                <w:szCs w:val="20"/>
              </w:rPr>
              <w:t>(</w:t>
            </w:r>
            <w:r w:rsidRPr="00C4270B">
              <w:rPr>
                <w:b/>
                <w:bCs/>
                <w:sz w:val="20"/>
                <w:szCs w:val="20"/>
              </w:rPr>
              <w:t>$m</w:t>
            </w:r>
            <w:r w:rsidR="000046E1" w:rsidRPr="00C4270B">
              <w:rPr>
                <w:b/>
                <w:bCs/>
                <w:sz w:val="20"/>
                <w:szCs w:val="20"/>
              </w:rPr>
              <w:t>)</w:t>
            </w:r>
          </w:p>
        </w:tc>
        <w:tc>
          <w:tcPr>
            <w:tcW w:w="1134" w:type="dxa"/>
            <w:noWrap/>
            <w:hideMark/>
          </w:tcPr>
          <w:p w14:paraId="5CACA5D2" w14:textId="79341898" w:rsidR="009739F8" w:rsidRPr="00C4270B" w:rsidRDefault="009739F8" w:rsidP="009739F8">
            <w:pPr>
              <w:pStyle w:val="BodyCopy"/>
              <w:rPr>
                <w:b/>
                <w:bCs/>
                <w:sz w:val="20"/>
                <w:szCs w:val="20"/>
              </w:rPr>
            </w:pPr>
            <w:r w:rsidRPr="00C4270B">
              <w:rPr>
                <w:b/>
                <w:bCs/>
                <w:sz w:val="20"/>
                <w:szCs w:val="20"/>
              </w:rPr>
              <w:t xml:space="preserve">Gap </w:t>
            </w:r>
            <w:r w:rsidR="000046E1" w:rsidRPr="00C4270B">
              <w:rPr>
                <w:b/>
                <w:bCs/>
                <w:sz w:val="20"/>
                <w:szCs w:val="20"/>
              </w:rPr>
              <w:t>(</w:t>
            </w:r>
            <w:r w:rsidRPr="00C4270B">
              <w:rPr>
                <w:b/>
                <w:bCs/>
                <w:sz w:val="20"/>
                <w:szCs w:val="20"/>
              </w:rPr>
              <w:t>%</w:t>
            </w:r>
            <w:r w:rsidR="000046E1" w:rsidRPr="00C4270B">
              <w:rPr>
                <w:b/>
                <w:bCs/>
                <w:sz w:val="20"/>
                <w:szCs w:val="20"/>
              </w:rPr>
              <w:t>)</w:t>
            </w:r>
          </w:p>
        </w:tc>
      </w:tr>
      <w:tr w:rsidR="009739F8" w:rsidRPr="00650B1F" w14:paraId="3A28446F" w14:textId="77777777" w:rsidTr="00887E87">
        <w:trPr>
          <w:trHeight w:val="288"/>
        </w:trPr>
        <w:tc>
          <w:tcPr>
            <w:tcW w:w="2972" w:type="dxa"/>
            <w:noWrap/>
            <w:hideMark/>
          </w:tcPr>
          <w:p w14:paraId="64FDA068" w14:textId="54074E68" w:rsidR="009739F8" w:rsidRPr="00C4270B" w:rsidRDefault="009739F8" w:rsidP="009739F8">
            <w:pPr>
              <w:pStyle w:val="BodyCopy"/>
              <w:rPr>
                <w:sz w:val="20"/>
                <w:szCs w:val="20"/>
              </w:rPr>
            </w:pPr>
            <w:r w:rsidRPr="00C4270B">
              <w:rPr>
                <w:sz w:val="20"/>
                <w:szCs w:val="20"/>
              </w:rPr>
              <w:t xml:space="preserve">Estimated revenue from </w:t>
            </w:r>
            <w:r w:rsidR="00EF03BE">
              <w:rPr>
                <w:sz w:val="20"/>
                <w:szCs w:val="20"/>
              </w:rPr>
              <w:t>heavy vehicle</w:t>
            </w:r>
            <w:r w:rsidRPr="00C4270B">
              <w:rPr>
                <w:sz w:val="20"/>
                <w:szCs w:val="20"/>
              </w:rPr>
              <w:t xml:space="preserve"> </w:t>
            </w:r>
            <w:r w:rsidR="000046E1" w:rsidRPr="00C4270B">
              <w:rPr>
                <w:sz w:val="20"/>
                <w:szCs w:val="20"/>
              </w:rPr>
              <w:t>c</w:t>
            </w:r>
            <w:r w:rsidRPr="00C4270B">
              <w:rPr>
                <w:sz w:val="20"/>
                <w:szCs w:val="20"/>
              </w:rPr>
              <w:t>harges in 202</w:t>
            </w:r>
            <w:r w:rsidR="00137273">
              <w:rPr>
                <w:sz w:val="20"/>
                <w:szCs w:val="20"/>
              </w:rPr>
              <w:t>2</w:t>
            </w:r>
            <w:r w:rsidR="00D66039" w:rsidRPr="00C4270B">
              <w:rPr>
                <w:sz w:val="20"/>
                <w:szCs w:val="20"/>
              </w:rPr>
              <w:t>–</w:t>
            </w:r>
            <w:r w:rsidRPr="00C4270B">
              <w:rPr>
                <w:sz w:val="20"/>
                <w:szCs w:val="20"/>
              </w:rPr>
              <w:t>2</w:t>
            </w:r>
            <w:r w:rsidR="00137273">
              <w:rPr>
                <w:sz w:val="20"/>
                <w:szCs w:val="20"/>
              </w:rPr>
              <w:t xml:space="preserve">3 if </w:t>
            </w:r>
            <w:r w:rsidR="004E3EC0">
              <w:rPr>
                <w:sz w:val="20"/>
                <w:szCs w:val="20"/>
              </w:rPr>
              <w:t>charges were frozen</w:t>
            </w:r>
          </w:p>
        </w:tc>
        <w:tc>
          <w:tcPr>
            <w:tcW w:w="2410" w:type="dxa"/>
            <w:noWrap/>
            <w:hideMark/>
          </w:tcPr>
          <w:p w14:paraId="70FF9696" w14:textId="3757CD1D" w:rsidR="009739F8" w:rsidRPr="00C4270B" w:rsidRDefault="004E3EC0" w:rsidP="009739F8">
            <w:pPr>
              <w:pStyle w:val="BodyCopy"/>
              <w:rPr>
                <w:sz w:val="20"/>
                <w:szCs w:val="20"/>
              </w:rPr>
            </w:pPr>
            <w:r w:rsidRPr="004E3EC0">
              <w:rPr>
                <w:sz w:val="20"/>
                <w:szCs w:val="20"/>
              </w:rPr>
              <w:t>3,440</w:t>
            </w:r>
          </w:p>
        </w:tc>
        <w:tc>
          <w:tcPr>
            <w:tcW w:w="2410" w:type="dxa"/>
            <w:noWrap/>
            <w:hideMark/>
          </w:tcPr>
          <w:p w14:paraId="1840EC69" w14:textId="77777777" w:rsidR="009739F8" w:rsidRPr="00C4270B" w:rsidRDefault="009739F8" w:rsidP="009739F8">
            <w:pPr>
              <w:pStyle w:val="BodyCopy"/>
              <w:rPr>
                <w:sz w:val="20"/>
                <w:szCs w:val="20"/>
              </w:rPr>
            </w:pPr>
            <w:r w:rsidRPr="00C4270B">
              <w:rPr>
                <w:sz w:val="20"/>
                <w:szCs w:val="20"/>
              </w:rPr>
              <w:t> </w:t>
            </w:r>
          </w:p>
        </w:tc>
        <w:tc>
          <w:tcPr>
            <w:tcW w:w="1134" w:type="dxa"/>
            <w:noWrap/>
            <w:hideMark/>
          </w:tcPr>
          <w:p w14:paraId="0DBA2BA0" w14:textId="77777777" w:rsidR="009739F8" w:rsidRPr="00C4270B" w:rsidRDefault="009739F8" w:rsidP="009739F8">
            <w:pPr>
              <w:pStyle w:val="BodyCopy"/>
              <w:rPr>
                <w:sz w:val="20"/>
                <w:szCs w:val="20"/>
              </w:rPr>
            </w:pPr>
            <w:r w:rsidRPr="00C4270B">
              <w:rPr>
                <w:sz w:val="20"/>
                <w:szCs w:val="20"/>
              </w:rPr>
              <w:t> </w:t>
            </w:r>
          </w:p>
        </w:tc>
      </w:tr>
      <w:tr w:rsidR="000F13EC" w:rsidRPr="00650B1F" w14:paraId="24105AA5" w14:textId="77777777" w:rsidTr="00887E87">
        <w:trPr>
          <w:trHeight w:val="288"/>
        </w:trPr>
        <w:tc>
          <w:tcPr>
            <w:tcW w:w="2972" w:type="dxa"/>
            <w:noWrap/>
            <w:hideMark/>
          </w:tcPr>
          <w:p w14:paraId="35D62FB7" w14:textId="7EB30D1A" w:rsidR="000F13EC" w:rsidRPr="00C4270B" w:rsidRDefault="000F13EC" w:rsidP="000F13EC">
            <w:pPr>
              <w:pStyle w:val="BodyCopy"/>
              <w:rPr>
                <w:sz w:val="20"/>
                <w:szCs w:val="20"/>
              </w:rPr>
            </w:pPr>
            <w:r w:rsidRPr="00C4270B">
              <w:rPr>
                <w:sz w:val="20"/>
                <w:szCs w:val="20"/>
              </w:rPr>
              <w:t xml:space="preserve">2021–22 </w:t>
            </w:r>
            <w:r>
              <w:rPr>
                <w:sz w:val="20"/>
                <w:szCs w:val="20"/>
              </w:rPr>
              <w:t>heavy vehicle</w:t>
            </w:r>
            <w:r w:rsidRPr="00C4270B">
              <w:rPr>
                <w:sz w:val="20"/>
                <w:szCs w:val="20"/>
              </w:rPr>
              <w:t xml:space="preserve"> cost base – current</w:t>
            </w:r>
          </w:p>
        </w:tc>
        <w:tc>
          <w:tcPr>
            <w:tcW w:w="2410" w:type="dxa"/>
            <w:noWrap/>
            <w:hideMark/>
          </w:tcPr>
          <w:p w14:paraId="74F14DB4" w14:textId="3E64A980" w:rsidR="000F13EC" w:rsidRPr="00C4270B" w:rsidRDefault="00B16AFD" w:rsidP="000F13EC">
            <w:pPr>
              <w:pStyle w:val="BodyCopy"/>
              <w:rPr>
                <w:sz w:val="20"/>
                <w:szCs w:val="20"/>
              </w:rPr>
            </w:pPr>
            <w:r w:rsidRPr="00B16AFD">
              <w:rPr>
                <w:sz w:val="20"/>
                <w:szCs w:val="20"/>
              </w:rPr>
              <w:t>4,217</w:t>
            </w:r>
          </w:p>
        </w:tc>
        <w:tc>
          <w:tcPr>
            <w:tcW w:w="2410" w:type="dxa"/>
            <w:noWrap/>
            <w:hideMark/>
          </w:tcPr>
          <w:p w14:paraId="683EE481" w14:textId="36C776C8" w:rsidR="000F13EC" w:rsidRPr="000F13EC" w:rsidRDefault="00B16AFD" w:rsidP="000F13EC">
            <w:pPr>
              <w:pStyle w:val="BodyCopy"/>
              <w:rPr>
                <w:sz w:val="20"/>
                <w:szCs w:val="20"/>
              </w:rPr>
            </w:pPr>
            <w:r w:rsidRPr="00B16AFD">
              <w:rPr>
                <w:sz w:val="20"/>
                <w:szCs w:val="20"/>
              </w:rPr>
              <w:t>777</w:t>
            </w:r>
          </w:p>
        </w:tc>
        <w:tc>
          <w:tcPr>
            <w:tcW w:w="1134" w:type="dxa"/>
            <w:noWrap/>
            <w:hideMark/>
          </w:tcPr>
          <w:p w14:paraId="4FD11B47" w14:textId="1D24A3FC" w:rsidR="000F13EC" w:rsidRPr="000F13EC" w:rsidRDefault="00C2269B" w:rsidP="000F13EC">
            <w:pPr>
              <w:pStyle w:val="BodyCopy"/>
              <w:rPr>
                <w:sz w:val="20"/>
                <w:szCs w:val="20"/>
              </w:rPr>
            </w:pPr>
            <w:r w:rsidRPr="00C2269B">
              <w:rPr>
                <w:sz w:val="20"/>
                <w:szCs w:val="20"/>
              </w:rPr>
              <w:t>22.6</w:t>
            </w:r>
          </w:p>
        </w:tc>
      </w:tr>
      <w:tr w:rsidR="000F13EC" w:rsidRPr="00650B1F" w14:paraId="5388BEA2" w14:textId="77777777" w:rsidTr="00887E87">
        <w:trPr>
          <w:trHeight w:val="288"/>
        </w:trPr>
        <w:tc>
          <w:tcPr>
            <w:tcW w:w="2972" w:type="dxa"/>
            <w:noWrap/>
            <w:hideMark/>
          </w:tcPr>
          <w:p w14:paraId="22723C57" w14:textId="3AA66620" w:rsidR="000F13EC" w:rsidRPr="00C4270B" w:rsidRDefault="000F13EC" w:rsidP="000F13EC">
            <w:pPr>
              <w:pStyle w:val="BodyCopy"/>
              <w:rPr>
                <w:sz w:val="20"/>
                <w:szCs w:val="20"/>
              </w:rPr>
            </w:pPr>
            <w:r w:rsidRPr="00C4270B">
              <w:rPr>
                <w:sz w:val="20"/>
                <w:szCs w:val="20"/>
              </w:rPr>
              <w:t xml:space="preserve">2021–22 </w:t>
            </w:r>
            <w:r>
              <w:rPr>
                <w:sz w:val="20"/>
                <w:szCs w:val="20"/>
              </w:rPr>
              <w:t>heavy vehicle</w:t>
            </w:r>
            <w:r w:rsidRPr="00C4270B">
              <w:rPr>
                <w:sz w:val="20"/>
                <w:szCs w:val="20"/>
              </w:rPr>
              <w:t xml:space="preserve"> cost base – modified current</w:t>
            </w:r>
          </w:p>
        </w:tc>
        <w:tc>
          <w:tcPr>
            <w:tcW w:w="2410" w:type="dxa"/>
            <w:noWrap/>
            <w:hideMark/>
          </w:tcPr>
          <w:p w14:paraId="1381ABA0" w14:textId="21B3BF68" w:rsidR="000F13EC" w:rsidRPr="00C4270B" w:rsidRDefault="00B16AFD" w:rsidP="000F13EC">
            <w:pPr>
              <w:pStyle w:val="BodyCopy"/>
              <w:rPr>
                <w:sz w:val="20"/>
                <w:szCs w:val="20"/>
              </w:rPr>
            </w:pPr>
            <w:r w:rsidRPr="00B16AFD">
              <w:rPr>
                <w:sz w:val="20"/>
                <w:szCs w:val="20"/>
              </w:rPr>
              <w:t>4,516</w:t>
            </w:r>
          </w:p>
        </w:tc>
        <w:tc>
          <w:tcPr>
            <w:tcW w:w="2410" w:type="dxa"/>
            <w:noWrap/>
            <w:hideMark/>
          </w:tcPr>
          <w:p w14:paraId="70A1E0AE" w14:textId="07C2CFDA" w:rsidR="000F13EC" w:rsidRPr="000F13EC" w:rsidRDefault="00C2269B" w:rsidP="000F13EC">
            <w:pPr>
              <w:pStyle w:val="BodyCopy"/>
              <w:rPr>
                <w:sz w:val="20"/>
                <w:szCs w:val="20"/>
              </w:rPr>
            </w:pPr>
            <w:r w:rsidRPr="00C2269B">
              <w:rPr>
                <w:sz w:val="20"/>
                <w:szCs w:val="20"/>
              </w:rPr>
              <w:t>1,076</w:t>
            </w:r>
          </w:p>
        </w:tc>
        <w:tc>
          <w:tcPr>
            <w:tcW w:w="1134" w:type="dxa"/>
            <w:noWrap/>
            <w:hideMark/>
          </w:tcPr>
          <w:p w14:paraId="0D355EF6" w14:textId="57AC9438" w:rsidR="000F13EC" w:rsidRPr="000F13EC" w:rsidRDefault="00C2269B" w:rsidP="000F13EC">
            <w:pPr>
              <w:pStyle w:val="BodyCopy"/>
              <w:rPr>
                <w:sz w:val="20"/>
                <w:szCs w:val="20"/>
              </w:rPr>
            </w:pPr>
            <w:r w:rsidRPr="00C2269B">
              <w:rPr>
                <w:sz w:val="20"/>
                <w:szCs w:val="20"/>
              </w:rPr>
              <w:t>31.3</w:t>
            </w:r>
          </w:p>
        </w:tc>
      </w:tr>
      <w:tr w:rsidR="000F13EC" w:rsidRPr="00650B1F" w14:paraId="218F0952" w14:textId="77777777" w:rsidTr="00887E87">
        <w:trPr>
          <w:trHeight w:val="288"/>
        </w:trPr>
        <w:tc>
          <w:tcPr>
            <w:tcW w:w="2972" w:type="dxa"/>
            <w:noWrap/>
            <w:hideMark/>
          </w:tcPr>
          <w:p w14:paraId="400640B1" w14:textId="547EE149" w:rsidR="000F13EC" w:rsidRPr="00C4270B" w:rsidRDefault="000F13EC" w:rsidP="000F13EC">
            <w:pPr>
              <w:pStyle w:val="BodyCopy"/>
              <w:rPr>
                <w:sz w:val="20"/>
                <w:szCs w:val="20"/>
              </w:rPr>
            </w:pPr>
            <w:r w:rsidRPr="00C4270B">
              <w:rPr>
                <w:sz w:val="20"/>
                <w:szCs w:val="20"/>
              </w:rPr>
              <w:t>2021–22 cost base VIC DTF/DOT</w:t>
            </w:r>
          </w:p>
        </w:tc>
        <w:tc>
          <w:tcPr>
            <w:tcW w:w="2410" w:type="dxa"/>
            <w:noWrap/>
            <w:hideMark/>
          </w:tcPr>
          <w:p w14:paraId="4AEC9919" w14:textId="12BF00C3" w:rsidR="000F13EC" w:rsidRPr="00C4270B" w:rsidRDefault="00B16AFD" w:rsidP="000F13EC">
            <w:pPr>
              <w:pStyle w:val="BodyCopy"/>
              <w:rPr>
                <w:sz w:val="20"/>
                <w:szCs w:val="20"/>
              </w:rPr>
            </w:pPr>
            <w:r w:rsidRPr="00B16AFD">
              <w:rPr>
                <w:sz w:val="20"/>
                <w:szCs w:val="20"/>
              </w:rPr>
              <w:t>4,919</w:t>
            </w:r>
          </w:p>
        </w:tc>
        <w:tc>
          <w:tcPr>
            <w:tcW w:w="2410" w:type="dxa"/>
            <w:noWrap/>
            <w:hideMark/>
          </w:tcPr>
          <w:p w14:paraId="71BA22E7" w14:textId="448CF934" w:rsidR="000F13EC" w:rsidRPr="000F13EC" w:rsidRDefault="00C2269B" w:rsidP="000F13EC">
            <w:pPr>
              <w:pStyle w:val="BodyCopy"/>
              <w:rPr>
                <w:sz w:val="20"/>
                <w:szCs w:val="20"/>
              </w:rPr>
            </w:pPr>
            <w:r w:rsidRPr="00C2269B">
              <w:rPr>
                <w:sz w:val="20"/>
                <w:szCs w:val="20"/>
              </w:rPr>
              <w:t>1,478</w:t>
            </w:r>
          </w:p>
        </w:tc>
        <w:tc>
          <w:tcPr>
            <w:tcW w:w="1134" w:type="dxa"/>
            <w:noWrap/>
            <w:hideMark/>
          </w:tcPr>
          <w:p w14:paraId="0CD9FB6C" w14:textId="6F411ADA" w:rsidR="000F13EC" w:rsidRPr="000F13EC" w:rsidRDefault="00C2269B" w:rsidP="000F13EC">
            <w:pPr>
              <w:pStyle w:val="BodyCopy"/>
              <w:rPr>
                <w:sz w:val="20"/>
                <w:szCs w:val="20"/>
              </w:rPr>
            </w:pPr>
            <w:r w:rsidRPr="00C2269B">
              <w:rPr>
                <w:sz w:val="20"/>
                <w:szCs w:val="20"/>
              </w:rPr>
              <w:t>43.0</w:t>
            </w:r>
          </w:p>
        </w:tc>
      </w:tr>
    </w:tbl>
    <w:p w14:paraId="3889E725" w14:textId="09068137" w:rsidR="00D03D3D" w:rsidRDefault="00D03D3D" w:rsidP="00D03D3D">
      <w:pPr>
        <w:pStyle w:val="BodyCopy"/>
      </w:pPr>
      <w:r>
        <w:t>The decision between these options needs to focus on the following considerations:</w:t>
      </w:r>
    </w:p>
    <w:p w14:paraId="5997CC82" w14:textId="340A0AD4" w:rsidR="00D03D3D" w:rsidRDefault="009D1E1B" w:rsidP="00A621B8">
      <w:pPr>
        <w:pStyle w:val="List-bulletlvl1"/>
      </w:pPr>
      <w:r>
        <w:t>T</w:t>
      </w:r>
      <w:r w:rsidR="00D03D3D">
        <w:t xml:space="preserve">he revenue from current heavy vehicle charges is insufficient to recover the heavy vehicle cost base under the </w:t>
      </w:r>
      <w:r w:rsidR="000046E1">
        <w:t>c</w:t>
      </w:r>
      <w:r w:rsidR="00D03D3D">
        <w:t xml:space="preserve">urrent cost allocation approach. Changing cost allocators will increase </w:t>
      </w:r>
      <w:r>
        <w:t>this gap.</w:t>
      </w:r>
    </w:p>
    <w:p w14:paraId="58A863B5" w14:textId="2641053E" w:rsidR="009D1E1B" w:rsidRDefault="009D1E1B" w:rsidP="00A621B8">
      <w:pPr>
        <w:pStyle w:val="List-bulletlvl1"/>
      </w:pPr>
      <w:r>
        <w:t xml:space="preserve">The </w:t>
      </w:r>
      <w:r w:rsidR="000046E1">
        <w:t>m</w:t>
      </w:r>
      <w:r>
        <w:t xml:space="preserve">odified </w:t>
      </w:r>
      <w:r w:rsidR="000046E1">
        <w:t>c</w:t>
      </w:r>
      <w:r>
        <w:t xml:space="preserve">urrent approach represents a small technical change to the </w:t>
      </w:r>
      <w:r w:rsidR="000046E1">
        <w:t>c</w:t>
      </w:r>
      <w:r>
        <w:t>urrent approach</w:t>
      </w:r>
      <w:r w:rsidR="00EF03BE">
        <w:t>,</w:t>
      </w:r>
      <w:r>
        <w:t xml:space="preserve"> which seeks to better reflect the relationship between vehicle weight and road wear. </w:t>
      </w:r>
    </w:p>
    <w:p w14:paraId="3016D95F" w14:textId="64CF8C07" w:rsidR="009D1E1B" w:rsidRDefault="009D1E1B" w:rsidP="00A621B8">
      <w:pPr>
        <w:pStyle w:val="List-bulletlvl1"/>
      </w:pPr>
      <w:r>
        <w:t xml:space="preserve">The VIC DTF/DOT approach is a fundamental departure from the </w:t>
      </w:r>
      <w:r w:rsidR="000046E1">
        <w:t>c</w:t>
      </w:r>
      <w:r>
        <w:t xml:space="preserve">urrent and </w:t>
      </w:r>
      <w:r w:rsidR="000046E1">
        <w:t>m</w:t>
      </w:r>
      <w:r>
        <w:t xml:space="preserve">odified </w:t>
      </w:r>
      <w:r w:rsidR="000046E1">
        <w:t>c</w:t>
      </w:r>
      <w:r>
        <w:t xml:space="preserve">urrent approaches. It is based on Victorian </w:t>
      </w:r>
      <w:r w:rsidR="00EF03BE">
        <w:t>d</w:t>
      </w:r>
      <w:r>
        <w:t xml:space="preserve">ata only and has not yet been externally reviewed. </w:t>
      </w:r>
    </w:p>
    <w:p w14:paraId="5610C91B" w14:textId="47541D88" w:rsidR="009D1E1B" w:rsidRDefault="009D1E1B" w:rsidP="009D1E1B">
      <w:pPr>
        <w:pStyle w:val="List-bulletlvl1"/>
      </w:pPr>
      <w:r>
        <w:t>The choice between cost allocation approaches is one of judgement based on wider considerations rather than</w:t>
      </w:r>
      <w:r w:rsidR="00C14E27">
        <w:t xml:space="preserve"> pure economic or</w:t>
      </w:r>
      <w:r>
        <w:t xml:space="preserve"> scientific analysis.</w:t>
      </w:r>
    </w:p>
    <w:p w14:paraId="638A1610" w14:textId="7D81AC00" w:rsidR="00D66F06" w:rsidRDefault="00D66F06" w:rsidP="00877541">
      <w:pPr>
        <w:pStyle w:val="BodyCopy"/>
        <w:keepNext/>
        <w:rPr>
          <w:szCs w:val="22"/>
        </w:rPr>
      </w:pPr>
      <w:r>
        <w:rPr>
          <w:b/>
          <w:bCs/>
        </w:rPr>
        <w:t xml:space="preserve">Implementation </w:t>
      </w:r>
      <w:r w:rsidR="00272BD6">
        <w:rPr>
          <w:b/>
          <w:bCs/>
        </w:rPr>
        <w:t>o</w:t>
      </w:r>
      <w:r>
        <w:rPr>
          <w:b/>
          <w:bCs/>
        </w:rPr>
        <w:t>ptions</w:t>
      </w:r>
    </w:p>
    <w:p w14:paraId="580FAF13" w14:textId="2B4CA835" w:rsidR="00D66F06" w:rsidRDefault="00B80348" w:rsidP="00633194">
      <w:pPr>
        <w:pStyle w:val="BodyCopy"/>
      </w:pPr>
      <w:r>
        <w:t>I</w:t>
      </w:r>
      <w:r w:rsidR="00CA6831">
        <w:t>n line with the pricing principles, the objective of the determination is to deliver full cost recovery</w:t>
      </w:r>
      <w:r w:rsidR="00E21087">
        <w:t xml:space="preserve"> over time.</w:t>
      </w:r>
      <w:r w:rsidR="00CA6831">
        <w:t xml:space="preserve"> Direct implementation is the</w:t>
      </w:r>
      <w:r w:rsidR="00D66F06">
        <w:t xml:space="preserve"> approach </w:t>
      </w:r>
      <w:r w:rsidR="009D1E1B">
        <w:t>followed in</w:t>
      </w:r>
      <w:r w:rsidR="00D66F06">
        <w:t xml:space="preserve"> most previous determinations and would move immediately</w:t>
      </w:r>
      <w:r w:rsidR="00EF03BE">
        <w:t xml:space="preserve"> to</w:t>
      </w:r>
      <w:r w:rsidR="00D66F06">
        <w:t xml:space="preserve"> </w:t>
      </w:r>
      <w:r w:rsidR="00CA6831">
        <w:t xml:space="preserve">full cost recovery. </w:t>
      </w:r>
      <w:r w:rsidR="00D66F06">
        <w:t xml:space="preserve">This would require an increase </w:t>
      </w:r>
      <w:r w:rsidR="008E5B9B">
        <w:t>in heavy vehicle charges of at</w:t>
      </w:r>
      <w:r w:rsidR="004D1A34">
        <w:t xml:space="preserve"> </w:t>
      </w:r>
      <w:r w:rsidR="008E5B9B">
        <w:t>least 22.6 per cent in 2022–23.</w:t>
      </w:r>
      <w:r w:rsidR="00830D17">
        <w:t xml:space="preserve"> </w:t>
      </w:r>
    </w:p>
    <w:p w14:paraId="3BDC85DF" w14:textId="0AC78F42" w:rsidR="00CA6831" w:rsidRDefault="00D66F06" w:rsidP="00633194">
      <w:pPr>
        <w:pStyle w:val="BodyCopy"/>
      </w:pPr>
      <w:r>
        <w:lastRenderedPageBreak/>
        <w:t>T</w:t>
      </w:r>
      <w:r w:rsidR="00CA6831">
        <w:t>he current economic conditions</w:t>
      </w:r>
      <w:r w:rsidR="00B943FB">
        <w:t>,</w:t>
      </w:r>
      <w:r w:rsidR="00CA6831">
        <w:t xml:space="preserve"> the impact of </w:t>
      </w:r>
      <w:r w:rsidR="00272BD6">
        <w:t>COVID</w:t>
      </w:r>
      <w:r w:rsidR="00CA6831">
        <w:t>-19</w:t>
      </w:r>
      <w:r>
        <w:t xml:space="preserve">, </w:t>
      </w:r>
      <w:r w:rsidR="00D03D3D">
        <w:t xml:space="preserve">and questions around the ability of </w:t>
      </w:r>
      <w:r w:rsidR="00D03D3D" w:rsidRPr="00633194">
        <w:t>industry</w:t>
      </w:r>
      <w:r w:rsidR="00D03D3D">
        <w:t xml:space="preserve"> to absorb such a significant increase in charges make it questionable whether this</w:t>
      </w:r>
      <w:r w:rsidR="00CA6831">
        <w:t xml:space="preserve"> option</w:t>
      </w:r>
      <w:r w:rsidR="00D03D3D">
        <w:t xml:space="preserve"> is</w:t>
      </w:r>
      <w:r w:rsidR="00CA6831">
        <w:t xml:space="preserve"> feasible.</w:t>
      </w:r>
      <w:r w:rsidR="00830D17">
        <w:t xml:space="preserve"> </w:t>
      </w:r>
      <w:r w:rsidR="00CA6831">
        <w:t xml:space="preserve">The </w:t>
      </w:r>
      <w:r w:rsidR="009F0EA2">
        <w:t>D</w:t>
      </w:r>
      <w:r w:rsidR="00B25452">
        <w:t>-</w:t>
      </w:r>
      <w:r w:rsidR="00CA6831">
        <w:t>RIS has therefore explored two other</w:t>
      </w:r>
      <w:r w:rsidR="00D03D3D">
        <w:t xml:space="preserve"> </w:t>
      </w:r>
      <w:r w:rsidR="00CA6831">
        <w:t>options</w:t>
      </w:r>
      <w:r w:rsidR="00D03D3D">
        <w:t xml:space="preserve"> that seek to moderate the impact on industry</w:t>
      </w:r>
      <w:r w:rsidR="00CA6831">
        <w:t>.</w:t>
      </w:r>
      <w:r w:rsidR="00830D17">
        <w:t xml:space="preserve"> </w:t>
      </w:r>
    </w:p>
    <w:p w14:paraId="510EEA3F" w14:textId="6E2AFC63" w:rsidR="00E21087" w:rsidRDefault="00E21087" w:rsidP="00877541">
      <w:pPr>
        <w:pStyle w:val="BodyCopy"/>
      </w:pPr>
      <w:r>
        <w:t>An alternative</w:t>
      </w:r>
      <w:r w:rsidR="00D03D3D">
        <w:t xml:space="preserve"> to an immediate move to full cost recovery</w:t>
      </w:r>
      <w:r>
        <w:t xml:space="preserve"> is to consider </w:t>
      </w:r>
      <w:r w:rsidR="00D03D3D">
        <w:t>a</w:t>
      </w:r>
      <w:r>
        <w:t xml:space="preserve"> multi-year price path</w:t>
      </w:r>
      <w:r w:rsidR="0094035F">
        <w:t xml:space="preserve"> that would seek to</w:t>
      </w:r>
      <w:r w:rsidR="00D03D3D">
        <w:t xml:space="preserve"> move towards recovering costs</w:t>
      </w:r>
      <w:r w:rsidR="0094035F">
        <w:t xml:space="preserve"> over a longer timeframe</w:t>
      </w:r>
      <w:r>
        <w:t>.</w:t>
      </w:r>
      <w:r w:rsidR="00830D17">
        <w:t xml:space="preserve"> </w:t>
      </w:r>
      <w:r>
        <w:t>Setting charges for multiple years would allow the transition to</w:t>
      </w:r>
      <w:r w:rsidR="00D03D3D">
        <w:t>wards</w:t>
      </w:r>
      <w:r>
        <w:t xml:space="preserve"> full cost recovery to begin at a measured pace in a way that recognises the cost recovery principle underpinning PAYGO while also recognising that moving to full cost recovery immediately would impose an unreasonable burden on heavy vehicle operators. </w:t>
      </w:r>
    </w:p>
    <w:p w14:paraId="10918E13" w14:textId="73EB9B58" w:rsidR="00B80348" w:rsidRDefault="00B80348" w:rsidP="00877541">
      <w:pPr>
        <w:pStyle w:val="BodyCopy"/>
      </w:pPr>
      <w:r>
        <w:t xml:space="preserve">Agreeing a multi-year price path </w:t>
      </w:r>
      <w:r w:rsidR="003332E8">
        <w:t>has</w:t>
      </w:r>
      <w:r>
        <w:t xml:space="preserve"> the potential to reduce administrative and compliance costs for governments and industry.</w:t>
      </w:r>
      <w:r w:rsidR="00830D17">
        <w:t xml:space="preserve"> </w:t>
      </w:r>
    </w:p>
    <w:p w14:paraId="74987AD5" w14:textId="4EBC5FB4" w:rsidR="00B80348" w:rsidRDefault="00B80348" w:rsidP="00877541">
      <w:pPr>
        <w:pStyle w:val="BodyCopy"/>
      </w:pPr>
      <w:r>
        <w:t>A defined price path may offer additional advantages in that it would provide industry with certainty about the heavy vehicle charges that would apply in the medium term, allowing vehicle operators to make better pricing decisions and reflect them in contracts.</w:t>
      </w:r>
      <w:r w:rsidR="00830D17">
        <w:t xml:space="preserve"> </w:t>
      </w:r>
    </w:p>
    <w:p w14:paraId="6B9C6BF9" w14:textId="7725FA49" w:rsidR="00E21087" w:rsidRDefault="00E21087">
      <w:pPr>
        <w:pStyle w:val="BodyCopy"/>
      </w:pPr>
      <w:r>
        <w:t xml:space="preserve">We </w:t>
      </w:r>
      <w:r w:rsidR="00B943FB">
        <w:t xml:space="preserve">have explored </w:t>
      </w:r>
      <w:r>
        <w:t>options for a three-year price path as the best compromise between providing certainty and reducing the risk of the gap between the heavy vehicle cost base and heavy vehicle charges revenue widening significantly during the price period.</w:t>
      </w:r>
      <w:r w:rsidR="00830D17">
        <w:t xml:space="preserve"> </w:t>
      </w:r>
    </w:p>
    <w:p w14:paraId="66A65150" w14:textId="4A82F551" w:rsidR="002B4A5B" w:rsidRDefault="00B80348">
      <w:pPr>
        <w:pStyle w:val="BodyCopy"/>
      </w:pPr>
      <w:r>
        <w:t>In consideration of the range of complexities</w:t>
      </w:r>
      <w:r w:rsidR="00244A71">
        <w:t>, the following</w:t>
      </w:r>
      <w:r w:rsidR="002B4A5B">
        <w:t xml:space="preserve"> implementation options</w:t>
      </w:r>
      <w:r w:rsidR="00D03D3D">
        <w:t xml:space="preserve"> </w:t>
      </w:r>
      <w:r w:rsidR="00244A71">
        <w:t xml:space="preserve">are </w:t>
      </w:r>
      <w:r w:rsidR="00D03D3D">
        <w:t xml:space="preserve">explored in this </w:t>
      </w:r>
      <w:r w:rsidR="009F0EA2">
        <w:t>D</w:t>
      </w:r>
      <w:r w:rsidR="00D03D3D">
        <w:t>-RIS</w:t>
      </w:r>
      <w:r w:rsidR="002B4A5B">
        <w:t>:</w:t>
      </w:r>
    </w:p>
    <w:p w14:paraId="158A5CA1" w14:textId="6C80C5DE" w:rsidR="002B4A5B" w:rsidRDefault="002B4A5B" w:rsidP="002B4A5B">
      <w:pPr>
        <w:pStyle w:val="List-bulletlvl1"/>
      </w:pPr>
      <w:r>
        <w:t>Direct implementation in 2022</w:t>
      </w:r>
      <w:r w:rsidR="00D66039">
        <w:t>–</w:t>
      </w:r>
      <w:r>
        <w:t>23 with automatic annual adjustments to ensure full recovery of the identified heavy vehicle cost base in subsequent years</w:t>
      </w:r>
      <w:r w:rsidR="00CA6831">
        <w:t>.</w:t>
      </w:r>
      <w:r w:rsidR="00830D17">
        <w:t xml:space="preserve"> </w:t>
      </w:r>
      <w:r w:rsidR="00CA6831">
        <w:t>This is the baseline option.</w:t>
      </w:r>
    </w:p>
    <w:p w14:paraId="3886ABB7" w14:textId="34B4EFEF" w:rsidR="007B4E63" w:rsidRDefault="007B4E63" w:rsidP="002B4A5B">
      <w:pPr>
        <w:pStyle w:val="List-bulletlvl1"/>
      </w:pPr>
      <w:r>
        <w:t xml:space="preserve">Three-year fixed price implementation pathway where </w:t>
      </w:r>
      <w:r w:rsidR="00780C7E">
        <w:t>transport ministers</w:t>
      </w:r>
      <w:r>
        <w:t xml:space="preserve"> agree to fixed yearly price changes for three years</w:t>
      </w:r>
      <w:r w:rsidR="0055055F">
        <w:t>:</w:t>
      </w:r>
    </w:p>
    <w:p w14:paraId="78105BE9" w14:textId="28584C45" w:rsidR="002B4A5B" w:rsidRDefault="008A1D1A" w:rsidP="00357D40">
      <w:pPr>
        <w:pStyle w:val="List-bulletlvl2"/>
      </w:pPr>
      <w:r>
        <w:t xml:space="preserve">Pathway </w:t>
      </w:r>
      <w:r w:rsidR="007B4E63">
        <w:t>1</w:t>
      </w:r>
      <w:r w:rsidR="002B4A5B">
        <w:t>: Three-year price path with</w:t>
      </w:r>
      <w:r w:rsidR="001C34F9">
        <w:t xml:space="preserve"> average</w:t>
      </w:r>
      <w:r w:rsidR="002B4A5B">
        <w:t xml:space="preserve"> increases of </w:t>
      </w:r>
      <w:r w:rsidR="002F7374">
        <w:t>2.75, 3</w:t>
      </w:r>
      <w:r w:rsidR="00E30B83">
        <w:t>.0</w:t>
      </w:r>
      <w:r w:rsidR="002F7374">
        <w:t xml:space="preserve"> and </w:t>
      </w:r>
      <w:r w:rsidR="002B4A5B">
        <w:t>3.5</w:t>
      </w:r>
      <w:r w:rsidR="00272BD6">
        <w:t xml:space="preserve"> per cent</w:t>
      </w:r>
      <w:r w:rsidR="002B4A5B">
        <w:t xml:space="preserve"> per annum over the three years</w:t>
      </w:r>
      <w:r w:rsidR="00E21087">
        <w:t>.</w:t>
      </w:r>
      <w:r w:rsidR="00830D17">
        <w:t xml:space="preserve"> </w:t>
      </w:r>
      <w:r w:rsidR="00E21087">
        <w:t>The</w:t>
      </w:r>
      <w:r w:rsidR="002555F2">
        <w:t>se yearly</w:t>
      </w:r>
      <w:r w:rsidR="00E21087">
        <w:t xml:space="preserve"> increases</w:t>
      </w:r>
      <w:r w:rsidR="002555F2">
        <w:t xml:space="preserve"> reflect a compromise between the need of governments t</w:t>
      </w:r>
      <w:r w:rsidR="002B1C56">
        <w:t xml:space="preserve">o recover increasing expenditure on roads and </w:t>
      </w:r>
      <w:r w:rsidR="000C59CD">
        <w:t>managing the impact on heavy vehicle operators.</w:t>
      </w:r>
      <w:r w:rsidR="00E21087">
        <w:t xml:space="preserve"> </w:t>
      </w:r>
    </w:p>
    <w:p w14:paraId="26A2E82A" w14:textId="108835DB" w:rsidR="002B4A5B" w:rsidRDefault="008A1D1A" w:rsidP="00357D40">
      <w:pPr>
        <w:pStyle w:val="List-bulletlvl2"/>
      </w:pPr>
      <w:r>
        <w:t xml:space="preserve">Pathway </w:t>
      </w:r>
      <w:r w:rsidR="002B4A5B">
        <w:t>2: Three-year price path with average increases of 6</w:t>
      </w:r>
      <w:r w:rsidR="00272BD6">
        <w:t xml:space="preserve"> per cent</w:t>
      </w:r>
      <w:r w:rsidR="002B4A5B">
        <w:t xml:space="preserve"> per annum over the three years</w:t>
      </w:r>
      <w:r w:rsidR="004937B0">
        <w:t xml:space="preserve">. This option would see charges increase </w:t>
      </w:r>
      <w:r w:rsidR="000C59CD">
        <w:t>faster than under pathway</w:t>
      </w:r>
      <w:r w:rsidR="00117DEC">
        <w:t xml:space="preserve"> 1</w:t>
      </w:r>
      <w:r w:rsidR="000C59CD">
        <w:t xml:space="preserve"> </w:t>
      </w:r>
      <w:r w:rsidR="004937B0">
        <w:t xml:space="preserve">in an attempt to move closer to full cost recovery </w:t>
      </w:r>
      <w:r w:rsidR="00B83B30">
        <w:t>faster.</w:t>
      </w:r>
      <w:r w:rsidR="004937B0">
        <w:t xml:space="preserve"> </w:t>
      </w:r>
    </w:p>
    <w:p w14:paraId="431E7993" w14:textId="5486D252" w:rsidR="00633194" w:rsidRDefault="00D03D3D" w:rsidP="00877541">
      <w:pPr>
        <w:pStyle w:val="BodyCopy"/>
      </w:pPr>
      <w:r>
        <w:t xml:space="preserve">The NTC considers that the choice between the three implementation options lies in the trade-off between achieving cost recovery over time and the need to consider the impact on industry, with particular </w:t>
      </w:r>
      <w:r w:rsidRPr="00633194">
        <w:t>consideration</w:t>
      </w:r>
      <w:r>
        <w:t xml:space="preserve"> for equity issues such as the likely impact on remote and rural communities. </w:t>
      </w:r>
    </w:p>
    <w:p w14:paraId="250F1083" w14:textId="533F83BB" w:rsidR="00E71F91" w:rsidRPr="00FB2E3E" w:rsidRDefault="002463D2" w:rsidP="00FB2E3E">
      <w:pPr>
        <w:pStyle w:val="BodyCopy"/>
        <w:pBdr>
          <w:bottom w:val="single" w:sz="4" w:space="4" w:color="000000"/>
        </w:pBdr>
        <w:spacing w:before="360"/>
        <w:rPr>
          <w:b/>
          <w:sz w:val="28"/>
          <w:szCs w:val="28"/>
        </w:rPr>
      </w:pPr>
      <w:r>
        <w:rPr>
          <w:b/>
          <w:sz w:val="28"/>
          <w:szCs w:val="28"/>
        </w:rPr>
        <w:t>Stakeholder submissions and feedback</w:t>
      </w:r>
    </w:p>
    <w:p w14:paraId="3EF180CF" w14:textId="00CE5E00" w:rsidR="00B943FB" w:rsidRDefault="00EE63AD" w:rsidP="00311E59">
      <w:pPr>
        <w:pStyle w:val="BodyCopy"/>
      </w:pPr>
      <w:r>
        <w:t>In respect of t</w:t>
      </w:r>
      <w:r w:rsidR="00EB01B7">
        <w:t>he technical changes</w:t>
      </w:r>
      <w:r w:rsidR="00FF3178">
        <w:t xml:space="preserve"> proposed in the C-RIS</w:t>
      </w:r>
      <w:r w:rsidR="00EB01B7">
        <w:t>, the NTC’s</w:t>
      </w:r>
      <w:r w:rsidR="00954B95">
        <w:t xml:space="preserve"> recommendations</w:t>
      </w:r>
      <w:r w:rsidR="00EB01B7">
        <w:t xml:space="preserve"> were generally supported for</w:t>
      </w:r>
      <w:r w:rsidR="00D00A3B">
        <w:t>:</w:t>
      </w:r>
      <w:r w:rsidR="00EB01B7">
        <w:t xml:space="preserve"> </w:t>
      </w:r>
      <w:r w:rsidR="00C81C7B">
        <w:t>retaining the existing PAYGO expenditure categories</w:t>
      </w:r>
      <w:r w:rsidR="00D00A3B">
        <w:t>;</w:t>
      </w:r>
      <w:r w:rsidR="00C81C7B">
        <w:t xml:space="preserve"> </w:t>
      </w:r>
      <w:r w:rsidR="00A87596">
        <w:t xml:space="preserve">the proposed approaches for </w:t>
      </w:r>
      <w:r w:rsidR="0008436D">
        <w:t>usage data</w:t>
      </w:r>
      <w:r w:rsidR="00FB0DCC">
        <w:t xml:space="preserve"> and the</w:t>
      </w:r>
      <w:r w:rsidR="00A87596">
        <w:t xml:space="preserve"> treatment of electric vehicles</w:t>
      </w:r>
      <w:r w:rsidR="00D00A3B">
        <w:t>;</w:t>
      </w:r>
      <w:r w:rsidR="00A87596">
        <w:t xml:space="preserve"> </w:t>
      </w:r>
      <w:r w:rsidR="00D00A3B">
        <w:t xml:space="preserve">using </w:t>
      </w:r>
      <w:r w:rsidR="00A87596">
        <w:t>the</w:t>
      </w:r>
      <w:r w:rsidR="0008436D">
        <w:t xml:space="preserve"> </w:t>
      </w:r>
      <w:r w:rsidR="009C1E4C">
        <w:t>updated</w:t>
      </w:r>
      <w:r w:rsidR="007346F1">
        <w:t xml:space="preserve"> ESA values</w:t>
      </w:r>
      <w:r w:rsidR="00D00A3B">
        <w:t>;</w:t>
      </w:r>
      <w:r w:rsidR="007346F1">
        <w:t xml:space="preserve"> </w:t>
      </w:r>
      <w:r w:rsidR="00A87596">
        <w:t xml:space="preserve">removing </w:t>
      </w:r>
      <w:r w:rsidR="00EB01B7">
        <w:t>MaxMan</w:t>
      </w:r>
      <w:r w:rsidR="00FB0DCC">
        <w:t>; the treatment of concessions (albeit with some concerns raised about primary producer concessions);</w:t>
      </w:r>
      <w:r w:rsidR="00EB01B7">
        <w:t xml:space="preserve"> </w:t>
      </w:r>
      <w:r w:rsidR="00D00A3B">
        <w:t xml:space="preserve">reassessing the </w:t>
      </w:r>
      <w:r w:rsidR="008D235E">
        <w:t>unsealed road discount</w:t>
      </w:r>
      <w:r w:rsidR="00D00A3B">
        <w:t xml:space="preserve"> using a new survey</w:t>
      </w:r>
      <w:r w:rsidR="00AB1819">
        <w:t>; a</w:t>
      </w:r>
      <w:r w:rsidR="006222A9">
        <w:t>nd recalculating the regulatory component registration charges using new data</w:t>
      </w:r>
      <w:r w:rsidR="008D235E">
        <w:t xml:space="preserve">. </w:t>
      </w:r>
    </w:p>
    <w:p w14:paraId="15CC4FF6" w14:textId="2DB8410D" w:rsidR="00B42DE7" w:rsidRDefault="00EB01B7" w:rsidP="00311E59">
      <w:pPr>
        <w:pStyle w:val="BodyCopy"/>
      </w:pPr>
      <w:r>
        <w:lastRenderedPageBreak/>
        <w:t xml:space="preserve">There were mixed views on </w:t>
      </w:r>
      <w:r w:rsidR="00BE7C53">
        <w:t>the NTC’s proposed treatment of innovative funding and financing</w:t>
      </w:r>
      <w:r w:rsidR="00540674">
        <w:t>, whether to address RUC leakages,</w:t>
      </w:r>
      <w:r w:rsidR="00CE57CA">
        <w:t xml:space="preserve"> and on the preferred cost allocation approach (with </w:t>
      </w:r>
      <w:r w:rsidR="00FA0AC3">
        <w:t>some support for each of the three options but the highest number of submissions supporting a retention of the current cost allocators)</w:t>
      </w:r>
      <w:r>
        <w:t xml:space="preserve">. Industry submissions </w:t>
      </w:r>
      <w:r w:rsidR="00A40AE6">
        <w:t xml:space="preserve">were not in favour of </w:t>
      </w:r>
      <w:r w:rsidR="00317B44">
        <w:t>remov</w:t>
      </w:r>
      <w:r w:rsidR="006D0FEC">
        <w:t>ing</w:t>
      </w:r>
      <w:r w:rsidR="00A40AE6">
        <w:t xml:space="preserve"> the </w:t>
      </w:r>
      <w:r w:rsidR="006D0FEC">
        <w:t>community service obligations</w:t>
      </w:r>
      <w:r w:rsidR="00F00BA8">
        <w:t xml:space="preserve"> (CSO)</w:t>
      </w:r>
      <w:r w:rsidR="006D0FEC">
        <w:t xml:space="preserve"> </w:t>
      </w:r>
      <w:r w:rsidR="00A40AE6">
        <w:t>discount.</w:t>
      </w:r>
    </w:p>
    <w:p w14:paraId="42162381" w14:textId="75205951" w:rsidR="00EB01B7" w:rsidRDefault="00B42DE7" w:rsidP="00311E59">
      <w:pPr>
        <w:pStyle w:val="BodyCopy"/>
      </w:pPr>
      <w:r>
        <w:t>All submissions that commented on an implementation option support</w:t>
      </w:r>
      <w:r w:rsidR="006D0FEC">
        <w:t>ed</w:t>
      </w:r>
      <w:r>
        <w:t xml:space="preserve"> a </w:t>
      </w:r>
      <w:r w:rsidR="008850CF">
        <w:t>three-year fixed</w:t>
      </w:r>
      <w:r>
        <w:t xml:space="preserve"> price path rather than direct implementation. However, there were </w:t>
      </w:r>
      <w:r w:rsidR="00B943FB">
        <w:t>different</w:t>
      </w:r>
      <w:r>
        <w:t xml:space="preserve"> views on the specific</w:t>
      </w:r>
      <w:r w:rsidR="00F906CE">
        <w:t xml:space="preserve"> </w:t>
      </w:r>
      <w:r>
        <w:t>details of the price path, with several submissions proposing</w:t>
      </w:r>
      <w:r w:rsidR="00255096">
        <w:t xml:space="preserve"> increases that were lower than the 3.5 per cent </w:t>
      </w:r>
      <w:r w:rsidR="00B943FB">
        <w:t xml:space="preserve">per annum </w:t>
      </w:r>
      <w:r w:rsidR="008A1D1A">
        <w:t>pathway</w:t>
      </w:r>
      <w:r w:rsidR="00255096">
        <w:t xml:space="preserve"> used in the C-RIS. Some submissions sought increases to be capped at the rate of increase of the </w:t>
      </w:r>
      <w:r w:rsidR="006D0FEC">
        <w:t>c</w:t>
      </w:r>
      <w:r w:rsidR="00255096">
        <w:t xml:space="preserve">onsumer </w:t>
      </w:r>
      <w:r w:rsidR="006D0FEC">
        <w:t>p</w:t>
      </w:r>
      <w:r w:rsidR="00255096">
        <w:t xml:space="preserve">rice </w:t>
      </w:r>
      <w:r w:rsidR="006D0FEC">
        <w:t>i</w:t>
      </w:r>
      <w:r w:rsidR="00255096">
        <w:t>ndex (CPI).</w:t>
      </w:r>
    </w:p>
    <w:p w14:paraId="458383BF" w14:textId="32C93A82" w:rsidR="002926DE" w:rsidRDefault="002926DE" w:rsidP="00311E59">
      <w:pPr>
        <w:pStyle w:val="BodyCopy"/>
      </w:pPr>
      <w:r>
        <w:t xml:space="preserve">A detailed summary of the points raised in submissions is attached as </w:t>
      </w:r>
      <w:r w:rsidR="00BE4AA8">
        <w:rPr>
          <w:highlight w:val="yellow"/>
        </w:rPr>
        <w:fldChar w:fldCharType="begin"/>
      </w:r>
      <w:r w:rsidR="00BE4AA8">
        <w:instrText xml:space="preserve"> REF _Ref82157916 \r \h </w:instrText>
      </w:r>
      <w:r w:rsidR="00BE4AA8">
        <w:rPr>
          <w:highlight w:val="yellow"/>
        </w:rPr>
      </w:r>
      <w:r w:rsidR="00BE4AA8">
        <w:rPr>
          <w:highlight w:val="yellow"/>
        </w:rPr>
        <w:fldChar w:fldCharType="separate"/>
      </w:r>
      <w:r w:rsidR="00225EEA">
        <w:t>Appendix E</w:t>
      </w:r>
      <w:r w:rsidR="00BE4AA8">
        <w:rPr>
          <w:highlight w:val="yellow"/>
        </w:rPr>
        <w:fldChar w:fldCharType="end"/>
      </w:r>
      <w:r>
        <w:t xml:space="preserve">. Copies of submissions are </w:t>
      </w:r>
      <w:r w:rsidR="001737AA">
        <w:t xml:space="preserve">available for viewing on the </w:t>
      </w:r>
      <w:hyperlink r:id="rId11" w:history="1">
        <w:r w:rsidR="001737AA" w:rsidRPr="00257A69">
          <w:rPr>
            <w:rStyle w:val="Hyperlink"/>
          </w:rPr>
          <w:t>N</w:t>
        </w:r>
        <w:r w:rsidR="00CF40FE" w:rsidRPr="00257A69">
          <w:rPr>
            <w:rStyle w:val="Hyperlink"/>
          </w:rPr>
          <w:t>TC</w:t>
        </w:r>
        <w:r w:rsidR="00257A69" w:rsidRPr="00257A69">
          <w:rPr>
            <w:rStyle w:val="Hyperlink"/>
          </w:rPr>
          <w:t>’s</w:t>
        </w:r>
        <w:r w:rsidR="00CF40FE" w:rsidRPr="00257A69">
          <w:rPr>
            <w:rStyle w:val="Hyperlink"/>
          </w:rPr>
          <w:t xml:space="preserve"> website</w:t>
        </w:r>
      </w:hyperlink>
      <w:r w:rsidR="00CF40FE">
        <w:t>.</w:t>
      </w:r>
    </w:p>
    <w:p w14:paraId="2F52A436" w14:textId="43E22C9B" w:rsidR="00DC49A1" w:rsidRPr="00FB2E3E" w:rsidRDefault="00DC49A1" w:rsidP="00BD61D2">
      <w:pPr>
        <w:pStyle w:val="BodyCopy"/>
        <w:rPr>
          <w:b/>
          <w:sz w:val="28"/>
          <w:szCs w:val="28"/>
        </w:rPr>
      </w:pPr>
      <w:r>
        <w:rPr>
          <w:b/>
          <w:sz w:val="28"/>
          <w:szCs w:val="28"/>
        </w:rPr>
        <w:t>Final recommendations</w:t>
      </w:r>
    </w:p>
    <w:p w14:paraId="2D626E35" w14:textId="11085990" w:rsidR="00DC49A1" w:rsidRDefault="006161BD" w:rsidP="00311E59">
      <w:pPr>
        <w:pStyle w:val="BodyCopy"/>
      </w:pPr>
      <w:r>
        <w:t>The NTC has developed its final recommendations h</w:t>
      </w:r>
      <w:r w:rsidR="00DC49A1">
        <w:t>aving considered the views expressed in formal submissions and information gathered through a wide range of conversations with stakeholders</w:t>
      </w:r>
      <w:r>
        <w:t xml:space="preserve">. These are outlined throughout this document and summarised in </w:t>
      </w:r>
      <w:r>
        <w:fldChar w:fldCharType="begin"/>
      </w:r>
      <w:r>
        <w:instrText xml:space="preserve"> REF _Ref82511563 \r \h </w:instrText>
      </w:r>
      <w:r>
        <w:fldChar w:fldCharType="separate"/>
      </w:r>
      <w:r w:rsidR="00225EEA">
        <w:t>Table 31</w:t>
      </w:r>
      <w:r>
        <w:fldChar w:fldCharType="end"/>
      </w:r>
      <w:r>
        <w:t xml:space="preserve"> on page </w:t>
      </w:r>
      <w:r>
        <w:fldChar w:fldCharType="begin"/>
      </w:r>
      <w:r>
        <w:instrText xml:space="preserve"> PAGEREF _Ref82511563 \h </w:instrText>
      </w:r>
      <w:r>
        <w:fldChar w:fldCharType="separate"/>
      </w:r>
      <w:r w:rsidR="00225EEA">
        <w:rPr>
          <w:noProof/>
        </w:rPr>
        <w:t>98</w:t>
      </w:r>
      <w:r>
        <w:fldChar w:fldCharType="end"/>
      </w:r>
      <w:r>
        <w:t xml:space="preserve"> in </w:t>
      </w:r>
      <w:r w:rsidR="00756765">
        <w:t>c</w:t>
      </w:r>
      <w:r>
        <w:t xml:space="preserve">hapter </w:t>
      </w:r>
      <w:r>
        <w:fldChar w:fldCharType="begin"/>
      </w:r>
      <w:r>
        <w:instrText xml:space="preserve"> REF _Ref82532403 \r \h </w:instrText>
      </w:r>
      <w:r>
        <w:fldChar w:fldCharType="separate"/>
      </w:r>
      <w:r w:rsidR="00225EEA">
        <w:t>7</w:t>
      </w:r>
      <w:r>
        <w:fldChar w:fldCharType="end"/>
      </w:r>
      <w:r>
        <w:t>.</w:t>
      </w:r>
    </w:p>
    <w:p w14:paraId="1A9FEEA2" w14:textId="14567B0F" w:rsidR="006161BD" w:rsidRDefault="006161BD" w:rsidP="006161BD">
      <w:pPr>
        <w:pStyle w:val="BodyCopy"/>
      </w:pPr>
      <w:r>
        <w:t>The key recommendations are that</w:t>
      </w:r>
      <w:r w:rsidR="006D0FEC">
        <w:t>:</w:t>
      </w:r>
    </w:p>
    <w:p w14:paraId="4B96666C" w14:textId="7E0F9BAE" w:rsidR="006161BD" w:rsidRDefault="00C46170" w:rsidP="006161BD">
      <w:pPr>
        <w:pStyle w:val="List-bulletlvl1"/>
      </w:pPr>
      <w:r>
        <w:t>a</w:t>
      </w:r>
      <w:r w:rsidR="006161BD">
        <w:t xml:space="preserve"> range of technical improvements</w:t>
      </w:r>
      <w:r w:rsidR="00CC03F2">
        <w:t>,</w:t>
      </w:r>
      <w:r>
        <w:t xml:space="preserve"> discussed and recommended in </w:t>
      </w:r>
      <w:r w:rsidR="00756765">
        <w:t>c</w:t>
      </w:r>
      <w:r>
        <w:t xml:space="preserve">hapter </w:t>
      </w:r>
      <w:r>
        <w:fldChar w:fldCharType="begin"/>
      </w:r>
      <w:r>
        <w:instrText xml:space="preserve"> REF _Ref59548332 \r \h </w:instrText>
      </w:r>
      <w:r>
        <w:fldChar w:fldCharType="separate"/>
      </w:r>
      <w:r w:rsidR="00225EEA">
        <w:t>4</w:t>
      </w:r>
      <w:r>
        <w:fldChar w:fldCharType="end"/>
      </w:r>
      <w:r w:rsidR="00CC03F2">
        <w:t>,</w:t>
      </w:r>
      <w:r>
        <w:t xml:space="preserve"> should be made to the PAYGO model</w:t>
      </w:r>
    </w:p>
    <w:p w14:paraId="50B9D61A" w14:textId="0AFB46DA" w:rsidR="006161BD" w:rsidRDefault="00C46170" w:rsidP="006161BD">
      <w:pPr>
        <w:pStyle w:val="List-bulletlvl1"/>
      </w:pPr>
      <w:r>
        <w:t>t</w:t>
      </w:r>
      <w:r w:rsidR="006161BD">
        <w:t>he modified current approach (</w:t>
      </w:r>
      <w:r w:rsidR="006D0FEC">
        <w:t>o</w:t>
      </w:r>
      <w:r w:rsidR="006161BD">
        <w:t xml:space="preserve">ption B) to cost allocation should be adopted </w:t>
      </w:r>
    </w:p>
    <w:p w14:paraId="236F7C6F" w14:textId="5A573960" w:rsidR="006161BD" w:rsidRPr="00BB333F" w:rsidRDefault="00C46170" w:rsidP="006161BD">
      <w:pPr>
        <w:pStyle w:val="List-bulletlvl1"/>
      </w:pPr>
      <w:r>
        <w:t>a</w:t>
      </w:r>
      <w:r w:rsidR="006161BD">
        <w:t xml:space="preserve"> three-year fixed price implementation pathway</w:t>
      </w:r>
      <w:r>
        <w:t xml:space="preserve"> should</w:t>
      </w:r>
      <w:r w:rsidR="006161BD">
        <w:t xml:space="preserve"> be adopted</w:t>
      </w:r>
      <w:r>
        <w:t xml:space="preserve">, </w:t>
      </w:r>
      <w:r w:rsidR="006161BD">
        <w:t>with</w:t>
      </w:r>
      <w:r>
        <w:t xml:space="preserve"> heavy vehicle charges being increased by </w:t>
      </w:r>
      <w:r w:rsidR="006161BD">
        <w:t>2.75 per cent in 2022–23, 3.0 per cent in 2023–24 and 3.5 per cent in 2024–25.</w:t>
      </w:r>
      <w:r w:rsidR="009E61AA">
        <w:t xml:space="preserve"> </w:t>
      </w:r>
    </w:p>
    <w:p w14:paraId="15773D5F" w14:textId="1BF4459B" w:rsidR="00DC49A1" w:rsidRPr="00BD61D2" w:rsidRDefault="00DC49A1" w:rsidP="00BD61D2">
      <w:pPr>
        <w:pStyle w:val="BodyCopy"/>
        <w:pBdr>
          <w:bottom w:val="single" w:sz="4" w:space="4" w:color="000000"/>
        </w:pBdr>
        <w:spacing w:before="360"/>
        <w:rPr>
          <w:b/>
          <w:sz w:val="28"/>
          <w:szCs w:val="28"/>
        </w:rPr>
      </w:pPr>
      <w:r w:rsidRPr="00BD61D2">
        <w:rPr>
          <w:b/>
          <w:sz w:val="28"/>
          <w:szCs w:val="28"/>
        </w:rPr>
        <w:t xml:space="preserve">Next </w:t>
      </w:r>
      <w:r w:rsidR="006D0FEC">
        <w:rPr>
          <w:b/>
          <w:sz w:val="28"/>
          <w:szCs w:val="28"/>
        </w:rPr>
        <w:t>s</w:t>
      </w:r>
      <w:r w:rsidRPr="00BD61D2">
        <w:rPr>
          <w:b/>
          <w:sz w:val="28"/>
          <w:szCs w:val="28"/>
        </w:rPr>
        <w:t>teps</w:t>
      </w:r>
    </w:p>
    <w:p w14:paraId="5976D5E4" w14:textId="46F6D16E" w:rsidR="00DC49A1" w:rsidRDefault="00DC49A1" w:rsidP="00DC49A1">
      <w:pPr>
        <w:pStyle w:val="BodyCopy"/>
      </w:pPr>
      <w:r w:rsidRPr="00311E59">
        <w:t>Th</w:t>
      </w:r>
      <w:r>
        <w:t>is D-</w:t>
      </w:r>
      <w:r w:rsidRPr="00311E59">
        <w:t>RIS make</w:t>
      </w:r>
      <w:r>
        <w:t>s</w:t>
      </w:r>
      <w:r w:rsidRPr="00311E59">
        <w:t xml:space="preserve"> recommendations to </w:t>
      </w:r>
      <w:r w:rsidR="006D0FEC">
        <w:t xml:space="preserve">the </w:t>
      </w:r>
      <w:r w:rsidR="006D0FEC" w:rsidRPr="006D0FEC">
        <w:t>Infrastructure and Transport Ministers</w:t>
      </w:r>
      <w:r w:rsidR="006D0FEC">
        <w:t>’</w:t>
      </w:r>
      <w:r w:rsidR="006D0FEC" w:rsidRPr="006D0FEC">
        <w:t xml:space="preserve"> Meeting </w:t>
      </w:r>
      <w:r w:rsidR="006D0FEC">
        <w:t>(</w:t>
      </w:r>
      <w:r>
        <w:t>ITMM</w:t>
      </w:r>
      <w:r w:rsidR="006D0FEC">
        <w:t>),</w:t>
      </w:r>
      <w:r>
        <w:t xml:space="preserve"> which will be considered in </w:t>
      </w:r>
      <w:r w:rsidR="002A3698">
        <w:t>Dec</w:t>
      </w:r>
      <w:r>
        <w:t>ember 2021</w:t>
      </w:r>
      <w:r w:rsidR="006D0FEC">
        <w:t>.</w:t>
      </w:r>
      <w:r>
        <w:t xml:space="preserve"> </w:t>
      </w:r>
      <w:r w:rsidR="006D0FEC">
        <w:t>T</w:t>
      </w:r>
      <w:r w:rsidRPr="00311E59">
        <w:t>ransport ministers</w:t>
      </w:r>
      <w:r>
        <w:t xml:space="preserve"> are expected to identify a preferred option for setting heavy vehicle charges to apply from 2022–23.</w:t>
      </w:r>
    </w:p>
    <w:p w14:paraId="35180490" w14:textId="288E295B" w:rsidR="00DC49A1" w:rsidRPr="00311E59" w:rsidRDefault="00DC49A1" w:rsidP="00DC49A1">
      <w:pPr>
        <w:pStyle w:val="BodyCopy"/>
      </w:pPr>
      <w:r w:rsidRPr="00311E59">
        <w:t xml:space="preserve">Following the meeting, </w:t>
      </w:r>
      <w:r w:rsidR="006D0FEC">
        <w:t>m</w:t>
      </w:r>
      <w:r w:rsidRPr="00311E59">
        <w:t xml:space="preserve">inisters </w:t>
      </w:r>
      <w:r>
        <w:t xml:space="preserve">are expected to direct the NTC to </w:t>
      </w:r>
      <w:r w:rsidRPr="00311E59">
        <w:t xml:space="preserve">consult further on </w:t>
      </w:r>
      <w:r>
        <w:t>the preferred option</w:t>
      </w:r>
      <w:r w:rsidRPr="00311E59">
        <w:t xml:space="preserve">, in line with the </w:t>
      </w:r>
      <w:r w:rsidRPr="00F00BA8">
        <w:rPr>
          <w:i/>
          <w:iCs/>
        </w:rPr>
        <w:t>Fuel Tax Act 2006</w:t>
      </w:r>
      <w:r w:rsidRPr="00311E59">
        <w:t>.</w:t>
      </w:r>
    </w:p>
    <w:p w14:paraId="391EFB72" w14:textId="4E48AA1C" w:rsidR="00DC49A1" w:rsidRDefault="00DC49A1" w:rsidP="00DC49A1">
      <w:pPr>
        <w:pStyle w:val="BodyCopy"/>
      </w:pPr>
      <w:r w:rsidRPr="00311E59">
        <w:t>ITMM will then consider any submissions received on the preferred option and make a final decision on registration charges and RUC to apply from 2022–23</w:t>
      </w:r>
      <w:r>
        <w:t xml:space="preserve">. It is expected that this will occur </w:t>
      </w:r>
      <w:r w:rsidRPr="00C46170">
        <w:t>in late February 2022</w:t>
      </w:r>
      <w:r>
        <w:t>.</w:t>
      </w:r>
      <w:r w:rsidR="009E61AA">
        <w:t xml:space="preserve"> </w:t>
      </w:r>
    </w:p>
    <w:p w14:paraId="66031C0A" w14:textId="117268F8" w:rsidR="00DC49A1" w:rsidRDefault="00DC49A1" w:rsidP="00DC49A1">
      <w:pPr>
        <w:pStyle w:val="BodyCopy"/>
      </w:pPr>
      <w:r>
        <w:t>New heavy vehicle charges based on I</w:t>
      </w:r>
      <w:r w:rsidR="002926DE">
        <w:t>TMM’s decisions would then be implemented effective 1 July 2022.</w:t>
      </w:r>
      <w:r w:rsidR="009E61AA">
        <w:t xml:space="preserve"> </w:t>
      </w:r>
    </w:p>
    <w:p w14:paraId="4A40D6CF" w14:textId="3BE5F66F" w:rsidR="00DC49A1" w:rsidRDefault="00DC49A1" w:rsidP="00311E59">
      <w:pPr>
        <w:pStyle w:val="BodyCopy"/>
      </w:pPr>
    </w:p>
    <w:p w14:paraId="002BC783" w14:textId="77777777" w:rsidR="00DC49A1" w:rsidRDefault="00DC49A1" w:rsidP="00311E59">
      <w:pPr>
        <w:pStyle w:val="BodyCopy"/>
      </w:pPr>
    </w:p>
    <w:p w14:paraId="4A9D3700" w14:textId="29F19CDE" w:rsidR="00407C16" w:rsidRDefault="00FB6059" w:rsidP="00655C7C">
      <w:pPr>
        <w:pStyle w:val="Heading1"/>
      </w:pPr>
      <w:bookmarkStart w:id="40" w:name="_Toc64906684"/>
      <w:bookmarkStart w:id="41" w:name="_Ref58856403"/>
      <w:bookmarkStart w:id="42" w:name="_Ref58856410"/>
      <w:bookmarkStart w:id="43" w:name="_Toc86158370"/>
      <w:bookmarkStart w:id="44" w:name="_Toc283459926"/>
      <w:bookmarkStart w:id="45" w:name="_Toc283460406"/>
      <w:bookmarkStart w:id="46" w:name="_Toc481659235"/>
      <w:bookmarkStart w:id="47" w:name="_Toc496689328"/>
      <w:bookmarkEnd w:id="6"/>
      <w:bookmarkEnd w:id="7"/>
      <w:bookmarkEnd w:id="8"/>
      <w:bookmarkEnd w:id="9"/>
      <w:bookmarkEnd w:id="40"/>
      <w:r>
        <w:lastRenderedPageBreak/>
        <w:t>Introduction</w:t>
      </w:r>
      <w:bookmarkEnd w:id="41"/>
      <w:bookmarkEnd w:id="42"/>
      <w:bookmarkEnd w:id="43"/>
    </w:p>
    <w:p w14:paraId="4EF6F90E" w14:textId="781E33F4" w:rsidR="0072214E" w:rsidRDefault="0072214E" w:rsidP="0072214E">
      <w:pPr>
        <w:pStyle w:val="Heading2"/>
      </w:pPr>
      <w:bookmarkStart w:id="48" w:name="_Toc86158371"/>
      <w:bookmarkEnd w:id="44"/>
      <w:bookmarkEnd w:id="45"/>
      <w:bookmarkEnd w:id="46"/>
      <w:bookmarkEnd w:id="47"/>
      <w:r w:rsidRPr="00FB6059">
        <w:t xml:space="preserve">ITMM </w:t>
      </w:r>
      <w:r w:rsidR="00D95137">
        <w:t>d</w:t>
      </w:r>
      <w:r w:rsidRPr="00FB6059">
        <w:t>irections to the NTC</w:t>
      </w:r>
      <w:bookmarkEnd w:id="48"/>
    </w:p>
    <w:p w14:paraId="73BD7BEE" w14:textId="2AC91A4A" w:rsidR="0072214E" w:rsidRDefault="0072214E" w:rsidP="0072214E">
      <w:pPr>
        <w:pStyle w:val="BodyCopy"/>
      </w:pPr>
      <w:r>
        <w:t xml:space="preserve">In November </w:t>
      </w:r>
      <w:r w:rsidRPr="00C2033E">
        <w:t>2019</w:t>
      </w:r>
      <w:r>
        <w:t xml:space="preserve"> the then</w:t>
      </w:r>
      <w:r w:rsidR="001074CF">
        <w:t xml:space="preserve"> </w:t>
      </w:r>
      <w:r>
        <w:t xml:space="preserve">Transport and Infrastructure Council (now </w:t>
      </w:r>
      <w:r w:rsidRPr="008021CA">
        <w:t>Infrastructure and Transport Ministers’ Meeting</w:t>
      </w:r>
      <w:r>
        <w:t xml:space="preserve">, ITMM) directed the </w:t>
      </w:r>
      <w:r w:rsidR="001074CF">
        <w:t>National Transport Commission (</w:t>
      </w:r>
      <w:r>
        <w:t>NTC</w:t>
      </w:r>
      <w:r w:rsidR="001074CF">
        <w:t>)</w:t>
      </w:r>
      <w:r>
        <w:t xml:space="preserve"> to conduct a new determination that recommends heavy vehicle charges that would apply from 2022</w:t>
      </w:r>
      <w:r w:rsidR="00272BD6">
        <w:t>–</w:t>
      </w:r>
      <w:r>
        <w:t>23.</w:t>
      </w:r>
      <w:r w:rsidR="00830D17">
        <w:t xml:space="preserve"> </w:t>
      </w:r>
    </w:p>
    <w:p w14:paraId="1B048F40" w14:textId="5E676A7A" w:rsidR="0072214E" w:rsidRDefault="0072214E" w:rsidP="0072214E">
      <w:pPr>
        <w:pStyle w:val="Heading2"/>
      </w:pPr>
      <w:bookmarkStart w:id="49" w:name="_Toc86158372"/>
      <w:r>
        <w:t xml:space="preserve">What are </w:t>
      </w:r>
      <w:r w:rsidR="00D95137">
        <w:t>h</w:t>
      </w:r>
      <w:r>
        <w:t xml:space="preserve">eavy </w:t>
      </w:r>
      <w:r w:rsidR="00D95137">
        <w:t>v</w:t>
      </w:r>
      <w:r>
        <w:t xml:space="preserve">ehicle </w:t>
      </w:r>
      <w:r w:rsidR="00D95137">
        <w:t>c</w:t>
      </w:r>
      <w:r>
        <w:t>harges</w:t>
      </w:r>
      <w:r w:rsidR="00D95137">
        <w:t>?</w:t>
      </w:r>
      <w:bookmarkEnd w:id="49"/>
    </w:p>
    <w:p w14:paraId="18F84F56" w14:textId="532F352E" w:rsidR="0072214E" w:rsidRDefault="0072214E" w:rsidP="0072214E">
      <w:pPr>
        <w:pStyle w:val="BodyCopy"/>
      </w:pPr>
      <w:r>
        <w:t>Heavy vehicle</w:t>
      </w:r>
      <w:r w:rsidR="005857F1">
        <w:t xml:space="preserve"> charge</w:t>
      </w:r>
      <w:r>
        <w:t xml:space="preserve">s apply to all vehicles with a </w:t>
      </w:r>
      <w:r w:rsidR="000046E1">
        <w:t>g</w:t>
      </w:r>
      <w:r>
        <w:t xml:space="preserve">ross </w:t>
      </w:r>
      <w:r w:rsidR="000046E1">
        <w:t>v</w:t>
      </w:r>
      <w:r>
        <w:t xml:space="preserve">ehicle </w:t>
      </w:r>
      <w:r w:rsidR="000046E1">
        <w:t>m</w:t>
      </w:r>
      <w:r>
        <w:t xml:space="preserve">ass (GVM) of </w:t>
      </w:r>
      <w:r w:rsidR="001851A3">
        <w:t xml:space="preserve">over </w:t>
      </w:r>
      <w:r>
        <w:t xml:space="preserve">4.5 tonnes. </w:t>
      </w:r>
    </w:p>
    <w:p w14:paraId="09085BDB" w14:textId="77777777" w:rsidR="0072214E" w:rsidRDefault="0072214E" w:rsidP="0072214E">
      <w:pPr>
        <w:pStyle w:val="BodyCopy"/>
      </w:pPr>
      <w:r>
        <w:t xml:space="preserve">There are three components to the charges paid by heavy vehicles: </w:t>
      </w:r>
    </w:p>
    <w:p w14:paraId="20B88A39" w14:textId="77AA9309" w:rsidR="0072214E" w:rsidRDefault="0072214E" w:rsidP="0072214E">
      <w:pPr>
        <w:pStyle w:val="List-bulletlvl1"/>
      </w:pPr>
      <w:r>
        <w:t xml:space="preserve">the </w:t>
      </w:r>
      <w:r w:rsidR="000046E1">
        <w:t>r</w:t>
      </w:r>
      <w:r>
        <w:t xml:space="preserve">oad </w:t>
      </w:r>
      <w:r w:rsidR="000046E1">
        <w:t>u</w:t>
      </w:r>
      <w:r>
        <w:t xml:space="preserve">ser </w:t>
      </w:r>
      <w:r w:rsidR="000046E1">
        <w:t>c</w:t>
      </w:r>
      <w:r>
        <w:t xml:space="preserve">harge (RUC) administered by the Commonwealth Government </w:t>
      </w:r>
    </w:p>
    <w:p w14:paraId="629B5FE2" w14:textId="46B3F661" w:rsidR="0072214E" w:rsidRDefault="0072214E" w:rsidP="0072214E">
      <w:pPr>
        <w:pStyle w:val="List-bulletlvl1"/>
      </w:pPr>
      <w:r>
        <w:t>the roads component of the registration charge, as applied by state and territory governments</w:t>
      </w:r>
    </w:p>
    <w:p w14:paraId="7DBA3D43" w14:textId="77777777" w:rsidR="0072214E" w:rsidRDefault="0072214E" w:rsidP="0072214E">
      <w:pPr>
        <w:pStyle w:val="List-bulletlvl1"/>
      </w:pPr>
      <w:r>
        <w:t xml:space="preserve">the regulatory component of the registration charge (regulatory charge), which covers the operating cost of the National Heavy Vehicle Regulator (NHVR). </w:t>
      </w:r>
    </w:p>
    <w:p w14:paraId="6CCD1D36" w14:textId="69100919" w:rsidR="0072214E" w:rsidRDefault="0072214E" w:rsidP="0072214E">
      <w:pPr>
        <w:pStyle w:val="BodyCopy"/>
      </w:pPr>
      <w:r>
        <w:t>The RUC and registration charge are designed to reflect the cost to governments of building and maintaining roads for trucks. The amount to cover the cost of the NHVR is designed to vary in</w:t>
      </w:r>
      <w:r w:rsidR="00765C70">
        <w:t xml:space="preserve"> </w:t>
      </w:r>
      <w:r>
        <w:t xml:space="preserve">line with the NHVR’s budget, which is approved by </w:t>
      </w:r>
      <w:r w:rsidR="007714B1">
        <w:t>ITMM</w:t>
      </w:r>
      <w:r>
        <w:t>.</w:t>
      </w:r>
    </w:p>
    <w:p w14:paraId="5ED2C57C" w14:textId="466D36EA" w:rsidR="00FB6059" w:rsidRDefault="00FB6059" w:rsidP="00FB6059">
      <w:pPr>
        <w:pStyle w:val="Heading2"/>
      </w:pPr>
      <w:bookmarkStart w:id="50" w:name="_Toc86158373"/>
      <w:r>
        <w:t xml:space="preserve">Background </w:t>
      </w:r>
      <w:r w:rsidR="0072214E">
        <w:t>to the PAYGO system</w:t>
      </w:r>
      <w:bookmarkEnd w:id="50"/>
    </w:p>
    <w:p w14:paraId="4B618D05" w14:textId="43A0158C" w:rsidR="00FB6059" w:rsidRDefault="00FB6059" w:rsidP="00655C7C">
      <w:pPr>
        <w:pStyle w:val="BodyCopy"/>
      </w:pPr>
      <w:r>
        <w:t xml:space="preserve">Heavy vehicles in Australia are defined as any vehicle weighing </w:t>
      </w:r>
      <w:r w:rsidR="00367291">
        <w:t xml:space="preserve">over </w:t>
      </w:r>
      <w:r>
        <w:t>4.5 tonnes. These vehicles are charged an annual registration charge and a RUC, which is levied on each litre of fuel</w:t>
      </w:r>
      <w:r w:rsidR="000B029A">
        <w:t xml:space="preserve"> (</w:t>
      </w:r>
      <w:r>
        <w:t>diesel</w:t>
      </w:r>
      <w:r w:rsidR="000B029A">
        <w:t>, petrol or blended fuels)</w:t>
      </w:r>
      <w:r>
        <w:t xml:space="preserve">. </w:t>
      </w:r>
    </w:p>
    <w:p w14:paraId="7F6D1EA2" w14:textId="54B34DB8" w:rsidR="00AF2F6E" w:rsidRDefault="00FB6059" w:rsidP="00655C7C">
      <w:pPr>
        <w:pStyle w:val="BodyCopy"/>
      </w:pPr>
      <w:r>
        <w:t xml:space="preserve">These charges are </w:t>
      </w:r>
      <w:r w:rsidR="00AF2F6E">
        <w:t>set under</w:t>
      </w:r>
      <w:r>
        <w:t xml:space="preserve"> a charging framework known as</w:t>
      </w:r>
      <w:r w:rsidR="00AF2F6E">
        <w:t xml:space="preserve"> ‘pay as you go’</w:t>
      </w:r>
      <w:r>
        <w:t xml:space="preserve"> </w:t>
      </w:r>
      <w:r w:rsidR="00AF2F6E">
        <w:t>(</w:t>
      </w:r>
      <w:r>
        <w:t>PAYGO</w:t>
      </w:r>
      <w:r w:rsidR="00AF2F6E">
        <w:t>)</w:t>
      </w:r>
      <w:r>
        <w:t xml:space="preserve">. The primary objective of the PAYGO </w:t>
      </w:r>
      <w:r w:rsidR="00FD39C5">
        <w:t>system</w:t>
      </w:r>
      <w:r>
        <w:t xml:space="preserve"> is to deliver nationally consistent heavy vehicle charges that </w:t>
      </w:r>
      <w:r w:rsidR="005857F1">
        <w:t xml:space="preserve">allow governments to </w:t>
      </w:r>
      <w:r>
        <w:t>recover capital and operating</w:t>
      </w:r>
      <w:r w:rsidR="00AF2F6E">
        <w:t xml:space="preserve"> expenditure </w:t>
      </w:r>
      <w:r w:rsidR="00885C0F">
        <w:t>related</w:t>
      </w:r>
      <w:r>
        <w:t xml:space="preserve"> to heavy vehicle use in the year they are incurred. </w:t>
      </w:r>
      <w:r w:rsidR="00AF2F6E">
        <w:t xml:space="preserve">Governments have agreed </w:t>
      </w:r>
      <w:r w:rsidR="00945DB6">
        <w:t>several</w:t>
      </w:r>
      <w:r w:rsidR="00AF2F6E">
        <w:t xml:space="preserve"> pricing principles that underpin the operation of the PAYGO system.</w:t>
      </w:r>
      <w:r w:rsidR="00830D17">
        <w:t xml:space="preserve"> </w:t>
      </w:r>
    </w:p>
    <w:p w14:paraId="00FE208C" w14:textId="7E662C8A" w:rsidR="00FB6059" w:rsidRDefault="00FB6059" w:rsidP="00655C7C">
      <w:pPr>
        <w:pStyle w:val="BodyCopy"/>
      </w:pPr>
      <w:r>
        <w:t xml:space="preserve">The NTC has been administering the PAYGO system for </w:t>
      </w:r>
      <w:r w:rsidR="005857F1">
        <w:t xml:space="preserve">more than </w:t>
      </w:r>
      <w:r>
        <w:t xml:space="preserve">two decades. During that time the NTC has completed several heavy vehicle charges determinations aimed at refining the PAYGO </w:t>
      </w:r>
      <w:r w:rsidR="001B077C">
        <w:t>system and</w:t>
      </w:r>
      <w:r w:rsidR="00AF2F6E">
        <w:t xml:space="preserve"> ensuring heavy vehicle charges reflect the most up-to-date information on road expenditure and road use</w:t>
      </w:r>
      <w:r>
        <w:t xml:space="preserve">. </w:t>
      </w:r>
    </w:p>
    <w:p w14:paraId="4668E1D8" w14:textId="0E06FCE6" w:rsidR="00E7153C" w:rsidRDefault="00AF2F6E" w:rsidP="00655C7C">
      <w:pPr>
        <w:pStyle w:val="BodyCopy"/>
      </w:pPr>
      <w:r>
        <w:t xml:space="preserve">The last </w:t>
      </w:r>
      <w:r w:rsidR="001851A3">
        <w:t>h</w:t>
      </w:r>
      <w:r w:rsidR="001851A3" w:rsidRPr="007D7E4C">
        <w:t xml:space="preserve">eavy </w:t>
      </w:r>
      <w:r w:rsidR="001851A3">
        <w:t>v</w:t>
      </w:r>
      <w:r w:rsidR="001851A3" w:rsidRPr="007D7E4C">
        <w:t xml:space="preserve">ehicle </w:t>
      </w:r>
      <w:r w:rsidR="001851A3">
        <w:t>c</w:t>
      </w:r>
      <w:r w:rsidR="001851A3" w:rsidRPr="007D7E4C">
        <w:t xml:space="preserve">harges </w:t>
      </w:r>
      <w:r>
        <w:t xml:space="preserve">determination was delivered to governments in early 2014. Since then, </w:t>
      </w:r>
      <w:r w:rsidR="001B077C">
        <w:t>several</w:t>
      </w:r>
      <w:r>
        <w:t xml:space="preserve"> changes to government road expenditure and road use by heavy vehicles have occurred. This determination </w:t>
      </w:r>
      <w:r w:rsidR="001851A3">
        <w:t xml:space="preserve">provides </w:t>
      </w:r>
      <w:r>
        <w:t>an opportunity to review the PAYGO system, its assumptions and data to ensure it remains current.</w:t>
      </w:r>
      <w:r w:rsidR="00830D17">
        <w:t xml:space="preserve"> </w:t>
      </w:r>
    </w:p>
    <w:p w14:paraId="748D6829" w14:textId="17D13A62" w:rsidR="00FB6059" w:rsidRDefault="00565E1C" w:rsidP="00FB6059">
      <w:pPr>
        <w:pStyle w:val="Heading2"/>
      </w:pPr>
      <w:bookmarkStart w:id="51" w:name="_Toc57279991"/>
      <w:bookmarkStart w:id="52" w:name="_Toc57290548"/>
      <w:bookmarkStart w:id="53" w:name="_Toc57372437"/>
      <w:bookmarkStart w:id="54" w:name="_Toc57279993"/>
      <w:bookmarkStart w:id="55" w:name="_Toc57290550"/>
      <w:bookmarkStart w:id="56" w:name="_Toc57372439"/>
      <w:bookmarkStart w:id="57" w:name="_Toc86158374"/>
      <w:bookmarkEnd w:id="51"/>
      <w:bookmarkEnd w:id="52"/>
      <w:bookmarkEnd w:id="53"/>
      <w:bookmarkEnd w:id="54"/>
      <w:bookmarkEnd w:id="55"/>
      <w:bookmarkEnd w:id="56"/>
      <w:r>
        <w:lastRenderedPageBreak/>
        <w:t>High</w:t>
      </w:r>
      <w:r w:rsidR="00D95137">
        <w:t>-l</w:t>
      </w:r>
      <w:r>
        <w:t xml:space="preserve">evel </w:t>
      </w:r>
      <w:r w:rsidR="00D95137">
        <w:t>a</w:t>
      </w:r>
      <w:r w:rsidR="00FB6059">
        <w:t>pproach</w:t>
      </w:r>
      <w:r w:rsidR="00C078D1">
        <w:t xml:space="preserve"> and </w:t>
      </w:r>
      <w:r w:rsidR="00D95137">
        <w:t>s</w:t>
      </w:r>
      <w:r w:rsidR="00C078D1">
        <w:t>cope</w:t>
      </w:r>
      <w:r w:rsidR="0072214E">
        <w:t xml:space="preserve"> for this </w:t>
      </w:r>
      <w:r w:rsidR="00D95137">
        <w:t>d</w:t>
      </w:r>
      <w:r w:rsidR="0072214E">
        <w:t>etermination</w:t>
      </w:r>
      <w:bookmarkEnd w:id="57"/>
    </w:p>
    <w:p w14:paraId="2CF2CA20" w14:textId="45F926EF" w:rsidR="00877BA5" w:rsidRPr="002B3467" w:rsidRDefault="005F775E" w:rsidP="00FD39C5">
      <w:pPr>
        <w:pStyle w:val="Heading3"/>
      </w:pPr>
      <w:bookmarkStart w:id="58" w:name="_Toc86158375"/>
      <w:r w:rsidRPr="002B3467">
        <w:t>Approach</w:t>
      </w:r>
      <w:bookmarkEnd w:id="58"/>
    </w:p>
    <w:p w14:paraId="10526E7F" w14:textId="436C15D3" w:rsidR="008B61BC" w:rsidRPr="007D7E4C" w:rsidRDefault="1C459D91" w:rsidP="00945DB6">
      <w:pPr>
        <w:pStyle w:val="BodyCopy"/>
      </w:pPr>
      <w:r w:rsidRPr="007D7E4C">
        <w:t xml:space="preserve">This </w:t>
      </w:r>
      <w:r w:rsidR="006F7F4A">
        <w:t>h</w:t>
      </w:r>
      <w:r w:rsidR="383ACB98" w:rsidRPr="007D7E4C">
        <w:t xml:space="preserve">eavy </w:t>
      </w:r>
      <w:r w:rsidR="006F7F4A">
        <w:t>v</w:t>
      </w:r>
      <w:r w:rsidR="383ACB98" w:rsidRPr="007D7E4C">
        <w:t xml:space="preserve">ehicle </w:t>
      </w:r>
      <w:r w:rsidR="006F7F4A">
        <w:t>c</w:t>
      </w:r>
      <w:r w:rsidR="383ACB98" w:rsidRPr="007D7E4C">
        <w:t xml:space="preserve">harges </w:t>
      </w:r>
      <w:r w:rsidR="006F7F4A">
        <w:t>d</w:t>
      </w:r>
      <w:r w:rsidR="383ACB98" w:rsidRPr="007D7E4C">
        <w:t>etermination uses the work that was conducted as part of the pre</w:t>
      </w:r>
      <w:r w:rsidR="2F1459E7" w:rsidRPr="007D7E4C">
        <w:t xml:space="preserve">vious </w:t>
      </w:r>
      <w:r w:rsidR="001B077C">
        <w:t>d</w:t>
      </w:r>
      <w:r w:rsidR="007D7E4C">
        <w:t>etermination</w:t>
      </w:r>
      <w:r w:rsidR="2F1459E7" w:rsidRPr="007D7E4C">
        <w:t xml:space="preserve"> in 2014</w:t>
      </w:r>
      <w:r w:rsidR="007D7E4C" w:rsidRPr="007D7E4C">
        <w:t xml:space="preserve"> as its starting point</w:t>
      </w:r>
      <w:r w:rsidR="2F1459E7" w:rsidRPr="007D7E4C">
        <w:t>.</w:t>
      </w:r>
      <w:r w:rsidR="6373B833" w:rsidRPr="007D7E4C">
        <w:t xml:space="preserve"> </w:t>
      </w:r>
    </w:p>
    <w:p w14:paraId="4195D9D6" w14:textId="2CBFC4F3" w:rsidR="00FB6059" w:rsidRPr="007D7E4C" w:rsidRDefault="21D8637D" w:rsidP="00945DB6">
      <w:pPr>
        <w:pStyle w:val="BodyCopy"/>
      </w:pPr>
      <w:r w:rsidRPr="007D7E4C">
        <w:t>The</w:t>
      </w:r>
      <w:r w:rsidR="762CC30A" w:rsidRPr="007D7E4C">
        <w:t xml:space="preserve"> </w:t>
      </w:r>
      <w:r w:rsidR="001B077C">
        <w:t>determination</w:t>
      </w:r>
      <w:r w:rsidR="762CC30A" w:rsidRPr="007D7E4C">
        <w:t xml:space="preserve"> is conducted </w:t>
      </w:r>
      <w:r w:rsidR="007D7E4C">
        <w:t>while work on the</w:t>
      </w:r>
      <w:r w:rsidR="762CC30A" w:rsidRPr="007D7E4C">
        <w:t xml:space="preserve"> Heavy Vehicle Road Reform </w:t>
      </w:r>
      <w:r w:rsidR="00246119">
        <w:t>(HVRR)</w:t>
      </w:r>
      <w:r w:rsidR="762CC30A">
        <w:t xml:space="preserve"> </w:t>
      </w:r>
      <w:r w:rsidR="762CC30A" w:rsidRPr="007D7E4C">
        <w:t>agenda</w:t>
      </w:r>
      <w:r w:rsidR="007D7E4C">
        <w:t xml:space="preserve"> proceeds</w:t>
      </w:r>
      <w:r w:rsidR="19D7EE1B" w:rsidRPr="007D7E4C">
        <w:t xml:space="preserve">. </w:t>
      </w:r>
      <w:r w:rsidR="007D7E4C">
        <w:t xml:space="preserve">This </w:t>
      </w:r>
      <w:r w:rsidR="001B077C">
        <w:t>d</w:t>
      </w:r>
      <w:r w:rsidR="007D7E4C">
        <w:t xml:space="preserve">etermination is designed to be consistent </w:t>
      </w:r>
      <w:r w:rsidR="00945DB6">
        <w:t>with and</w:t>
      </w:r>
      <w:r w:rsidR="007D7E4C">
        <w:t xml:space="preserve"> provide a platform for implementing future reform</w:t>
      </w:r>
      <w:r w:rsidR="00062FFA">
        <w:t xml:space="preserve"> if agreed</w:t>
      </w:r>
      <w:r w:rsidR="007D7E4C">
        <w:t>. T</w:t>
      </w:r>
      <w:r w:rsidR="0EBCEAE1" w:rsidRPr="007D7E4C">
        <w:t xml:space="preserve">he HVRR </w:t>
      </w:r>
      <w:r w:rsidR="007D7E4C">
        <w:t xml:space="preserve">direction affects and provides a boundary </w:t>
      </w:r>
      <w:r w:rsidR="00885C0F">
        <w:t xml:space="preserve">for </w:t>
      </w:r>
      <w:r w:rsidR="00885C0F" w:rsidRPr="007D7E4C">
        <w:t>the</w:t>
      </w:r>
      <w:r w:rsidR="0EBCEAE1" w:rsidRPr="007D7E4C">
        <w:t xml:space="preserve"> </w:t>
      </w:r>
      <w:r w:rsidR="6373B833" w:rsidRPr="007D7E4C">
        <w:t>s</w:t>
      </w:r>
      <w:r w:rsidR="0EBCEAE1" w:rsidRPr="007D7E4C">
        <w:t xml:space="preserve">cope </w:t>
      </w:r>
      <w:r w:rsidR="007D7E4C">
        <w:t xml:space="preserve">of this </w:t>
      </w:r>
      <w:r w:rsidR="001851A3">
        <w:t>determination</w:t>
      </w:r>
      <w:r w:rsidR="7289C487" w:rsidRPr="007D7E4C">
        <w:t>.</w:t>
      </w:r>
      <w:r w:rsidR="1EF7B360" w:rsidRPr="007D7E4C">
        <w:t xml:space="preserve"> </w:t>
      </w:r>
      <w:r w:rsidR="1059C31E" w:rsidRPr="007D7E4C">
        <w:t>The HVRR agenda, as it affects this</w:t>
      </w:r>
      <w:r w:rsidR="001B077C">
        <w:t xml:space="preserve"> determination</w:t>
      </w:r>
      <w:r w:rsidR="1059C31E" w:rsidRPr="007D7E4C">
        <w:t>, is set out in more detail</w:t>
      </w:r>
      <w:r w:rsidR="00945DB6">
        <w:t xml:space="preserve"> in section </w:t>
      </w:r>
      <w:r w:rsidR="00945DB6">
        <w:fldChar w:fldCharType="begin"/>
      </w:r>
      <w:r w:rsidR="00945DB6">
        <w:instrText xml:space="preserve"> REF _Ref61527722 \r \h  \* MERGEFORMAT </w:instrText>
      </w:r>
      <w:r w:rsidR="00945DB6">
        <w:fldChar w:fldCharType="separate"/>
      </w:r>
      <w:r w:rsidR="00225EEA">
        <w:t>3.3</w:t>
      </w:r>
      <w:r w:rsidR="00945DB6">
        <w:fldChar w:fldCharType="end"/>
      </w:r>
      <w:r w:rsidR="00945DB6">
        <w:t xml:space="preserve">. </w:t>
      </w:r>
    </w:p>
    <w:p w14:paraId="7AF5FC18" w14:textId="5E0A35B2" w:rsidR="00421B20" w:rsidRDefault="00421B20" w:rsidP="00945DB6">
      <w:pPr>
        <w:pStyle w:val="BodyCopy"/>
      </w:pPr>
      <w:r>
        <w:t xml:space="preserve">The determination </w:t>
      </w:r>
      <w:r w:rsidR="00630D9C">
        <w:t>consists</w:t>
      </w:r>
      <w:r>
        <w:t xml:space="preserve"> of several phases: </w:t>
      </w:r>
    </w:p>
    <w:p w14:paraId="49D52239" w14:textId="2EE6D9F8" w:rsidR="00421B20" w:rsidRDefault="00421B20" w:rsidP="00945DB6">
      <w:pPr>
        <w:pStyle w:val="List-bulletlvl1"/>
      </w:pPr>
      <w:r>
        <w:t xml:space="preserve">scoping </w:t>
      </w:r>
    </w:p>
    <w:p w14:paraId="108EC824" w14:textId="6259BEC7" w:rsidR="00421B20" w:rsidRDefault="00421B20" w:rsidP="00945DB6">
      <w:pPr>
        <w:pStyle w:val="List-bulletlvl1"/>
      </w:pPr>
      <w:r>
        <w:t xml:space="preserve">analysis and investigation (in several workstreams) </w:t>
      </w:r>
    </w:p>
    <w:p w14:paraId="50A0C1FA" w14:textId="751642C4" w:rsidR="00421B20" w:rsidRDefault="00421B20" w:rsidP="00945DB6">
      <w:pPr>
        <w:pStyle w:val="List-bulletlvl1"/>
      </w:pPr>
      <w:r>
        <w:t xml:space="preserve">option definition </w:t>
      </w:r>
    </w:p>
    <w:p w14:paraId="423E76CD" w14:textId="0F918C39" w:rsidR="00421B20" w:rsidRDefault="00421B20" w:rsidP="00945DB6">
      <w:pPr>
        <w:pStyle w:val="List-bulletlvl1"/>
      </w:pPr>
      <w:r>
        <w:t xml:space="preserve">option modelling </w:t>
      </w:r>
    </w:p>
    <w:p w14:paraId="71606E49" w14:textId="7E00339D" w:rsidR="00421B20" w:rsidRDefault="001851A3" w:rsidP="00945DB6">
      <w:pPr>
        <w:pStyle w:val="List-bulletlvl1"/>
      </w:pPr>
      <w:r w:rsidRPr="001851A3">
        <w:t xml:space="preserve">regulation impact statement </w:t>
      </w:r>
      <w:r>
        <w:t>(</w:t>
      </w:r>
      <w:r w:rsidR="00421B20">
        <w:t>RIS</w:t>
      </w:r>
      <w:r>
        <w:t>)</w:t>
      </w:r>
      <w:r w:rsidR="00421B20">
        <w:t xml:space="preserve"> development (including consultation on </w:t>
      </w:r>
      <w:r>
        <w:t xml:space="preserve">the </w:t>
      </w:r>
      <w:r w:rsidR="00421B20">
        <w:t xml:space="preserve">draft RIS) </w:t>
      </w:r>
    </w:p>
    <w:p w14:paraId="1B73E23B" w14:textId="3A30CFE3" w:rsidR="00421B20" w:rsidRDefault="00421B20" w:rsidP="00945DB6">
      <w:pPr>
        <w:pStyle w:val="List-bulletlvl1"/>
      </w:pPr>
      <w:r>
        <w:t xml:space="preserve">implementation. </w:t>
      </w:r>
    </w:p>
    <w:p w14:paraId="47BAA0B7" w14:textId="39DEBBEA" w:rsidR="00421B20" w:rsidRDefault="00421B20" w:rsidP="00FD39C5">
      <w:pPr>
        <w:pStyle w:val="BodyCopy"/>
      </w:pPr>
      <w:r w:rsidRPr="007D7E4C">
        <w:t>Engagement with governments, industry associations and individual operators will occur during all phases.</w:t>
      </w:r>
      <w:r w:rsidR="00830D17">
        <w:t xml:space="preserve"> </w:t>
      </w:r>
      <w:r w:rsidRPr="007D7E4C">
        <w:t>A high-level timeline is depicted in</w:t>
      </w:r>
      <w:r w:rsidR="00830D17">
        <w:t xml:space="preserve"> </w:t>
      </w:r>
      <w:r w:rsidR="00D45197" w:rsidRPr="007D7E4C">
        <w:fldChar w:fldCharType="begin"/>
      </w:r>
      <w:r w:rsidR="00D45197" w:rsidRPr="00142AE5">
        <w:instrText xml:space="preserve"> REF _Ref58576613 \r \h </w:instrText>
      </w:r>
      <w:r w:rsidR="007D7E4C">
        <w:instrText xml:space="preserve"> \* MERGEFORMAT </w:instrText>
      </w:r>
      <w:r w:rsidR="00D45197" w:rsidRPr="007D7E4C">
        <w:fldChar w:fldCharType="separate"/>
      </w:r>
      <w:r w:rsidR="00225EEA">
        <w:t>Figure 1</w:t>
      </w:r>
      <w:r w:rsidR="00D45197" w:rsidRPr="007D7E4C">
        <w:fldChar w:fldCharType="end"/>
      </w:r>
      <w:r w:rsidRPr="007D7E4C">
        <w:t>.</w:t>
      </w:r>
    </w:p>
    <w:p w14:paraId="1F22EBFD" w14:textId="77777777" w:rsidR="007D7E4C" w:rsidRDefault="007D7E4C" w:rsidP="007D7E4C">
      <w:pPr>
        <w:pStyle w:val="Figuretitle"/>
      </w:pPr>
      <w:bookmarkStart w:id="59" w:name="_Ref58576613"/>
      <w:bookmarkStart w:id="60" w:name="_Toc86158524"/>
      <w:r w:rsidRPr="009D616C">
        <w:rPr>
          <w:noProof/>
          <w:color w:val="0033CC"/>
          <w:lang w:eastAsia="en-AU"/>
        </w:rPr>
        <w:drawing>
          <wp:anchor distT="0" distB="0" distL="114300" distR="114300" simplePos="0" relativeHeight="251658242" behindDoc="1" locked="0" layoutInCell="1" allowOverlap="1" wp14:anchorId="19C41C62" wp14:editId="66B22923">
            <wp:simplePos x="0" y="0"/>
            <wp:positionH relativeFrom="margin">
              <wp:align>left</wp:align>
            </wp:positionH>
            <wp:positionV relativeFrom="paragraph">
              <wp:posOffset>202565</wp:posOffset>
            </wp:positionV>
            <wp:extent cx="6076950" cy="2978785"/>
            <wp:effectExtent l="0" t="0" r="0" b="0"/>
            <wp:wrapNone/>
            <wp:docPr id="22" name="Diagram 22" descr="This picture shows the project timeline. In 2020, the research phase of the project was undertaken and stakeholder workshops were held.  In May 2021, the public consultation process will begin and the consultation RIS will be published.  In August 2021, the NTC will prepare the final RIS after the consultation process has concluded.  ITMM will consider the Decision RIS recommendations in November 2021 before further public consultation in December 2021 and final approval of charges by ITMM in early 2022.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t>Project timeline</w:t>
      </w:r>
      <w:bookmarkEnd w:id="59"/>
      <w:bookmarkEnd w:id="60"/>
    </w:p>
    <w:p w14:paraId="065BA769" w14:textId="77777777" w:rsidR="007D7E4C" w:rsidRDefault="007D7E4C" w:rsidP="00565E1C">
      <w:pPr>
        <w:pStyle w:val="BodyCopy"/>
        <w:rPr>
          <w:b/>
          <w:bCs/>
        </w:rPr>
      </w:pPr>
    </w:p>
    <w:p w14:paraId="0213D5DF" w14:textId="77777777" w:rsidR="007D7E4C" w:rsidRDefault="007D7E4C" w:rsidP="00565E1C">
      <w:pPr>
        <w:pStyle w:val="BodyCopy"/>
        <w:rPr>
          <w:b/>
          <w:bCs/>
        </w:rPr>
      </w:pPr>
    </w:p>
    <w:p w14:paraId="5999B99C" w14:textId="77777777" w:rsidR="007D7E4C" w:rsidRDefault="007D7E4C" w:rsidP="00565E1C">
      <w:pPr>
        <w:pStyle w:val="BodyCopy"/>
        <w:rPr>
          <w:b/>
          <w:bCs/>
        </w:rPr>
      </w:pPr>
    </w:p>
    <w:p w14:paraId="2E49D548" w14:textId="77777777" w:rsidR="007D7E4C" w:rsidRDefault="007D7E4C" w:rsidP="00565E1C">
      <w:pPr>
        <w:pStyle w:val="BodyCopy"/>
        <w:rPr>
          <w:b/>
          <w:bCs/>
        </w:rPr>
      </w:pPr>
    </w:p>
    <w:p w14:paraId="37A72B35" w14:textId="77777777" w:rsidR="007D7E4C" w:rsidRDefault="007D7E4C" w:rsidP="00565E1C">
      <w:pPr>
        <w:pStyle w:val="BodyCopy"/>
        <w:rPr>
          <w:b/>
          <w:bCs/>
        </w:rPr>
      </w:pPr>
    </w:p>
    <w:p w14:paraId="200FCC2E" w14:textId="77777777" w:rsidR="007D7E4C" w:rsidRDefault="007D7E4C" w:rsidP="00565E1C">
      <w:pPr>
        <w:pStyle w:val="BodyCopy"/>
        <w:rPr>
          <w:b/>
          <w:bCs/>
        </w:rPr>
      </w:pPr>
    </w:p>
    <w:p w14:paraId="12A5BF72" w14:textId="77777777" w:rsidR="007D7E4C" w:rsidRDefault="007D7E4C" w:rsidP="00565E1C">
      <w:pPr>
        <w:pStyle w:val="BodyCopy"/>
        <w:rPr>
          <w:b/>
          <w:bCs/>
        </w:rPr>
      </w:pPr>
    </w:p>
    <w:p w14:paraId="08935FA4" w14:textId="246485BE" w:rsidR="007D7E4C" w:rsidRDefault="001851A3" w:rsidP="009D616C">
      <w:pPr>
        <w:pStyle w:val="BodyCopy"/>
        <w:tabs>
          <w:tab w:val="left" w:pos="7167"/>
          <w:tab w:val="left" w:pos="7865"/>
        </w:tabs>
        <w:rPr>
          <w:b/>
          <w:bCs/>
        </w:rPr>
      </w:pPr>
      <w:r>
        <w:rPr>
          <w:b/>
          <w:bCs/>
        </w:rPr>
        <w:tab/>
      </w:r>
      <w:r>
        <w:rPr>
          <w:b/>
          <w:bCs/>
        </w:rPr>
        <w:tab/>
      </w:r>
    </w:p>
    <w:p w14:paraId="71172780" w14:textId="77777777" w:rsidR="007D7E4C" w:rsidRDefault="007D7E4C" w:rsidP="00565E1C">
      <w:pPr>
        <w:pStyle w:val="BodyCopy"/>
        <w:rPr>
          <w:b/>
          <w:bCs/>
        </w:rPr>
      </w:pPr>
    </w:p>
    <w:p w14:paraId="4EBDAEA8" w14:textId="77777777" w:rsidR="00743F1A" w:rsidRDefault="00743F1A" w:rsidP="00A621B8">
      <w:pPr>
        <w:pStyle w:val="BodyCopy"/>
      </w:pPr>
    </w:p>
    <w:p w14:paraId="554605CA" w14:textId="162619EF" w:rsidR="00565E1C" w:rsidRDefault="00F76550" w:rsidP="00FD39C5">
      <w:pPr>
        <w:pStyle w:val="Heading3"/>
      </w:pPr>
      <w:bookmarkStart w:id="61" w:name="_Toc86158376"/>
      <w:r w:rsidRPr="00F76550">
        <w:t>Scope</w:t>
      </w:r>
      <w:bookmarkEnd w:id="61"/>
    </w:p>
    <w:p w14:paraId="66E3486F" w14:textId="09C5DC6D" w:rsidR="001A75A5" w:rsidRPr="001A75A5" w:rsidRDefault="001A75A5" w:rsidP="00565E1C">
      <w:pPr>
        <w:pStyle w:val="BodyCopy"/>
      </w:pPr>
      <w:bookmarkStart w:id="62" w:name="_Hlk63951987"/>
      <w:r>
        <w:t xml:space="preserve">A heavy vehicle charges determination typically involves examining all aspects of the PAYGO methodology to ensure it produces outcomes that are consistent with the pricing principles. </w:t>
      </w:r>
    </w:p>
    <w:bookmarkEnd w:id="62"/>
    <w:p w14:paraId="34220DE0" w14:textId="121A717F" w:rsidR="00F76550" w:rsidRDefault="00743F1A" w:rsidP="00FD39C5">
      <w:pPr>
        <w:pStyle w:val="Boxheading"/>
      </w:pPr>
      <w:r>
        <w:lastRenderedPageBreak/>
        <w:t>What is i</w:t>
      </w:r>
      <w:r w:rsidR="00F76550">
        <w:t xml:space="preserve">n </w:t>
      </w:r>
      <w:r w:rsidR="00B25452">
        <w:t>s</w:t>
      </w:r>
      <w:r w:rsidR="00F76550">
        <w:t>cope</w:t>
      </w:r>
    </w:p>
    <w:p w14:paraId="4C524B24" w14:textId="4489833D" w:rsidR="001A75A5" w:rsidRDefault="00945DB6" w:rsidP="00565E1C">
      <w:pPr>
        <w:pStyle w:val="BodyCopy"/>
      </w:pPr>
      <w:r>
        <w:t>S</w:t>
      </w:r>
      <w:r w:rsidR="00F76550">
        <w:t xml:space="preserve">pecifically, the scope </w:t>
      </w:r>
      <w:r w:rsidR="00630D9C">
        <w:t xml:space="preserve">included </w:t>
      </w:r>
      <w:r w:rsidR="00F76550">
        <w:t>reviewing the following aspects of the current PAYGO methodology and</w:t>
      </w:r>
      <w:r w:rsidR="007B3FE6">
        <w:t>,</w:t>
      </w:r>
      <w:r w:rsidR="00F76550">
        <w:t xml:space="preserve"> where possible, explor</w:t>
      </w:r>
      <w:r w:rsidR="008C40C3">
        <w:t>ing</w:t>
      </w:r>
      <w:r w:rsidR="00F76550">
        <w:t xml:space="preserve"> alternative options: </w:t>
      </w:r>
    </w:p>
    <w:p w14:paraId="7BD65043" w14:textId="684E84D7" w:rsidR="00BF0DE7" w:rsidRDefault="00F76550" w:rsidP="00E84200">
      <w:pPr>
        <w:pStyle w:val="List-bulletlvl1"/>
      </w:pPr>
      <w:r>
        <w:t xml:space="preserve">measuring road expenditure by state and territory governments over time, including investigating options to improve the reliability and quality of data sources </w:t>
      </w:r>
    </w:p>
    <w:p w14:paraId="56B620AB" w14:textId="091882A7" w:rsidR="00BF0DE7" w:rsidRDefault="00F76550" w:rsidP="00E84200">
      <w:pPr>
        <w:pStyle w:val="List-bulletlvl1"/>
      </w:pPr>
      <w:r>
        <w:t xml:space="preserve">measuring local government road expenditure, including the reliability and quality of data sources </w:t>
      </w:r>
    </w:p>
    <w:p w14:paraId="6393FFD2" w14:textId="07407922" w:rsidR="00BF0DE7" w:rsidRDefault="00F76550" w:rsidP="00E84200">
      <w:pPr>
        <w:pStyle w:val="List-bulletlvl1"/>
      </w:pPr>
      <w:r>
        <w:t xml:space="preserve">exploring possible approaches to minimise the volatility of heavy vehicle charges without compromising cost recovery in the longer term </w:t>
      </w:r>
    </w:p>
    <w:p w14:paraId="24BAA711" w14:textId="07424959" w:rsidR="00BF0DE7" w:rsidRDefault="00F76550" w:rsidP="00E84200">
      <w:pPr>
        <w:pStyle w:val="List-bulletlvl1"/>
      </w:pPr>
      <w:r>
        <w:t xml:space="preserve">allocating expenditure between the different vehicle classes, including the cost allocation matrix used in the cost allocation process </w:t>
      </w:r>
    </w:p>
    <w:p w14:paraId="022204FC" w14:textId="6EB37463" w:rsidR="00BF0DE7" w:rsidRDefault="00F76550" w:rsidP="00E84200">
      <w:pPr>
        <w:pStyle w:val="List-bulletlvl1"/>
      </w:pPr>
      <w:r>
        <w:t xml:space="preserve">road use and fuel consumption data, and how it is used in the model </w:t>
      </w:r>
    </w:p>
    <w:p w14:paraId="18454A65" w14:textId="0FC9962F" w:rsidR="00BF0DE7" w:rsidRDefault="00F76550" w:rsidP="00E84200">
      <w:pPr>
        <w:pStyle w:val="List-bulletlvl1"/>
      </w:pPr>
      <w:r>
        <w:t xml:space="preserve">how toll roads, partially tolled roads, </w:t>
      </w:r>
      <w:r w:rsidR="00B25452">
        <w:t>p</w:t>
      </w:r>
      <w:r w:rsidR="0008655A">
        <w:t>ublic</w:t>
      </w:r>
      <w:r w:rsidR="00B25452">
        <w:t>–p</w:t>
      </w:r>
      <w:r w:rsidR="0008655A">
        <w:t xml:space="preserve">rivate </w:t>
      </w:r>
      <w:r w:rsidR="00B25452">
        <w:t>p</w:t>
      </w:r>
      <w:r w:rsidR="0008655A">
        <w:t>artnerships (</w:t>
      </w:r>
      <w:r>
        <w:t>PPPs</w:t>
      </w:r>
      <w:r w:rsidR="0008655A">
        <w:t>)</w:t>
      </w:r>
      <w:r>
        <w:t xml:space="preserve"> and other innovative financing models are treated</w:t>
      </w:r>
    </w:p>
    <w:p w14:paraId="0DF9801A" w14:textId="7CEE7153" w:rsidR="00BE1715" w:rsidRDefault="00F76550" w:rsidP="00E84200">
      <w:pPr>
        <w:pStyle w:val="List-bulletlvl1"/>
      </w:pPr>
      <w:r>
        <w:t xml:space="preserve">the relativity of charges paid by different heavy vehicle classes. </w:t>
      </w:r>
    </w:p>
    <w:p w14:paraId="21145323" w14:textId="45BB11B6" w:rsidR="008079E3" w:rsidRDefault="00F76550" w:rsidP="00BE1715">
      <w:pPr>
        <w:pStyle w:val="BodyCopy"/>
      </w:pPr>
      <w:r>
        <w:t xml:space="preserve">In assessing the current model and potential changes, the NTC </w:t>
      </w:r>
      <w:r w:rsidR="00630D9C">
        <w:t xml:space="preserve">has also </w:t>
      </w:r>
      <w:r>
        <w:t>assess</w:t>
      </w:r>
      <w:r w:rsidR="00630D9C">
        <w:t>ed</w:t>
      </w:r>
      <w:r>
        <w:t xml:space="preserve">: </w:t>
      </w:r>
    </w:p>
    <w:p w14:paraId="1F7493A4" w14:textId="77777777" w:rsidR="00E84200" w:rsidRDefault="00F76550" w:rsidP="00E84200">
      <w:pPr>
        <w:pStyle w:val="List-bulletlvl1"/>
      </w:pPr>
      <w:r>
        <w:t xml:space="preserve">the impact on the heavy vehicle industry in general, and on different operators within the industry </w:t>
      </w:r>
    </w:p>
    <w:p w14:paraId="737C1A27" w14:textId="77777777" w:rsidR="00E84200" w:rsidRDefault="00F76550" w:rsidP="00E84200">
      <w:pPr>
        <w:pStyle w:val="List-bulletlvl1"/>
      </w:pPr>
      <w:r>
        <w:t xml:space="preserve">the impact on remote and rural communities </w:t>
      </w:r>
    </w:p>
    <w:p w14:paraId="3BEB2329" w14:textId="5B29F3D5" w:rsidR="008079E3" w:rsidRDefault="00F76550" w:rsidP="00E84200">
      <w:pPr>
        <w:pStyle w:val="List-bulletlvl1"/>
      </w:pPr>
      <w:r>
        <w:t xml:space="preserve">overall economic and fiscal implications. </w:t>
      </w:r>
    </w:p>
    <w:p w14:paraId="41D131D0" w14:textId="2440A1AA" w:rsidR="008079E3" w:rsidRPr="008079E3" w:rsidRDefault="00743F1A" w:rsidP="00FD39C5">
      <w:pPr>
        <w:pStyle w:val="Boxheading"/>
      </w:pPr>
      <w:r>
        <w:t>What is o</w:t>
      </w:r>
      <w:r w:rsidR="008079E3" w:rsidRPr="008079E3">
        <w:t xml:space="preserve">ut of </w:t>
      </w:r>
      <w:r>
        <w:t>s</w:t>
      </w:r>
      <w:r w:rsidR="008079E3" w:rsidRPr="008079E3">
        <w:t>cope</w:t>
      </w:r>
    </w:p>
    <w:p w14:paraId="22C05C38" w14:textId="34A3441E" w:rsidR="008079E3" w:rsidRPr="00945DB6" w:rsidRDefault="00F76550" w:rsidP="00FD39C5">
      <w:pPr>
        <w:pStyle w:val="BodyCopy"/>
      </w:pPr>
      <w:r w:rsidRPr="00945DB6">
        <w:t xml:space="preserve">The following issues </w:t>
      </w:r>
      <w:r w:rsidR="00630D9C">
        <w:t>were not</w:t>
      </w:r>
      <w:r w:rsidRPr="00945DB6">
        <w:t xml:space="preserve"> considered as part of the determination: </w:t>
      </w:r>
    </w:p>
    <w:p w14:paraId="331AB4C6" w14:textId="65DAAEBD" w:rsidR="008079E3" w:rsidRDefault="00F76550" w:rsidP="006F74C1">
      <w:pPr>
        <w:pStyle w:val="List-bulletlvl1"/>
      </w:pPr>
      <w:r>
        <w:t xml:space="preserve">changes to the PAYGO pricing principles </w:t>
      </w:r>
    </w:p>
    <w:p w14:paraId="7117F886" w14:textId="01DB68A1" w:rsidR="008079E3" w:rsidRDefault="00F76550" w:rsidP="006F74C1">
      <w:pPr>
        <w:pStyle w:val="List-bulletlvl1"/>
      </w:pPr>
      <w:r>
        <w:t xml:space="preserve">changes to the responsibility of </w:t>
      </w:r>
      <w:r w:rsidR="006F6604">
        <w:t>ITMM</w:t>
      </w:r>
      <w:r>
        <w:t xml:space="preserve"> for approving heavy vehicle charges </w:t>
      </w:r>
    </w:p>
    <w:p w14:paraId="05631883" w14:textId="4F04EF80" w:rsidR="008079E3" w:rsidRDefault="00F76550" w:rsidP="006F74C1">
      <w:pPr>
        <w:pStyle w:val="List-bulletlvl1"/>
      </w:pPr>
      <w:r>
        <w:t xml:space="preserve">implementation of a forward-looking cost base </w:t>
      </w:r>
      <w:r w:rsidR="007B3FE6">
        <w:t>(FLCB)</w:t>
      </w:r>
    </w:p>
    <w:p w14:paraId="16173685" w14:textId="6F3F7160" w:rsidR="008079E3" w:rsidRDefault="00F76550" w:rsidP="006F74C1">
      <w:pPr>
        <w:pStyle w:val="List-bulletlvl1"/>
      </w:pPr>
      <w:r>
        <w:t xml:space="preserve">changes to the way the </w:t>
      </w:r>
      <w:r w:rsidR="00C81931">
        <w:t>NHVR’s</w:t>
      </w:r>
      <w:r>
        <w:t xml:space="preserve"> approved budget is recovered through the regulatory component of heavy vehicle registration charges (although changes to the amount of the regulatory component of registration charges and the relativities between different heavy vehicle types may be considered) </w:t>
      </w:r>
    </w:p>
    <w:p w14:paraId="3FA13825" w14:textId="6014A89C" w:rsidR="008079E3" w:rsidRDefault="00F76550" w:rsidP="006F74C1">
      <w:pPr>
        <w:pStyle w:val="List-bulletlvl1"/>
      </w:pPr>
      <w:r>
        <w:t xml:space="preserve">changes to any of the current pricing mechanisms consisting of registration charges and the </w:t>
      </w:r>
      <w:r w:rsidR="00C81931">
        <w:t>RUC</w:t>
      </w:r>
      <w:r>
        <w:t xml:space="preserve"> </w:t>
      </w:r>
    </w:p>
    <w:p w14:paraId="3F9048F0" w14:textId="643422B8" w:rsidR="00F76550" w:rsidRPr="00F76550" w:rsidRDefault="00F76550" w:rsidP="00B81D22">
      <w:pPr>
        <w:pStyle w:val="List-bulletlvl1"/>
        <w:rPr>
          <w:b/>
          <w:bCs/>
        </w:rPr>
      </w:pPr>
      <w:r>
        <w:t>changes to the way heavy vehicle charges revenue is collected.</w:t>
      </w:r>
    </w:p>
    <w:p w14:paraId="1B214405" w14:textId="5E86BCBD" w:rsidR="00D0485C" w:rsidRDefault="00CE36DA" w:rsidP="001D12E0">
      <w:pPr>
        <w:pStyle w:val="Heading2"/>
      </w:pPr>
      <w:bookmarkStart w:id="63" w:name="_Toc86158377"/>
      <w:r>
        <w:t>C</w:t>
      </w:r>
      <w:r w:rsidR="00D0485C">
        <w:t>onsultation</w:t>
      </w:r>
      <w:r>
        <w:t xml:space="preserve"> to date</w:t>
      </w:r>
      <w:bookmarkEnd w:id="63"/>
    </w:p>
    <w:p w14:paraId="1456F8BE" w14:textId="7B27A3AF" w:rsidR="00F9506B" w:rsidRDefault="00456662" w:rsidP="00FB6059">
      <w:pPr>
        <w:pStyle w:val="BodyCopy"/>
      </w:pPr>
      <w:r>
        <w:t xml:space="preserve">As part of </w:t>
      </w:r>
      <w:r w:rsidR="000224D7">
        <w:t>prepar</w:t>
      </w:r>
      <w:r w:rsidR="007B3FE6">
        <w:t>ing</w:t>
      </w:r>
      <w:r w:rsidR="000224D7">
        <w:t xml:space="preserve"> th</w:t>
      </w:r>
      <w:r w:rsidR="00991AE2">
        <w:t>e</w:t>
      </w:r>
      <w:r w:rsidR="000224D7">
        <w:t xml:space="preserve"> </w:t>
      </w:r>
      <w:r w:rsidR="007B3FE6">
        <w:t>consultation RIS (</w:t>
      </w:r>
      <w:r w:rsidR="00B25452">
        <w:t>C-</w:t>
      </w:r>
      <w:r w:rsidR="000224D7">
        <w:t>RIS</w:t>
      </w:r>
      <w:r w:rsidR="007B3FE6">
        <w:t>)</w:t>
      </w:r>
      <w:r w:rsidR="00B24067">
        <w:t xml:space="preserve">, </w:t>
      </w:r>
      <w:r w:rsidR="00CE36DA">
        <w:t xml:space="preserve">we held </w:t>
      </w:r>
      <w:r w:rsidR="00B24067">
        <w:t xml:space="preserve">several workshops with </w:t>
      </w:r>
      <w:r w:rsidR="00225337">
        <w:t>i</w:t>
      </w:r>
      <w:r w:rsidR="00B24067">
        <w:t xml:space="preserve">ndustry and </w:t>
      </w:r>
      <w:r w:rsidR="00225337">
        <w:t>g</w:t>
      </w:r>
      <w:r w:rsidR="00B24067">
        <w:t>overnment</w:t>
      </w:r>
      <w:r w:rsidR="001B077C">
        <w:t xml:space="preserve"> stakeholders</w:t>
      </w:r>
      <w:r w:rsidR="00B24067">
        <w:t>.</w:t>
      </w:r>
      <w:r w:rsidR="00830D17">
        <w:t xml:space="preserve"> </w:t>
      </w:r>
      <w:r w:rsidR="00B24067">
        <w:t xml:space="preserve">The workshops </w:t>
      </w:r>
      <w:r w:rsidR="00F9506B">
        <w:t xml:space="preserve">covered </w:t>
      </w:r>
      <w:r w:rsidR="007B3FE6">
        <w:t xml:space="preserve">the </w:t>
      </w:r>
      <w:r w:rsidR="00F9506B">
        <w:t>topics</w:t>
      </w:r>
      <w:r w:rsidR="007B3FE6">
        <w:t xml:space="preserve"> listed</w:t>
      </w:r>
      <w:r w:rsidR="00F9506B">
        <w:t xml:space="preserve"> in</w:t>
      </w:r>
      <w:r w:rsidR="00DF3FCF">
        <w:t xml:space="preserve"> </w:t>
      </w:r>
      <w:r w:rsidR="00DF3FCF">
        <w:fldChar w:fldCharType="begin"/>
      </w:r>
      <w:r w:rsidR="00DF3FCF">
        <w:instrText xml:space="preserve"> REF _Ref61878935 \r \h </w:instrText>
      </w:r>
      <w:r w:rsidR="00DF3FCF">
        <w:fldChar w:fldCharType="separate"/>
      </w:r>
      <w:r w:rsidR="00225EEA">
        <w:t>Table 2</w:t>
      </w:r>
      <w:r w:rsidR="00DF3FCF">
        <w:fldChar w:fldCharType="end"/>
      </w:r>
      <w:r w:rsidR="00593D41">
        <w:t>.</w:t>
      </w:r>
      <w:r w:rsidR="00830D17">
        <w:t xml:space="preserve"> </w:t>
      </w:r>
    </w:p>
    <w:p w14:paraId="471D8CBF" w14:textId="599A1CFF" w:rsidR="00945DB6" w:rsidRDefault="00945DB6" w:rsidP="00FB6059">
      <w:pPr>
        <w:pStyle w:val="BodyCopy"/>
      </w:pPr>
    </w:p>
    <w:p w14:paraId="08573F67" w14:textId="77777777" w:rsidR="00945DB6" w:rsidRDefault="00945DB6" w:rsidP="00FB6059">
      <w:pPr>
        <w:pStyle w:val="BodyCopy"/>
      </w:pPr>
    </w:p>
    <w:p w14:paraId="0B3B2FFD" w14:textId="317EFBF3" w:rsidR="00F9506B" w:rsidRDefault="007D7E4C" w:rsidP="002B3467">
      <w:pPr>
        <w:pStyle w:val="Tabletitle"/>
      </w:pPr>
      <w:bookmarkStart w:id="64" w:name="_Toc59436387"/>
      <w:bookmarkStart w:id="65" w:name="_Ref61878935"/>
      <w:bookmarkStart w:id="66" w:name="_Toc86158541"/>
      <w:r>
        <w:lastRenderedPageBreak/>
        <w:t xml:space="preserve">Topics </w:t>
      </w:r>
      <w:r w:rsidR="00A6171B">
        <w:t xml:space="preserve">covered </w:t>
      </w:r>
      <w:r w:rsidR="00945DB6">
        <w:t>a</w:t>
      </w:r>
      <w:r>
        <w:t>t workshops</w:t>
      </w:r>
      <w:bookmarkEnd w:id="64"/>
      <w:bookmarkEnd w:id="65"/>
      <w:bookmarkEnd w:id="66"/>
    </w:p>
    <w:tbl>
      <w:tblPr>
        <w:tblStyle w:val="NTCtable3"/>
        <w:tblpPr w:leftFromText="180" w:rightFromText="180" w:vertAnchor="text"/>
        <w:tblW w:w="8921" w:type="dxa"/>
        <w:tblLook w:val="04A0" w:firstRow="1" w:lastRow="0" w:firstColumn="1" w:lastColumn="0" w:noHBand="0" w:noVBand="1"/>
      </w:tblPr>
      <w:tblGrid>
        <w:gridCol w:w="2922"/>
        <w:gridCol w:w="5999"/>
      </w:tblGrid>
      <w:tr w:rsidR="002B3467" w14:paraId="7660CD56"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344350A2" w14:textId="67ACD033" w:rsidR="001C3D9C" w:rsidRPr="00C4270B" w:rsidRDefault="001C3D9C" w:rsidP="009A2B27">
            <w:pPr>
              <w:spacing w:after="0"/>
              <w:rPr>
                <w:rFonts w:ascii="Calibri" w:hAnsi="Calibri"/>
                <w:b/>
                <w:bCs/>
                <w:sz w:val="20"/>
                <w:szCs w:val="20"/>
              </w:rPr>
            </w:pPr>
            <w:r w:rsidRPr="00C4270B">
              <w:rPr>
                <w:b/>
                <w:bCs/>
                <w:sz w:val="20"/>
                <w:szCs w:val="20"/>
              </w:rPr>
              <w:t>Workshop</w:t>
            </w:r>
            <w:r w:rsidR="00C4270B">
              <w:rPr>
                <w:b/>
                <w:bCs/>
                <w:sz w:val="20"/>
                <w:szCs w:val="20"/>
              </w:rPr>
              <w:t xml:space="preserve"> number</w:t>
            </w:r>
          </w:p>
        </w:tc>
        <w:tc>
          <w:tcPr>
            <w:tcW w:w="0" w:type="dxa"/>
            <w:tcBorders>
              <w:bottom w:val="single" w:sz="4" w:space="0" w:color="000000"/>
            </w:tcBorders>
            <w:hideMark/>
          </w:tcPr>
          <w:p w14:paraId="62C9E4F1" w14:textId="77777777" w:rsidR="001C3D9C" w:rsidRPr="00C4270B" w:rsidRDefault="001C3D9C" w:rsidP="009A2B27">
            <w:pPr>
              <w:spacing w:after="0"/>
              <w:rPr>
                <w:b/>
                <w:bCs/>
                <w:color w:val="FFFFFF"/>
                <w:sz w:val="20"/>
                <w:szCs w:val="20"/>
              </w:rPr>
            </w:pPr>
            <w:r w:rsidRPr="00C4270B">
              <w:rPr>
                <w:b/>
                <w:bCs/>
                <w:sz w:val="20"/>
                <w:szCs w:val="20"/>
              </w:rPr>
              <w:t>Topic</w:t>
            </w:r>
          </w:p>
        </w:tc>
      </w:tr>
      <w:tr w:rsidR="002B3467" w14:paraId="620856CD" w14:textId="77777777" w:rsidTr="00A621B8">
        <w:tc>
          <w:tcPr>
            <w:tcW w:w="0" w:type="dxa"/>
            <w:vMerge w:val="restart"/>
            <w:hideMark/>
          </w:tcPr>
          <w:p w14:paraId="7AB249A2" w14:textId="77777777" w:rsidR="001C3D9C" w:rsidRPr="00C4270B" w:rsidRDefault="001C3D9C" w:rsidP="009A2B27">
            <w:pPr>
              <w:spacing w:after="0"/>
              <w:rPr>
                <w:b/>
                <w:bCs/>
                <w:sz w:val="20"/>
                <w:szCs w:val="20"/>
              </w:rPr>
            </w:pPr>
            <w:r w:rsidRPr="00C4270B">
              <w:rPr>
                <w:b/>
                <w:bCs/>
                <w:color w:val="000000"/>
                <w:sz w:val="20"/>
                <w:szCs w:val="20"/>
              </w:rPr>
              <w:t>1</w:t>
            </w:r>
          </w:p>
        </w:tc>
        <w:tc>
          <w:tcPr>
            <w:tcW w:w="0" w:type="dxa"/>
            <w:tcBorders>
              <w:top w:val="single" w:sz="4" w:space="0" w:color="000000"/>
              <w:bottom w:val="nil"/>
            </w:tcBorders>
            <w:hideMark/>
          </w:tcPr>
          <w:p w14:paraId="6E2379E6" w14:textId="1DDC830D" w:rsidR="001C3D9C" w:rsidRPr="00C4270B" w:rsidRDefault="001C3D9C" w:rsidP="009A2B27">
            <w:pPr>
              <w:spacing w:after="0"/>
              <w:rPr>
                <w:sz w:val="20"/>
                <w:szCs w:val="20"/>
              </w:rPr>
            </w:pPr>
            <w:r w:rsidRPr="00C4270B">
              <w:rPr>
                <w:color w:val="000000"/>
                <w:sz w:val="20"/>
                <w:szCs w:val="20"/>
              </w:rPr>
              <w:t xml:space="preserve">Scope and </w:t>
            </w:r>
            <w:r w:rsidR="00B25452" w:rsidRPr="00C4270B">
              <w:rPr>
                <w:color w:val="000000"/>
                <w:sz w:val="20"/>
                <w:szCs w:val="20"/>
              </w:rPr>
              <w:t>p</w:t>
            </w:r>
            <w:r w:rsidRPr="00C4270B">
              <w:rPr>
                <w:color w:val="000000"/>
                <w:sz w:val="20"/>
                <w:szCs w:val="20"/>
              </w:rPr>
              <w:t>rocess</w:t>
            </w:r>
          </w:p>
        </w:tc>
      </w:tr>
      <w:tr w:rsidR="002B3467" w14:paraId="26BF081D" w14:textId="77777777" w:rsidTr="00A621B8">
        <w:tc>
          <w:tcPr>
            <w:tcW w:w="0" w:type="dxa"/>
            <w:vMerge/>
            <w:hideMark/>
          </w:tcPr>
          <w:p w14:paraId="74F6E630"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2769F3E9" w14:textId="77777777" w:rsidR="001C3D9C" w:rsidRPr="00C4270B" w:rsidRDefault="001C3D9C" w:rsidP="009A2B27">
            <w:pPr>
              <w:spacing w:after="0"/>
              <w:rPr>
                <w:sz w:val="20"/>
                <w:szCs w:val="20"/>
              </w:rPr>
            </w:pPr>
            <w:r w:rsidRPr="00C4270B">
              <w:rPr>
                <w:sz w:val="20"/>
                <w:szCs w:val="20"/>
              </w:rPr>
              <w:t>Trust in and quality of expenditure data</w:t>
            </w:r>
          </w:p>
        </w:tc>
      </w:tr>
      <w:tr w:rsidR="002B3467" w14:paraId="4325B754" w14:textId="77777777" w:rsidTr="00A621B8">
        <w:tc>
          <w:tcPr>
            <w:tcW w:w="0" w:type="dxa"/>
            <w:vMerge/>
            <w:hideMark/>
          </w:tcPr>
          <w:p w14:paraId="09A70B8B"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0BAB3BE7" w14:textId="77777777" w:rsidR="001C3D9C" w:rsidRPr="00C4270B" w:rsidRDefault="001C3D9C" w:rsidP="009A2B27">
            <w:pPr>
              <w:spacing w:after="0"/>
              <w:rPr>
                <w:sz w:val="20"/>
                <w:szCs w:val="20"/>
              </w:rPr>
            </w:pPr>
            <w:r w:rsidRPr="00C4270B">
              <w:rPr>
                <w:color w:val="000000"/>
                <w:sz w:val="20"/>
                <w:szCs w:val="20"/>
              </w:rPr>
              <w:t>Expenditure categories</w:t>
            </w:r>
          </w:p>
        </w:tc>
      </w:tr>
      <w:tr w:rsidR="002B3467" w14:paraId="37A93882" w14:textId="77777777" w:rsidTr="00A621B8">
        <w:tc>
          <w:tcPr>
            <w:tcW w:w="0" w:type="dxa"/>
            <w:vMerge/>
            <w:hideMark/>
          </w:tcPr>
          <w:p w14:paraId="18F6E404" w14:textId="77777777" w:rsidR="001C3D9C" w:rsidRPr="00C4270B" w:rsidRDefault="001C3D9C" w:rsidP="009A2B27">
            <w:pPr>
              <w:spacing w:after="0"/>
              <w:rPr>
                <w:rFonts w:ascii="Calibri" w:hAnsi="Calibri" w:cs="Calibri"/>
                <w:b/>
                <w:bCs/>
                <w:sz w:val="20"/>
                <w:szCs w:val="20"/>
              </w:rPr>
            </w:pPr>
          </w:p>
        </w:tc>
        <w:tc>
          <w:tcPr>
            <w:tcW w:w="0" w:type="dxa"/>
            <w:tcBorders>
              <w:top w:val="nil"/>
              <w:bottom w:val="single" w:sz="4" w:space="0" w:color="000000"/>
            </w:tcBorders>
            <w:hideMark/>
          </w:tcPr>
          <w:p w14:paraId="6465FD09" w14:textId="77777777" w:rsidR="001C3D9C" w:rsidRPr="00C4270B" w:rsidRDefault="001C3D9C" w:rsidP="009A2B27">
            <w:pPr>
              <w:spacing w:after="0"/>
              <w:rPr>
                <w:sz w:val="20"/>
                <w:szCs w:val="20"/>
              </w:rPr>
            </w:pPr>
            <w:r w:rsidRPr="00C4270B">
              <w:rPr>
                <w:sz w:val="20"/>
                <w:szCs w:val="20"/>
              </w:rPr>
              <w:t>Treatment of toll roads</w:t>
            </w:r>
          </w:p>
        </w:tc>
      </w:tr>
      <w:tr w:rsidR="002B3467" w14:paraId="1D525E69" w14:textId="77777777" w:rsidTr="00A621B8">
        <w:tc>
          <w:tcPr>
            <w:tcW w:w="0" w:type="dxa"/>
            <w:vMerge w:val="restart"/>
            <w:hideMark/>
          </w:tcPr>
          <w:p w14:paraId="71E99ED4" w14:textId="77777777" w:rsidR="001C3D9C" w:rsidRPr="00C4270B" w:rsidRDefault="001C3D9C" w:rsidP="009A2B27">
            <w:pPr>
              <w:spacing w:after="0"/>
              <w:rPr>
                <w:b/>
                <w:bCs/>
                <w:sz w:val="20"/>
                <w:szCs w:val="20"/>
              </w:rPr>
            </w:pPr>
            <w:r w:rsidRPr="00C4270B">
              <w:rPr>
                <w:b/>
                <w:bCs/>
                <w:color w:val="000000"/>
                <w:sz w:val="20"/>
                <w:szCs w:val="20"/>
              </w:rPr>
              <w:t>2</w:t>
            </w:r>
          </w:p>
        </w:tc>
        <w:tc>
          <w:tcPr>
            <w:tcW w:w="0" w:type="dxa"/>
            <w:tcBorders>
              <w:top w:val="single" w:sz="4" w:space="0" w:color="000000"/>
              <w:bottom w:val="nil"/>
            </w:tcBorders>
            <w:hideMark/>
          </w:tcPr>
          <w:p w14:paraId="677F64FE" w14:textId="77777777" w:rsidR="001C3D9C" w:rsidRPr="00C4270B" w:rsidRDefault="001C3D9C" w:rsidP="009A2B27">
            <w:pPr>
              <w:spacing w:after="0"/>
              <w:rPr>
                <w:sz w:val="20"/>
                <w:szCs w:val="20"/>
              </w:rPr>
            </w:pPr>
            <w:r w:rsidRPr="00C4270B">
              <w:rPr>
                <w:color w:val="000000"/>
                <w:sz w:val="20"/>
                <w:szCs w:val="20"/>
              </w:rPr>
              <w:t>Overview of cross-subsidy check</w:t>
            </w:r>
          </w:p>
        </w:tc>
      </w:tr>
      <w:tr w:rsidR="002B3467" w14:paraId="5A614769" w14:textId="77777777" w:rsidTr="00F00BA8">
        <w:trPr>
          <w:trHeight w:val="611"/>
        </w:trPr>
        <w:tc>
          <w:tcPr>
            <w:tcW w:w="0" w:type="dxa"/>
            <w:vMerge/>
            <w:hideMark/>
          </w:tcPr>
          <w:p w14:paraId="7BFC9877"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44B1218F" w14:textId="4A3F351A" w:rsidR="001C3D9C" w:rsidRPr="00C4270B" w:rsidRDefault="001C3D9C" w:rsidP="009A2B27">
            <w:pPr>
              <w:spacing w:after="0"/>
              <w:rPr>
                <w:sz w:val="20"/>
                <w:szCs w:val="20"/>
              </w:rPr>
            </w:pPr>
            <w:r w:rsidRPr="00C4270B">
              <w:rPr>
                <w:sz w:val="20"/>
                <w:szCs w:val="20"/>
              </w:rPr>
              <w:t>Multi-year price setting, dealing with under</w:t>
            </w:r>
            <w:r w:rsidR="0021556E" w:rsidRPr="00C4270B">
              <w:rPr>
                <w:sz w:val="20"/>
                <w:szCs w:val="20"/>
              </w:rPr>
              <w:t xml:space="preserve"> charging</w:t>
            </w:r>
            <w:r w:rsidRPr="00C4270B">
              <w:rPr>
                <w:sz w:val="20"/>
                <w:szCs w:val="20"/>
              </w:rPr>
              <w:t xml:space="preserve"> and over</w:t>
            </w:r>
            <w:r w:rsidR="00514853" w:rsidRPr="00C4270B">
              <w:rPr>
                <w:sz w:val="20"/>
                <w:szCs w:val="20"/>
              </w:rPr>
              <w:t xml:space="preserve"> charging</w:t>
            </w:r>
          </w:p>
        </w:tc>
      </w:tr>
      <w:tr w:rsidR="002B3467" w14:paraId="62A82F9A" w14:textId="77777777" w:rsidTr="00A621B8">
        <w:tc>
          <w:tcPr>
            <w:tcW w:w="0" w:type="dxa"/>
            <w:vMerge/>
            <w:hideMark/>
          </w:tcPr>
          <w:p w14:paraId="60FD6687"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35BE5AA5" w14:textId="77777777" w:rsidR="001C3D9C" w:rsidRPr="00C4270B" w:rsidRDefault="001C3D9C" w:rsidP="009A2B27">
            <w:pPr>
              <w:spacing w:after="0"/>
              <w:rPr>
                <w:sz w:val="20"/>
                <w:szCs w:val="20"/>
              </w:rPr>
            </w:pPr>
            <w:r w:rsidRPr="00C4270B">
              <w:rPr>
                <w:color w:val="000000"/>
                <w:sz w:val="20"/>
                <w:szCs w:val="20"/>
              </w:rPr>
              <w:t>Usage data</w:t>
            </w:r>
          </w:p>
        </w:tc>
      </w:tr>
      <w:tr w:rsidR="002B3467" w14:paraId="12CFB9C2" w14:textId="77777777" w:rsidTr="00A621B8">
        <w:tc>
          <w:tcPr>
            <w:tcW w:w="0" w:type="dxa"/>
            <w:vMerge/>
            <w:hideMark/>
          </w:tcPr>
          <w:p w14:paraId="6937019B" w14:textId="77777777" w:rsidR="001C3D9C" w:rsidRPr="00C4270B" w:rsidRDefault="001C3D9C" w:rsidP="009A2B27">
            <w:pPr>
              <w:spacing w:after="0"/>
              <w:rPr>
                <w:rFonts w:ascii="Calibri" w:hAnsi="Calibri" w:cs="Calibri"/>
                <w:b/>
                <w:bCs/>
                <w:sz w:val="20"/>
                <w:szCs w:val="20"/>
              </w:rPr>
            </w:pPr>
          </w:p>
        </w:tc>
        <w:tc>
          <w:tcPr>
            <w:tcW w:w="0" w:type="dxa"/>
            <w:tcBorders>
              <w:top w:val="nil"/>
              <w:bottom w:val="single" w:sz="4" w:space="0" w:color="000000"/>
            </w:tcBorders>
            <w:hideMark/>
          </w:tcPr>
          <w:p w14:paraId="4D961C7D" w14:textId="77777777" w:rsidR="001C3D9C" w:rsidRPr="00C4270B" w:rsidRDefault="001C3D9C" w:rsidP="009A2B27">
            <w:pPr>
              <w:spacing w:after="0"/>
              <w:rPr>
                <w:sz w:val="20"/>
                <w:szCs w:val="20"/>
              </w:rPr>
            </w:pPr>
            <w:r w:rsidRPr="00C4270B">
              <w:rPr>
                <w:sz w:val="20"/>
                <w:szCs w:val="20"/>
              </w:rPr>
              <w:t>Cost allocation process overview and issues</w:t>
            </w:r>
          </w:p>
        </w:tc>
      </w:tr>
      <w:tr w:rsidR="002B3467" w14:paraId="43DDB30C" w14:textId="77777777" w:rsidTr="00A621B8">
        <w:tc>
          <w:tcPr>
            <w:tcW w:w="0" w:type="dxa"/>
            <w:vMerge w:val="restart"/>
            <w:hideMark/>
          </w:tcPr>
          <w:p w14:paraId="461612DB" w14:textId="77777777" w:rsidR="001C3D9C" w:rsidRPr="00C4270B" w:rsidRDefault="001C3D9C" w:rsidP="009A2B27">
            <w:pPr>
              <w:spacing w:after="0"/>
              <w:rPr>
                <w:b/>
                <w:bCs/>
                <w:sz w:val="20"/>
                <w:szCs w:val="20"/>
              </w:rPr>
            </w:pPr>
            <w:r w:rsidRPr="00C4270B">
              <w:rPr>
                <w:b/>
                <w:bCs/>
                <w:color w:val="000000"/>
                <w:sz w:val="20"/>
                <w:szCs w:val="20"/>
              </w:rPr>
              <w:t>3</w:t>
            </w:r>
          </w:p>
        </w:tc>
        <w:tc>
          <w:tcPr>
            <w:tcW w:w="0" w:type="dxa"/>
            <w:tcBorders>
              <w:top w:val="single" w:sz="4" w:space="0" w:color="000000"/>
              <w:bottom w:val="nil"/>
            </w:tcBorders>
            <w:hideMark/>
          </w:tcPr>
          <w:p w14:paraId="0126AD94" w14:textId="33612492" w:rsidR="001C3D9C" w:rsidRPr="00007FAA" w:rsidRDefault="001C3D9C" w:rsidP="009A2B27">
            <w:pPr>
              <w:spacing w:after="0"/>
              <w:rPr>
                <w:sz w:val="20"/>
                <w:szCs w:val="20"/>
              </w:rPr>
            </w:pPr>
            <w:r w:rsidRPr="00007FAA">
              <w:rPr>
                <w:color w:val="000000"/>
                <w:sz w:val="20"/>
                <w:szCs w:val="20"/>
              </w:rPr>
              <w:t>Max</w:t>
            </w:r>
            <w:r w:rsidR="007B3FE6" w:rsidRPr="00007FAA">
              <w:rPr>
                <w:color w:val="000000"/>
                <w:sz w:val="20"/>
                <w:szCs w:val="20"/>
              </w:rPr>
              <w:t>M</w:t>
            </w:r>
            <w:r w:rsidRPr="00007FAA">
              <w:rPr>
                <w:color w:val="000000"/>
                <w:sz w:val="20"/>
                <w:szCs w:val="20"/>
              </w:rPr>
              <w:t>an – role and effect</w:t>
            </w:r>
          </w:p>
        </w:tc>
      </w:tr>
      <w:tr w:rsidR="002B3467" w14:paraId="60CCD329" w14:textId="77777777" w:rsidTr="00A621B8">
        <w:tc>
          <w:tcPr>
            <w:tcW w:w="0" w:type="dxa"/>
            <w:vMerge/>
            <w:hideMark/>
          </w:tcPr>
          <w:p w14:paraId="2B2ABA9D"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11360790" w14:textId="77777777" w:rsidR="001C3D9C" w:rsidRPr="00007FAA" w:rsidRDefault="001C3D9C" w:rsidP="009A2B27">
            <w:pPr>
              <w:spacing w:after="0"/>
              <w:rPr>
                <w:sz w:val="20"/>
                <w:szCs w:val="20"/>
              </w:rPr>
            </w:pPr>
            <w:r w:rsidRPr="00007FAA">
              <w:rPr>
                <w:sz w:val="20"/>
                <w:szCs w:val="20"/>
              </w:rPr>
              <w:t>Leakages</w:t>
            </w:r>
          </w:p>
        </w:tc>
      </w:tr>
      <w:tr w:rsidR="002B3467" w14:paraId="5FBFE088" w14:textId="77777777" w:rsidTr="00A621B8">
        <w:tc>
          <w:tcPr>
            <w:tcW w:w="0" w:type="dxa"/>
            <w:vMerge/>
            <w:hideMark/>
          </w:tcPr>
          <w:p w14:paraId="2CCDC069"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03D6BA90" w14:textId="77777777" w:rsidR="001C3D9C" w:rsidRPr="00007FAA" w:rsidRDefault="001C3D9C" w:rsidP="009A2B27">
            <w:pPr>
              <w:spacing w:after="0"/>
              <w:rPr>
                <w:sz w:val="20"/>
                <w:szCs w:val="20"/>
              </w:rPr>
            </w:pPr>
            <w:r w:rsidRPr="00007FAA">
              <w:rPr>
                <w:color w:val="000000"/>
                <w:sz w:val="20"/>
                <w:szCs w:val="20"/>
              </w:rPr>
              <w:t>Concessions – summary and current approach</w:t>
            </w:r>
          </w:p>
        </w:tc>
      </w:tr>
      <w:tr w:rsidR="002B3467" w14:paraId="5F6119D2" w14:textId="77777777" w:rsidTr="00A621B8">
        <w:tc>
          <w:tcPr>
            <w:tcW w:w="0" w:type="dxa"/>
            <w:vMerge/>
            <w:hideMark/>
          </w:tcPr>
          <w:p w14:paraId="5F15A06A" w14:textId="77777777" w:rsidR="001C3D9C" w:rsidRPr="00C4270B" w:rsidRDefault="001C3D9C" w:rsidP="009A2B27">
            <w:pPr>
              <w:spacing w:after="0"/>
              <w:rPr>
                <w:rFonts w:ascii="Calibri" w:hAnsi="Calibri" w:cs="Calibri"/>
                <w:b/>
                <w:bCs/>
                <w:sz w:val="20"/>
                <w:szCs w:val="20"/>
              </w:rPr>
            </w:pPr>
          </w:p>
        </w:tc>
        <w:tc>
          <w:tcPr>
            <w:tcW w:w="0" w:type="dxa"/>
            <w:tcBorders>
              <w:top w:val="nil"/>
              <w:bottom w:val="single" w:sz="4" w:space="0" w:color="000000"/>
            </w:tcBorders>
            <w:hideMark/>
          </w:tcPr>
          <w:p w14:paraId="39647ECC" w14:textId="77777777" w:rsidR="001C3D9C" w:rsidRPr="00007FAA" w:rsidRDefault="001C3D9C" w:rsidP="009A2B27">
            <w:pPr>
              <w:spacing w:after="0"/>
              <w:rPr>
                <w:sz w:val="20"/>
                <w:szCs w:val="20"/>
              </w:rPr>
            </w:pPr>
            <w:r w:rsidRPr="00007FAA">
              <w:rPr>
                <w:sz w:val="20"/>
                <w:szCs w:val="20"/>
              </w:rPr>
              <w:t xml:space="preserve">Averaging and other related issues </w:t>
            </w:r>
          </w:p>
        </w:tc>
      </w:tr>
      <w:tr w:rsidR="002B3467" w14:paraId="4357F645" w14:textId="77777777" w:rsidTr="00A621B8">
        <w:tc>
          <w:tcPr>
            <w:tcW w:w="0" w:type="dxa"/>
            <w:vMerge w:val="restart"/>
            <w:hideMark/>
          </w:tcPr>
          <w:p w14:paraId="2B287298" w14:textId="77777777" w:rsidR="001C3D9C" w:rsidRPr="00C4270B" w:rsidRDefault="001C3D9C" w:rsidP="009A2B27">
            <w:pPr>
              <w:spacing w:after="0"/>
              <w:rPr>
                <w:b/>
                <w:bCs/>
                <w:sz w:val="20"/>
                <w:szCs w:val="20"/>
              </w:rPr>
            </w:pPr>
            <w:r w:rsidRPr="00C4270B">
              <w:rPr>
                <w:b/>
                <w:bCs/>
                <w:color w:val="000000"/>
                <w:sz w:val="20"/>
                <w:szCs w:val="20"/>
              </w:rPr>
              <w:t>4</w:t>
            </w:r>
          </w:p>
        </w:tc>
        <w:tc>
          <w:tcPr>
            <w:tcW w:w="0" w:type="dxa"/>
            <w:tcBorders>
              <w:top w:val="single" w:sz="4" w:space="0" w:color="000000"/>
              <w:bottom w:val="nil"/>
            </w:tcBorders>
            <w:hideMark/>
          </w:tcPr>
          <w:p w14:paraId="0B652C0F" w14:textId="7D1B6EBB" w:rsidR="001C3D9C" w:rsidRPr="00007FAA" w:rsidRDefault="007B3FE6" w:rsidP="009A2B27">
            <w:pPr>
              <w:spacing w:after="0"/>
              <w:rPr>
                <w:sz w:val="20"/>
                <w:szCs w:val="20"/>
              </w:rPr>
            </w:pPr>
            <w:r w:rsidRPr="002F253E">
              <w:t>Equivalent standard axle</w:t>
            </w:r>
            <w:r w:rsidR="001C3D9C" w:rsidRPr="00F00BA8">
              <w:t>s</w:t>
            </w:r>
          </w:p>
        </w:tc>
      </w:tr>
      <w:tr w:rsidR="002B3467" w14:paraId="11F22B5A" w14:textId="77777777" w:rsidTr="00A621B8">
        <w:tc>
          <w:tcPr>
            <w:tcW w:w="0" w:type="dxa"/>
            <w:vMerge/>
            <w:hideMark/>
          </w:tcPr>
          <w:p w14:paraId="208F7F19"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261BC21A" w14:textId="77777777" w:rsidR="001C3D9C" w:rsidRPr="00007FAA" w:rsidRDefault="001C3D9C" w:rsidP="009A2B27">
            <w:pPr>
              <w:spacing w:after="0"/>
              <w:rPr>
                <w:sz w:val="20"/>
                <w:szCs w:val="20"/>
              </w:rPr>
            </w:pPr>
            <w:r w:rsidRPr="00007FAA">
              <w:rPr>
                <w:sz w:val="20"/>
                <w:szCs w:val="20"/>
              </w:rPr>
              <w:t>Cost allocation options overview</w:t>
            </w:r>
          </w:p>
        </w:tc>
      </w:tr>
      <w:tr w:rsidR="002B3467" w14:paraId="10E4F7AA" w14:textId="77777777" w:rsidTr="00A621B8">
        <w:tc>
          <w:tcPr>
            <w:tcW w:w="0" w:type="dxa"/>
            <w:vMerge/>
            <w:hideMark/>
          </w:tcPr>
          <w:p w14:paraId="1275CF40" w14:textId="77777777" w:rsidR="001C3D9C" w:rsidRPr="00C4270B" w:rsidRDefault="001C3D9C" w:rsidP="009A2B27">
            <w:pPr>
              <w:spacing w:after="0"/>
              <w:rPr>
                <w:rFonts w:ascii="Calibri" w:hAnsi="Calibri" w:cs="Calibri"/>
                <w:b/>
                <w:bCs/>
                <w:sz w:val="20"/>
                <w:szCs w:val="20"/>
              </w:rPr>
            </w:pPr>
          </w:p>
        </w:tc>
        <w:tc>
          <w:tcPr>
            <w:tcW w:w="0" w:type="dxa"/>
            <w:tcBorders>
              <w:top w:val="nil"/>
              <w:bottom w:val="single" w:sz="4" w:space="0" w:color="000000"/>
            </w:tcBorders>
            <w:hideMark/>
          </w:tcPr>
          <w:p w14:paraId="2A621C50" w14:textId="77777777" w:rsidR="001C3D9C" w:rsidRPr="00007FAA" w:rsidRDefault="001C3D9C" w:rsidP="009A2B27">
            <w:pPr>
              <w:spacing w:after="0"/>
              <w:rPr>
                <w:sz w:val="20"/>
                <w:szCs w:val="20"/>
              </w:rPr>
            </w:pPr>
            <w:r w:rsidRPr="00007FAA">
              <w:rPr>
                <w:color w:val="000000"/>
                <w:sz w:val="20"/>
                <w:szCs w:val="20"/>
              </w:rPr>
              <w:t>Vehicle operating costs</w:t>
            </w:r>
          </w:p>
        </w:tc>
      </w:tr>
      <w:tr w:rsidR="002B3467" w14:paraId="25986CF1" w14:textId="77777777" w:rsidTr="00A621B8">
        <w:tc>
          <w:tcPr>
            <w:tcW w:w="0" w:type="dxa"/>
            <w:vMerge w:val="restart"/>
            <w:hideMark/>
          </w:tcPr>
          <w:p w14:paraId="3AFDFCFD" w14:textId="77777777" w:rsidR="001C3D9C" w:rsidRPr="00C4270B" w:rsidRDefault="001C3D9C" w:rsidP="009A2B27">
            <w:pPr>
              <w:spacing w:after="0"/>
              <w:rPr>
                <w:b/>
                <w:bCs/>
                <w:sz w:val="20"/>
                <w:szCs w:val="20"/>
              </w:rPr>
            </w:pPr>
            <w:r w:rsidRPr="00C4270B">
              <w:rPr>
                <w:b/>
                <w:bCs/>
                <w:sz w:val="20"/>
                <w:szCs w:val="20"/>
              </w:rPr>
              <w:t>5</w:t>
            </w:r>
          </w:p>
        </w:tc>
        <w:tc>
          <w:tcPr>
            <w:tcW w:w="0" w:type="dxa"/>
            <w:tcBorders>
              <w:top w:val="single" w:sz="4" w:space="0" w:color="000000"/>
              <w:bottom w:val="nil"/>
            </w:tcBorders>
            <w:hideMark/>
          </w:tcPr>
          <w:p w14:paraId="5E98C3B2" w14:textId="77777777" w:rsidR="001C3D9C" w:rsidRPr="00007FAA" w:rsidRDefault="001C3D9C" w:rsidP="009A2B27">
            <w:pPr>
              <w:spacing w:after="0"/>
              <w:rPr>
                <w:sz w:val="20"/>
                <w:szCs w:val="20"/>
              </w:rPr>
            </w:pPr>
            <w:r w:rsidRPr="00007FAA">
              <w:rPr>
                <w:sz w:val="20"/>
                <w:szCs w:val="20"/>
              </w:rPr>
              <w:t>Annual adjustment</w:t>
            </w:r>
          </w:p>
        </w:tc>
      </w:tr>
      <w:tr w:rsidR="002B3467" w14:paraId="7D64DA06" w14:textId="77777777" w:rsidTr="00A621B8">
        <w:tc>
          <w:tcPr>
            <w:tcW w:w="0" w:type="dxa"/>
            <w:vMerge/>
            <w:hideMark/>
          </w:tcPr>
          <w:p w14:paraId="639814E4" w14:textId="77777777" w:rsidR="001C3D9C" w:rsidRPr="00C4270B" w:rsidRDefault="001C3D9C" w:rsidP="009A2B27">
            <w:pPr>
              <w:spacing w:after="0"/>
              <w:rPr>
                <w:rFonts w:ascii="Calibri" w:hAnsi="Calibri" w:cs="Calibri"/>
                <w:b/>
                <w:bCs/>
                <w:sz w:val="20"/>
                <w:szCs w:val="20"/>
              </w:rPr>
            </w:pPr>
          </w:p>
        </w:tc>
        <w:tc>
          <w:tcPr>
            <w:tcW w:w="0" w:type="dxa"/>
            <w:tcBorders>
              <w:top w:val="nil"/>
              <w:bottom w:val="nil"/>
            </w:tcBorders>
            <w:hideMark/>
          </w:tcPr>
          <w:p w14:paraId="5FEF60E3" w14:textId="77777777" w:rsidR="001C3D9C" w:rsidRPr="00007FAA" w:rsidRDefault="001C3D9C" w:rsidP="009A2B27">
            <w:pPr>
              <w:spacing w:after="0"/>
              <w:rPr>
                <w:sz w:val="20"/>
                <w:szCs w:val="20"/>
              </w:rPr>
            </w:pPr>
            <w:r w:rsidRPr="00007FAA">
              <w:rPr>
                <w:color w:val="000000"/>
                <w:sz w:val="20"/>
                <w:szCs w:val="20"/>
              </w:rPr>
              <w:t>Implementation/transition</w:t>
            </w:r>
          </w:p>
        </w:tc>
      </w:tr>
      <w:tr w:rsidR="002B3467" w14:paraId="5D5C54E8" w14:textId="77777777" w:rsidTr="00A621B8">
        <w:tc>
          <w:tcPr>
            <w:tcW w:w="0" w:type="dxa"/>
            <w:vMerge/>
            <w:hideMark/>
          </w:tcPr>
          <w:p w14:paraId="210D1829" w14:textId="77777777" w:rsidR="001C3D9C" w:rsidRPr="00C4270B" w:rsidRDefault="001C3D9C" w:rsidP="009A2B27">
            <w:pPr>
              <w:spacing w:after="0"/>
              <w:rPr>
                <w:rFonts w:ascii="Calibri" w:hAnsi="Calibri" w:cs="Calibri"/>
                <w:b/>
                <w:bCs/>
                <w:sz w:val="20"/>
                <w:szCs w:val="20"/>
              </w:rPr>
            </w:pPr>
          </w:p>
        </w:tc>
        <w:tc>
          <w:tcPr>
            <w:tcW w:w="0" w:type="dxa"/>
            <w:tcBorders>
              <w:top w:val="nil"/>
              <w:bottom w:val="single" w:sz="4" w:space="0" w:color="000000"/>
            </w:tcBorders>
            <w:hideMark/>
          </w:tcPr>
          <w:p w14:paraId="4467CE26" w14:textId="29967084" w:rsidR="001C3D9C" w:rsidRPr="00007FAA" w:rsidRDefault="007B3FE6" w:rsidP="009A2B27">
            <w:pPr>
              <w:spacing w:after="0"/>
              <w:rPr>
                <w:sz w:val="20"/>
                <w:szCs w:val="20"/>
              </w:rPr>
            </w:pPr>
            <w:r w:rsidRPr="00007FAA">
              <w:rPr>
                <w:sz w:val="20"/>
                <w:szCs w:val="20"/>
              </w:rPr>
              <w:t>O</w:t>
            </w:r>
            <w:r w:rsidR="001C3D9C" w:rsidRPr="00007FAA">
              <w:rPr>
                <w:sz w:val="20"/>
                <w:szCs w:val="20"/>
              </w:rPr>
              <w:t>ther outstanding issues</w:t>
            </w:r>
          </w:p>
        </w:tc>
      </w:tr>
      <w:tr w:rsidR="002B3467" w14:paraId="1C5A64AE" w14:textId="77777777" w:rsidTr="00A621B8">
        <w:tc>
          <w:tcPr>
            <w:tcW w:w="0" w:type="dxa"/>
            <w:vMerge w:val="restart"/>
            <w:hideMark/>
          </w:tcPr>
          <w:p w14:paraId="3A321E99" w14:textId="77777777" w:rsidR="001C3D9C" w:rsidRPr="00C4270B" w:rsidRDefault="001C3D9C" w:rsidP="009A2B27">
            <w:pPr>
              <w:spacing w:after="0"/>
              <w:rPr>
                <w:b/>
                <w:bCs/>
                <w:sz w:val="20"/>
                <w:szCs w:val="20"/>
              </w:rPr>
            </w:pPr>
            <w:r w:rsidRPr="00C4270B">
              <w:rPr>
                <w:b/>
                <w:bCs/>
                <w:color w:val="000000"/>
                <w:sz w:val="20"/>
                <w:szCs w:val="20"/>
              </w:rPr>
              <w:t>6</w:t>
            </w:r>
          </w:p>
        </w:tc>
        <w:tc>
          <w:tcPr>
            <w:tcW w:w="0" w:type="dxa"/>
            <w:tcBorders>
              <w:top w:val="single" w:sz="4" w:space="0" w:color="000000"/>
              <w:bottom w:val="nil"/>
            </w:tcBorders>
            <w:hideMark/>
          </w:tcPr>
          <w:p w14:paraId="5B95C95A" w14:textId="35F9F356" w:rsidR="001C3D9C" w:rsidRPr="003408C6" w:rsidRDefault="001C3D9C" w:rsidP="009A2B27">
            <w:pPr>
              <w:spacing w:after="0"/>
              <w:rPr>
                <w:sz w:val="20"/>
                <w:szCs w:val="20"/>
              </w:rPr>
            </w:pPr>
            <w:r w:rsidRPr="00007FAA">
              <w:rPr>
                <w:color w:val="000000"/>
                <w:sz w:val="20"/>
                <w:szCs w:val="20"/>
              </w:rPr>
              <w:t xml:space="preserve">Developing coherent options to be included in </w:t>
            </w:r>
            <w:r w:rsidR="007B3FE6" w:rsidRPr="00007FAA">
              <w:rPr>
                <w:color w:val="000000"/>
                <w:sz w:val="20"/>
                <w:szCs w:val="20"/>
              </w:rPr>
              <w:t xml:space="preserve">the </w:t>
            </w:r>
            <w:r w:rsidRPr="00007FAA">
              <w:rPr>
                <w:color w:val="000000"/>
                <w:sz w:val="20"/>
                <w:szCs w:val="20"/>
              </w:rPr>
              <w:t>RIS</w:t>
            </w:r>
          </w:p>
        </w:tc>
      </w:tr>
      <w:tr w:rsidR="002B3467" w14:paraId="5733CB90" w14:textId="77777777" w:rsidTr="00A621B8">
        <w:tc>
          <w:tcPr>
            <w:tcW w:w="0" w:type="dxa"/>
            <w:vMerge/>
            <w:hideMark/>
          </w:tcPr>
          <w:p w14:paraId="52D518AA" w14:textId="77777777" w:rsidR="001C3D9C" w:rsidRPr="00C4270B" w:rsidRDefault="001C3D9C" w:rsidP="009A2B27">
            <w:pPr>
              <w:spacing w:after="0"/>
              <w:rPr>
                <w:rFonts w:ascii="Calibri" w:hAnsi="Calibri" w:cs="Calibri"/>
                <w:b/>
                <w:bCs/>
                <w:sz w:val="20"/>
                <w:szCs w:val="20"/>
              </w:rPr>
            </w:pPr>
          </w:p>
        </w:tc>
        <w:tc>
          <w:tcPr>
            <w:tcW w:w="0" w:type="dxa"/>
            <w:tcBorders>
              <w:top w:val="nil"/>
            </w:tcBorders>
            <w:hideMark/>
          </w:tcPr>
          <w:p w14:paraId="6BBD4603" w14:textId="50D9B745" w:rsidR="001C3D9C" w:rsidRPr="00007FAA" w:rsidRDefault="001C3D9C" w:rsidP="009A2B27">
            <w:pPr>
              <w:spacing w:after="0"/>
              <w:rPr>
                <w:sz w:val="20"/>
                <w:szCs w:val="20"/>
              </w:rPr>
            </w:pPr>
            <w:r w:rsidRPr="00007FAA">
              <w:rPr>
                <w:sz w:val="20"/>
                <w:szCs w:val="20"/>
              </w:rPr>
              <w:t>Process to C-RIS and beyond</w:t>
            </w:r>
          </w:p>
        </w:tc>
      </w:tr>
    </w:tbl>
    <w:p w14:paraId="543C378E" w14:textId="48F11C6E" w:rsidR="00D0485C" w:rsidRDefault="007D7E4C" w:rsidP="0061165B">
      <w:pPr>
        <w:pStyle w:val="BodyCopy"/>
      </w:pPr>
      <w:r>
        <w:t>The feedback received through these workshops allowed the NTC to test a range of ideas</w:t>
      </w:r>
      <w:r w:rsidR="00991AE2">
        <w:t xml:space="preserve"> ahead of the C-RIS</w:t>
      </w:r>
      <w:r w:rsidR="00FE32B6">
        <w:t xml:space="preserve">. </w:t>
      </w:r>
      <w:r w:rsidR="00CE36DA">
        <w:t xml:space="preserve">The information gained from these workshops has directly influenced </w:t>
      </w:r>
      <w:r w:rsidR="00FE32B6">
        <w:t xml:space="preserve">the </w:t>
      </w:r>
      <w:r w:rsidR="00B7563D">
        <w:t xml:space="preserve">proposed model enhancements and determination options set out in </w:t>
      </w:r>
      <w:r w:rsidR="00C02680">
        <w:t>c</w:t>
      </w:r>
      <w:r w:rsidR="00B7563D">
        <w:t>hapters 4 and 5 respectively.</w:t>
      </w:r>
      <w:r w:rsidR="00830D17">
        <w:t xml:space="preserve"> </w:t>
      </w:r>
      <w:bookmarkStart w:id="67" w:name="_Toc56413212"/>
      <w:bookmarkStart w:id="68" w:name="_Toc57372498"/>
      <w:bookmarkStart w:id="69" w:name="_Toc56413213"/>
      <w:bookmarkStart w:id="70" w:name="_Toc57372499"/>
      <w:bookmarkStart w:id="71" w:name="_Toc56413214"/>
      <w:bookmarkStart w:id="72" w:name="_Toc57372500"/>
      <w:bookmarkEnd w:id="67"/>
      <w:bookmarkEnd w:id="68"/>
      <w:bookmarkEnd w:id="69"/>
      <w:bookmarkEnd w:id="70"/>
      <w:bookmarkEnd w:id="71"/>
      <w:bookmarkEnd w:id="72"/>
    </w:p>
    <w:p w14:paraId="5C1CA51B" w14:textId="15FE5C12" w:rsidR="00991AE2" w:rsidRDefault="00991AE2" w:rsidP="0061165B">
      <w:pPr>
        <w:pStyle w:val="BodyCopy"/>
      </w:pPr>
      <w:r>
        <w:t>Following the release of the C-RIS</w:t>
      </w:r>
      <w:r w:rsidR="006840C2">
        <w:t xml:space="preserve"> </w:t>
      </w:r>
      <w:sdt>
        <w:sdtPr>
          <w:id w:val="1410186557"/>
          <w:citation/>
        </w:sdtPr>
        <w:sdtContent>
          <w:r w:rsidR="006840C2">
            <w:fldChar w:fldCharType="begin"/>
          </w:r>
          <w:r w:rsidR="006840C2">
            <w:instrText xml:space="preserve"> CITATION NTC21 \l 3081 </w:instrText>
          </w:r>
          <w:r w:rsidR="006840C2">
            <w:fldChar w:fldCharType="separate"/>
          </w:r>
          <w:r w:rsidR="000A4DC7" w:rsidRPr="000A4DC7">
            <w:rPr>
              <w:noProof/>
            </w:rPr>
            <w:t>(NTC, 2021)</w:t>
          </w:r>
          <w:r w:rsidR="006840C2">
            <w:fldChar w:fldCharType="end"/>
          </w:r>
        </w:sdtContent>
      </w:sdt>
      <w:r>
        <w:t xml:space="preserve">, the NTC held </w:t>
      </w:r>
      <w:r w:rsidR="0DA6380D" w:rsidRPr="00F36E9F">
        <w:t>six</w:t>
      </w:r>
      <w:r w:rsidRPr="00F36E9F">
        <w:t xml:space="preserve"> public </w:t>
      </w:r>
      <w:r w:rsidR="6EAA37AA" w:rsidRPr="00F36E9F">
        <w:t>information sessions</w:t>
      </w:r>
      <w:r w:rsidRPr="00F36E9F">
        <w:t xml:space="preserve"> in July 2021. Additional briefings were offered to all states and territories and to major industry associations </w:t>
      </w:r>
      <w:r w:rsidR="001D105A" w:rsidRPr="00F36E9F">
        <w:t>(</w:t>
      </w:r>
      <w:r w:rsidRPr="008A167B">
        <w:t xml:space="preserve">with a total of </w:t>
      </w:r>
      <w:r w:rsidR="476AE3F9" w:rsidRPr="008A167B">
        <w:t>three</w:t>
      </w:r>
      <w:r w:rsidRPr="008A167B">
        <w:t xml:space="preserve"> briefings for industry and </w:t>
      </w:r>
      <w:r w:rsidR="73252F12" w:rsidRPr="008A167B">
        <w:t>six</w:t>
      </w:r>
      <w:r w:rsidRPr="008A167B">
        <w:t xml:space="preserve"> for government</w:t>
      </w:r>
      <w:r w:rsidR="001D105A" w:rsidRPr="008A167B">
        <w:t xml:space="preserve"> being provided)</w:t>
      </w:r>
      <w:r w:rsidRPr="001D105A">
        <w:t xml:space="preserve">. </w:t>
      </w:r>
    </w:p>
    <w:p w14:paraId="06DD81CB" w14:textId="75EB17B8" w:rsidR="00991AE2" w:rsidRDefault="00991AE2" w:rsidP="0061165B">
      <w:pPr>
        <w:pStyle w:val="BodyCopy"/>
      </w:pPr>
      <w:r w:rsidRPr="00B43F91">
        <w:t xml:space="preserve">The public consultation period </w:t>
      </w:r>
      <w:r w:rsidRPr="00982D32">
        <w:t>on the C-RI</w:t>
      </w:r>
      <w:r w:rsidRPr="00512401">
        <w:t xml:space="preserve">S ran from 28 June 2021 to 24 August 2021. </w:t>
      </w:r>
      <w:r w:rsidRPr="00F36E9F">
        <w:t xml:space="preserve">The NTC received </w:t>
      </w:r>
      <w:r w:rsidR="00675729" w:rsidRPr="008A167B">
        <w:t>13</w:t>
      </w:r>
      <w:r w:rsidRPr="008A167B">
        <w:t xml:space="preserve"> submissions</w:t>
      </w:r>
      <w:r w:rsidR="00087FAC">
        <w:t>,</w:t>
      </w:r>
      <w:r>
        <w:t xml:space="preserve"> and these have informed the assessment and final recommendations in this </w:t>
      </w:r>
      <w:r w:rsidR="00087FAC">
        <w:t>decision RIS (</w:t>
      </w:r>
      <w:r>
        <w:t>D-RIS</w:t>
      </w:r>
      <w:r w:rsidR="00087FAC">
        <w:t>)</w:t>
      </w:r>
      <w:r>
        <w:t>.</w:t>
      </w:r>
    </w:p>
    <w:p w14:paraId="4CAB72A3" w14:textId="4B8BA17F" w:rsidR="00D0485C" w:rsidRPr="00FB6059" w:rsidRDefault="001D12E0" w:rsidP="001D12E0">
      <w:pPr>
        <w:pStyle w:val="Heading2"/>
      </w:pPr>
      <w:bookmarkStart w:id="73" w:name="_Toc86158378"/>
      <w:r>
        <w:t xml:space="preserve">This </w:t>
      </w:r>
      <w:r w:rsidR="00DA1BDF">
        <w:t xml:space="preserve">decision </w:t>
      </w:r>
      <w:r>
        <w:t>RIS</w:t>
      </w:r>
      <w:bookmarkEnd w:id="73"/>
    </w:p>
    <w:p w14:paraId="69909351" w14:textId="6B0A5320" w:rsidR="00D0485C" w:rsidRDefault="008317FF" w:rsidP="00FB6059">
      <w:pPr>
        <w:pStyle w:val="BodyCopy"/>
      </w:pPr>
      <w:r>
        <w:t xml:space="preserve">This </w:t>
      </w:r>
      <w:r w:rsidR="009F0EA2">
        <w:t>D</w:t>
      </w:r>
      <w:r>
        <w:t>-RIS is structured as follows:</w:t>
      </w:r>
    </w:p>
    <w:p w14:paraId="3305223E" w14:textId="58D43569" w:rsidR="008317FF" w:rsidRDefault="008317FF" w:rsidP="008317FF">
      <w:pPr>
        <w:pStyle w:val="List-bulletlvl1"/>
      </w:pPr>
      <w:r>
        <w:t>Chapter 2 outlines the regulatory problem this determination is trying to solve</w:t>
      </w:r>
      <w:r w:rsidR="00C02680">
        <w:t>.</w:t>
      </w:r>
    </w:p>
    <w:p w14:paraId="063A53C3" w14:textId="4EFC0A51" w:rsidR="008317FF" w:rsidRDefault="008317FF" w:rsidP="008317FF">
      <w:pPr>
        <w:pStyle w:val="List-bulletlvl1"/>
      </w:pPr>
      <w:r>
        <w:lastRenderedPageBreak/>
        <w:t>Chapter 3 provides the context within which this determination is being carried out</w:t>
      </w:r>
      <w:r w:rsidR="00C02680">
        <w:t>.</w:t>
      </w:r>
    </w:p>
    <w:p w14:paraId="052FE453" w14:textId="78844FFF" w:rsidR="008317FF" w:rsidRDefault="008317FF" w:rsidP="008317FF">
      <w:pPr>
        <w:pStyle w:val="List-bulletlvl1"/>
      </w:pPr>
      <w:r>
        <w:t>Chapter 4 explores a range of possible improvements to the PAYGO model and the assumptions and data used</w:t>
      </w:r>
      <w:r w:rsidR="00C02680">
        <w:t>.</w:t>
      </w:r>
    </w:p>
    <w:p w14:paraId="3767FB8F" w14:textId="5E818808" w:rsidR="008317FF" w:rsidRDefault="008317FF" w:rsidP="008317FF">
      <w:pPr>
        <w:pStyle w:val="List-bulletlvl1"/>
      </w:pPr>
      <w:r>
        <w:t>Chapter 5 presents three broad determination options and compares them</w:t>
      </w:r>
      <w:r w:rsidR="00C02680">
        <w:t>.</w:t>
      </w:r>
    </w:p>
    <w:p w14:paraId="1C634B8E" w14:textId="3D59351E" w:rsidR="008317FF" w:rsidRDefault="008317FF" w:rsidP="008317FF">
      <w:pPr>
        <w:pStyle w:val="List-bulletlvl1"/>
      </w:pPr>
      <w:r>
        <w:t>Chapter 6 explores different implementation options</w:t>
      </w:r>
      <w:r w:rsidR="00C02680">
        <w:t>.</w:t>
      </w:r>
    </w:p>
    <w:p w14:paraId="526FD0D4" w14:textId="0F2414A7" w:rsidR="008317FF" w:rsidRDefault="008317FF" w:rsidP="008317FF">
      <w:pPr>
        <w:pStyle w:val="List-bulletlvl1"/>
      </w:pPr>
      <w:r>
        <w:t>Chapter 7</w:t>
      </w:r>
      <w:r w:rsidR="00B30CE8">
        <w:t xml:space="preserve"> </w:t>
      </w:r>
      <w:r w:rsidR="003D75A6">
        <w:t>pro</w:t>
      </w:r>
      <w:r w:rsidR="00983BF6">
        <w:t>vides a summary of the final recommendations and outlines next steps</w:t>
      </w:r>
      <w:r w:rsidR="00C02680">
        <w:t>.</w:t>
      </w:r>
    </w:p>
    <w:p w14:paraId="2AD91057" w14:textId="67E0F01A" w:rsidR="00C8324A" w:rsidRPr="00E51DA2" w:rsidRDefault="00C8324A" w:rsidP="0077005E">
      <w:pPr>
        <w:pStyle w:val="QuestionTOC"/>
      </w:pPr>
    </w:p>
    <w:p w14:paraId="629953AD" w14:textId="59EF8339" w:rsidR="00C878AF" w:rsidRDefault="00945DB6" w:rsidP="000C552C">
      <w:pPr>
        <w:pStyle w:val="Heading1"/>
        <w:rPr>
          <w:color w:val="auto"/>
        </w:rPr>
      </w:pPr>
      <w:bookmarkStart w:id="74" w:name="_Toc46238693"/>
      <w:bookmarkStart w:id="75" w:name="_Toc46238832"/>
      <w:bookmarkStart w:id="76" w:name="_Toc46238694"/>
      <w:bookmarkStart w:id="77" w:name="_Toc46238833"/>
      <w:bookmarkStart w:id="78" w:name="_Toc18056954"/>
      <w:bookmarkStart w:id="79" w:name="_Toc86158379"/>
      <w:bookmarkEnd w:id="74"/>
      <w:bookmarkEnd w:id="75"/>
      <w:bookmarkEnd w:id="76"/>
      <w:bookmarkEnd w:id="77"/>
      <w:bookmarkEnd w:id="78"/>
      <w:r>
        <w:rPr>
          <w:color w:val="auto"/>
        </w:rPr>
        <w:lastRenderedPageBreak/>
        <w:t>Problem s</w:t>
      </w:r>
      <w:r w:rsidR="000C552C" w:rsidRPr="00B27E5F">
        <w:rPr>
          <w:color w:val="auto"/>
        </w:rPr>
        <w:t>tatement</w:t>
      </w:r>
      <w:bookmarkEnd w:id="79"/>
    </w:p>
    <w:p w14:paraId="552C317A" w14:textId="6C43FE24" w:rsidR="00FB6059" w:rsidRDefault="00FB6059" w:rsidP="00FB6059">
      <w:pPr>
        <w:pStyle w:val="Heading2"/>
      </w:pPr>
      <w:bookmarkStart w:id="80" w:name="_Ref57628483"/>
      <w:bookmarkStart w:id="81" w:name="_Toc86158380"/>
      <w:r>
        <w:t>Cost recovery over time in an efficient and equitable manner</w:t>
      </w:r>
      <w:bookmarkEnd w:id="80"/>
      <w:bookmarkEnd w:id="81"/>
    </w:p>
    <w:p w14:paraId="51D89371" w14:textId="6E7CCD79" w:rsidR="0095274B" w:rsidRDefault="0095274B" w:rsidP="00C2033E">
      <w:pPr>
        <w:pStyle w:val="BodyCopy"/>
      </w:pPr>
      <w:bookmarkStart w:id="82" w:name="_Hlk64884915"/>
      <w:r>
        <w:t xml:space="preserve">The overarching regulatory problem for this determination is to recommend an efficient and equitable set of heavy </w:t>
      </w:r>
      <w:r w:rsidR="00A35BC6">
        <w:t xml:space="preserve">vehicle </w:t>
      </w:r>
      <w:r w:rsidRPr="00C2033E">
        <w:t>charges</w:t>
      </w:r>
      <w:r>
        <w:t xml:space="preserve"> that adequately recovers the cost of road construction and maintenance for heavy vehicles in Australia.</w:t>
      </w:r>
    </w:p>
    <w:bookmarkEnd w:id="82"/>
    <w:p w14:paraId="1C5DAC1B" w14:textId="589D6B4B" w:rsidR="00A436D9" w:rsidRDefault="004164A8" w:rsidP="00C2033E">
      <w:pPr>
        <w:pStyle w:val="BodyCopy"/>
      </w:pPr>
      <w:r>
        <w:t xml:space="preserve">The current PAYGO model has now been in use since the </w:t>
      </w:r>
      <w:r w:rsidR="00B74BF7">
        <w:t>2014</w:t>
      </w:r>
      <w:r>
        <w:t xml:space="preserve"> determination. There have been many changes to the way the heavy vehicle fleet operates</w:t>
      </w:r>
      <w:r w:rsidR="005874A3">
        <w:t>,</w:t>
      </w:r>
      <w:r>
        <w:t xml:space="preserve"> and some key inputs, such as </w:t>
      </w:r>
      <w:r w:rsidR="0093279B">
        <w:t>equivalent standard axle (</w:t>
      </w:r>
      <w:r>
        <w:t>ESA</w:t>
      </w:r>
      <w:r w:rsidR="0093279B">
        <w:t>)</w:t>
      </w:r>
      <w:r>
        <w:t xml:space="preserve"> values, are likely to have become outdated. It is therefore necessary to subject the current model to a comprehensive review to ensure inputs and assumptions are up</w:t>
      </w:r>
      <w:r w:rsidR="0093279B">
        <w:t xml:space="preserve"> </w:t>
      </w:r>
      <w:r>
        <w:t>to</w:t>
      </w:r>
      <w:r w:rsidR="0093279B">
        <w:t xml:space="preserve"> </w:t>
      </w:r>
      <w:r>
        <w:t xml:space="preserve">date and reasonable. </w:t>
      </w:r>
    </w:p>
    <w:p w14:paraId="0E670412" w14:textId="3137F32D" w:rsidR="004164A8" w:rsidRDefault="008A685F" w:rsidP="00C2033E">
      <w:pPr>
        <w:pStyle w:val="BodyCopy"/>
      </w:pPr>
      <w:r>
        <w:fldChar w:fldCharType="begin"/>
      </w:r>
      <w:r>
        <w:instrText xml:space="preserve"> REF _Ref64881800 \r \h </w:instrText>
      </w:r>
      <w:r>
        <w:fldChar w:fldCharType="separate"/>
      </w:r>
      <w:r w:rsidR="00225EEA">
        <w:t>Figure 2</w:t>
      </w:r>
      <w:r>
        <w:fldChar w:fldCharType="end"/>
      </w:r>
      <w:r>
        <w:t xml:space="preserve"> provides a</w:t>
      </w:r>
      <w:r w:rsidR="00A436D9">
        <w:t xml:space="preserve"> high-level </w:t>
      </w:r>
      <w:r>
        <w:t xml:space="preserve">overview </w:t>
      </w:r>
      <w:r w:rsidR="00A436D9">
        <w:t xml:space="preserve">of the </w:t>
      </w:r>
      <w:r>
        <w:t xml:space="preserve">PAYGO model. Seven years of expenditure data in each expenditure category is averaged using the exponential moving average methodology. The cost allocation matrix specifies cost allocators for each expenditure category, and this is combined with usage data (for each cost allocator) and the averaged expenditure data to allocate costs to heavy vehicles and light vehicles. </w:t>
      </w:r>
      <w:r w:rsidR="00F240DB">
        <w:t xml:space="preserve">The cost allocation process also calculates attributable costs for each vehicle class, which are used in the cost recovery check. The cost recovery check compares the attributable costs for a vehicle class with the registration charges and RUC paid to ensure there is no cross-subsidisation between heavy vehicle classes (as well as checking that the aggregate charges paid by </w:t>
      </w:r>
      <w:r w:rsidR="00F61335">
        <w:t xml:space="preserve">all </w:t>
      </w:r>
      <w:r w:rsidR="00F240DB">
        <w:t xml:space="preserve">heavy vehicles is equivalent to the heavy vehicle cost base). </w:t>
      </w:r>
    </w:p>
    <w:p w14:paraId="29FBAAEA" w14:textId="1FB493A1" w:rsidR="00A436D9" w:rsidRDefault="00A436D9" w:rsidP="00A436D9">
      <w:pPr>
        <w:pStyle w:val="Figuretitle"/>
      </w:pPr>
      <w:bookmarkStart w:id="83" w:name="_Ref64881800"/>
      <w:bookmarkStart w:id="84" w:name="_Toc86158525"/>
      <w:r>
        <w:t>Overview of the PAYGO model</w:t>
      </w:r>
      <w:bookmarkEnd w:id="83"/>
      <w:bookmarkEnd w:id="84"/>
    </w:p>
    <w:p w14:paraId="1A251BC3" w14:textId="238FF7ED" w:rsidR="00A436D9" w:rsidRPr="00A436D9" w:rsidRDefault="00207D5A" w:rsidP="00A436D9">
      <w:pPr>
        <w:pStyle w:val="BodyCopy"/>
      </w:pPr>
      <w:r>
        <w:rPr>
          <w:noProof/>
          <w:lang w:eastAsia="en-AU"/>
        </w:rPr>
        <w:drawing>
          <wp:inline distT="0" distB="0" distL="0" distR="0" wp14:anchorId="691176CE" wp14:editId="20D0C0D7">
            <wp:extent cx="5734050" cy="1743256"/>
            <wp:effectExtent l="0" t="0" r="0" b="9525"/>
            <wp:docPr id="168" name="Picture 168" descr="Overview of the PAYGO model process (as explained in preceding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Overview of the PAYGO model process (as explained in preceding paragrap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4184" cy="1761538"/>
                    </a:xfrm>
                    <a:prstGeom prst="rect">
                      <a:avLst/>
                    </a:prstGeom>
                    <a:noFill/>
                  </pic:spPr>
                </pic:pic>
              </a:graphicData>
            </a:graphic>
          </wp:inline>
        </w:drawing>
      </w:r>
    </w:p>
    <w:p w14:paraId="1989D335" w14:textId="767589F9" w:rsidR="0054781E" w:rsidRPr="00142AE5" w:rsidRDefault="005874A3" w:rsidP="002B3467">
      <w:pPr>
        <w:pStyle w:val="Heading3"/>
      </w:pPr>
      <w:bookmarkStart w:id="85" w:name="_Ref59019317"/>
      <w:bookmarkStart w:id="86" w:name="_Toc86158381"/>
      <w:r>
        <w:t>P</w:t>
      </w:r>
      <w:r w:rsidR="0054781E" w:rsidRPr="00142AE5">
        <w:t xml:space="preserve">ricing </w:t>
      </w:r>
      <w:r w:rsidR="00D95137">
        <w:t>p</w:t>
      </w:r>
      <w:r w:rsidR="0054781E" w:rsidRPr="00142AE5">
        <w:t>rinciples</w:t>
      </w:r>
      <w:bookmarkEnd w:id="85"/>
      <w:bookmarkEnd w:id="86"/>
    </w:p>
    <w:p w14:paraId="3F50686A" w14:textId="14821377" w:rsidR="0095274B" w:rsidRDefault="005874A3" w:rsidP="00C2033E">
      <w:pPr>
        <w:pStyle w:val="BodyCopy"/>
      </w:pPr>
      <w:r>
        <w:t>T</w:t>
      </w:r>
      <w:r w:rsidR="0095274B">
        <w:t xml:space="preserve">he NTC </w:t>
      </w:r>
      <w:r>
        <w:t>must</w:t>
      </w:r>
      <w:r w:rsidR="0095274B">
        <w:t xml:space="preserve"> adhere to the pricing principles that originate from the Australian Transport Council (ATC) (now ITMM) and the </w:t>
      </w:r>
      <w:r w:rsidR="00EC3194">
        <w:t xml:space="preserve">National Cabinet </w:t>
      </w:r>
      <w:r w:rsidR="00B25452">
        <w:t>(</w:t>
      </w:r>
      <w:r w:rsidR="00EC3194">
        <w:t xml:space="preserve">formerly the </w:t>
      </w:r>
      <w:r w:rsidR="0095274B">
        <w:t>Council of Australian Governments). These principles are:</w:t>
      </w:r>
    </w:p>
    <w:p w14:paraId="650E2879" w14:textId="7431AA13" w:rsidR="0095274B" w:rsidRPr="00A621B8" w:rsidRDefault="0095274B" w:rsidP="00E34F7D">
      <w:pPr>
        <w:pStyle w:val="BodyCopy"/>
        <w:ind w:left="1080" w:right="837"/>
      </w:pPr>
      <w:r w:rsidRPr="00A621B8">
        <w:t>‘National heavy vehicle road use prices should promote optimal use of infrastructure, vehicles and transport modes.</w:t>
      </w:r>
    </w:p>
    <w:p w14:paraId="6B33A13E" w14:textId="77777777" w:rsidR="0095274B" w:rsidRPr="00A621B8" w:rsidRDefault="0095274B" w:rsidP="00E34F7D">
      <w:pPr>
        <w:pStyle w:val="BodyCopy"/>
        <w:ind w:left="1080" w:right="837"/>
      </w:pPr>
      <w:r w:rsidRPr="00A621B8">
        <w:t>This is subject to the following:</w:t>
      </w:r>
    </w:p>
    <w:p w14:paraId="3B213927" w14:textId="075A5714" w:rsidR="0095274B" w:rsidRPr="00A621B8" w:rsidRDefault="0095274B" w:rsidP="00E34F7D">
      <w:pPr>
        <w:pStyle w:val="List-bulletlvl1"/>
        <w:ind w:left="1350" w:right="837"/>
      </w:pPr>
      <w:r w:rsidRPr="00A621B8">
        <w:t>full recovery of allocated infrastructure costs while minimising both the over and under recovery from any class of vehicle</w:t>
      </w:r>
    </w:p>
    <w:p w14:paraId="6E742E24" w14:textId="1034CD85" w:rsidR="0095274B" w:rsidRPr="00A621B8" w:rsidRDefault="0095274B" w:rsidP="00E34F7D">
      <w:pPr>
        <w:pStyle w:val="List-bulletlvl1"/>
        <w:ind w:left="1350" w:right="837"/>
      </w:pPr>
      <w:r w:rsidRPr="00A621B8">
        <w:t>cost</w:t>
      </w:r>
      <w:r w:rsidR="0093279B">
        <w:t>-</w:t>
      </w:r>
      <w:r w:rsidRPr="00A621B8">
        <w:t>effectiveness of pricing instruments</w:t>
      </w:r>
    </w:p>
    <w:p w14:paraId="7A1B0626" w14:textId="4D4F263E" w:rsidR="0095274B" w:rsidRPr="00A621B8" w:rsidRDefault="0095274B" w:rsidP="00E34F7D">
      <w:pPr>
        <w:pStyle w:val="List-bulletlvl1"/>
        <w:ind w:left="1350" w:right="837"/>
      </w:pPr>
      <w:r w:rsidRPr="00A621B8">
        <w:lastRenderedPageBreak/>
        <w:t>transparency</w:t>
      </w:r>
    </w:p>
    <w:p w14:paraId="016B5B30" w14:textId="06E25B05" w:rsidR="0095274B" w:rsidRPr="00A621B8" w:rsidRDefault="0095274B" w:rsidP="00E34F7D">
      <w:pPr>
        <w:pStyle w:val="List-bulletlvl1"/>
        <w:ind w:left="1350" w:right="837"/>
      </w:pPr>
      <w:r w:rsidRPr="00A621B8">
        <w:t>the need to balance administrative simplicity, efficiency and equity (e.g. impact on regional and remote communities/access)</w:t>
      </w:r>
    </w:p>
    <w:p w14:paraId="29D7E864" w14:textId="0F9D9DBB" w:rsidR="0095274B" w:rsidRPr="00A621B8" w:rsidRDefault="0095274B" w:rsidP="00E34F7D">
      <w:pPr>
        <w:pStyle w:val="List-bulletlvl1"/>
        <w:ind w:left="1350" w:right="837"/>
      </w:pPr>
      <w:r w:rsidRPr="00A621B8">
        <w:t>the need to have regard to other pricing applications such as light vehicle charges, tolling and congestion.’</w:t>
      </w:r>
    </w:p>
    <w:p w14:paraId="6A3C2D58" w14:textId="40EF8F4B" w:rsidR="0095274B" w:rsidRDefault="0095274B" w:rsidP="00C2033E">
      <w:pPr>
        <w:pStyle w:val="BodyCopy"/>
      </w:pPr>
      <w:r>
        <w:t>Following the Productivity Commission</w:t>
      </w:r>
      <w:r w:rsidR="004072B2">
        <w:t>’</w:t>
      </w:r>
      <w:r>
        <w:t xml:space="preserve">s inquiry into road and rail infrastructure pricing in </w:t>
      </w:r>
      <w:r w:rsidR="00B5255A">
        <w:t>2006</w:t>
      </w:r>
      <w:r>
        <w:t xml:space="preserve">, the ATC provided further direction to the </w:t>
      </w:r>
      <w:r w:rsidRPr="00C2033E">
        <w:t>NTC</w:t>
      </w:r>
      <w:r>
        <w:t>:</w:t>
      </w:r>
    </w:p>
    <w:p w14:paraId="2C9907D6" w14:textId="7550016B" w:rsidR="006449C6" w:rsidRPr="00A621B8" w:rsidRDefault="0095274B" w:rsidP="00763DAF">
      <w:pPr>
        <w:pStyle w:val="Quote"/>
        <w:jc w:val="left"/>
      </w:pPr>
      <w:r w:rsidRPr="00A621B8">
        <w:t xml:space="preserve">ATC direct the NTC, in developing its determination, to apply principles and methods that ensure the delivery of full cost recovery in aggregate, further develop indexation adjustment arrangements to ensure the ongoing delivery of full expenditure recovery in aggregate and remove cross subsidisation across different heavy vehicle classes, recognising that transition to any new arrangement may require a phased approach </w:t>
      </w:r>
      <w:sdt>
        <w:sdtPr>
          <w:id w:val="171542266"/>
          <w:citation/>
        </w:sdtPr>
        <w:sdtContent>
          <w:r w:rsidR="00761E1B" w:rsidRPr="00A621B8">
            <w:fldChar w:fldCharType="begin"/>
          </w:r>
          <w:r w:rsidR="00761E1B" w:rsidRPr="00A621B8">
            <w:instrText xml:space="preserve"> CITATION ATC07 \l 3081 </w:instrText>
          </w:r>
          <w:r w:rsidR="00761E1B" w:rsidRPr="00A621B8">
            <w:fldChar w:fldCharType="separate"/>
          </w:r>
          <w:r w:rsidR="000A4DC7" w:rsidRPr="000A4DC7">
            <w:rPr>
              <w:noProof/>
            </w:rPr>
            <w:t>(ATC, 2007)</w:t>
          </w:r>
          <w:r w:rsidR="00761E1B" w:rsidRPr="00A621B8">
            <w:fldChar w:fldCharType="end"/>
          </w:r>
        </w:sdtContent>
      </w:sdt>
      <w:r w:rsidRPr="00A621B8">
        <w:t>.</w:t>
      </w:r>
    </w:p>
    <w:p w14:paraId="11ABB39B" w14:textId="3F586E3B" w:rsidR="0037662A" w:rsidRDefault="0037662A" w:rsidP="002B3467">
      <w:pPr>
        <w:pStyle w:val="Heading3"/>
      </w:pPr>
      <w:bookmarkStart w:id="87" w:name="_Toc86158382"/>
      <w:r w:rsidRPr="0037662A">
        <w:t xml:space="preserve">Objective of the </w:t>
      </w:r>
      <w:r w:rsidR="00D95137">
        <w:t>d</w:t>
      </w:r>
      <w:r w:rsidRPr="0037662A">
        <w:t>etermination</w:t>
      </w:r>
      <w:bookmarkEnd w:id="87"/>
    </w:p>
    <w:p w14:paraId="2F4E707C" w14:textId="46AE48D4" w:rsidR="0037662A" w:rsidRPr="0037662A" w:rsidRDefault="0037662A" w:rsidP="0095274B">
      <w:pPr>
        <w:pStyle w:val="BodyCopy"/>
      </w:pPr>
      <w:r>
        <w:t xml:space="preserve">This </w:t>
      </w:r>
      <w:r w:rsidR="00B25452">
        <w:t>d</w:t>
      </w:r>
      <w:r>
        <w:t xml:space="preserve">etermination sets out the options </w:t>
      </w:r>
      <w:r w:rsidR="003A2402">
        <w:t xml:space="preserve">available in accordance with the pricing principles and </w:t>
      </w:r>
      <w:r w:rsidR="00517F9E">
        <w:t>notes the limitations associated with each option</w:t>
      </w:r>
      <w:r w:rsidR="001D79A1">
        <w:t xml:space="preserve"> to address the variety of issues that ha</w:t>
      </w:r>
      <w:r w:rsidR="003E3925">
        <w:t>ve</w:t>
      </w:r>
      <w:r w:rsidR="001D79A1">
        <w:t xml:space="preserve"> aris</w:t>
      </w:r>
      <w:r w:rsidR="00D672EE">
        <w:t>en</w:t>
      </w:r>
      <w:r w:rsidR="0091734A">
        <w:t>.</w:t>
      </w:r>
      <w:r w:rsidR="00830D17">
        <w:t xml:space="preserve"> </w:t>
      </w:r>
      <w:r w:rsidR="0091734A">
        <w:t xml:space="preserve">While the determination takes into consideration the issues raised through consultation and the broader context outlined in this report, it is limited in </w:t>
      </w:r>
      <w:r w:rsidR="00E34256">
        <w:t xml:space="preserve">its ability to fully address these </w:t>
      </w:r>
      <w:r w:rsidR="0093279B">
        <w:t xml:space="preserve">because </w:t>
      </w:r>
      <w:r w:rsidR="000420DE">
        <w:t xml:space="preserve">it is bound by the pricing principles and the limitations of </w:t>
      </w:r>
      <w:r w:rsidR="00945DB6">
        <w:t xml:space="preserve">the </w:t>
      </w:r>
      <w:r w:rsidR="000420DE">
        <w:t>PAYGO</w:t>
      </w:r>
      <w:r w:rsidR="00945DB6">
        <w:t xml:space="preserve"> system. </w:t>
      </w:r>
    </w:p>
    <w:p w14:paraId="2E29B060" w14:textId="14140B18" w:rsidR="0095274B" w:rsidRPr="0095274B" w:rsidRDefault="00AA073E" w:rsidP="0095274B">
      <w:pPr>
        <w:pStyle w:val="Heading2"/>
      </w:pPr>
      <w:bookmarkStart w:id="88" w:name="_Toc86158383"/>
      <w:r>
        <w:t>Features and limitations</w:t>
      </w:r>
      <w:r w:rsidR="0095274B">
        <w:t xml:space="preserve"> of the current charging framework</w:t>
      </w:r>
      <w:bookmarkEnd w:id="88"/>
    </w:p>
    <w:p w14:paraId="6A2FE66C" w14:textId="20089403" w:rsidR="00DE7F7D" w:rsidRDefault="0095274B" w:rsidP="0095274B">
      <w:pPr>
        <w:pStyle w:val="BodyCopy"/>
      </w:pPr>
      <w:r>
        <w:t xml:space="preserve">There are inherent limitations </w:t>
      </w:r>
      <w:r w:rsidR="003D0430">
        <w:t xml:space="preserve">in </w:t>
      </w:r>
      <w:r w:rsidR="00DE7F7D">
        <w:t xml:space="preserve">the PAYGO methodology </w:t>
      </w:r>
      <w:r w:rsidR="005577E3">
        <w:t xml:space="preserve">that </w:t>
      </w:r>
      <w:r>
        <w:t xml:space="preserve">cannot be resolved without more extensive reform, as being considered through the </w:t>
      </w:r>
      <w:r w:rsidR="00E43F6C">
        <w:t>HVRR</w:t>
      </w:r>
      <w:r>
        <w:t xml:space="preserve"> agenda. </w:t>
      </w:r>
    </w:p>
    <w:p w14:paraId="18EDEA29" w14:textId="564EE739" w:rsidR="0095274B" w:rsidRDefault="0095274B" w:rsidP="0095274B">
      <w:pPr>
        <w:pStyle w:val="BodyCopy"/>
      </w:pPr>
      <w:r>
        <w:t xml:space="preserve">These limitations are outlined below. </w:t>
      </w:r>
    </w:p>
    <w:p w14:paraId="72E3DBB1" w14:textId="63B5C623" w:rsidR="00FD39C5" w:rsidRDefault="00FD39C5" w:rsidP="0095274B">
      <w:pPr>
        <w:pStyle w:val="Heading3"/>
      </w:pPr>
      <w:bookmarkStart w:id="89" w:name="_Toc57280000"/>
      <w:bookmarkStart w:id="90" w:name="_Toc57290558"/>
      <w:bookmarkStart w:id="91" w:name="_Toc57372447"/>
      <w:bookmarkStart w:id="92" w:name="_Toc86158384"/>
      <w:bookmarkEnd w:id="89"/>
      <w:bookmarkEnd w:id="90"/>
      <w:bookmarkEnd w:id="91"/>
      <w:r>
        <w:t>Recovery of capital costs up-front</w:t>
      </w:r>
      <w:bookmarkEnd w:id="92"/>
    </w:p>
    <w:p w14:paraId="4F7F27D2" w14:textId="39897C4F" w:rsidR="00FD39C5" w:rsidRPr="00FD39C5" w:rsidRDefault="00FD39C5" w:rsidP="00FD39C5">
      <w:pPr>
        <w:pStyle w:val="BodyCopy"/>
      </w:pPr>
      <w:r>
        <w:t>The PAYGO methodology recovers annual government capital and operating expenditure on roads in a single year. Capital expenditure is volatile and ‘lumpy’ in that a single large project can have a significant effect on total expenditure. This leads to the heavy vehicle cost base and heavy vehicle charges being more volatile than they would be if set under a methodology that spreads capital expenditure over the life of the asset</w:t>
      </w:r>
      <w:r w:rsidR="00F61335">
        <w:t xml:space="preserve"> (which may be up to 100 years)</w:t>
      </w:r>
      <w:r>
        <w:t>.</w:t>
      </w:r>
      <w:r w:rsidR="00830D17">
        <w:t xml:space="preserve"> </w:t>
      </w:r>
    </w:p>
    <w:p w14:paraId="05565F6E" w14:textId="1D3AC6A8" w:rsidR="0095274B" w:rsidRDefault="0095274B" w:rsidP="0095274B">
      <w:pPr>
        <w:pStyle w:val="Heading3"/>
      </w:pPr>
      <w:bookmarkStart w:id="93" w:name="_Toc86158385"/>
      <w:r>
        <w:t>Averaging</w:t>
      </w:r>
      <w:bookmarkEnd w:id="93"/>
      <w:r>
        <w:t xml:space="preserve"> </w:t>
      </w:r>
    </w:p>
    <w:p w14:paraId="01AA249E" w14:textId="2C9A7C46" w:rsidR="0095274B" w:rsidRDefault="0095274B" w:rsidP="0095274B">
      <w:pPr>
        <w:pStyle w:val="BodyCopy"/>
      </w:pPr>
      <w:r>
        <w:t>It is common for an infrastructure charging regime to apply averaging to some degree</w:t>
      </w:r>
      <w:r w:rsidR="0093279B">
        <w:t xml:space="preserve"> because</w:t>
      </w:r>
      <w:r>
        <w:t xml:space="preserve"> deriving a user’s precise cost on the network is e</w:t>
      </w:r>
      <w:r w:rsidR="008563AC">
        <w:t>i</w:t>
      </w:r>
      <w:r>
        <w:t xml:space="preserve">ther impossible or too costly to ascertain. The PAYGO charging framework uses </w:t>
      </w:r>
      <w:r w:rsidR="00C63D8E">
        <w:t>several types</w:t>
      </w:r>
      <w:r>
        <w:t xml:space="preserve"> of averaging to calculate heavy vehicle charges. This includes averaging</w:t>
      </w:r>
      <w:r w:rsidR="00DE7F7D">
        <w:t xml:space="preserve"> expenditure over time, averaging u</w:t>
      </w:r>
      <w:r>
        <w:t>sage</w:t>
      </w:r>
      <w:r w:rsidR="00DE7F7D">
        <w:t xml:space="preserve"> data, and then comparing allocated costs </w:t>
      </w:r>
      <w:r w:rsidR="0093279B">
        <w:t xml:space="preserve">with </w:t>
      </w:r>
      <w:r w:rsidR="00DE7F7D">
        <w:t>charges paid by the average vehicle in each class</w:t>
      </w:r>
      <w:r>
        <w:t xml:space="preserve">. </w:t>
      </w:r>
    </w:p>
    <w:p w14:paraId="2875AA14" w14:textId="3732DA51" w:rsidR="00C929F6" w:rsidRDefault="0095274B" w:rsidP="0095274B">
      <w:pPr>
        <w:pStyle w:val="BodyCopy"/>
      </w:pPr>
      <w:r>
        <w:t xml:space="preserve">The model uses </w:t>
      </w:r>
      <w:r w:rsidR="00A02579">
        <w:t xml:space="preserve">the </w:t>
      </w:r>
      <w:r w:rsidR="00DF1D23">
        <w:t>Survey of Motor Vehicle Use (</w:t>
      </w:r>
      <w:r>
        <w:t>SMVU</w:t>
      </w:r>
      <w:r w:rsidR="00DF1D23">
        <w:t>)</w:t>
      </w:r>
      <w:r>
        <w:t xml:space="preserve"> data from the Australian Bureau of Statistics (ABS) for vehicle kilometres travelled (VKT), fuel consumption and gross tonne kilometres</w:t>
      </w:r>
      <w:r w:rsidR="00763DAF">
        <w:t xml:space="preserve"> (GTK) by vehicle</w:t>
      </w:r>
      <w:r>
        <w:t xml:space="preserve"> </w:t>
      </w:r>
      <w:r w:rsidR="009F456A">
        <w:t xml:space="preserve">class </w:t>
      </w:r>
      <w:r w:rsidR="00EC41E5">
        <w:t>(e</w:t>
      </w:r>
      <w:r w:rsidR="00EF19F8">
        <w:t>.</w:t>
      </w:r>
      <w:r w:rsidR="00EC41E5">
        <w:t xml:space="preserve">g. </w:t>
      </w:r>
      <w:r w:rsidR="009F456A">
        <w:t>3-axle rigid truck</w:t>
      </w:r>
      <w:r w:rsidR="00415345">
        <w:t>)</w:t>
      </w:r>
      <w:r>
        <w:t xml:space="preserve">. These inputs are in the form of an </w:t>
      </w:r>
      <w:r>
        <w:lastRenderedPageBreak/>
        <w:t>average for each vehicle class</w:t>
      </w:r>
      <w:r w:rsidR="00211D0C">
        <w:t xml:space="preserve"> (e</w:t>
      </w:r>
      <w:r w:rsidR="000046E1">
        <w:t>.</w:t>
      </w:r>
      <w:r w:rsidR="00211D0C">
        <w:t xml:space="preserve">g. </w:t>
      </w:r>
      <w:r w:rsidR="00DE7F7D">
        <w:t xml:space="preserve">2-axle rigid </w:t>
      </w:r>
      <w:r w:rsidR="00DE7F7D" w:rsidRPr="002E7E25">
        <w:t>truck under 7</w:t>
      </w:r>
      <w:r w:rsidR="00B25452" w:rsidRPr="002E7E25">
        <w:t xml:space="preserve"> </w:t>
      </w:r>
      <w:r w:rsidR="00DE7F7D" w:rsidRPr="002E7E25">
        <w:t>t</w:t>
      </w:r>
      <w:r w:rsidR="00DE7F7D">
        <w:t xml:space="preserve"> GVM, 6-axle articulated truck)</w:t>
      </w:r>
      <w:r>
        <w:t>.</w:t>
      </w:r>
      <w:r w:rsidR="00DE7F7D">
        <w:t xml:space="preserve"> Costs are allocated to each vehicle class </w:t>
      </w:r>
      <w:r w:rsidR="00B8090F">
        <w:t xml:space="preserve">based on these average values. Therefore, the registration charges applying to each vehicle class will reflect the costs allocated to the average vehicle in this class. </w:t>
      </w:r>
    </w:p>
    <w:p w14:paraId="5CFE3384" w14:textId="16EFEC85" w:rsidR="00B8090F" w:rsidRDefault="0095274B" w:rsidP="0095274B">
      <w:pPr>
        <w:pStyle w:val="BodyCopy"/>
      </w:pPr>
      <w:r>
        <w:t xml:space="preserve">The result is that </w:t>
      </w:r>
      <w:r w:rsidR="00DE7F7D">
        <w:t>individual operators</w:t>
      </w:r>
      <w:r>
        <w:t xml:space="preserve"> </w:t>
      </w:r>
      <w:r w:rsidR="00DE7F7D">
        <w:t>of a particular type of vehicle</w:t>
      </w:r>
      <w:r>
        <w:t xml:space="preserve"> who travel less, or </w:t>
      </w:r>
      <w:r w:rsidR="00B8090F">
        <w:t>operate at below average weights</w:t>
      </w:r>
      <w:r w:rsidR="00753C4C">
        <w:t>,</w:t>
      </w:r>
      <w:r w:rsidR="00B8090F">
        <w:t xml:space="preserve"> </w:t>
      </w:r>
      <w:r>
        <w:t xml:space="preserve">will pay a higher </w:t>
      </w:r>
      <w:r w:rsidR="00B8090F">
        <w:t xml:space="preserve">registration </w:t>
      </w:r>
      <w:r>
        <w:t>cost per tonne/kilometre than another user who travel</w:t>
      </w:r>
      <w:r w:rsidR="00B8090F">
        <w:t>s</w:t>
      </w:r>
      <w:r>
        <w:t xml:space="preserve"> above the average</w:t>
      </w:r>
      <w:r w:rsidR="00B8090F">
        <w:t xml:space="preserve"> distance or operates above average weights</w:t>
      </w:r>
      <w:r>
        <w:t xml:space="preserve">. </w:t>
      </w:r>
    </w:p>
    <w:p w14:paraId="72956B99" w14:textId="51D11B76" w:rsidR="00C929F6" w:rsidRDefault="0095274B" w:rsidP="0095274B">
      <w:pPr>
        <w:pStyle w:val="BodyCopy"/>
      </w:pPr>
      <w:r>
        <w:t xml:space="preserve">This ‘inequity’ within </w:t>
      </w:r>
      <w:r w:rsidR="00B35845">
        <w:t>a</w:t>
      </w:r>
      <w:r>
        <w:t xml:space="preserve"> vehicle class typically affects certain types of operators (e.g. primary producers who only use their vehicle seasonally to move livestock from the paddock to the point of sale). Similarly, volume-constrained operators will fare differently </w:t>
      </w:r>
      <w:r w:rsidR="00753C4C">
        <w:t xml:space="preserve">from </w:t>
      </w:r>
      <w:r>
        <w:t xml:space="preserve">mass-constrained operators. Effectively, the fact that charges for different vehicle classes are set based on average usage characteristics creates </w:t>
      </w:r>
      <w:r w:rsidR="007F2852">
        <w:t xml:space="preserve">a disparity between what operators </w:t>
      </w:r>
      <w:r w:rsidR="005B4934">
        <w:t>should</w:t>
      </w:r>
      <w:r w:rsidR="007F2852">
        <w:t xml:space="preserve"> be charged to accurately reflect their road use</w:t>
      </w:r>
      <w:r>
        <w:t xml:space="preserve"> and </w:t>
      </w:r>
      <w:r w:rsidR="007F2852">
        <w:t>what they are actually charged.</w:t>
      </w:r>
      <w:r w:rsidR="00830D17">
        <w:t xml:space="preserve"> </w:t>
      </w:r>
      <w:r>
        <w:t xml:space="preserve">Which operators </w:t>
      </w:r>
      <w:r w:rsidR="006F7EF0">
        <w:t xml:space="preserve">are charged less than they </w:t>
      </w:r>
      <w:r w:rsidR="005B4934">
        <w:t>should</w:t>
      </w:r>
      <w:r w:rsidR="006F7EF0">
        <w:t xml:space="preserve"> be and which operators are charged more </w:t>
      </w:r>
      <w:r>
        <w:t>depends on the structure of charges</w:t>
      </w:r>
      <w:r w:rsidR="002971A9">
        <w:t>,</w:t>
      </w:r>
      <w:r>
        <w:t xml:space="preserve"> the balance between registration and the RUC</w:t>
      </w:r>
      <w:r w:rsidR="002971A9">
        <w:t>, and the nature of the operator’s usage</w:t>
      </w:r>
      <w:r>
        <w:t xml:space="preserve">. </w:t>
      </w:r>
    </w:p>
    <w:p w14:paraId="195294E6" w14:textId="796F80C3" w:rsidR="00C929F6" w:rsidRPr="00945DB6" w:rsidRDefault="00AA073E" w:rsidP="00945DB6">
      <w:pPr>
        <w:pStyle w:val="Heading3"/>
      </w:pPr>
      <w:bookmarkStart w:id="94" w:name="_Toc86158386"/>
      <w:r>
        <w:t>Setting average national charges to recover national expenditure</w:t>
      </w:r>
      <w:bookmarkEnd w:id="94"/>
      <w:r w:rsidR="0095274B" w:rsidRPr="00C929F6">
        <w:t xml:space="preserve"> </w:t>
      </w:r>
    </w:p>
    <w:p w14:paraId="1AA8AAA4" w14:textId="4CD04735" w:rsidR="00C929F6" w:rsidRDefault="0095274B" w:rsidP="0095274B">
      <w:pPr>
        <w:pStyle w:val="BodyCopy"/>
      </w:pPr>
      <w:r>
        <w:t xml:space="preserve">The heavy vehicle cost base is derived by </w:t>
      </w:r>
      <w:r w:rsidR="00AA073E">
        <w:t xml:space="preserve">measuring </w:t>
      </w:r>
      <w:r>
        <w:t>heavy</w:t>
      </w:r>
      <w:r w:rsidR="00CC3FBA">
        <w:t xml:space="preserve"> </w:t>
      </w:r>
      <w:r>
        <w:t>vehicle</w:t>
      </w:r>
      <w:r w:rsidR="00CC3FBA">
        <w:t>–</w:t>
      </w:r>
      <w:r>
        <w:t>related road expenditure across all jurisdictions</w:t>
      </w:r>
      <w:r w:rsidR="00AA073E">
        <w:t xml:space="preserve"> and calculating a national heavy vehicle cost base</w:t>
      </w:r>
      <w:r>
        <w:t xml:space="preserve">. Heavy vehicle charges are then set to recover the </w:t>
      </w:r>
      <w:r w:rsidR="00AA073E">
        <w:t>cost base through charges that are set national</w:t>
      </w:r>
      <w:r w:rsidR="005B4934">
        <w:t>ly</w:t>
      </w:r>
      <w:r>
        <w:t>.</w:t>
      </w:r>
      <w:r w:rsidR="00AA073E">
        <w:t xml:space="preserve"> T</w:t>
      </w:r>
      <w:r>
        <w:t xml:space="preserve">his methodology does not ensure the revenue </w:t>
      </w:r>
      <w:r w:rsidR="00AA073E">
        <w:t xml:space="preserve">received by each </w:t>
      </w:r>
      <w:r w:rsidR="00F36AE9">
        <w:t xml:space="preserve">a </w:t>
      </w:r>
      <w:r>
        <w:t xml:space="preserve">state or territory equals their historic or future expenditure, thus creating a </w:t>
      </w:r>
      <w:r w:rsidR="00AA073E">
        <w:t xml:space="preserve">possible </w:t>
      </w:r>
      <w:r>
        <w:t>disjoint between investment and revenue</w:t>
      </w:r>
      <w:r w:rsidR="00AA073E">
        <w:t xml:space="preserve"> for states and territories</w:t>
      </w:r>
      <w:r>
        <w:t xml:space="preserve">. </w:t>
      </w:r>
    </w:p>
    <w:p w14:paraId="663F5D52" w14:textId="5B246456" w:rsidR="00C929F6" w:rsidRDefault="00AA073E" w:rsidP="0095274B">
      <w:pPr>
        <w:pStyle w:val="BodyCopy"/>
      </w:pPr>
      <w:r>
        <w:t>A</w:t>
      </w:r>
      <w:r w:rsidR="0095274B">
        <w:t xml:space="preserve"> </w:t>
      </w:r>
      <w:r>
        <w:t xml:space="preserve">state or territory </w:t>
      </w:r>
      <w:r w:rsidR="0095274B">
        <w:t xml:space="preserve">undertaking </w:t>
      </w:r>
      <w:r>
        <w:t>additional new</w:t>
      </w:r>
      <w:r w:rsidR="0095274B">
        <w:t xml:space="preserve"> </w:t>
      </w:r>
      <w:r w:rsidR="00C929F6">
        <w:t xml:space="preserve">capital or maintenance </w:t>
      </w:r>
      <w:r w:rsidR="0095274B">
        <w:t>works will not</w:t>
      </w:r>
      <w:r>
        <w:t xml:space="preserve"> necessarily</w:t>
      </w:r>
      <w:r w:rsidR="0095274B">
        <w:t xml:space="preserve"> recoup the full value of the</w:t>
      </w:r>
      <w:r>
        <w:t xml:space="preserve"> additional</w:t>
      </w:r>
      <w:r w:rsidR="0095274B">
        <w:t xml:space="preserve"> expenditure, while those jurisdictions </w:t>
      </w:r>
      <w:r w:rsidR="00753C4C">
        <w:t xml:space="preserve">that </w:t>
      </w:r>
      <w:r w:rsidR="0095274B">
        <w:t xml:space="preserve">did not </w:t>
      </w:r>
      <w:r>
        <w:t>increase expenditure still</w:t>
      </w:r>
      <w:r w:rsidR="0095274B">
        <w:t xml:space="preserve"> benefit</w:t>
      </w:r>
      <w:r>
        <w:t xml:space="preserve"> from the resulting increase in heavy vehicle charges to some degree</w:t>
      </w:r>
      <w:r w:rsidR="0095274B">
        <w:t xml:space="preserve">, thus introducing geographic cross-subsidisation. </w:t>
      </w:r>
    </w:p>
    <w:p w14:paraId="56802850" w14:textId="6E3F3167" w:rsidR="00AA073E" w:rsidRDefault="00AA073E" w:rsidP="00FD39C5">
      <w:pPr>
        <w:pStyle w:val="Heading3"/>
      </w:pPr>
      <w:bookmarkStart w:id="95" w:name="_Toc86158387"/>
      <w:r>
        <w:t>Charges apply nationally</w:t>
      </w:r>
      <w:r w:rsidR="00A45614">
        <w:t xml:space="preserve"> on all road types</w:t>
      </w:r>
      <w:bookmarkEnd w:id="95"/>
      <w:r>
        <w:t xml:space="preserve"> </w:t>
      </w:r>
    </w:p>
    <w:p w14:paraId="745A4868" w14:textId="025C8C87" w:rsidR="00A45614" w:rsidRDefault="00AA073E" w:rsidP="0095274B">
      <w:pPr>
        <w:pStyle w:val="BodyCopy"/>
      </w:pPr>
      <w:r>
        <w:t xml:space="preserve">Heavy vehicle charges apply nationally regardless of location or road type. This necessarily means that a vehicle travelling on a </w:t>
      </w:r>
      <w:r w:rsidR="00A45614">
        <w:t>poor-quality</w:t>
      </w:r>
      <w:r>
        <w:t xml:space="preserve"> road may perceive that they are receiving a poor service quality compared </w:t>
      </w:r>
      <w:r w:rsidR="00485614">
        <w:t xml:space="preserve">with </w:t>
      </w:r>
      <w:r>
        <w:t>an identical vehicle travelling on a well-constructed, smooth road</w:t>
      </w:r>
      <w:r w:rsidR="00A45614">
        <w:t xml:space="preserve">. </w:t>
      </w:r>
    </w:p>
    <w:p w14:paraId="62A98F7A" w14:textId="1EE29525" w:rsidR="00A45614" w:rsidRDefault="00A45614" w:rsidP="0095274B">
      <w:pPr>
        <w:pStyle w:val="BodyCopy"/>
      </w:pPr>
      <w:r>
        <w:t>Road quality will affect fuel consumption for a given vehicle and load, with fuel consumption likely to be higher on poor</w:t>
      </w:r>
      <w:r w:rsidR="00753C4C">
        <w:t>-</w:t>
      </w:r>
      <w:r>
        <w:t>quality roads. This may result in those operators travelling on the worst quality roads paying more in RUC while experiencing a poor level of service.</w:t>
      </w:r>
      <w:r w:rsidR="00142AE5">
        <w:t xml:space="preserve"> </w:t>
      </w:r>
    </w:p>
    <w:p w14:paraId="76EC0026" w14:textId="735B8EA3" w:rsidR="00142AE5" w:rsidRDefault="00A45614" w:rsidP="0095274B">
      <w:pPr>
        <w:pStyle w:val="BodyCopy"/>
      </w:pPr>
      <w:r>
        <w:t xml:space="preserve">On the other hand, well-constructed roads are likely </w:t>
      </w:r>
      <w:r w:rsidR="00456DEF">
        <w:t xml:space="preserve">to </w:t>
      </w:r>
      <w:r>
        <w:t>be damaged less by heavy vehicle use, resulting in lower unit</w:t>
      </w:r>
      <w:r w:rsidR="00CC3FBA">
        <w:t xml:space="preserve"> </w:t>
      </w:r>
      <w:r>
        <w:t xml:space="preserve">costs compared </w:t>
      </w:r>
      <w:r w:rsidR="00485614">
        <w:t xml:space="preserve">with </w:t>
      </w:r>
      <w:r>
        <w:t xml:space="preserve">poorly constructed roads that wear out more. Therefore, if charges apply uniformly, it is also possible that users of </w:t>
      </w:r>
      <w:r w:rsidR="00707A23">
        <w:t>high-quality</w:t>
      </w:r>
      <w:r>
        <w:t xml:space="preserve"> roads are </w:t>
      </w:r>
      <w:r w:rsidR="00142AE5">
        <w:t xml:space="preserve">disadvantaged compared </w:t>
      </w:r>
      <w:r w:rsidR="00485614">
        <w:t xml:space="preserve">with </w:t>
      </w:r>
      <w:r>
        <w:t>the users of lower quality roads.</w:t>
      </w:r>
      <w:r w:rsidR="00830D17">
        <w:t xml:space="preserve"> </w:t>
      </w:r>
      <w:r>
        <w:t>The same may apply in respect of high and low traffic volumes.</w:t>
      </w:r>
      <w:r w:rsidR="00830D17">
        <w:t xml:space="preserve"> </w:t>
      </w:r>
    </w:p>
    <w:p w14:paraId="16A152F5" w14:textId="4B6B4FF3" w:rsidR="00256182" w:rsidRDefault="00256182" w:rsidP="00256182">
      <w:pPr>
        <w:pStyle w:val="Heading3"/>
      </w:pPr>
      <w:bookmarkStart w:id="96" w:name="_Toc86158388"/>
      <w:r>
        <w:t>Limited number of pricing instruments</w:t>
      </w:r>
      <w:bookmarkEnd w:id="96"/>
    </w:p>
    <w:p w14:paraId="6EE6E8E1" w14:textId="1674EB87" w:rsidR="00256182" w:rsidRPr="00256182" w:rsidRDefault="00707A23" w:rsidP="00256182">
      <w:pPr>
        <w:pStyle w:val="BodyCopy"/>
      </w:pPr>
      <w:r>
        <w:t>Heavy vehicle charges consist of registration charges for different types of vehicles and the RUC</w:t>
      </w:r>
      <w:r w:rsidR="00753C4C">
        <w:t>,</w:t>
      </w:r>
      <w:r>
        <w:t xml:space="preserve"> which applies to all vehicles. This limited number of pricing instruments, and the fact </w:t>
      </w:r>
      <w:r>
        <w:lastRenderedPageBreak/>
        <w:t>that these charges are intended to be applied nationally</w:t>
      </w:r>
      <w:r w:rsidR="00753C4C">
        <w:t>,</w:t>
      </w:r>
      <w:r>
        <w:t xml:space="preserve"> mean it is not possible to achieve precise pricing outcomes. For example, it is not possible to ensure all vehicle classes pay precisely their allocated costs.</w:t>
      </w:r>
      <w:r w:rsidR="00830D17">
        <w:t xml:space="preserve"> </w:t>
      </w:r>
    </w:p>
    <w:p w14:paraId="1CC2D6D8" w14:textId="13F3C1C2" w:rsidR="00C929F6" w:rsidRDefault="0095274B" w:rsidP="0095274B">
      <w:pPr>
        <w:pStyle w:val="Heading3"/>
      </w:pPr>
      <w:bookmarkStart w:id="97" w:name="_Toc57280002"/>
      <w:bookmarkStart w:id="98" w:name="_Toc57290560"/>
      <w:bookmarkStart w:id="99" w:name="_Toc57372449"/>
      <w:bookmarkStart w:id="100" w:name="_Toc86158389"/>
      <w:bookmarkEnd w:id="97"/>
      <w:bookmarkEnd w:id="98"/>
      <w:bookmarkEnd w:id="99"/>
      <w:r>
        <w:t>Input data limitations</w:t>
      </w:r>
      <w:bookmarkEnd w:id="100"/>
      <w:r>
        <w:t xml:space="preserve"> </w:t>
      </w:r>
    </w:p>
    <w:p w14:paraId="04E4AAE3" w14:textId="218A1CC5" w:rsidR="00142AE5" w:rsidRDefault="0095274B" w:rsidP="00C929F6">
      <w:pPr>
        <w:pStyle w:val="BodyCopy"/>
      </w:pPr>
      <w:r>
        <w:t xml:space="preserve">The PAYGO model uses SMVU datasets from the ABS to calculate heavy vehicle charges. The ABS published these datasets annually until 2007. No data was collected in 2008 or 2009. In 2010 the survey recommenced, with the collection frequency reduced to once every two years. Reducing the frequency of the SMVU to once every two years has </w:t>
      </w:r>
      <w:r w:rsidR="00142AE5">
        <w:t xml:space="preserve">required usage data to be estimated for intermittent years, reducing </w:t>
      </w:r>
      <w:r>
        <w:t>reliability and accuracy</w:t>
      </w:r>
      <w:r w:rsidR="00142AE5">
        <w:t xml:space="preserve"> in those years</w:t>
      </w:r>
      <w:r>
        <w:t xml:space="preserve">. </w:t>
      </w:r>
    </w:p>
    <w:p w14:paraId="587E3EB5" w14:textId="0BFE087F" w:rsidR="0061469F" w:rsidRDefault="0095274B" w:rsidP="00C929F6">
      <w:pPr>
        <w:pStyle w:val="BodyCopy"/>
      </w:pPr>
      <w:r>
        <w:t>Furthermore, the SMVU dataset originates from a survey rather than a full census of heavy vehicle usage, making it an estimate rather than a precise measure. This is reflected in the standard errors associated with certain vehicle classes. A further limitation of the survey method used to produce the SMVU dataset is the self-report method of data collection. Poor recollection of the required information or misunderstanding of the question can contribute to inaccuracies in the data</w:t>
      </w:r>
      <w:r w:rsidR="0061469F">
        <w:t xml:space="preserve">. </w:t>
      </w:r>
    </w:p>
    <w:p w14:paraId="1F02F17A" w14:textId="677EAF0A" w:rsidR="0061469F" w:rsidRDefault="00142AE5" w:rsidP="0061469F">
      <w:pPr>
        <w:pStyle w:val="BodyCopy"/>
      </w:pPr>
      <w:r>
        <w:t xml:space="preserve">The ABS has </w:t>
      </w:r>
      <w:r w:rsidR="00AF3605">
        <w:t xml:space="preserve">confirmed </w:t>
      </w:r>
      <w:r>
        <w:t xml:space="preserve">that the 2020 SMVU </w:t>
      </w:r>
      <w:r w:rsidR="00AF3605">
        <w:t>is</w:t>
      </w:r>
      <w:r>
        <w:t xml:space="preserve"> the last produced, which will make it necessary to source alternative usage data for future use. </w:t>
      </w:r>
      <w:r w:rsidR="0061469F">
        <w:t>Section</w:t>
      </w:r>
      <w:r w:rsidR="00311E59">
        <w:t xml:space="preserve"> </w:t>
      </w:r>
      <w:r w:rsidR="00311E59">
        <w:fldChar w:fldCharType="begin"/>
      </w:r>
      <w:r w:rsidR="00311E59">
        <w:instrText xml:space="preserve"> REF _Ref64880998 \r \h </w:instrText>
      </w:r>
      <w:r w:rsidR="00311E59">
        <w:fldChar w:fldCharType="separate"/>
      </w:r>
      <w:r w:rsidR="00225EEA">
        <w:t>4.5</w:t>
      </w:r>
      <w:r w:rsidR="00311E59">
        <w:fldChar w:fldCharType="end"/>
      </w:r>
      <w:r w:rsidR="00311E59">
        <w:t xml:space="preserve"> </w:t>
      </w:r>
      <w:r w:rsidR="0061469F">
        <w:t>discusses this in more detail.</w:t>
      </w:r>
      <w:r w:rsidR="00830D17">
        <w:t xml:space="preserve"> </w:t>
      </w:r>
    </w:p>
    <w:p w14:paraId="4119CA05" w14:textId="637EEFBA" w:rsidR="00C929F6" w:rsidRDefault="0095274B" w:rsidP="00C929F6">
      <w:pPr>
        <w:pStyle w:val="Heading3"/>
      </w:pPr>
      <w:bookmarkStart w:id="101" w:name="_Toc86158390"/>
      <w:r>
        <w:t>Non-deterministic charge setting framework</w:t>
      </w:r>
      <w:bookmarkEnd w:id="101"/>
      <w:r>
        <w:t xml:space="preserve"> </w:t>
      </w:r>
    </w:p>
    <w:p w14:paraId="3E875986" w14:textId="31F0F5F9" w:rsidR="00C929F6" w:rsidRDefault="0095274B" w:rsidP="0095274B">
      <w:pPr>
        <w:pStyle w:val="BodyCopy"/>
      </w:pPr>
      <w:r>
        <w:t>The NTC makes what is effectively a recommendation on national charges, which is not technically binding on state and territory governments. Non-implementation and a wide range of concessions being offered across state and territory governments have the potential to undermine the national nature of the charges. The charging framework also lacks a</w:t>
      </w:r>
      <w:r w:rsidR="00142AE5">
        <w:t xml:space="preserve"> defined and comprehensive</w:t>
      </w:r>
      <w:r>
        <w:t xml:space="preserve"> governance framework to guid</w:t>
      </w:r>
      <w:r w:rsidR="00142AE5">
        <w:t xml:space="preserve">e what conditions should trigger a new </w:t>
      </w:r>
      <w:r>
        <w:t xml:space="preserve">determination. This lack of clarity leads to price reviews being initiated on an ad hoc basis. </w:t>
      </w:r>
    </w:p>
    <w:p w14:paraId="5E8F0B4F" w14:textId="4539B8D6" w:rsidR="00C929F6" w:rsidRDefault="0095274B" w:rsidP="00C929F6">
      <w:pPr>
        <w:pStyle w:val="Heading3"/>
      </w:pPr>
      <w:bookmarkStart w:id="102" w:name="_Ref61609390"/>
      <w:bookmarkStart w:id="103" w:name="_Toc86158391"/>
      <w:r>
        <w:t>Lag between cost base measurement and implementation of charges</w:t>
      </w:r>
      <w:bookmarkEnd w:id="102"/>
      <w:bookmarkEnd w:id="103"/>
      <w:r>
        <w:t xml:space="preserve"> </w:t>
      </w:r>
    </w:p>
    <w:p w14:paraId="1CBF0FD9" w14:textId="6C945FD9" w:rsidR="00C929F6" w:rsidRDefault="0095274B" w:rsidP="0095274B">
      <w:pPr>
        <w:pStyle w:val="BodyCopy"/>
      </w:pPr>
      <w:r>
        <w:t xml:space="preserve">The current PAYGO methodology involves a lag between the measurement of the cost base and the implementation of charges that are set to recover the cost base. For example, the charges </w:t>
      </w:r>
      <w:r w:rsidR="00B359BB">
        <w:t xml:space="preserve">that will be </w:t>
      </w:r>
      <w:r>
        <w:t>outlined in th</w:t>
      </w:r>
      <w:r w:rsidR="00B359BB">
        <w:t xml:space="preserve">e </w:t>
      </w:r>
      <w:r w:rsidR="00456DEF">
        <w:t>D-</w:t>
      </w:r>
      <w:r>
        <w:t xml:space="preserve">RIS are based on expenditure data for the seven years up to and including the </w:t>
      </w:r>
      <w:r w:rsidR="00C929F6">
        <w:t>2020</w:t>
      </w:r>
      <w:r w:rsidR="00272BD6">
        <w:t>–</w:t>
      </w:r>
      <w:r w:rsidR="00C929F6">
        <w:t>21</w:t>
      </w:r>
      <w:r>
        <w:t xml:space="preserve"> financial year. However, any charges approved by </w:t>
      </w:r>
      <w:r w:rsidR="00800B41">
        <w:t xml:space="preserve">ITMM </w:t>
      </w:r>
      <w:r>
        <w:t>would not become effective until 1 July 20</w:t>
      </w:r>
      <w:r w:rsidR="00C929F6">
        <w:t>22</w:t>
      </w:r>
      <w:r>
        <w:t xml:space="preserve"> at the earliest. This has always been a feature of PAYGO and any associated annual adjustment mechanism. </w:t>
      </w:r>
      <w:r w:rsidR="00075065">
        <w:fldChar w:fldCharType="begin"/>
      </w:r>
      <w:r w:rsidR="00075065">
        <w:instrText xml:space="preserve"> REF _Ref56408800 \r \h </w:instrText>
      </w:r>
      <w:r w:rsidR="00075065">
        <w:fldChar w:fldCharType="separate"/>
      </w:r>
      <w:r w:rsidR="00225EEA">
        <w:t>Figure 3</w:t>
      </w:r>
      <w:r w:rsidR="00075065">
        <w:fldChar w:fldCharType="end"/>
      </w:r>
      <w:r w:rsidR="00652782">
        <w:t xml:space="preserve"> </w:t>
      </w:r>
      <w:r>
        <w:t xml:space="preserve">illustrates the delay. </w:t>
      </w:r>
    </w:p>
    <w:p w14:paraId="77C7787F" w14:textId="3021ED05" w:rsidR="00C929F6" w:rsidRDefault="00456DEF" w:rsidP="00655C7C">
      <w:pPr>
        <w:pStyle w:val="Figuretitle"/>
      </w:pPr>
      <w:bookmarkStart w:id="104" w:name="_Ref56408800"/>
      <w:bookmarkStart w:id="105" w:name="_Toc59436186"/>
      <w:bookmarkStart w:id="106" w:name="_Toc86158526"/>
      <w:r>
        <w:lastRenderedPageBreak/>
        <w:t>PAYGO – t</w:t>
      </w:r>
      <w:r w:rsidR="0095274B">
        <w:t>iming difference illustration</w:t>
      </w:r>
      <w:bookmarkEnd w:id="104"/>
      <w:bookmarkEnd w:id="105"/>
      <w:bookmarkEnd w:id="106"/>
      <w:r w:rsidR="0095274B">
        <w:t xml:space="preserve"> </w:t>
      </w:r>
    </w:p>
    <w:p w14:paraId="233B5D63" w14:textId="447F8814" w:rsidR="00C929F6" w:rsidRDefault="008B6525" w:rsidP="0095274B">
      <w:pPr>
        <w:pStyle w:val="BodyCopy"/>
      </w:pPr>
      <w:r w:rsidRPr="00207D5A">
        <w:rPr>
          <w:noProof/>
          <w:lang w:eastAsia="en-AU"/>
        </w:rPr>
        <w:drawing>
          <wp:inline distT="0" distB="0" distL="0" distR="0" wp14:anchorId="1EC2AFD9" wp14:editId="779FDCFE">
            <wp:extent cx="5669280" cy="3975100"/>
            <wp:effectExtent l="0" t="0" r="7620" b="0"/>
            <wp:docPr id="101" name="Picture 101" descr="Illustration of timing differences (as explained in following paragraph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llustration of timing differences (as explained in following paragraph of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3975100"/>
                    </a:xfrm>
                    <a:prstGeom prst="rect">
                      <a:avLst/>
                    </a:prstGeom>
                    <a:noFill/>
                  </pic:spPr>
                </pic:pic>
              </a:graphicData>
            </a:graphic>
          </wp:inline>
        </w:drawing>
      </w:r>
    </w:p>
    <w:p w14:paraId="61D3E1DF" w14:textId="65256F8F" w:rsidR="00D0485C" w:rsidRDefault="0095274B" w:rsidP="0095274B">
      <w:pPr>
        <w:pStyle w:val="BodyCopy"/>
      </w:pPr>
      <w:r>
        <w:t>Under PAYGO, the expenditure data and vehicle numbers</w:t>
      </w:r>
      <w:r w:rsidR="004164A8">
        <w:t xml:space="preserve"> are collected</w:t>
      </w:r>
      <w:r>
        <w:t xml:space="preserve"> after the end of </w:t>
      </w:r>
      <w:r w:rsidR="00753C4C">
        <w:t>y</w:t>
      </w:r>
      <w:r>
        <w:t xml:space="preserve">ear 1 (based on the seven years of expenditure and fuel consumption data leading up to and including </w:t>
      </w:r>
      <w:r w:rsidR="00753C4C">
        <w:t>y</w:t>
      </w:r>
      <w:r>
        <w:t>ear 1)</w:t>
      </w:r>
      <w:r w:rsidR="004164A8">
        <w:t>. This information is then</w:t>
      </w:r>
      <w:r w:rsidR="00830D17">
        <w:t xml:space="preserve"> </w:t>
      </w:r>
      <w:r>
        <w:t>used to determine the cost base and set charges</w:t>
      </w:r>
      <w:r w:rsidR="004164A8">
        <w:t xml:space="preserve"> during </w:t>
      </w:r>
      <w:r w:rsidR="00753C4C">
        <w:t>y</w:t>
      </w:r>
      <w:r w:rsidR="004164A8">
        <w:t>ear 2. The earliest they can then be applied is</w:t>
      </w:r>
      <w:r w:rsidR="00830D17">
        <w:t xml:space="preserve"> </w:t>
      </w:r>
      <w:r w:rsidR="004164A8">
        <w:t>in</w:t>
      </w:r>
      <w:r>
        <w:t xml:space="preserve"> </w:t>
      </w:r>
      <w:r w:rsidR="00753C4C">
        <w:t>y</w:t>
      </w:r>
      <w:r>
        <w:t>ear 3. These charges</w:t>
      </w:r>
      <w:r w:rsidR="00753C4C">
        <w:t>,</w:t>
      </w:r>
      <w:r w:rsidR="004164A8">
        <w:t xml:space="preserve"> which reflect the cost base and vehicle numbers in </w:t>
      </w:r>
      <w:r w:rsidR="00753C4C">
        <w:t>y</w:t>
      </w:r>
      <w:r w:rsidR="004164A8">
        <w:t>ear 1</w:t>
      </w:r>
      <w:r w:rsidR="00753C4C">
        <w:t>,</w:t>
      </w:r>
      <w:r>
        <w:t xml:space="preserve"> are</w:t>
      </w:r>
      <w:r w:rsidR="004164A8">
        <w:t xml:space="preserve"> then</w:t>
      </w:r>
      <w:r>
        <w:t xml:space="preserve"> collected in </w:t>
      </w:r>
      <w:r w:rsidR="00753C4C">
        <w:t>y</w:t>
      </w:r>
      <w:r>
        <w:t xml:space="preserve">ear 3 from the </w:t>
      </w:r>
      <w:r w:rsidR="004164A8">
        <w:t xml:space="preserve">actual number of </w:t>
      </w:r>
      <w:r>
        <w:t xml:space="preserve">vehicles registered in </w:t>
      </w:r>
      <w:r w:rsidR="00753C4C">
        <w:t>y</w:t>
      </w:r>
      <w:r>
        <w:t xml:space="preserve">ear 3, and on </w:t>
      </w:r>
      <w:r w:rsidR="00753C4C">
        <w:t xml:space="preserve">the </w:t>
      </w:r>
      <w:r w:rsidR="004164A8">
        <w:t xml:space="preserve">actual </w:t>
      </w:r>
      <w:r>
        <w:t xml:space="preserve">amount of fuel used in </w:t>
      </w:r>
      <w:r w:rsidR="00753C4C">
        <w:t>y</w:t>
      </w:r>
      <w:r>
        <w:t xml:space="preserve">ear 3. </w:t>
      </w:r>
    </w:p>
    <w:p w14:paraId="34D57D63" w14:textId="77777777" w:rsidR="00D0485C" w:rsidRDefault="0095274B" w:rsidP="0095274B">
      <w:pPr>
        <w:pStyle w:val="BodyCopy"/>
      </w:pPr>
      <w:r>
        <w:t xml:space="preserve">Changes in the estimated cost base over time will be different from changes in vehicle numbers and fuel use. This is illustrated above where the cost base expands more rapidly (measured as a percentage change) than either the number of registered vehicles or fuel consumption. Where this is the case, the following outcomes are likely to occur: </w:t>
      </w:r>
    </w:p>
    <w:p w14:paraId="298F6F45" w14:textId="6A061BD1" w:rsidR="00D0485C" w:rsidRPr="00707A23" w:rsidRDefault="0095274B" w:rsidP="00BE7770">
      <w:pPr>
        <w:pStyle w:val="List-bulletlvl1"/>
      </w:pPr>
      <w:r w:rsidRPr="00707A23">
        <w:t xml:space="preserve">Actual revenue in </w:t>
      </w:r>
      <w:r w:rsidR="00753C4C">
        <w:t>y</w:t>
      </w:r>
      <w:r w:rsidRPr="00707A23">
        <w:t>ear 3 will usually be higher than the expected revenue calculated at the time the charges are set. This is because expected revenue is calculated</w:t>
      </w:r>
      <w:r w:rsidR="00753C4C">
        <w:t xml:space="preserve"> based</w:t>
      </w:r>
      <w:r w:rsidR="00763DAF">
        <w:t xml:space="preserve"> on</w:t>
      </w:r>
      <w:r w:rsidRPr="00707A23">
        <w:t xml:space="preserve"> vehicle numbers and fuel consumption in </w:t>
      </w:r>
      <w:r w:rsidR="00753C4C">
        <w:t>y</w:t>
      </w:r>
      <w:r w:rsidRPr="00707A23">
        <w:t xml:space="preserve">ear 1 </w:t>
      </w:r>
      <w:r w:rsidR="0091217C">
        <w:t>since</w:t>
      </w:r>
      <w:r w:rsidR="0091217C" w:rsidRPr="00707A23">
        <w:t xml:space="preserve"> </w:t>
      </w:r>
      <w:r w:rsidRPr="00707A23">
        <w:t xml:space="preserve">this is the latest available information when charges are set. </w:t>
      </w:r>
    </w:p>
    <w:p w14:paraId="6732210F" w14:textId="08C97481" w:rsidR="00D0485C" w:rsidRPr="00707A23" w:rsidRDefault="0095274B" w:rsidP="00BE7770">
      <w:pPr>
        <w:pStyle w:val="List-bulletlvl1"/>
      </w:pPr>
      <w:r w:rsidRPr="00707A23">
        <w:t xml:space="preserve">Where the cost base expands rapidly it is possible that actual revenue in </w:t>
      </w:r>
      <w:r w:rsidR="00753C4C">
        <w:t>y</w:t>
      </w:r>
      <w:r w:rsidRPr="00707A23">
        <w:t xml:space="preserve">ear 3 is lower than the cost base would be for that year. </w:t>
      </w:r>
    </w:p>
    <w:p w14:paraId="5BD73ACA" w14:textId="77777777" w:rsidR="00D0485C" w:rsidRDefault="0095274B" w:rsidP="00BE7770">
      <w:pPr>
        <w:pStyle w:val="List-bulletlvl1"/>
      </w:pPr>
      <w:r>
        <w:t>Over time, revenue will ‘catch up’ to the cost base during periods where the cost base grows more slowly than the combined revenue base of fuel consumption and vehicle numbers.</w:t>
      </w:r>
    </w:p>
    <w:p w14:paraId="43B03111" w14:textId="77777777" w:rsidR="00D0485C" w:rsidRDefault="0095274B" w:rsidP="00BE7770">
      <w:pPr>
        <w:pStyle w:val="List-bulletlvl1"/>
      </w:pPr>
      <w:r>
        <w:t xml:space="preserve">Even under a worst-case scenario where growth in the cost base permanently outpaces the combined growth in fuel consumption and vehicle numbers, the outcome is that the growth in revenue will lag the growth in the cost base. However, in the long run, total </w:t>
      </w:r>
      <w:r>
        <w:lastRenderedPageBreak/>
        <w:t xml:space="preserve">revenue will exceed total expenditure due to the revenue uplift provided by the growth in fuel consumption and vehicle numbers. </w:t>
      </w:r>
    </w:p>
    <w:p w14:paraId="033B9185" w14:textId="51794612" w:rsidR="0095274B" w:rsidRDefault="0095274B" w:rsidP="0095274B">
      <w:pPr>
        <w:pStyle w:val="BodyCopy"/>
      </w:pPr>
      <w:r>
        <w:t>The only effective way to eliminate circumstances where there is a delay in collecting the appropriate level of revenue (to match the actual cost base) would be to set charges based on a</w:t>
      </w:r>
      <w:r w:rsidR="00753C4C">
        <w:t>n</w:t>
      </w:r>
      <w:r>
        <w:t xml:space="preserve"> </w:t>
      </w:r>
      <w:r w:rsidR="007B3FE6">
        <w:t>FLCB</w:t>
      </w:r>
      <w:r>
        <w:t xml:space="preserve"> derived from forecast expenditure. While adopting a</w:t>
      </w:r>
      <w:r w:rsidR="00753C4C">
        <w:t xml:space="preserve">n FLCB </w:t>
      </w:r>
      <w:r>
        <w:t xml:space="preserve">would be desirable for </w:t>
      </w:r>
      <w:r w:rsidR="00753C4C">
        <w:t>several</w:t>
      </w:r>
      <w:r>
        <w:t xml:space="preserve"> reasons, this </w:t>
      </w:r>
      <w:r w:rsidR="00BD686C">
        <w:t xml:space="preserve">is </w:t>
      </w:r>
      <w:r w:rsidR="00D0485C">
        <w:t xml:space="preserve">out of scope </w:t>
      </w:r>
      <w:r>
        <w:t>f</w:t>
      </w:r>
      <w:r w:rsidR="00BD686C">
        <w:t>or</w:t>
      </w:r>
      <w:r>
        <w:t xml:space="preserve"> this determination. </w:t>
      </w:r>
      <w:r w:rsidR="00D77979">
        <w:t>A</w:t>
      </w:r>
      <w:r w:rsidR="00753C4C">
        <w:t>n</w:t>
      </w:r>
      <w:r w:rsidR="00D77979">
        <w:t xml:space="preserve"> </w:t>
      </w:r>
      <w:r w:rsidR="007B3FE6">
        <w:t>FLCB</w:t>
      </w:r>
      <w:r w:rsidR="00D77979">
        <w:t xml:space="preserve"> is part of the reforms being </w:t>
      </w:r>
      <w:r w:rsidR="004164A8">
        <w:t>considered</w:t>
      </w:r>
      <w:r w:rsidR="00D77979">
        <w:t xml:space="preserve"> under</w:t>
      </w:r>
      <w:r>
        <w:t xml:space="preserve"> </w:t>
      </w:r>
      <w:r w:rsidR="00D0485C">
        <w:t>HVRR</w:t>
      </w:r>
      <w:r>
        <w:t>.</w:t>
      </w:r>
    </w:p>
    <w:p w14:paraId="0CF62895" w14:textId="3244F13A" w:rsidR="006F308F" w:rsidRPr="006F308F" w:rsidRDefault="00D0485C" w:rsidP="00FD39C5">
      <w:pPr>
        <w:pStyle w:val="Heading3"/>
      </w:pPr>
      <w:bookmarkStart w:id="107" w:name="_Toc57280006"/>
      <w:bookmarkStart w:id="108" w:name="_Toc57290564"/>
      <w:bookmarkStart w:id="109" w:name="_Toc57372453"/>
      <w:bookmarkStart w:id="110" w:name="_Toc86158392"/>
      <w:bookmarkEnd w:id="107"/>
      <w:bookmarkEnd w:id="108"/>
      <w:bookmarkEnd w:id="109"/>
      <w:r>
        <w:t xml:space="preserve">Decoupling of </w:t>
      </w:r>
      <w:r w:rsidR="00017AD1">
        <w:t>c</w:t>
      </w:r>
      <w:r>
        <w:t xml:space="preserve">harges </w:t>
      </w:r>
      <w:r w:rsidR="6BCE2FED">
        <w:t>from</w:t>
      </w:r>
      <w:r w:rsidR="36A57C9D">
        <w:t xml:space="preserve"> the</w:t>
      </w:r>
      <w:r>
        <w:t xml:space="preserve"> PAYGO</w:t>
      </w:r>
      <w:r w:rsidR="36A57C9D">
        <w:t xml:space="preserve"> model</w:t>
      </w:r>
      <w:bookmarkEnd w:id="110"/>
    </w:p>
    <w:p w14:paraId="155EED32" w14:textId="5F3C7FB9" w:rsidR="00707A23" w:rsidRDefault="00707A23" w:rsidP="00707A23">
      <w:pPr>
        <w:pStyle w:val="BodyCopy"/>
      </w:pPr>
      <w:r>
        <w:t>Heavy vehicle charges have not been set to</w:t>
      </w:r>
      <w:r w:rsidR="00F251CD">
        <w:t xml:space="preserve"> fully </w:t>
      </w:r>
      <w:r>
        <w:t>recover the heavy vehicle cost base since 2014</w:t>
      </w:r>
      <w:r w:rsidR="00272BD6">
        <w:t>–</w:t>
      </w:r>
      <w:r>
        <w:t>15. Since then, there have been some fixed percentage annual adjustments, revenue freezes and cha</w:t>
      </w:r>
      <w:r w:rsidR="00356FD4">
        <w:t>r</w:t>
      </w:r>
      <w:r>
        <w:t>ges freezes.</w:t>
      </w:r>
      <w:r w:rsidR="00301A22">
        <w:t xml:space="preserve"> Most recently, in March 2021, ITMM decided to increase heavy vehicle charges for 2021</w:t>
      </w:r>
      <w:r w:rsidR="0091217C">
        <w:t>–</w:t>
      </w:r>
      <w:r w:rsidR="00301A22">
        <w:t>22 by 2.5 per cent.</w:t>
      </w:r>
      <w:r w:rsidR="009E61AA">
        <w:t xml:space="preserve"> </w:t>
      </w:r>
    </w:p>
    <w:p w14:paraId="0B5DE59E" w14:textId="61877119" w:rsidR="00707A23" w:rsidRDefault="007E777A" w:rsidP="00707A23">
      <w:pPr>
        <w:pStyle w:val="BodyCopy"/>
      </w:pPr>
      <w:r>
        <w:t>T</w:t>
      </w:r>
      <w:r w:rsidR="00707A23">
        <w:t xml:space="preserve">here have been </w:t>
      </w:r>
      <w:r w:rsidR="006E75EA">
        <w:t>several</w:t>
      </w:r>
      <w:r w:rsidR="00707A23">
        <w:t xml:space="preserve"> reasons why charges have not been set to </w:t>
      </w:r>
      <w:r>
        <w:t>accurately</w:t>
      </w:r>
      <w:r w:rsidR="00707A23">
        <w:t xml:space="preserve"> recover the heavy vehicle cost base including:</w:t>
      </w:r>
    </w:p>
    <w:p w14:paraId="01F99279" w14:textId="34719D1A" w:rsidR="00707A23" w:rsidRDefault="00CC3FBA" w:rsidP="00FD39C5">
      <w:pPr>
        <w:pStyle w:val="List-bulletlvl1"/>
      </w:pPr>
      <w:r>
        <w:t>a</w:t>
      </w:r>
      <w:r w:rsidR="00707A23">
        <w:t>n inability of governments to support continued investment in the road network if heavy vehicle charges were to reduce</w:t>
      </w:r>
      <w:r w:rsidR="007E777A">
        <w:t xml:space="preserve"> at times where charges revenue exceeded the heavy vehicle cost base</w:t>
      </w:r>
    </w:p>
    <w:p w14:paraId="05A4CE82" w14:textId="35BBA9AD" w:rsidR="00AF3605" w:rsidRDefault="00AF3605" w:rsidP="00FD39C5">
      <w:pPr>
        <w:pStyle w:val="List-bulletlvl1"/>
      </w:pPr>
      <w:r>
        <w:t xml:space="preserve">recognition that a number of heavy vehicle operators find it difficult </w:t>
      </w:r>
      <w:r w:rsidR="000C2377">
        <w:t xml:space="preserve">to </w:t>
      </w:r>
      <w:r>
        <w:t xml:space="preserve">pass on increases in heavy vehicle charges to their customers </w:t>
      </w:r>
    </w:p>
    <w:p w14:paraId="629F3F08" w14:textId="608D7189" w:rsidR="00707A23" w:rsidRDefault="00CC3FBA" w:rsidP="00FD39C5">
      <w:pPr>
        <w:pStyle w:val="List-bulletlvl1"/>
      </w:pPr>
      <w:r>
        <w:t>c</w:t>
      </w:r>
      <w:r w:rsidR="00707A23">
        <w:t>onsideration of adverse economic conditions including fires and drought</w:t>
      </w:r>
    </w:p>
    <w:p w14:paraId="3772C331" w14:textId="41161E0D" w:rsidR="00BE7770" w:rsidRDefault="00CC3FBA" w:rsidP="00FD39C5">
      <w:pPr>
        <w:pStyle w:val="List-bulletlvl1"/>
      </w:pPr>
      <w:r>
        <w:t>t</w:t>
      </w:r>
      <w:r w:rsidR="00BE7770">
        <w:t xml:space="preserve">he impact of </w:t>
      </w:r>
      <w:r>
        <w:t xml:space="preserve">the </w:t>
      </w:r>
      <w:r w:rsidR="00BE7770">
        <w:t xml:space="preserve">COVID-19 </w:t>
      </w:r>
      <w:r>
        <w:t xml:space="preserve">pandemic </w:t>
      </w:r>
      <w:r w:rsidR="00BE7770">
        <w:t>on the economy</w:t>
      </w:r>
      <w:r>
        <w:t>.</w:t>
      </w:r>
    </w:p>
    <w:p w14:paraId="2B6F698D" w14:textId="58B6A2A6" w:rsidR="0005773B" w:rsidRDefault="00BE7770" w:rsidP="00FD39C5">
      <w:pPr>
        <w:pStyle w:val="BodyCopy"/>
      </w:pPr>
      <w:r>
        <w:t>Industry has further highlighted that the predictability of changes to heavy vehicle charges is important to allow operators to plan and to reflect cost changes in their pricing and contracts.</w:t>
      </w:r>
      <w:r w:rsidR="00830D17">
        <w:t xml:space="preserve"> </w:t>
      </w:r>
    </w:p>
    <w:p w14:paraId="25097233" w14:textId="26E8993C" w:rsidR="0094537C" w:rsidRDefault="00BE7770" w:rsidP="00D0485C">
      <w:pPr>
        <w:pStyle w:val="BodyCopy"/>
      </w:pPr>
      <w:r>
        <w:t>These frequent departures from full cost recovery have led to both over</w:t>
      </w:r>
      <w:r w:rsidR="00753C4C">
        <w:t>-</w:t>
      </w:r>
      <w:r>
        <w:t xml:space="preserve"> and under-recovery of heavy vehicle costs</w:t>
      </w:r>
      <w:r w:rsidR="0094537C">
        <w:t xml:space="preserve"> over time</w:t>
      </w:r>
      <w:r w:rsidR="008317FF">
        <w:t>.</w:t>
      </w:r>
      <w:r w:rsidR="0094537C">
        <w:t xml:space="preserve"> This is shown in</w:t>
      </w:r>
      <w:r w:rsidR="00753C4C">
        <w:t xml:space="preserve"> </w:t>
      </w:r>
      <w:r w:rsidR="00800B1E">
        <w:fldChar w:fldCharType="begin"/>
      </w:r>
      <w:r w:rsidR="00800B1E">
        <w:instrText xml:space="preserve"> REF _Ref81998226 \r \h </w:instrText>
      </w:r>
      <w:r w:rsidR="00800B1E">
        <w:fldChar w:fldCharType="separate"/>
      </w:r>
      <w:r w:rsidR="00225EEA">
        <w:t>Figure 4</w:t>
      </w:r>
      <w:r w:rsidR="00800B1E">
        <w:fldChar w:fldCharType="end"/>
      </w:r>
      <w:r w:rsidR="0094537C">
        <w:t xml:space="preserve">. It is important to note that there is a two-year lag between cost base measurement and the implementation of heavy vehicle charges as outlined in section </w:t>
      </w:r>
      <w:r w:rsidR="0094537C">
        <w:fldChar w:fldCharType="begin"/>
      </w:r>
      <w:r w:rsidR="0094537C">
        <w:instrText xml:space="preserve"> REF _Ref61609390 \r \h </w:instrText>
      </w:r>
      <w:r w:rsidR="0094537C">
        <w:fldChar w:fldCharType="separate"/>
      </w:r>
      <w:r w:rsidR="00225EEA">
        <w:t>2.2.8</w:t>
      </w:r>
      <w:r w:rsidR="0094537C">
        <w:fldChar w:fldCharType="end"/>
      </w:r>
      <w:r w:rsidR="0094537C">
        <w:t xml:space="preserve"> and shown in </w:t>
      </w:r>
      <w:r w:rsidR="00800B1E">
        <w:fldChar w:fldCharType="begin"/>
      </w:r>
      <w:r w:rsidR="00800B1E">
        <w:instrText xml:space="preserve"> REF _Ref56408800 \r \h </w:instrText>
      </w:r>
      <w:r w:rsidR="00800B1E">
        <w:fldChar w:fldCharType="separate"/>
      </w:r>
      <w:r w:rsidR="00225EEA">
        <w:t>Figure 3</w:t>
      </w:r>
      <w:r w:rsidR="00800B1E">
        <w:fldChar w:fldCharType="end"/>
      </w:r>
      <w:r w:rsidR="0094537C">
        <w:t xml:space="preserve">. </w:t>
      </w:r>
    </w:p>
    <w:p w14:paraId="3B83F30C" w14:textId="232FD3CF" w:rsidR="0094537C" w:rsidRDefault="0094537C" w:rsidP="00D0485C">
      <w:pPr>
        <w:pStyle w:val="BodyCopy"/>
      </w:pPr>
      <w:r>
        <w:t xml:space="preserve">Therefore, one would not expect the cost base and estimated revenue to be the same in any year. Instead, if charges were accurately set to fully recover the identified cost base, one would expect the two lines to be similarly shaped, but with a </w:t>
      </w:r>
      <w:r w:rsidR="00696E4E">
        <w:t>two-year</w:t>
      </w:r>
      <w:r>
        <w:t xml:space="preserve"> lag.</w:t>
      </w:r>
      <w:r w:rsidR="00830D17">
        <w:t xml:space="preserve"> </w:t>
      </w:r>
    </w:p>
    <w:p w14:paraId="3F32DABB" w14:textId="18E7852E" w:rsidR="00394B06" w:rsidRDefault="00394B06" w:rsidP="00D0485C">
      <w:pPr>
        <w:pStyle w:val="BodyCopy"/>
      </w:pPr>
      <w:r w:rsidRPr="00877541">
        <w:t>The graph</w:t>
      </w:r>
      <w:r w:rsidR="00FC4CC5" w:rsidRPr="00877541">
        <w:t xml:space="preserve"> in </w:t>
      </w:r>
      <w:r w:rsidR="00FC4CC5" w:rsidRPr="00877541">
        <w:fldChar w:fldCharType="begin"/>
      </w:r>
      <w:r w:rsidR="00FC4CC5" w:rsidRPr="00877541">
        <w:instrText xml:space="preserve"> REF _Ref64031048 \r \h </w:instrText>
      </w:r>
      <w:r w:rsidR="008B6525" w:rsidRPr="00877541">
        <w:instrText xml:space="preserve"> \* MERGEFORMAT </w:instrText>
      </w:r>
      <w:r w:rsidR="00FC4CC5" w:rsidRPr="00877541">
        <w:fldChar w:fldCharType="separate"/>
      </w:r>
      <w:r w:rsidR="00225EEA">
        <w:t>Figure 4</w:t>
      </w:r>
      <w:r w:rsidR="00FC4CC5" w:rsidRPr="00877541">
        <w:fldChar w:fldCharType="end"/>
      </w:r>
      <w:r w:rsidR="006351EF" w:rsidRPr="00877541">
        <w:t xml:space="preserve"> shows </w:t>
      </w:r>
      <w:r w:rsidR="00045BC5">
        <w:t xml:space="preserve">the growing gap between the heavy vehicle </w:t>
      </w:r>
      <w:r w:rsidR="008369DC">
        <w:t>cost base and revenue from heavy vehicle charges, and the expected future revenue under the three implementation options explored in this D-RIS.</w:t>
      </w:r>
      <w:r w:rsidR="009E61AA">
        <w:t xml:space="preserve"> </w:t>
      </w:r>
    </w:p>
    <w:p w14:paraId="11EEF1A5" w14:textId="46FB6959" w:rsidR="008317FF" w:rsidRDefault="0094537C" w:rsidP="0094537C">
      <w:pPr>
        <w:pStyle w:val="Figuretitle"/>
      </w:pPr>
      <w:bookmarkStart w:id="111" w:name="_Ref64031048"/>
      <w:bookmarkStart w:id="112" w:name="_Ref81998226"/>
      <w:bookmarkStart w:id="113" w:name="_Toc86158527"/>
      <w:r>
        <w:lastRenderedPageBreak/>
        <w:t>Heavy vehicle cost base and estimated revenue</w:t>
      </w:r>
      <w:bookmarkEnd w:id="111"/>
      <w:r w:rsidR="00830D17">
        <w:t xml:space="preserve"> </w:t>
      </w:r>
      <w:r w:rsidR="000C4DA1">
        <w:t>($m)</w:t>
      </w:r>
      <w:bookmarkEnd w:id="112"/>
      <w:bookmarkEnd w:id="113"/>
    </w:p>
    <w:p w14:paraId="43B9B406" w14:textId="51A4EF9C" w:rsidR="00B956A1" w:rsidRDefault="00BF222D" w:rsidP="00D0485C">
      <w:pPr>
        <w:pStyle w:val="BodyCopy"/>
      </w:pPr>
      <w:r>
        <w:rPr>
          <w:noProof/>
          <w:lang w:eastAsia="en-AU"/>
        </w:rPr>
        <w:drawing>
          <wp:inline distT="0" distB="0" distL="0" distR="0" wp14:anchorId="6B130F44" wp14:editId="687075F7">
            <wp:extent cx="5338800" cy="3488400"/>
            <wp:effectExtent l="0" t="0" r="0" b="0"/>
            <wp:docPr id="11" name="Picture 11"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8800" cy="3488400"/>
                    </a:xfrm>
                    <a:prstGeom prst="rect">
                      <a:avLst/>
                    </a:prstGeom>
                    <a:noFill/>
                  </pic:spPr>
                </pic:pic>
              </a:graphicData>
            </a:graphic>
          </wp:inline>
        </w:drawing>
      </w:r>
    </w:p>
    <w:p w14:paraId="0D26B7EB" w14:textId="7839DFF2" w:rsidR="00A74BDE" w:rsidRDefault="00BE7770" w:rsidP="00D0485C">
      <w:pPr>
        <w:pStyle w:val="BodyCopy"/>
      </w:pPr>
      <w:r>
        <w:t>One of the objectives of this determination is to provide a reasonable path towards re-establishing full cost recovery over time, in accordance with the pricing principles.</w:t>
      </w:r>
      <w:r w:rsidR="00830D17">
        <w:t xml:space="preserve"> </w:t>
      </w:r>
    </w:p>
    <w:p w14:paraId="1A0464C8" w14:textId="169B9D2F" w:rsidR="005C099A" w:rsidRDefault="00E676EF" w:rsidP="000660B4">
      <w:pPr>
        <w:pStyle w:val="Heading1"/>
        <w:rPr>
          <w:color w:val="auto"/>
        </w:rPr>
      </w:pPr>
      <w:bookmarkStart w:id="114" w:name="_Toc18056956"/>
      <w:bookmarkStart w:id="115" w:name="_Toc86158393"/>
      <w:bookmarkStart w:id="116" w:name="_Hlk17111088"/>
      <w:bookmarkEnd w:id="114"/>
      <w:r>
        <w:rPr>
          <w:color w:val="auto"/>
        </w:rPr>
        <w:lastRenderedPageBreak/>
        <w:t>Context</w:t>
      </w:r>
      <w:bookmarkEnd w:id="115"/>
      <w:r w:rsidR="00C078D1">
        <w:rPr>
          <w:color w:val="auto"/>
        </w:rPr>
        <w:t xml:space="preserve"> </w:t>
      </w:r>
    </w:p>
    <w:p w14:paraId="06767197" w14:textId="47942FAC" w:rsidR="00E676EF" w:rsidRDefault="39E8F2EA">
      <w:pPr>
        <w:pStyle w:val="BodyCopy"/>
      </w:pPr>
      <w:bookmarkStart w:id="117" w:name="_Hlk17266405"/>
      <w:bookmarkEnd w:id="116"/>
      <w:r>
        <w:t xml:space="preserve">The </w:t>
      </w:r>
      <w:r w:rsidR="00E55AAA">
        <w:t xml:space="preserve">determination </w:t>
      </w:r>
      <w:r>
        <w:t>focus</w:t>
      </w:r>
      <w:r w:rsidR="00E55AAA">
        <w:t>es</w:t>
      </w:r>
      <w:r>
        <w:t xml:space="preserve"> on making recommendations for heavy vehicle charges within the applicable scope, and in accordance with the pricing principles.</w:t>
      </w:r>
      <w:r w:rsidR="00830D17">
        <w:t xml:space="preserve"> </w:t>
      </w:r>
    </w:p>
    <w:p w14:paraId="08636230" w14:textId="26BC1FEA" w:rsidR="0061469F" w:rsidRDefault="004369B5" w:rsidP="004369B5">
      <w:pPr>
        <w:pStyle w:val="BodyCopy"/>
      </w:pPr>
      <w:r>
        <w:t xml:space="preserve">While it is not within the realm of the determination to address broader issues, the recommendations of the determination recognise the reality of the broader issues </w:t>
      </w:r>
      <w:r w:rsidR="00C544A8">
        <w:t xml:space="preserve">affecting </w:t>
      </w:r>
      <w:r>
        <w:t xml:space="preserve">the heavy vehicle sector </w:t>
      </w:r>
      <w:r w:rsidR="006E75EA">
        <w:t>now</w:t>
      </w:r>
      <w:r>
        <w:t xml:space="preserve"> and that are likely to continue into the foreseeable future.</w:t>
      </w:r>
      <w:r w:rsidR="00830D17">
        <w:t xml:space="preserve"> </w:t>
      </w:r>
      <w:r>
        <w:t>Therefore, the recommendations offered in the determination are considered reasonable given the broader Australian context.</w:t>
      </w:r>
      <w:r w:rsidR="00830D17">
        <w:t xml:space="preserve"> </w:t>
      </w:r>
      <w:r w:rsidR="00F20672">
        <w:t xml:space="preserve">This section outlines the broader Australian context </w:t>
      </w:r>
      <w:r w:rsidR="008238FC">
        <w:t xml:space="preserve">as it </w:t>
      </w:r>
      <w:r w:rsidR="0061469F">
        <w:t>existed</w:t>
      </w:r>
      <w:r w:rsidR="008238FC">
        <w:t xml:space="preserve"> at the time of </w:t>
      </w:r>
      <w:r w:rsidR="0061469F">
        <w:t>drafting</w:t>
      </w:r>
      <w:r w:rsidR="008238FC">
        <w:t xml:space="preserve"> this </w:t>
      </w:r>
      <w:r w:rsidR="009F0EA2">
        <w:t>D</w:t>
      </w:r>
      <w:r w:rsidR="00C02680">
        <w:t>-</w:t>
      </w:r>
      <w:r w:rsidR="008238FC">
        <w:t>RIS.</w:t>
      </w:r>
    </w:p>
    <w:p w14:paraId="7CF8DF42" w14:textId="7FFD4C23" w:rsidR="00E676EF" w:rsidRDefault="5A8DC113" w:rsidP="54A5A881">
      <w:pPr>
        <w:pStyle w:val="BodyCopy"/>
      </w:pPr>
      <w:r>
        <w:t>The context for the determination includes</w:t>
      </w:r>
      <w:r w:rsidR="3D136B0D">
        <w:t xml:space="preserve"> the following</w:t>
      </w:r>
      <w:r>
        <w:t>:</w:t>
      </w:r>
    </w:p>
    <w:p w14:paraId="5BE92956" w14:textId="153CCF3C" w:rsidR="00E676EF" w:rsidRDefault="00624C13" w:rsidP="00905F30">
      <w:pPr>
        <w:pStyle w:val="List-bulletlvl1"/>
        <w:rPr>
          <w:rFonts w:eastAsia="Arial" w:cs="Arial"/>
          <w:szCs w:val="22"/>
        </w:rPr>
      </w:pPr>
      <w:r>
        <w:t>e</w:t>
      </w:r>
      <w:r w:rsidR="5A8DC113">
        <w:t xml:space="preserve">conomic conditions, including the effect of </w:t>
      </w:r>
      <w:r w:rsidR="00272BD6">
        <w:t>COVID</w:t>
      </w:r>
      <w:r w:rsidR="5A8DC113">
        <w:t>-19 on the broader economy and the operating environment of heavy vehicle operators</w:t>
      </w:r>
    </w:p>
    <w:p w14:paraId="687FF08F" w14:textId="768FBE1E" w:rsidR="00E676EF" w:rsidRDefault="00624C13" w:rsidP="00905F30">
      <w:pPr>
        <w:pStyle w:val="List-bulletlvl1"/>
        <w:rPr>
          <w:szCs w:val="22"/>
        </w:rPr>
      </w:pPr>
      <w:r>
        <w:t>g</w:t>
      </w:r>
      <w:r w:rsidR="6C4326F3">
        <w:t>overnment finances and plans for expenditure on road infrastructure</w:t>
      </w:r>
    </w:p>
    <w:p w14:paraId="3C29B71A" w14:textId="54875DA0" w:rsidR="00E676EF" w:rsidRDefault="00624C13" w:rsidP="00905F30">
      <w:pPr>
        <w:pStyle w:val="List-bulletlvl1"/>
        <w:rPr>
          <w:rFonts w:eastAsia="Arial" w:cs="Arial"/>
          <w:szCs w:val="22"/>
        </w:rPr>
      </w:pPr>
      <w:r>
        <w:t>t</w:t>
      </w:r>
      <w:r w:rsidR="5A8DC113">
        <w:t>he</w:t>
      </w:r>
      <w:r w:rsidR="00972FBC">
        <w:t xml:space="preserve"> potential for </w:t>
      </w:r>
      <w:r w:rsidR="00C02680">
        <w:t>HVRR</w:t>
      </w:r>
      <w:r w:rsidR="5A8DC113">
        <w:t xml:space="preserve"> </w:t>
      </w:r>
      <w:r w:rsidR="00972FBC">
        <w:t>to</w:t>
      </w:r>
      <w:r w:rsidR="5A8DC113">
        <w:t xml:space="preserve"> replace the PAYGO methodology in the future</w:t>
      </w:r>
      <w:r>
        <w:t xml:space="preserve"> –</w:t>
      </w:r>
      <w:r w:rsidR="5A8DC113">
        <w:t xml:space="preserve"> </w:t>
      </w:r>
      <w:r>
        <w:t>t</w:t>
      </w:r>
      <w:r w:rsidR="5A8DC113">
        <w:t xml:space="preserve">he determination </w:t>
      </w:r>
      <w:r w:rsidR="00BB45E2">
        <w:t>seeks</w:t>
      </w:r>
      <w:r w:rsidR="5A8DC113">
        <w:t xml:space="preserve"> to provide a platform for implement</w:t>
      </w:r>
      <w:r w:rsidR="006B49C5">
        <w:t>ing</w:t>
      </w:r>
      <w:r w:rsidR="5A8DC113">
        <w:t xml:space="preserve"> future reform</w:t>
      </w:r>
    </w:p>
    <w:p w14:paraId="6E8BB63E" w14:textId="79CBC0E3" w:rsidR="00E676EF" w:rsidRDefault="00624C13" w:rsidP="00905F30">
      <w:pPr>
        <w:pStyle w:val="List-bulletlvl1"/>
        <w:rPr>
          <w:rFonts w:eastAsia="Arial" w:cs="Arial"/>
          <w:szCs w:val="22"/>
        </w:rPr>
      </w:pPr>
      <w:r>
        <w:t>c</w:t>
      </w:r>
      <w:r w:rsidR="5A8DC113">
        <w:t xml:space="preserve">hanges in the heavy vehicle fleet including the emergence of electric and alternative fuel vehicles, and the possible emergence of greater vehicle automation over time. </w:t>
      </w:r>
    </w:p>
    <w:p w14:paraId="7D7CA373" w14:textId="58904036" w:rsidR="00E676EF" w:rsidRDefault="4D06FF1D" w:rsidP="54A5A881">
      <w:pPr>
        <w:pStyle w:val="BodyCopy"/>
        <w:rPr>
          <w:rFonts w:eastAsia="ArialMT" w:cs="Arial"/>
        </w:rPr>
      </w:pPr>
      <w:r>
        <w:t>These</w:t>
      </w:r>
      <w:r w:rsidR="0061469F">
        <w:t xml:space="preserve"> themes</w:t>
      </w:r>
      <w:r>
        <w:t xml:space="preserve"> </w:t>
      </w:r>
      <w:r w:rsidR="0061469F">
        <w:t>are</w:t>
      </w:r>
      <w:r>
        <w:t xml:space="preserve"> </w:t>
      </w:r>
      <w:r w:rsidR="006C4413">
        <w:t xml:space="preserve">addressed in more detail </w:t>
      </w:r>
      <w:r>
        <w:t>below.</w:t>
      </w:r>
      <w:r w:rsidR="00830D17">
        <w:t xml:space="preserve"> </w:t>
      </w:r>
    </w:p>
    <w:p w14:paraId="143877C7" w14:textId="5C34098A" w:rsidR="00A412E5" w:rsidRPr="00A412E5" w:rsidRDefault="4D06FF1D" w:rsidP="00A412E5">
      <w:pPr>
        <w:pStyle w:val="Heading2"/>
        <w:rPr>
          <w:rFonts w:eastAsia="ArialMT"/>
        </w:rPr>
      </w:pPr>
      <w:bookmarkStart w:id="118" w:name="_Toc86158394"/>
      <w:r w:rsidRPr="54A5A881">
        <w:rPr>
          <w:rFonts w:eastAsia="ArialMT"/>
        </w:rPr>
        <w:t>Economic conditions</w:t>
      </w:r>
      <w:bookmarkEnd w:id="118"/>
      <w:r w:rsidR="00A412E5" w:rsidRPr="54A5A881">
        <w:rPr>
          <w:rFonts w:eastAsia="ArialMT"/>
        </w:rPr>
        <w:t xml:space="preserve"> </w:t>
      </w:r>
    </w:p>
    <w:p w14:paraId="55553935" w14:textId="05D2BFFF" w:rsidR="5BDD21B6" w:rsidRDefault="5BDD21B6" w:rsidP="00A51176">
      <w:pPr>
        <w:pStyle w:val="BodyCopy"/>
        <w:rPr>
          <w:rFonts w:cs="Arial"/>
          <w:color w:val="212529"/>
          <w:shd w:val="clear" w:color="auto" w:fill="FFFFFF"/>
        </w:rPr>
      </w:pPr>
      <w:r>
        <w:t xml:space="preserve">The overall economic climate of Australia has been adversely affected by the </w:t>
      </w:r>
      <w:r w:rsidR="00272BD6">
        <w:t>COVID</w:t>
      </w:r>
      <w:r w:rsidR="00A51176">
        <w:t>-</w:t>
      </w:r>
      <w:r>
        <w:t>19 global pandemic.</w:t>
      </w:r>
      <w:r w:rsidR="00830D17">
        <w:t xml:space="preserve"> </w:t>
      </w:r>
      <w:r>
        <w:t xml:space="preserve">At the time of writing this </w:t>
      </w:r>
      <w:r w:rsidR="009F0EA2">
        <w:t>D</w:t>
      </w:r>
      <w:r w:rsidR="00B25452">
        <w:t>-</w:t>
      </w:r>
      <w:r>
        <w:t>RIS, the pandemic was still globally active, meaning that economic conditions are expected to be challenging for the foreseeable future.</w:t>
      </w:r>
      <w:r w:rsidR="00830D17">
        <w:t xml:space="preserve"> </w:t>
      </w:r>
      <w:r w:rsidR="00920CD8" w:rsidRPr="002E7E25">
        <w:t>The 202</w:t>
      </w:r>
      <w:r w:rsidR="00D652EF" w:rsidRPr="002E7E25">
        <w:t>1–22</w:t>
      </w:r>
      <w:r w:rsidR="00502821" w:rsidRPr="002E7E25">
        <w:t xml:space="preserve"> </w:t>
      </w:r>
      <w:r w:rsidR="0019585B" w:rsidRPr="002E7E25">
        <w:t xml:space="preserve">Federal </w:t>
      </w:r>
      <w:r w:rsidR="00920CD8" w:rsidRPr="002E7E25">
        <w:t>Budget</w:t>
      </w:r>
      <w:r w:rsidR="00256E0B" w:rsidRPr="002E7E25">
        <w:t xml:space="preserve"> noted that </w:t>
      </w:r>
      <w:r w:rsidR="00D652EF" w:rsidRPr="002E7E25">
        <w:t>‘while the outlook is more positive, we are still in the midst of a once-in-a-century pandemic.</w:t>
      </w:r>
      <w:r w:rsidR="00AF3605">
        <w:t xml:space="preserve"> There is still uncertainty around</w:t>
      </w:r>
      <w:r w:rsidR="00592086">
        <w:t>.</w:t>
      </w:r>
      <w:r w:rsidR="00D652EF" w:rsidRPr="002E7E25">
        <w:t xml:space="preserve"> The global economic recovery is fragile and expected to be uneven across different economies highlighted by a double-dip recession in the euro</w:t>
      </w:r>
      <w:r w:rsidR="00D652EF">
        <w:t xml:space="preserve">’ </w:t>
      </w:r>
      <w:sdt>
        <w:sdtPr>
          <w:id w:val="1090274637"/>
          <w:citation/>
        </w:sdtPr>
        <w:sdtContent>
          <w:r w:rsidR="00D652EF">
            <w:fldChar w:fldCharType="begin"/>
          </w:r>
          <w:r w:rsidR="008218F0">
            <w:instrText xml:space="preserve">CITATION Aus21 \l 3081 </w:instrText>
          </w:r>
          <w:r w:rsidR="00D652EF">
            <w:fldChar w:fldCharType="separate"/>
          </w:r>
          <w:r w:rsidR="000A4DC7" w:rsidRPr="000A4DC7">
            <w:rPr>
              <w:noProof/>
            </w:rPr>
            <w:t>(Australian Government, 2021)</w:t>
          </w:r>
          <w:r w:rsidR="00D652EF">
            <w:fldChar w:fldCharType="end"/>
          </w:r>
        </w:sdtContent>
      </w:sdt>
      <w:r w:rsidR="00D652EF">
        <w:t>.</w:t>
      </w:r>
      <w:r w:rsidR="009E61AA">
        <w:t xml:space="preserve"> </w:t>
      </w:r>
    </w:p>
    <w:p w14:paraId="50588CCF" w14:textId="789F0971" w:rsidR="5BDD21B6" w:rsidRDefault="5BDD21B6" w:rsidP="00A51176">
      <w:pPr>
        <w:pStyle w:val="BodyCopy"/>
      </w:pPr>
      <w:r>
        <w:t xml:space="preserve">The options identified in this </w:t>
      </w:r>
      <w:r w:rsidR="009F0EA2">
        <w:t>D</w:t>
      </w:r>
      <w:r w:rsidR="00B25452">
        <w:t>-</w:t>
      </w:r>
      <w:r>
        <w:t>RIS have taken into consideration the pandemic</w:t>
      </w:r>
      <w:r w:rsidR="00570249">
        <w:t>-</w:t>
      </w:r>
      <w:r>
        <w:t xml:space="preserve">induced </w:t>
      </w:r>
      <w:r w:rsidR="003916E8">
        <w:t>fall in economic growth in</w:t>
      </w:r>
      <w:r>
        <w:t xml:space="preserve"> Australia and the resulting economic impact for the heavy vehicle industry.</w:t>
      </w:r>
      <w:r w:rsidR="00830D17">
        <w:t xml:space="preserve"> </w:t>
      </w:r>
      <w:r>
        <w:t>This consideration has limited approaches that could be considered viable for both a charges framework and cost recovery measures to address the</w:t>
      </w:r>
      <w:r w:rsidR="0061469F">
        <w:t xml:space="preserve"> current difference between the revenue provided by heavy vehicle charges and the identified heavy vehicle cost base.</w:t>
      </w:r>
      <w:r w:rsidR="00830D17">
        <w:t xml:space="preserve"> </w:t>
      </w:r>
    </w:p>
    <w:p w14:paraId="4F0B66F9" w14:textId="5CD7A576" w:rsidR="00E676EF" w:rsidRDefault="00E676EF" w:rsidP="00E676EF">
      <w:pPr>
        <w:pStyle w:val="Heading2"/>
        <w:rPr>
          <w:rFonts w:eastAsia="ArialMT"/>
        </w:rPr>
      </w:pPr>
      <w:bookmarkStart w:id="119" w:name="_Toc86158395"/>
      <w:r w:rsidRPr="00E676EF">
        <w:rPr>
          <w:rFonts w:eastAsia="ArialMT"/>
        </w:rPr>
        <w:t xml:space="preserve">Government </w:t>
      </w:r>
      <w:r w:rsidR="00D66039">
        <w:rPr>
          <w:rFonts w:eastAsia="ArialMT"/>
        </w:rPr>
        <w:t>f</w:t>
      </w:r>
      <w:r w:rsidRPr="00E676EF">
        <w:rPr>
          <w:rFonts w:eastAsia="ArialMT"/>
        </w:rPr>
        <w:t xml:space="preserve">inances and </w:t>
      </w:r>
      <w:r w:rsidR="00D66039">
        <w:rPr>
          <w:rFonts w:eastAsia="ArialMT"/>
        </w:rPr>
        <w:t>i</w:t>
      </w:r>
      <w:r w:rsidR="404DD2CC" w:rsidRPr="54A5A881">
        <w:rPr>
          <w:rFonts w:eastAsia="ArialMT"/>
        </w:rPr>
        <w:t xml:space="preserve">nfrastructure </w:t>
      </w:r>
      <w:r w:rsidR="00D66039">
        <w:rPr>
          <w:rFonts w:eastAsia="ArialMT"/>
        </w:rPr>
        <w:t>e</w:t>
      </w:r>
      <w:r w:rsidR="404DD2CC" w:rsidRPr="54A5A881">
        <w:rPr>
          <w:rFonts w:eastAsia="ArialMT"/>
        </w:rPr>
        <w:t>xpenditure</w:t>
      </w:r>
      <w:bookmarkEnd w:id="119"/>
      <w:r w:rsidR="404DD2CC" w:rsidRPr="54A5A881">
        <w:rPr>
          <w:rFonts w:eastAsia="ArialMT"/>
        </w:rPr>
        <w:t xml:space="preserve"> </w:t>
      </w:r>
    </w:p>
    <w:p w14:paraId="74CA9593" w14:textId="51226FD6" w:rsidR="007F2910" w:rsidRDefault="00E22EBC" w:rsidP="006E75EA">
      <w:pPr>
        <w:pStyle w:val="BodyCopy"/>
      </w:pPr>
      <w:r>
        <w:t xml:space="preserve">Governments have increased expenditure on infrastructure generally, and on road infrastructure specifically in recent years. </w:t>
      </w:r>
      <w:r w:rsidR="00CC15F8">
        <w:t xml:space="preserve">For example, total </w:t>
      </w:r>
      <w:r w:rsidR="00487F0D">
        <w:t xml:space="preserve">allocable </w:t>
      </w:r>
      <w:r w:rsidR="00CC15F8">
        <w:t xml:space="preserve">road expenditure by governments has increased from </w:t>
      </w:r>
      <w:r w:rsidR="00EF3C02">
        <w:t>$13.1</w:t>
      </w:r>
      <w:r w:rsidR="00981A51">
        <w:t xml:space="preserve"> </w:t>
      </w:r>
      <w:r w:rsidR="00CC15F8">
        <w:t>b</w:t>
      </w:r>
      <w:r w:rsidR="00981A51">
        <w:t>illion</w:t>
      </w:r>
      <w:r w:rsidR="00CC15F8">
        <w:t xml:space="preserve"> in </w:t>
      </w:r>
      <w:r w:rsidR="00EF3C02">
        <w:t>2012–13</w:t>
      </w:r>
      <w:r w:rsidR="00CC15F8">
        <w:t xml:space="preserve"> to </w:t>
      </w:r>
      <w:r w:rsidR="00EF3C02">
        <w:t>$20.6</w:t>
      </w:r>
      <w:r w:rsidR="00D72EEB">
        <w:t>b</w:t>
      </w:r>
      <w:r w:rsidR="00CC15F8">
        <w:t xml:space="preserve"> in </w:t>
      </w:r>
      <w:r w:rsidR="00EF3C02">
        <w:t>2020–21</w:t>
      </w:r>
      <w:r w:rsidR="00CC15F8">
        <w:t>.</w:t>
      </w:r>
      <w:r w:rsidR="00D72EEB">
        <w:rPr>
          <w:rStyle w:val="FootnoteReference"/>
        </w:rPr>
        <w:footnoteReference w:id="3"/>
      </w:r>
      <w:r w:rsidR="00CC15F8">
        <w:t xml:space="preserve"> </w:t>
      </w:r>
      <w:r>
        <w:t xml:space="preserve">At the </w:t>
      </w:r>
      <w:r>
        <w:lastRenderedPageBreak/>
        <w:t>same time, the additional expenditure and lower receipts associated with the COVID-19 global pandemic have led to deteriorating government financial positions</w:t>
      </w:r>
      <w:r w:rsidRPr="002E7E25">
        <w:t xml:space="preserve">. For example, the </w:t>
      </w:r>
      <w:r w:rsidR="004F0244">
        <w:t>Commonwealth</w:t>
      </w:r>
      <w:r w:rsidRPr="002E7E25">
        <w:t xml:space="preserve"> </w:t>
      </w:r>
      <w:r w:rsidR="004F0244">
        <w:t>G</w:t>
      </w:r>
      <w:r w:rsidRPr="002E7E25">
        <w:t>overnment’s budget strategy and outlook for the 202</w:t>
      </w:r>
      <w:r w:rsidR="00D652EF" w:rsidRPr="002E7E25">
        <w:t>1</w:t>
      </w:r>
      <w:r w:rsidR="009627A1">
        <w:t>–</w:t>
      </w:r>
      <w:r w:rsidRPr="002E7E25">
        <w:t>2</w:t>
      </w:r>
      <w:r w:rsidR="00D652EF" w:rsidRPr="002E7E25">
        <w:t>2</w:t>
      </w:r>
      <w:r w:rsidRPr="002E7E25">
        <w:t xml:space="preserve"> budget shows that increasing public debt levels are expected to persist for several years</w:t>
      </w:r>
      <w:r w:rsidR="00D652EF" w:rsidRPr="002E7E25">
        <w:t xml:space="preserve"> </w:t>
      </w:r>
      <w:sdt>
        <w:sdtPr>
          <w:id w:val="871040043"/>
          <w:citation/>
        </w:sdtPr>
        <w:sdtContent>
          <w:r w:rsidR="00D652EF" w:rsidRPr="002E7E25">
            <w:fldChar w:fldCharType="begin"/>
          </w:r>
          <w:r w:rsidR="008218F0" w:rsidRPr="002E7E25">
            <w:instrText xml:space="preserve">CITATION Aus21 \l 3081 </w:instrText>
          </w:r>
          <w:r w:rsidR="00D652EF" w:rsidRPr="002E7E25">
            <w:fldChar w:fldCharType="separate"/>
          </w:r>
          <w:r w:rsidR="000A4DC7" w:rsidRPr="000A4DC7">
            <w:rPr>
              <w:noProof/>
            </w:rPr>
            <w:t>(Australian Government, 2021)</w:t>
          </w:r>
          <w:r w:rsidR="00D652EF" w:rsidRPr="002E7E25">
            <w:fldChar w:fldCharType="end"/>
          </w:r>
        </w:sdtContent>
      </w:sdt>
      <w:r w:rsidRPr="002E7E25">
        <w:t>.</w:t>
      </w:r>
      <w:r>
        <w:t xml:space="preserve"> </w:t>
      </w:r>
    </w:p>
    <w:p w14:paraId="7BB28613" w14:textId="0EE29B8F" w:rsidR="00E22EBC" w:rsidRDefault="00E22EBC" w:rsidP="006E75EA">
      <w:pPr>
        <w:pStyle w:val="BodyCopy"/>
      </w:pPr>
      <w:r>
        <w:t>This highlights the need for this determination to acknowledge the contribution that heavy vehicle charges make to government revenues, and the contribution they can make towards governments’ overall fiscal position.</w:t>
      </w:r>
      <w:r w:rsidR="009E61AA">
        <w:t xml:space="preserve"> </w:t>
      </w:r>
    </w:p>
    <w:p w14:paraId="7AFBB945" w14:textId="74B17D22" w:rsidR="00E676EF" w:rsidRDefault="42CC28D4" w:rsidP="00E676EF">
      <w:pPr>
        <w:pStyle w:val="Heading2"/>
        <w:rPr>
          <w:rFonts w:eastAsia="ArialMT"/>
        </w:rPr>
      </w:pPr>
      <w:bookmarkStart w:id="120" w:name="_Ref61527722"/>
      <w:bookmarkStart w:id="121" w:name="_Toc86158396"/>
      <w:r w:rsidRPr="54A5A881">
        <w:rPr>
          <w:rFonts w:eastAsia="ArialMT"/>
        </w:rPr>
        <w:t>Heavy Vehicle Road Reform</w:t>
      </w:r>
      <w:bookmarkEnd w:id="120"/>
      <w:r w:rsidR="00934298">
        <w:rPr>
          <w:rFonts w:eastAsia="ArialMT"/>
        </w:rPr>
        <w:t xml:space="preserve"> project</w:t>
      </w:r>
      <w:bookmarkEnd w:id="121"/>
    </w:p>
    <w:p w14:paraId="0A8B0B3A" w14:textId="05D88947" w:rsidR="00CD0D40" w:rsidRDefault="00CD0D40" w:rsidP="00CD0D40">
      <w:pPr>
        <w:pStyle w:val="BodyCopy"/>
        <w:rPr>
          <w:rFonts w:ascii="Times New Roman" w:hAnsi="Times New Roman"/>
          <w:lang w:eastAsia="en-AU"/>
        </w:rPr>
      </w:pPr>
      <w:r>
        <w:t xml:space="preserve">Australian governments are working together to progress HVRR. This work is being overseen by </w:t>
      </w:r>
      <w:r w:rsidR="0019585B">
        <w:t>t</w:t>
      </w:r>
      <w:r>
        <w:t xml:space="preserve">ransport and </w:t>
      </w:r>
      <w:r w:rsidR="0019585B">
        <w:t>i</w:t>
      </w:r>
      <w:r>
        <w:t xml:space="preserve">nfrastructure </w:t>
      </w:r>
      <w:r w:rsidR="0019585B">
        <w:t>m</w:t>
      </w:r>
      <w:r>
        <w:t>inisters. If implemented, these reforms would replace the current PAYGO system for setting heavy vehicle charges.</w:t>
      </w:r>
      <w:r w:rsidR="00830D17">
        <w:t xml:space="preserve"> </w:t>
      </w:r>
    </w:p>
    <w:p w14:paraId="5B84D62F" w14:textId="744BB3BB" w:rsidR="00CD0D40" w:rsidRDefault="00CD0D40" w:rsidP="00FD39C5">
      <w:pPr>
        <w:pStyle w:val="BodyCopy"/>
      </w:pPr>
      <w:r>
        <w:t>HVRR aims to achieve productivity gains, improve roads for all users, and put in place an assured funding stream to allow road managers to maximise benefits from the existing road network. This is in the context of a burgeoning freight task and plateauing industry productivity.</w:t>
      </w:r>
    </w:p>
    <w:p w14:paraId="7F6B9B92" w14:textId="063D1ADE" w:rsidR="00CD0D40" w:rsidRDefault="00CD0D40" w:rsidP="00FD39C5">
      <w:pPr>
        <w:pStyle w:val="BodyCopy"/>
      </w:pPr>
      <w:r>
        <w:t>Transport ministers have directed officials to prepare advice on heavy vehicle supply</w:t>
      </w:r>
      <w:r w:rsidR="002F68B0">
        <w:t>-</w:t>
      </w:r>
      <w:r>
        <w:t>side</w:t>
      </w:r>
      <w:r w:rsidR="002F68B0">
        <w:t xml:space="preserve"> </w:t>
      </w:r>
      <w:r>
        <w:t xml:space="preserve">reforms. The reform elements include: </w:t>
      </w:r>
    </w:p>
    <w:p w14:paraId="5E3C1C9C" w14:textId="4AAAF76B" w:rsidR="00CD0D40" w:rsidRDefault="00972FBC" w:rsidP="00FD39C5">
      <w:pPr>
        <w:pStyle w:val="List-bulletlvl1"/>
      </w:pPr>
      <w:r>
        <w:t>infrastructure and transport ministers</w:t>
      </w:r>
      <w:r w:rsidR="004F0244">
        <w:t xml:space="preserve"> to</w:t>
      </w:r>
      <w:r>
        <w:t xml:space="preserve"> set </w:t>
      </w:r>
      <w:r w:rsidR="00CD0D40">
        <w:t xml:space="preserve">national </w:t>
      </w:r>
      <w:r w:rsidR="00A03EA9">
        <w:t>s</w:t>
      </w:r>
      <w:r w:rsidR="00CD0D40">
        <w:t>ervice</w:t>
      </w:r>
      <w:r w:rsidR="00A03EA9">
        <w:t>-l</w:t>
      </w:r>
      <w:r w:rsidR="00CD0D40">
        <w:t xml:space="preserve">evel </w:t>
      </w:r>
      <w:r w:rsidR="00A03EA9">
        <w:t>s</w:t>
      </w:r>
      <w:r w:rsidR="00CD0D40">
        <w:t>tandard</w:t>
      </w:r>
      <w:r>
        <w:t>s for roads to guide road expenditure decisions</w:t>
      </w:r>
    </w:p>
    <w:p w14:paraId="43226E27" w14:textId="7368EE0F" w:rsidR="00CD0D40" w:rsidRDefault="00972FBC" w:rsidP="00FD39C5">
      <w:pPr>
        <w:pStyle w:val="List-bulletlvl1"/>
      </w:pPr>
      <w:r>
        <w:t>an independent body to review state and territory government road expenditure decisions</w:t>
      </w:r>
      <w:r w:rsidR="00CD0D40">
        <w:t xml:space="preserve"> </w:t>
      </w:r>
    </w:p>
    <w:p w14:paraId="3D308B05" w14:textId="77777777" w:rsidR="00972FBC" w:rsidRDefault="00972FBC" w:rsidP="00FD39C5">
      <w:pPr>
        <w:pStyle w:val="List-bulletlvl1"/>
      </w:pPr>
      <w:r>
        <w:t>an independent body to set heavy vehicle charges</w:t>
      </w:r>
    </w:p>
    <w:p w14:paraId="5903105A" w14:textId="32C6E91E" w:rsidR="00F06B71" w:rsidRDefault="00972FBC" w:rsidP="00F06B71">
      <w:pPr>
        <w:pStyle w:val="List-bulletlvl1"/>
      </w:pPr>
      <w:r>
        <w:t xml:space="preserve">all governments </w:t>
      </w:r>
      <w:r w:rsidR="004F0244">
        <w:t xml:space="preserve">to </w:t>
      </w:r>
      <w:r>
        <w:t xml:space="preserve">dedicate (hypothecate) revenue from heavy vehicle charges to road expenditure. </w:t>
      </w:r>
    </w:p>
    <w:p w14:paraId="1209EAB2" w14:textId="287BFA81" w:rsidR="00CD0D40" w:rsidRDefault="00CD0D40" w:rsidP="00F06B71">
      <w:pPr>
        <w:pStyle w:val="BodyCopy"/>
      </w:pPr>
      <w:r>
        <w:t xml:space="preserve">Of these elements, transport ministers have agreed to develop the </w:t>
      </w:r>
      <w:r w:rsidR="00A03EA9">
        <w:t xml:space="preserve">service-level standard </w:t>
      </w:r>
      <w:r>
        <w:t xml:space="preserve">framework, but no decision has been taken on other supply-side reform elements. </w:t>
      </w:r>
      <w:r w:rsidR="00CC15F8">
        <w:t xml:space="preserve">It is expected that further decisions on HVRR will be made at the </w:t>
      </w:r>
      <w:r w:rsidR="00F81A9B">
        <w:t>Dec</w:t>
      </w:r>
      <w:r w:rsidR="00CC15F8">
        <w:t>ember 2021 ITMM.</w:t>
      </w:r>
      <w:r w:rsidR="009E61AA">
        <w:t xml:space="preserve"> </w:t>
      </w:r>
    </w:p>
    <w:p w14:paraId="344E931D" w14:textId="31295702" w:rsidR="00C55D02" w:rsidRDefault="00C55D02" w:rsidP="00CD0D40">
      <w:pPr>
        <w:pStyle w:val="BodyCopy"/>
      </w:pPr>
      <w:r>
        <w:t xml:space="preserve">Further information on HVRR can be found under </w:t>
      </w:r>
      <w:hyperlink r:id="rId20" w:history="1">
        <w:r w:rsidRPr="00C55D02">
          <w:rPr>
            <w:rStyle w:val="Hyperlink"/>
          </w:rPr>
          <w:t>https://www.infrastructure.gov.au/roads/heavy/</w:t>
        </w:r>
      </w:hyperlink>
      <w:r>
        <w:t>.</w:t>
      </w:r>
      <w:r w:rsidR="00830D17">
        <w:t xml:space="preserve"> </w:t>
      </w:r>
    </w:p>
    <w:p w14:paraId="6511F1BC" w14:textId="41633D7B" w:rsidR="00C55D02" w:rsidRDefault="00C55D02" w:rsidP="00CD0D40">
      <w:pPr>
        <w:pStyle w:val="BodyCopy"/>
      </w:pPr>
      <w:r>
        <w:t xml:space="preserve">The key implications for this determination are that it needs to </w:t>
      </w:r>
      <w:r w:rsidR="00CC15F8">
        <w:t xml:space="preserve">continue as the mechanism </w:t>
      </w:r>
      <w:r>
        <w:t>for</w:t>
      </w:r>
      <w:r w:rsidR="00CC15F8">
        <w:t xml:space="preserve"> setting</w:t>
      </w:r>
      <w:r>
        <w:t xml:space="preserve"> heavy vehicle charges until HVRR is implemented</w:t>
      </w:r>
      <w:r w:rsidR="004F0244">
        <w:t>. It must do this</w:t>
      </w:r>
      <w:r>
        <w:t xml:space="preserve"> in a way that is compatible with future reform and provides a suitable platform for possible future reform implementation.</w:t>
      </w:r>
      <w:r w:rsidR="00830D17">
        <w:t xml:space="preserve"> </w:t>
      </w:r>
    </w:p>
    <w:p w14:paraId="38F4DD50" w14:textId="77777777" w:rsidR="001548FB" w:rsidRDefault="00C55D02" w:rsidP="00CD0D40">
      <w:pPr>
        <w:pStyle w:val="BodyCopy"/>
      </w:pPr>
      <w:r>
        <w:t>The timing of reform implementation is uncertain. Therefore, this determination needs to provide flexibility for reforms to be implemented</w:t>
      </w:r>
      <w:r w:rsidR="00CC15F8">
        <w:t xml:space="preserve"> in the future.</w:t>
      </w:r>
    </w:p>
    <w:p w14:paraId="4FC68FD3" w14:textId="46F27AA8" w:rsidR="00C55D02" w:rsidRDefault="001548FB" w:rsidP="001548FB">
      <w:pPr>
        <w:spacing w:before="0" w:after="0"/>
      </w:pPr>
      <w:r>
        <w:br w:type="page"/>
      </w:r>
    </w:p>
    <w:p w14:paraId="6C4DC18D" w14:textId="54257AFA" w:rsidR="00E676EF" w:rsidRDefault="779926CD" w:rsidP="007F2910">
      <w:pPr>
        <w:pStyle w:val="Heading2"/>
        <w:rPr>
          <w:rFonts w:eastAsia="ArialMT"/>
        </w:rPr>
      </w:pPr>
      <w:bookmarkStart w:id="122" w:name="_Toc86158397"/>
      <w:r w:rsidRPr="54A5A881">
        <w:rPr>
          <w:rFonts w:eastAsia="ArialMT"/>
        </w:rPr>
        <w:lastRenderedPageBreak/>
        <w:t>Heavy vehicle</w:t>
      </w:r>
      <w:r w:rsidR="0B89DF61" w:rsidRPr="54A5A881">
        <w:rPr>
          <w:rFonts w:eastAsia="ArialMT"/>
        </w:rPr>
        <w:t xml:space="preserve"> fleet </w:t>
      </w:r>
      <w:r w:rsidR="00987307">
        <w:rPr>
          <w:rFonts w:eastAsia="ArialMT"/>
        </w:rPr>
        <w:t>and</w:t>
      </w:r>
      <w:r w:rsidRPr="54A5A881">
        <w:rPr>
          <w:rFonts w:eastAsia="ArialMT"/>
        </w:rPr>
        <w:t xml:space="preserve"> i</w:t>
      </w:r>
      <w:r w:rsidR="007F2910" w:rsidRPr="54A5A881">
        <w:rPr>
          <w:rFonts w:eastAsia="ArialMT"/>
        </w:rPr>
        <w:t xml:space="preserve">ndustry </w:t>
      </w:r>
      <w:r w:rsidR="00987307">
        <w:rPr>
          <w:rFonts w:eastAsia="ArialMT"/>
        </w:rPr>
        <w:t>t</w:t>
      </w:r>
      <w:r w:rsidR="007F2910" w:rsidRPr="54A5A881">
        <w:rPr>
          <w:rFonts w:eastAsia="ArialMT"/>
        </w:rPr>
        <w:t>rends</w:t>
      </w:r>
      <w:bookmarkEnd w:id="122"/>
    </w:p>
    <w:p w14:paraId="1438ABAF" w14:textId="041FD10A" w:rsidR="00515625" w:rsidRDefault="00C11B36" w:rsidP="000A7398">
      <w:pPr>
        <w:pStyle w:val="BodyCopy"/>
      </w:pPr>
      <w:r w:rsidRPr="00C11B36">
        <w:t xml:space="preserve">Based on road use data sourced from the </w:t>
      </w:r>
      <w:r w:rsidR="0019585B">
        <w:t>SMVU</w:t>
      </w:r>
      <w:r w:rsidRPr="00C11B36">
        <w:t xml:space="preserve"> and </w:t>
      </w:r>
      <w:r w:rsidR="00FD2333">
        <w:t xml:space="preserve">state/territory </w:t>
      </w:r>
      <w:r w:rsidRPr="00C11B36">
        <w:t>registration authority fleet data</w:t>
      </w:r>
      <w:r w:rsidR="00B23033">
        <w:t>,</w:t>
      </w:r>
      <w:r w:rsidRPr="00C11B36">
        <w:t xml:space="preserve"> the following </w:t>
      </w:r>
      <w:r w:rsidR="0033375C">
        <w:t>changes</w:t>
      </w:r>
      <w:r w:rsidRPr="00C11B36">
        <w:t xml:space="preserve"> have occurred in the past seven years since the last </w:t>
      </w:r>
      <w:r w:rsidR="00B23033">
        <w:t>d</w:t>
      </w:r>
      <w:r w:rsidRPr="00C11B36">
        <w:t>etermination:</w:t>
      </w:r>
    </w:p>
    <w:p w14:paraId="1638E2F9" w14:textId="2618DE8F" w:rsidR="00874C9A" w:rsidRDefault="00874C9A" w:rsidP="00F00D8A">
      <w:pPr>
        <w:pStyle w:val="List-bulletlvl1"/>
      </w:pPr>
      <w:r>
        <w:t>The</w:t>
      </w:r>
      <w:r w:rsidR="0033375C">
        <w:t xml:space="preserve"> heavy vehicle fleet</w:t>
      </w:r>
      <w:r w:rsidR="00C55D02">
        <w:t xml:space="preserve"> </w:t>
      </w:r>
      <w:r>
        <w:t>has grown more slowly than t</w:t>
      </w:r>
      <w:r w:rsidR="00C92924">
        <w:t>he light vehicle sector</w:t>
      </w:r>
      <w:r w:rsidR="005D5E18">
        <w:t>,</w:t>
      </w:r>
      <w:r w:rsidR="00C92924">
        <w:t xml:space="preserve"> </w:t>
      </w:r>
      <w:r w:rsidR="00A8172C">
        <w:t xml:space="preserve">with </w:t>
      </w:r>
      <w:r w:rsidR="00C55D02">
        <w:t>heavy vehicle</w:t>
      </w:r>
      <w:r w:rsidR="00A7787C">
        <w:t xml:space="preserve"> </w:t>
      </w:r>
      <w:r w:rsidR="00AB688C">
        <w:t xml:space="preserve">registrations up by 10 per cent over the period compared </w:t>
      </w:r>
      <w:r w:rsidR="00A03EA9">
        <w:t xml:space="preserve">with </w:t>
      </w:r>
      <w:r w:rsidR="00AB688C">
        <w:t xml:space="preserve">14 per cent for light vehicles. The </w:t>
      </w:r>
      <w:r w:rsidR="009F7B6C">
        <w:t>growth in the light vehicle fleet has been led by light commercial</w:t>
      </w:r>
      <w:r w:rsidR="00B0314B">
        <w:t xml:space="preserve"> vehicle</w:t>
      </w:r>
      <w:r w:rsidR="009F7B6C">
        <w:t>s</w:t>
      </w:r>
      <w:r w:rsidR="00B0314B">
        <w:t>,</w:t>
      </w:r>
      <w:r w:rsidR="009F7B6C">
        <w:t xml:space="preserve"> </w:t>
      </w:r>
      <w:r w:rsidR="00B0314B">
        <w:t>whose</w:t>
      </w:r>
      <w:r w:rsidR="009F7B6C">
        <w:t xml:space="preserve"> registrations</w:t>
      </w:r>
      <w:r w:rsidR="00B0314B">
        <w:t xml:space="preserve"> are</w:t>
      </w:r>
      <w:r w:rsidR="009F7B6C">
        <w:t xml:space="preserve"> up by </w:t>
      </w:r>
      <w:r w:rsidR="00507BE1">
        <w:t>28 per cent</w:t>
      </w:r>
      <w:r w:rsidR="00620BA9">
        <w:t>.</w:t>
      </w:r>
    </w:p>
    <w:p w14:paraId="461AA154" w14:textId="2A5D73B7" w:rsidR="00620BA9" w:rsidRDefault="00983CC4" w:rsidP="00F00D8A">
      <w:pPr>
        <w:pStyle w:val="List-bulletlvl1"/>
      </w:pPr>
      <w:r>
        <w:t>Within the heavy vehicle sector</w:t>
      </w:r>
      <w:r w:rsidR="003D4215">
        <w:t>,</w:t>
      </w:r>
      <w:r>
        <w:t xml:space="preserve"> </w:t>
      </w:r>
      <w:r w:rsidR="00321B67">
        <w:t>vehicle pop</w:t>
      </w:r>
      <w:r w:rsidR="005B4194">
        <w:t xml:space="preserve">ulation </w:t>
      </w:r>
      <w:r w:rsidR="006D3EFC">
        <w:t xml:space="preserve">growth </w:t>
      </w:r>
      <w:r w:rsidR="00400482">
        <w:t>has been largely f</w:t>
      </w:r>
      <w:r w:rsidR="002344F6">
        <w:t xml:space="preserve">ocused on the </w:t>
      </w:r>
      <w:r w:rsidR="00934074">
        <w:t>truck</w:t>
      </w:r>
      <w:r w:rsidR="005D5E18">
        <w:t>-</w:t>
      </w:r>
      <w:r w:rsidR="00934074">
        <w:t>and</w:t>
      </w:r>
      <w:r w:rsidR="005D5E18">
        <w:t>-</w:t>
      </w:r>
      <w:r w:rsidR="00934074">
        <w:t xml:space="preserve">dog </w:t>
      </w:r>
      <w:r w:rsidR="004413C6">
        <w:t xml:space="preserve">rigid </w:t>
      </w:r>
      <w:r w:rsidR="00021B1C">
        <w:t>combination</w:t>
      </w:r>
      <w:r w:rsidR="004413C6">
        <w:t>s</w:t>
      </w:r>
      <w:r w:rsidR="00B90F06">
        <w:t xml:space="preserve"> with a </w:t>
      </w:r>
      <w:r w:rsidR="00A03EA9">
        <w:t>g</w:t>
      </w:r>
      <w:r w:rsidR="00B90F06">
        <w:t xml:space="preserve">ross </w:t>
      </w:r>
      <w:r w:rsidR="00A03EA9">
        <w:t>c</w:t>
      </w:r>
      <w:r w:rsidR="00B90F06">
        <w:t xml:space="preserve">ombination </w:t>
      </w:r>
      <w:r w:rsidR="00A03EA9">
        <w:t>m</w:t>
      </w:r>
      <w:r w:rsidR="00B90F06">
        <w:t>ass (GCM) over</w:t>
      </w:r>
      <w:r w:rsidR="00F42CE8">
        <w:t xml:space="preserve"> </w:t>
      </w:r>
      <w:r w:rsidR="00B90F06">
        <w:t>42.5 tonnes</w:t>
      </w:r>
      <w:r w:rsidR="005B4194">
        <w:t xml:space="preserve"> </w:t>
      </w:r>
      <w:r w:rsidR="00284144">
        <w:t xml:space="preserve">up by 28 per cent </w:t>
      </w:r>
      <w:r w:rsidR="00F67B44">
        <w:t>and</w:t>
      </w:r>
      <w:r w:rsidR="005B4194">
        <w:t xml:space="preserve"> </w:t>
      </w:r>
      <w:r w:rsidR="00B90F06">
        <w:t>B-double</w:t>
      </w:r>
      <w:r w:rsidR="0031286D">
        <w:t xml:space="preserve"> </w:t>
      </w:r>
      <w:r w:rsidR="00B90F06">
        <w:t xml:space="preserve">combinations </w:t>
      </w:r>
      <w:r w:rsidR="006019AC">
        <w:t xml:space="preserve">up by </w:t>
      </w:r>
      <w:r w:rsidR="00284144">
        <w:t>32</w:t>
      </w:r>
      <w:r w:rsidR="006019AC">
        <w:t xml:space="preserve"> per cent</w:t>
      </w:r>
      <w:r w:rsidR="00723DCE">
        <w:t xml:space="preserve">. Other heavy vehicle types </w:t>
      </w:r>
      <w:r w:rsidR="0033375C">
        <w:t xml:space="preserve">where the number of vehicles is </w:t>
      </w:r>
      <w:r w:rsidR="00723DCE">
        <w:t xml:space="preserve">rising strongly </w:t>
      </w:r>
      <w:r w:rsidR="0033375C">
        <w:t>are</w:t>
      </w:r>
      <w:r w:rsidR="00723DCE">
        <w:t xml:space="preserve"> 4</w:t>
      </w:r>
      <w:r w:rsidR="0033375C">
        <w:t>-</w:t>
      </w:r>
      <w:r w:rsidR="00723DCE">
        <w:t xml:space="preserve">axle rigids over </w:t>
      </w:r>
      <w:r w:rsidR="001C0828">
        <w:t xml:space="preserve">25 tonnes </w:t>
      </w:r>
      <w:r w:rsidR="00AC0AE2">
        <w:t>GVM</w:t>
      </w:r>
      <w:r w:rsidR="00F50FD8" w:rsidRPr="00F50FD8">
        <w:t xml:space="preserve"> </w:t>
      </w:r>
      <w:r w:rsidR="00F50FD8">
        <w:t>with no trailer</w:t>
      </w:r>
      <w:r w:rsidR="0061756A">
        <w:t xml:space="preserve"> up 68 per cent</w:t>
      </w:r>
      <w:r w:rsidR="00AC0AE2">
        <w:t xml:space="preserve"> and single</w:t>
      </w:r>
      <w:r w:rsidR="005D5E18">
        <w:t>-</w:t>
      </w:r>
      <w:r w:rsidR="00AC0AE2">
        <w:t>trailer art</w:t>
      </w:r>
      <w:r w:rsidR="0061756A">
        <w:t xml:space="preserve">iculated trucks over </w:t>
      </w:r>
      <w:r w:rsidR="00485614">
        <w:t>six</w:t>
      </w:r>
      <w:r w:rsidR="0061756A">
        <w:t xml:space="preserve"> axles</w:t>
      </w:r>
      <w:r w:rsidR="00284144">
        <w:t xml:space="preserve"> more than doubling.</w:t>
      </w:r>
    </w:p>
    <w:p w14:paraId="7326C726" w14:textId="6AEAF3F9" w:rsidR="00152D7C" w:rsidRDefault="0033375C" w:rsidP="00F00D8A">
      <w:pPr>
        <w:pStyle w:val="List-bulletlvl1"/>
      </w:pPr>
      <w:r>
        <w:t xml:space="preserve">Total </w:t>
      </w:r>
      <w:r w:rsidR="00275819">
        <w:t>VKT</w:t>
      </w:r>
      <w:r w:rsidR="00E97275">
        <w:t xml:space="preserve"> by </w:t>
      </w:r>
      <w:r w:rsidR="00284144">
        <w:t>both the</w:t>
      </w:r>
      <w:r w:rsidR="00E97275">
        <w:t xml:space="preserve"> heavy vehicle</w:t>
      </w:r>
      <w:r w:rsidR="00284144">
        <w:t xml:space="preserve"> and light vehicle</w:t>
      </w:r>
      <w:r w:rsidR="00E97275">
        <w:t xml:space="preserve"> secto</w:t>
      </w:r>
      <w:r w:rsidR="00284144">
        <w:t>rs have</w:t>
      </w:r>
      <w:r>
        <w:t xml:space="preserve"> increased by </w:t>
      </w:r>
      <w:r w:rsidR="00284144">
        <w:t>7</w:t>
      </w:r>
      <w:r w:rsidR="0054756F">
        <w:t xml:space="preserve"> per cent </w:t>
      </w:r>
      <w:r w:rsidR="0006154A">
        <w:t>over the past seven years</w:t>
      </w:r>
      <w:r w:rsidR="00284144">
        <w:t>. In the most recent year</w:t>
      </w:r>
      <w:r w:rsidR="005D5E18">
        <w:t>,</w:t>
      </w:r>
      <w:r w:rsidR="00F36680">
        <w:t xml:space="preserve"> </w:t>
      </w:r>
      <w:r w:rsidR="00284144">
        <w:t>light vehicle VKT fell by 7 per cent due to the impact of COVID</w:t>
      </w:r>
      <w:r w:rsidR="00C02680">
        <w:t>-</w:t>
      </w:r>
      <w:r w:rsidR="00284144">
        <w:t xml:space="preserve">19 on travel, but heavy vehicle VKT was up by 2.5 per cent. </w:t>
      </w:r>
      <w:r>
        <w:t xml:space="preserve">The annual average distance travelled by </w:t>
      </w:r>
      <w:r w:rsidR="00161380">
        <w:t>heavy vehicles</w:t>
      </w:r>
      <w:r w:rsidR="00621D0E">
        <w:t xml:space="preserve"> </w:t>
      </w:r>
      <w:r>
        <w:t xml:space="preserve">reduced by </w:t>
      </w:r>
      <w:r w:rsidR="00F36680">
        <w:t>3</w:t>
      </w:r>
      <w:r w:rsidR="00621D0E">
        <w:t xml:space="preserve"> per cent</w:t>
      </w:r>
      <w:r w:rsidR="00F36680">
        <w:t xml:space="preserve"> over the past seven years.</w:t>
      </w:r>
      <w:r w:rsidR="00510D11">
        <w:t xml:space="preserve"> Growth </w:t>
      </w:r>
      <w:r w:rsidR="00792FDF">
        <w:t>in</w:t>
      </w:r>
      <w:r w:rsidR="008B175F">
        <w:t xml:space="preserve"> total</w:t>
      </w:r>
      <w:r w:rsidR="00CC0287">
        <w:t xml:space="preserve"> </w:t>
      </w:r>
      <w:r w:rsidR="007600E6">
        <w:t>VKT</w:t>
      </w:r>
      <w:r w:rsidR="00792FDF">
        <w:t xml:space="preserve"> </w:t>
      </w:r>
      <w:r w:rsidR="00510D11">
        <w:t xml:space="preserve">was strongest in </w:t>
      </w:r>
      <w:r w:rsidR="004B08CE">
        <w:t>those vehicle classes</w:t>
      </w:r>
      <w:r w:rsidR="00390819">
        <w:t xml:space="preserve"> with high population growth</w:t>
      </w:r>
      <w:r w:rsidR="00CC0287">
        <w:t>,</w:t>
      </w:r>
      <w:r w:rsidR="00390819">
        <w:t xml:space="preserve"> with</w:t>
      </w:r>
      <w:r w:rsidR="00792FDF">
        <w:t xml:space="preserve"> truck</w:t>
      </w:r>
      <w:r w:rsidR="005D5E18">
        <w:t>-</w:t>
      </w:r>
      <w:r w:rsidR="00792FDF">
        <w:t>and</w:t>
      </w:r>
      <w:r w:rsidR="005D5E18">
        <w:t>-</w:t>
      </w:r>
      <w:r w:rsidR="00792FDF">
        <w:t xml:space="preserve">dog </w:t>
      </w:r>
      <w:r w:rsidR="000E3A6B">
        <w:t>rigid</w:t>
      </w:r>
      <w:r w:rsidR="00792FDF">
        <w:t xml:space="preserve"> combination</w:t>
      </w:r>
      <w:r w:rsidR="005C6E78">
        <w:t>s</w:t>
      </w:r>
      <w:r w:rsidR="00792FDF">
        <w:t xml:space="preserve"> over 42.5 tonnes up by </w:t>
      </w:r>
      <w:r w:rsidR="00036FD5">
        <w:t>3</w:t>
      </w:r>
      <w:r w:rsidR="00F36680">
        <w:t>3</w:t>
      </w:r>
      <w:r w:rsidR="00036FD5">
        <w:t xml:space="preserve"> per cent</w:t>
      </w:r>
      <w:r w:rsidR="0013687C">
        <w:t xml:space="preserve">, </w:t>
      </w:r>
      <w:r w:rsidR="007A7EAF">
        <w:t>9</w:t>
      </w:r>
      <w:r w:rsidR="005D5E18">
        <w:t>-axle</w:t>
      </w:r>
      <w:r w:rsidR="007A7EAF">
        <w:t xml:space="preserve"> B-double</w:t>
      </w:r>
      <w:r w:rsidR="005D5E18">
        <w:t>s</w:t>
      </w:r>
      <w:r w:rsidR="007A7EAF">
        <w:t xml:space="preserve"> </w:t>
      </w:r>
      <w:r w:rsidR="00017B9C">
        <w:t xml:space="preserve">up </w:t>
      </w:r>
      <w:r w:rsidR="00C43B2B">
        <w:t>2</w:t>
      </w:r>
      <w:r w:rsidR="00F36680">
        <w:t>9</w:t>
      </w:r>
      <w:r w:rsidR="00C43B2B">
        <w:t xml:space="preserve"> per cent</w:t>
      </w:r>
      <w:r w:rsidR="00017B9C">
        <w:t>,</w:t>
      </w:r>
      <w:r w:rsidR="00830D17">
        <w:t xml:space="preserve"> </w:t>
      </w:r>
      <w:r w:rsidR="0013687C">
        <w:t>4</w:t>
      </w:r>
      <w:r w:rsidR="00485614">
        <w:t>-</w:t>
      </w:r>
      <w:r w:rsidR="0013687C">
        <w:t>a</w:t>
      </w:r>
      <w:r w:rsidR="00E15FA3">
        <w:t>x</w:t>
      </w:r>
      <w:r w:rsidR="00E278F8">
        <w:t xml:space="preserve">le </w:t>
      </w:r>
      <w:r w:rsidR="00017B9C">
        <w:t xml:space="preserve">rigid trucks </w:t>
      </w:r>
      <w:r w:rsidR="00417494">
        <w:t xml:space="preserve">over 25 tonnes GVM up by </w:t>
      </w:r>
      <w:r w:rsidR="00F36680">
        <w:t>83</w:t>
      </w:r>
      <w:r w:rsidR="00F721E3">
        <w:t xml:space="preserve"> per cent and single</w:t>
      </w:r>
      <w:r w:rsidR="005D5E18">
        <w:t>-</w:t>
      </w:r>
      <w:r w:rsidR="00F721E3">
        <w:t xml:space="preserve">trailer articulated </w:t>
      </w:r>
      <w:r w:rsidR="008F0C4D">
        <w:t xml:space="preserve">trucks over </w:t>
      </w:r>
      <w:r w:rsidR="005D5E18">
        <w:t>six</w:t>
      </w:r>
      <w:r w:rsidR="008F0C4D">
        <w:t xml:space="preserve"> axles </w:t>
      </w:r>
      <w:r w:rsidR="007354D3">
        <w:t>more than doubling.</w:t>
      </w:r>
    </w:p>
    <w:p w14:paraId="0E306765" w14:textId="49995398" w:rsidR="008F0A1E" w:rsidRDefault="0033375C" w:rsidP="00F00D8A">
      <w:pPr>
        <w:pStyle w:val="List-bulletlvl1"/>
      </w:pPr>
      <w:r>
        <w:t>The average f</w:t>
      </w:r>
      <w:r w:rsidR="00DF60F2">
        <w:t xml:space="preserve">uel efficiency </w:t>
      </w:r>
      <w:r>
        <w:t xml:space="preserve">of heavy vehicles has </w:t>
      </w:r>
      <w:r w:rsidR="00DF60F2">
        <w:t>improved</w:t>
      </w:r>
      <w:r>
        <w:t xml:space="preserve"> </w:t>
      </w:r>
      <w:r w:rsidR="007C541B">
        <w:t>since the last determination</w:t>
      </w:r>
      <w:r w:rsidR="00300E49">
        <w:t>,</w:t>
      </w:r>
      <w:r w:rsidR="007C541B">
        <w:t xml:space="preserve"> </w:t>
      </w:r>
      <w:r w:rsidR="00975868">
        <w:t>with fuel use per 100</w:t>
      </w:r>
      <w:r w:rsidR="007815D7">
        <w:t xml:space="preserve"> kilometres of travel </w:t>
      </w:r>
      <w:r>
        <w:t>reduced</w:t>
      </w:r>
      <w:r w:rsidR="007815D7">
        <w:t xml:space="preserve"> by 2 per cent</w:t>
      </w:r>
      <w:r>
        <w:t>. L</w:t>
      </w:r>
      <w:r w:rsidR="007815D7">
        <w:t>ight vehicles overall experienc</w:t>
      </w:r>
      <w:r w:rsidR="00BD0EA9">
        <w:t>ed</w:t>
      </w:r>
      <w:r w:rsidR="007815D7">
        <w:t xml:space="preserve"> a fall of </w:t>
      </w:r>
      <w:r w:rsidR="00F36680">
        <w:t>0.7</w:t>
      </w:r>
      <w:r w:rsidR="007815D7">
        <w:t xml:space="preserve"> per cent</w:t>
      </w:r>
      <w:r>
        <w:t xml:space="preserve"> over the same period</w:t>
      </w:r>
      <w:r w:rsidR="007815D7">
        <w:t xml:space="preserve">. </w:t>
      </w:r>
      <w:r w:rsidR="00820895">
        <w:t xml:space="preserve">Both the </w:t>
      </w:r>
      <w:r w:rsidR="00F37FEE">
        <w:t>truck</w:t>
      </w:r>
      <w:r w:rsidR="005D5E18">
        <w:t>-</w:t>
      </w:r>
      <w:r w:rsidR="00FB7334">
        <w:t>and</w:t>
      </w:r>
      <w:r w:rsidR="005D5E18">
        <w:t>-</w:t>
      </w:r>
      <w:r w:rsidR="00FB7334">
        <w:t>dog rigid combinations over 42.5 tonnes and 9</w:t>
      </w:r>
      <w:r w:rsidR="00A03EA9">
        <w:t>-</w:t>
      </w:r>
      <w:r w:rsidR="00FB7334">
        <w:t>axle B-double</w:t>
      </w:r>
      <w:r w:rsidR="006A618D">
        <w:t xml:space="preserve">s achieved fuel efficiency </w:t>
      </w:r>
      <w:r w:rsidR="00B71D69">
        <w:t xml:space="preserve">gains of 5 </w:t>
      </w:r>
      <w:r w:rsidR="00F36680">
        <w:t>and 8</w:t>
      </w:r>
      <w:r w:rsidR="00B71D69">
        <w:t xml:space="preserve"> per cent</w:t>
      </w:r>
      <w:r w:rsidR="00575CFB">
        <w:t xml:space="preserve"> </w:t>
      </w:r>
      <w:r w:rsidR="00F36680">
        <w:t xml:space="preserve">respectively </w:t>
      </w:r>
      <w:r w:rsidR="00575CFB">
        <w:t xml:space="preserve">over the period. </w:t>
      </w:r>
    </w:p>
    <w:p w14:paraId="56F6EAC4" w14:textId="0AE2485A" w:rsidR="00431B08" w:rsidRDefault="00D047C6" w:rsidP="000A7398">
      <w:pPr>
        <w:pStyle w:val="List-bulletlvl1"/>
      </w:pPr>
      <w:r>
        <w:t>Average tonne</w:t>
      </w:r>
      <w:r w:rsidR="005D5E18">
        <w:t xml:space="preserve"> </w:t>
      </w:r>
      <w:r>
        <w:t>kilometres by the heavy vehicle sector rose by 1</w:t>
      </w:r>
      <w:r w:rsidR="00F36680">
        <w:t>3</w:t>
      </w:r>
      <w:r>
        <w:t xml:space="preserve"> per cent during the </w:t>
      </w:r>
      <w:r w:rsidR="00223F5D">
        <w:t>period</w:t>
      </w:r>
      <w:r w:rsidR="00F30460">
        <w:t xml:space="preserve">, with </w:t>
      </w:r>
      <w:r w:rsidR="009412C3">
        <w:t>truck</w:t>
      </w:r>
      <w:r w:rsidR="005D5E18">
        <w:t>-</w:t>
      </w:r>
      <w:r w:rsidR="009412C3">
        <w:t>and</w:t>
      </w:r>
      <w:r w:rsidR="005D5E18">
        <w:t>-</w:t>
      </w:r>
      <w:r w:rsidR="009412C3">
        <w:t xml:space="preserve">dog rigid </w:t>
      </w:r>
      <w:r w:rsidR="00E7548F">
        <w:t xml:space="preserve">combination </w:t>
      </w:r>
      <w:r w:rsidR="000C7172">
        <w:t>tonn</w:t>
      </w:r>
      <w:r w:rsidR="007E193D">
        <w:t>e</w:t>
      </w:r>
      <w:r w:rsidR="005D5E18">
        <w:t xml:space="preserve"> </w:t>
      </w:r>
      <w:r w:rsidR="007E193D">
        <w:t xml:space="preserve">kilometres up </w:t>
      </w:r>
      <w:r w:rsidR="004348B6">
        <w:t xml:space="preserve">by </w:t>
      </w:r>
      <w:r w:rsidR="00D66AFE">
        <w:t xml:space="preserve">30 per cent and </w:t>
      </w:r>
      <w:r w:rsidR="008C3ABE">
        <w:t>9</w:t>
      </w:r>
      <w:r w:rsidR="00485614">
        <w:t>-</w:t>
      </w:r>
      <w:r w:rsidR="008C3ABE">
        <w:t>axle B-double tonne</w:t>
      </w:r>
      <w:r w:rsidR="005D5E18">
        <w:t xml:space="preserve"> </w:t>
      </w:r>
      <w:r w:rsidR="008C3ABE">
        <w:t>kilometres up by</w:t>
      </w:r>
      <w:r w:rsidR="003111C4">
        <w:t xml:space="preserve"> 2</w:t>
      </w:r>
      <w:r w:rsidR="00F36680">
        <w:t>6</w:t>
      </w:r>
      <w:r w:rsidR="003111C4">
        <w:t xml:space="preserve"> per cent. </w:t>
      </w:r>
      <w:r w:rsidR="003877F4">
        <w:t xml:space="preserve">Average gross mass </w:t>
      </w:r>
      <w:r w:rsidR="004240BE">
        <w:t xml:space="preserve">(AGM) </w:t>
      </w:r>
      <w:r w:rsidR="003877F4">
        <w:t xml:space="preserve">across the entire heavy vehicle fleet was up by </w:t>
      </w:r>
      <w:r w:rsidR="00F36680">
        <w:t>6</w:t>
      </w:r>
      <w:r w:rsidR="003877F4">
        <w:t xml:space="preserve"> per cent over the period</w:t>
      </w:r>
      <w:r w:rsidR="005D5E18">
        <w:t>,</w:t>
      </w:r>
      <w:r w:rsidR="003877F4">
        <w:t xml:space="preserve"> </w:t>
      </w:r>
      <w:r w:rsidR="00986818">
        <w:t xml:space="preserve">which </w:t>
      </w:r>
      <w:r w:rsidR="00307B87">
        <w:t>indicate</w:t>
      </w:r>
      <w:r w:rsidR="00986818">
        <w:t>s</w:t>
      </w:r>
      <w:r w:rsidR="00A7787C">
        <w:t xml:space="preserve"> the fleet </w:t>
      </w:r>
      <w:r w:rsidR="00C55D02">
        <w:t xml:space="preserve">is getting heavier over time </w:t>
      </w:r>
      <w:r w:rsidR="00F74A66">
        <w:t>as operators</w:t>
      </w:r>
      <w:r w:rsidR="00C55D02">
        <w:t xml:space="preserve"> and their customers</w:t>
      </w:r>
      <w:r w:rsidR="00F74A66">
        <w:t xml:space="preserve"> look to gain greater efficiencies </w:t>
      </w:r>
      <w:r w:rsidR="005D3939">
        <w:t xml:space="preserve">by </w:t>
      </w:r>
      <w:r w:rsidR="00472423">
        <w:t xml:space="preserve">operating trucks </w:t>
      </w:r>
      <w:r w:rsidR="004B7F56">
        <w:t>and heavy</w:t>
      </w:r>
      <w:r w:rsidR="008F0A1E">
        <w:t xml:space="preserve"> vehicle combinations that</w:t>
      </w:r>
      <w:r w:rsidR="009C771F">
        <w:t xml:space="preserve"> </w:t>
      </w:r>
      <w:r w:rsidR="00A004C3">
        <w:t>hav</w:t>
      </w:r>
      <w:r w:rsidR="00B40FFB">
        <w:t xml:space="preserve">e </w:t>
      </w:r>
      <w:r w:rsidR="00A004C3">
        <w:t xml:space="preserve">a truck and trailer combination </w:t>
      </w:r>
      <w:r w:rsidR="00C55D02">
        <w:t>(</w:t>
      </w:r>
      <w:r w:rsidR="00A004C3">
        <w:t>whether it be a rigid truck combination or an articulated truck combination</w:t>
      </w:r>
      <w:r w:rsidR="00C55D02">
        <w:t>)</w:t>
      </w:r>
      <w:r w:rsidR="00A004C3">
        <w:t xml:space="preserve"> being able to haul heavier loads. </w:t>
      </w:r>
    </w:p>
    <w:p w14:paraId="5CAC6F09" w14:textId="7A8479EC" w:rsidR="004F72DC" w:rsidRDefault="00115D92" w:rsidP="00544E0E">
      <w:pPr>
        <w:pStyle w:val="List-bulletlvl1"/>
      </w:pPr>
      <w:r>
        <w:t>Recent years ha</w:t>
      </w:r>
      <w:r w:rsidR="00951F15">
        <w:t>ve</w:t>
      </w:r>
      <w:r>
        <w:t xml:space="preserve"> </w:t>
      </w:r>
      <w:r w:rsidR="00A040A5">
        <w:t>seen the e</w:t>
      </w:r>
      <w:r w:rsidR="0A96E495">
        <w:t>mergence of alternative fuels</w:t>
      </w:r>
      <w:r w:rsidR="00A040A5">
        <w:t xml:space="preserve"> for </w:t>
      </w:r>
      <w:r w:rsidR="00B036D2">
        <w:t xml:space="preserve">light vehicles </w:t>
      </w:r>
      <w:r w:rsidR="00014090">
        <w:t>with electric</w:t>
      </w:r>
      <w:r w:rsidR="00614881">
        <w:t>-</w:t>
      </w:r>
      <w:r w:rsidR="00014090">
        <w:t xml:space="preserve">only </w:t>
      </w:r>
      <w:r w:rsidR="00414155">
        <w:t>and hybrid elect</w:t>
      </w:r>
      <w:r w:rsidR="00CC07B1">
        <w:t>r</w:t>
      </w:r>
      <w:r w:rsidR="00414155">
        <w:t>ic</w:t>
      </w:r>
      <w:r w:rsidR="00CC07B1">
        <w:t xml:space="preserve">/petrol vehicles. However, so far this is yet to </w:t>
      </w:r>
      <w:r w:rsidR="00C55D02">
        <w:t>materialise in</w:t>
      </w:r>
      <w:r w:rsidR="00CC07B1">
        <w:t xml:space="preserve"> the heavy vehicle market</w:t>
      </w:r>
      <w:r w:rsidR="00C66587">
        <w:t>. A total of</w:t>
      </w:r>
      <w:r w:rsidR="002A5032">
        <w:t xml:space="preserve"> </w:t>
      </w:r>
      <w:r w:rsidR="2ACCA595">
        <w:t>153</w:t>
      </w:r>
      <w:r w:rsidR="00846B03">
        <w:t xml:space="preserve"> </w:t>
      </w:r>
      <w:r w:rsidR="00F51710">
        <w:t>electric or hybrid electric heavy vehicles</w:t>
      </w:r>
      <w:r w:rsidR="00C66587">
        <w:t xml:space="preserve"> are currently</w:t>
      </w:r>
      <w:r w:rsidR="00846B03">
        <w:t xml:space="preserve"> identified </w:t>
      </w:r>
      <w:r w:rsidR="00F51710">
        <w:t>by registration authorities</w:t>
      </w:r>
      <w:r w:rsidR="003C678E">
        <w:t>,</w:t>
      </w:r>
      <w:r w:rsidR="00F51710">
        <w:t xml:space="preserve"> </w:t>
      </w:r>
      <w:r w:rsidR="00C55D02">
        <w:t xml:space="preserve">out of a total of </w:t>
      </w:r>
      <w:r w:rsidR="00F51710">
        <w:t>half a million heavy vehicles register</w:t>
      </w:r>
      <w:r w:rsidR="002039B3">
        <w:t xml:space="preserve">ed nationwide. </w:t>
      </w:r>
      <w:r w:rsidR="00B17BEA">
        <w:t xml:space="preserve">Over </w:t>
      </w:r>
      <w:r w:rsidR="00345485">
        <w:t>99 per</w:t>
      </w:r>
      <w:r w:rsidR="00C55D02">
        <w:t xml:space="preserve"> </w:t>
      </w:r>
      <w:r w:rsidR="00345485">
        <w:t>cent of heavy vehicles use diesel</w:t>
      </w:r>
      <w:r w:rsidR="00D63E38">
        <w:t>,</w:t>
      </w:r>
      <w:r w:rsidR="00345485">
        <w:t xml:space="preserve"> with most of the remainder being </w:t>
      </w:r>
      <w:r w:rsidR="005D5E18">
        <w:t>c</w:t>
      </w:r>
      <w:r w:rsidR="00345485">
        <w:t xml:space="preserve">ompressed </w:t>
      </w:r>
      <w:r w:rsidR="005D5E18">
        <w:t>n</w:t>
      </w:r>
      <w:r w:rsidR="00345485">
        <w:t xml:space="preserve">atural </w:t>
      </w:r>
      <w:r w:rsidR="005D5E18">
        <w:t>g</w:t>
      </w:r>
      <w:r w:rsidR="00345485">
        <w:t>as used in buses.</w:t>
      </w:r>
    </w:p>
    <w:p w14:paraId="521195B5" w14:textId="0E7DF9F2" w:rsidR="00127EBF" w:rsidRDefault="00B008A6" w:rsidP="00544E0E">
      <w:pPr>
        <w:pStyle w:val="List-bulletlvl1"/>
      </w:pPr>
      <w:r>
        <w:t xml:space="preserve">The significance of these trends is that the heavy vehicle fleet is continuing to improve its fuel efficiency and productive efficiency in carrying heavier loads on average but with less fuel required. This results in </w:t>
      </w:r>
      <w:r w:rsidR="00BE7859">
        <w:t>fewer</w:t>
      </w:r>
      <w:r>
        <w:t xml:space="preserve"> heavy vehicles being required for a given national freight task and results in less environmental and congestion impacts than otherwise would occur.</w:t>
      </w:r>
      <w:r w:rsidR="00830D17">
        <w:t xml:space="preserve"> </w:t>
      </w:r>
    </w:p>
    <w:p w14:paraId="4C6D8511" w14:textId="636EC234" w:rsidR="00B008A6" w:rsidRPr="004F72DC" w:rsidRDefault="00B008A6" w:rsidP="00544E0E">
      <w:pPr>
        <w:pStyle w:val="List-bulletlvl1"/>
      </w:pPr>
      <w:r>
        <w:t>In terms of national heavy vehicle charging</w:t>
      </w:r>
      <w:r w:rsidR="00D217F4">
        <w:t>,</w:t>
      </w:r>
      <w:r>
        <w:t xml:space="preserve"> these trends mean </w:t>
      </w:r>
      <w:r w:rsidR="000860B1">
        <w:t xml:space="preserve">there will be relative shifts in the share of national road expenditure allocated to the light vehicle sector versus the heavy vehicle sector and with relative road expenditure allocated between heavy vehicle </w:t>
      </w:r>
      <w:r w:rsidR="000860B1">
        <w:lastRenderedPageBreak/>
        <w:t>classes</w:t>
      </w:r>
      <w:r w:rsidR="00976C56">
        <w:t>, as some vehicle classes increase in significance relative to others. The fall</w:t>
      </w:r>
      <w:r w:rsidR="00D217F4">
        <w:t>-</w:t>
      </w:r>
      <w:r w:rsidR="00976C56">
        <w:t>off in light vehicle travel over the past year due to COVID</w:t>
      </w:r>
      <w:r w:rsidR="00D217F4">
        <w:t>-</w:t>
      </w:r>
      <w:r w:rsidR="00976C56">
        <w:t xml:space="preserve">19 </w:t>
      </w:r>
      <w:r w:rsidR="00D217F4">
        <w:t xml:space="preserve">(and </w:t>
      </w:r>
      <w:r w:rsidR="00976C56">
        <w:t>the heavy vehicle travel continuing to grow</w:t>
      </w:r>
      <w:r w:rsidR="00D217F4">
        <w:t>)</w:t>
      </w:r>
      <w:r w:rsidR="00976C56">
        <w:t xml:space="preserve"> means the heavy vehicle sector attracts a greater share of overall road expenditure</w:t>
      </w:r>
      <w:r w:rsidR="00D217F4">
        <w:t xml:space="preserve"> that</w:t>
      </w:r>
      <w:r w:rsidR="00976C56">
        <w:t xml:space="preserve"> needs to be covered by a higher level</w:t>
      </w:r>
      <w:r w:rsidR="00D62AB2">
        <w:t xml:space="preserve"> of heavy vehicle charges than would otherwise occur.</w:t>
      </w:r>
    </w:p>
    <w:p w14:paraId="14F910FF" w14:textId="796C61AA" w:rsidR="00D007BE" w:rsidRDefault="00D007BE" w:rsidP="00D007BE">
      <w:pPr>
        <w:pStyle w:val="Heading3"/>
      </w:pPr>
      <w:bookmarkStart w:id="123" w:name="_Toc86158398"/>
      <w:r>
        <w:t>Operating costs</w:t>
      </w:r>
      <w:bookmarkEnd w:id="123"/>
    </w:p>
    <w:p w14:paraId="2BEE8EF6" w14:textId="36F6A627" w:rsidR="00A3335B" w:rsidRDefault="00A3335B" w:rsidP="00092C07">
      <w:pPr>
        <w:spacing w:after="160" w:line="259" w:lineRule="auto"/>
        <w:rPr>
          <w:rFonts w:eastAsia="Arial" w:cs="Arial"/>
          <w:sz w:val="22"/>
          <w:szCs w:val="22"/>
        </w:rPr>
      </w:pPr>
      <w:r>
        <w:rPr>
          <w:rFonts w:eastAsia="Arial" w:cs="Arial"/>
          <w:sz w:val="22"/>
          <w:szCs w:val="22"/>
        </w:rPr>
        <w:t xml:space="preserve">HoustonKemp consultants were contracted to update the </w:t>
      </w:r>
      <w:r w:rsidR="002F5874">
        <w:rPr>
          <w:rFonts w:eastAsia="Arial" w:cs="Arial"/>
          <w:sz w:val="22"/>
          <w:szCs w:val="22"/>
        </w:rPr>
        <w:t>vehicle operating cost</w:t>
      </w:r>
      <w:r w:rsidR="00454752">
        <w:rPr>
          <w:rFonts w:eastAsia="Arial" w:cs="Arial"/>
          <w:sz w:val="22"/>
          <w:szCs w:val="22"/>
        </w:rPr>
        <w:t xml:space="preserve"> model</w:t>
      </w:r>
      <w:r w:rsidR="002F5874">
        <w:rPr>
          <w:rFonts w:eastAsia="Arial" w:cs="Arial"/>
          <w:sz w:val="22"/>
          <w:szCs w:val="22"/>
        </w:rPr>
        <w:t>.</w:t>
      </w:r>
      <w:r w:rsidR="00830D17">
        <w:rPr>
          <w:rFonts w:eastAsia="Arial" w:cs="Arial"/>
          <w:sz w:val="22"/>
          <w:szCs w:val="22"/>
        </w:rPr>
        <w:t xml:space="preserve"> </w:t>
      </w:r>
      <w:r w:rsidR="00354B5B">
        <w:rPr>
          <w:rFonts w:eastAsia="Arial" w:cs="Arial"/>
          <w:sz w:val="22"/>
          <w:szCs w:val="22"/>
        </w:rPr>
        <w:t>The</w:t>
      </w:r>
      <w:r w:rsidR="00593DDD">
        <w:rPr>
          <w:rFonts w:eastAsia="Arial" w:cs="Arial"/>
          <w:sz w:val="22"/>
          <w:szCs w:val="22"/>
        </w:rPr>
        <w:t xml:space="preserve"> </w:t>
      </w:r>
      <w:r w:rsidR="00634D80">
        <w:rPr>
          <w:rFonts w:eastAsia="Arial" w:cs="Arial"/>
          <w:sz w:val="22"/>
          <w:szCs w:val="22"/>
        </w:rPr>
        <w:t xml:space="preserve">update was conducted in consultation with key industry stakeholders. </w:t>
      </w:r>
      <w:r w:rsidR="002F5874">
        <w:rPr>
          <w:rFonts w:eastAsia="Arial" w:cs="Arial"/>
          <w:sz w:val="22"/>
          <w:szCs w:val="22"/>
        </w:rPr>
        <w:t>The key updates</w:t>
      </w:r>
      <w:r w:rsidR="006E75EA">
        <w:rPr>
          <w:rFonts w:eastAsia="Arial" w:cs="Arial"/>
          <w:sz w:val="22"/>
          <w:szCs w:val="22"/>
        </w:rPr>
        <w:t xml:space="preserve"> compared </w:t>
      </w:r>
      <w:r w:rsidR="00485614">
        <w:rPr>
          <w:rFonts w:eastAsia="Arial" w:cs="Arial"/>
          <w:sz w:val="22"/>
          <w:szCs w:val="22"/>
        </w:rPr>
        <w:t xml:space="preserve">with </w:t>
      </w:r>
      <w:r w:rsidR="006E75EA">
        <w:rPr>
          <w:rFonts w:eastAsia="Arial" w:cs="Arial"/>
          <w:sz w:val="22"/>
          <w:szCs w:val="22"/>
        </w:rPr>
        <w:t>the model produced in 2013</w:t>
      </w:r>
      <w:r w:rsidR="002F5874">
        <w:rPr>
          <w:rFonts w:eastAsia="Arial" w:cs="Arial"/>
          <w:sz w:val="22"/>
          <w:szCs w:val="22"/>
        </w:rPr>
        <w:t xml:space="preserve"> were</w:t>
      </w:r>
      <w:r w:rsidR="005C6E78">
        <w:rPr>
          <w:rFonts w:eastAsia="Arial" w:cs="Arial"/>
          <w:sz w:val="22"/>
          <w:szCs w:val="22"/>
        </w:rPr>
        <w:t xml:space="preserve"> as follows</w:t>
      </w:r>
      <w:r w:rsidR="002F5874">
        <w:rPr>
          <w:rFonts w:eastAsia="Arial" w:cs="Arial"/>
          <w:sz w:val="22"/>
          <w:szCs w:val="22"/>
        </w:rPr>
        <w:t>:</w:t>
      </w:r>
    </w:p>
    <w:p w14:paraId="60891233" w14:textId="2A063696" w:rsidR="002F5874" w:rsidRPr="00FD39C5" w:rsidRDefault="00D217F4" w:rsidP="00FD39C5">
      <w:pPr>
        <w:pStyle w:val="List-bulletlvl1"/>
        <w:ind w:left="567"/>
      </w:pPr>
      <w:r>
        <w:t>L</w:t>
      </w:r>
      <w:r w:rsidR="002F5874" w:rsidRPr="002F5874">
        <w:t xml:space="preserve">abour costs have increased significantly </w:t>
      </w:r>
      <w:r w:rsidR="005C6E78">
        <w:t>because</w:t>
      </w:r>
      <w:r w:rsidR="005C6E78" w:rsidRPr="002F5874">
        <w:t xml:space="preserve"> </w:t>
      </w:r>
      <w:r w:rsidR="002F5874" w:rsidRPr="002F5874">
        <w:t>it reflects the most recent award wages and includes costs previously not considered in the previous model</w:t>
      </w:r>
      <w:r>
        <w:t>.</w:t>
      </w:r>
    </w:p>
    <w:p w14:paraId="058C2478" w14:textId="34840A54" w:rsidR="002F5874" w:rsidRPr="002F5874" w:rsidRDefault="00D217F4" w:rsidP="00FD39C5">
      <w:pPr>
        <w:pStyle w:val="List-bulletlvl1"/>
        <w:ind w:left="567"/>
      </w:pPr>
      <w:r>
        <w:t>F</w:t>
      </w:r>
      <w:r w:rsidR="002F5874" w:rsidRPr="002F5874">
        <w:t>uel costs have decreased because the pump price for diesel excluding fuel excise has declined</w:t>
      </w:r>
      <w:r>
        <w:t>.</w:t>
      </w:r>
      <w:r w:rsidR="002F5874" w:rsidRPr="002F5874">
        <w:t xml:space="preserve"> </w:t>
      </w:r>
    </w:p>
    <w:p w14:paraId="6C5FBF52" w14:textId="358C535F" w:rsidR="002F5874" w:rsidRPr="002F5874" w:rsidRDefault="00D217F4" w:rsidP="00FD39C5">
      <w:pPr>
        <w:pStyle w:val="List-bulletlvl1"/>
        <w:ind w:left="567"/>
      </w:pPr>
      <w:r>
        <w:t>V</w:t>
      </w:r>
      <w:r w:rsidR="002F5874" w:rsidRPr="002F5874">
        <w:t xml:space="preserve">ehicle and capital costs have remained largely the same </w:t>
      </w:r>
      <w:r w:rsidR="00741089">
        <w:t>because</w:t>
      </w:r>
      <w:r w:rsidR="00741089" w:rsidRPr="002F5874">
        <w:t xml:space="preserve"> </w:t>
      </w:r>
      <w:r w:rsidR="002F5874" w:rsidRPr="002F5874">
        <w:t>the increase in market prices and</w:t>
      </w:r>
      <w:r w:rsidR="00741089">
        <w:t xml:space="preserve"> the</w:t>
      </w:r>
      <w:r w:rsidR="002F5874" w:rsidRPr="002F5874">
        <w:t xml:space="preserve"> inclusion of stamp duty have been largely offset by lower financing rates</w:t>
      </w:r>
      <w:r>
        <w:t>.</w:t>
      </w:r>
    </w:p>
    <w:p w14:paraId="303BA1AE" w14:textId="3737BEDB" w:rsidR="002F5874" w:rsidRPr="00FD39C5" w:rsidRDefault="00D217F4" w:rsidP="00FD39C5">
      <w:pPr>
        <w:pStyle w:val="List-bulletlvl1"/>
        <w:ind w:left="567"/>
      </w:pPr>
      <w:r>
        <w:t>T</w:t>
      </w:r>
      <w:r w:rsidR="002F5874" w:rsidRPr="00FD39C5">
        <w:t>he tyres/maintenance costs have increased significantly for some vehicle types (e</w:t>
      </w:r>
      <w:r w:rsidR="006E75EA">
        <w:t>.</w:t>
      </w:r>
      <w:r w:rsidR="002F5874" w:rsidRPr="00FD39C5">
        <w:t>g</w:t>
      </w:r>
      <w:r w:rsidR="006E75EA">
        <w:t>.</w:t>
      </w:r>
      <w:r w:rsidR="002F5874" w:rsidRPr="00FD39C5">
        <w:t xml:space="preserve"> rigid vehicles and buses) to reflect costings in </w:t>
      </w:r>
      <w:r w:rsidR="00434203">
        <w:t xml:space="preserve">the </w:t>
      </w:r>
      <w:r w:rsidR="003A4DD8">
        <w:t xml:space="preserve">Australian Transport Assessment and Planning </w:t>
      </w:r>
      <w:r w:rsidR="002F5874" w:rsidRPr="00FD39C5">
        <w:t>guidelines and stakeholder feedback</w:t>
      </w:r>
      <w:r>
        <w:t>.</w:t>
      </w:r>
      <w:r w:rsidR="002F5874" w:rsidRPr="00FD39C5">
        <w:t xml:space="preserve"> </w:t>
      </w:r>
    </w:p>
    <w:p w14:paraId="7AB65178" w14:textId="3570255D" w:rsidR="002F5874" w:rsidRPr="00FD39C5" w:rsidRDefault="002F5874" w:rsidP="00FD39C5">
      <w:pPr>
        <w:pStyle w:val="List-bulletlvl1"/>
        <w:ind w:left="567"/>
        <w:rPr>
          <w:color w:val="24272A" w:themeColor="text1"/>
        </w:rPr>
      </w:pPr>
      <w:r w:rsidRPr="00FD39C5">
        <w:rPr>
          <w:color w:val="24272A" w:themeColor="text1"/>
        </w:rPr>
        <w:t>Other costs have increased to cover costs previously not considered in the model</w:t>
      </w:r>
      <w:r w:rsidR="00741089">
        <w:rPr>
          <w:color w:val="24272A" w:themeColor="text1"/>
        </w:rPr>
        <w:t xml:space="preserve"> – for example, </w:t>
      </w:r>
      <w:r w:rsidRPr="00FD39C5">
        <w:rPr>
          <w:color w:val="24272A" w:themeColor="text1"/>
        </w:rPr>
        <w:t xml:space="preserve">compliance training, parking </w:t>
      </w:r>
      <w:r w:rsidR="006840D9">
        <w:rPr>
          <w:color w:val="24272A" w:themeColor="text1"/>
        </w:rPr>
        <w:t>and</w:t>
      </w:r>
      <w:r w:rsidRPr="00FD39C5">
        <w:rPr>
          <w:color w:val="24272A" w:themeColor="text1"/>
        </w:rPr>
        <w:t xml:space="preserve"> tolls and the introduction of new technology such as electronic work diaries.</w:t>
      </w:r>
    </w:p>
    <w:p w14:paraId="6EE7A882" w14:textId="200CF1B5" w:rsidR="002F5874" w:rsidRDefault="00EA5DCC" w:rsidP="00092C07">
      <w:pPr>
        <w:spacing w:after="160" w:line="259" w:lineRule="auto"/>
        <w:rPr>
          <w:rFonts w:eastAsia="Arial" w:cs="Arial"/>
          <w:sz w:val="22"/>
          <w:szCs w:val="22"/>
        </w:rPr>
      </w:pPr>
      <w:r>
        <w:rPr>
          <w:rFonts w:eastAsia="Arial" w:cs="Arial"/>
          <w:sz w:val="22"/>
          <w:szCs w:val="22"/>
        </w:rPr>
        <w:t xml:space="preserve">Analysis showing changes in operating costs for common vehicle classes is provided in </w:t>
      </w:r>
      <w:r w:rsidR="00A03EA9">
        <w:rPr>
          <w:rFonts w:eastAsia="Arial" w:cs="Arial"/>
          <w:sz w:val="22"/>
          <w:szCs w:val="22"/>
        </w:rPr>
        <w:t>s</w:t>
      </w:r>
      <w:r>
        <w:rPr>
          <w:rFonts w:eastAsia="Arial" w:cs="Arial"/>
          <w:sz w:val="22"/>
          <w:szCs w:val="22"/>
        </w:rPr>
        <w:t xml:space="preserve">ection </w:t>
      </w:r>
      <w:r>
        <w:rPr>
          <w:rFonts w:eastAsia="Arial" w:cs="Arial"/>
          <w:sz w:val="22"/>
          <w:szCs w:val="22"/>
        </w:rPr>
        <w:fldChar w:fldCharType="begin"/>
      </w:r>
      <w:r>
        <w:rPr>
          <w:rFonts w:eastAsia="Arial" w:cs="Arial"/>
          <w:sz w:val="22"/>
          <w:szCs w:val="22"/>
        </w:rPr>
        <w:instrText xml:space="preserve"> REF _Ref64016134 \r \h </w:instrText>
      </w:r>
      <w:r>
        <w:rPr>
          <w:rFonts w:eastAsia="Arial" w:cs="Arial"/>
          <w:sz w:val="22"/>
          <w:szCs w:val="22"/>
        </w:rPr>
      </w:r>
      <w:r>
        <w:rPr>
          <w:rFonts w:eastAsia="Arial" w:cs="Arial"/>
          <w:sz w:val="22"/>
          <w:szCs w:val="22"/>
        </w:rPr>
        <w:fldChar w:fldCharType="separate"/>
      </w:r>
      <w:r w:rsidR="00225EEA">
        <w:rPr>
          <w:rFonts w:eastAsia="Arial" w:cs="Arial"/>
          <w:sz w:val="22"/>
          <w:szCs w:val="22"/>
        </w:rPr>
        <w:t>6.6.3</w:t>
      </w:r>
      <w:r>
        <w:rPr>
          <w:rFonts w:eastAsia="Arial" w:cs="Arial"/>
          <w:sz w:val="22"/>
          <w:szCs w:val="22"/>
        </w:rPr>
        <w:fldChar w:fldCharType="end"/>
      </w:r>
      <w:r>
        <w:rPr>
          <w:rFonts w:eastAsia="Arial" w:cs="Arial"/>
          <w:sz w:val="22"/>
          <w:szCs w:val="22"/>
        </w:rPr>
        <w:t>.</w:t>
      </w:r>
      <w:r w:rsidR="00830D17">
        <w:rPr>
          <w:rFonts w:eastAsia="Arial" w:cs="Arial"/>
          <w:sz w:val="22"/>
          <w:szCs w:val="22"/>
        </w:rPr>
        <w:t xml:space="preserve"> </w:t>
      </w:r>
    </w:p>
    <w:p w14:paraId="2671553D" w14:textId="77777777" w:rsidR="002F5874" w:rsidRPr="00FD39C5" w:rsidRDefault="002F5874" w:rsidP="00092C07">
      <w:pPr>
        <w:spacing w:after="160" w:line="259" w:lineRule="auto"/>
        <w:rPr>
          <w:rFonts w:eastAsia="Arial" w:cs="Arial"/>
          <w:sz w:val="22"/>
          <w:szCs w:val="22"/>
        </w:rPr>
      </w:pPr>
    </w:p>
    <w:p w14:paraId="738AD3A6" w14:textId="77777777" w:rsidR="007F2910" w:rsidRPr="007F2910" w:rsidRDefault="007F2910" w:rsidP="007F2910">
      <w:pPr>
        <w:pStyle w:val="BodyCopy"/>
      </w:pPr>
    </w:p>
    <w:p w14:paraId="3C6546EA" w14:textId="25FA61CB" w:rsidR="001D41FA" w:rsidRDefault="000C647E" w:rsidP="001D41FA">
      <w:pPr>
        <w:pStyle w:val="Heading1"/>
      </w:pPr>
      <w:bookmarkStart w:id="124" w:name="_Ref59548332"/>
      <w:bookmarkStart w:id="125" w:name="_Toc86158399"/>
      <w:r>
        <w:lastRenderedPageBreak/>
        <w:t xml:space="preserve">PAYGO </w:t>
      </w:r>
      <w:r w:rsidR="002F68B0">
        <w:t>m</w:t>
      </w:r>
      <w:r w:rsidR="004E791A">
        <w:t xml:space="preserve">odel </w:t>
      </w:r>
      <w:r w:rsidR="00C4270B">
        <w:t>i</w:t>
      </w:r>
      <w:r w:rsidR="004E791A">
        <w:t>mprovements</w:t>
      </w:r>
      <w:bookmarkEnd w:id="124"/>
      <w:bookmarkEnd w:id="125"/>
    </w:p>
    <w:p w14:paraId="145E5015" w14:textId="79FAE44E" w:rsidR="001D41FA" w:rsidRPr="00B27E5F" w:rsidRDefault="004E791A" w:rsidP="00BD6AE3">
      <w:pPr>
        <w:pStyle w:val="Heading2"/>
      </w:pPr>
      <w:bookmarkStart w:id="126" w:name="_Toc86158400"/>
      <w:r>
        <w:t>Overview</w:t>
      </w:r>
      <w:bookmarkEnd w:id="126"/>
    </w:p>
    <w:p w14:paraId="600252BD" w14:textId="3DAE3FCF" w:rsidR="00464A5E" w:rsidRDefault="1690C163" w:rsidP="002B3467">
      <w:pPr>
        <w:pStyle w:val="BodyCopy"/>
      </w:pPr>
      <w:r>
        <w:t>The NTC</w:t>
      </w:r>
      <w:r w:rsidR="007F2910">
        <w:t xml:space="preserve"> has considered </w:t>
      </w:r>
      <w:r>
        <w:t xml:space="preserve">a range of issues </w:t>
      </w:r>
      <w:r w:rsidR="007F2910">
        <w:t xml:space="preserve">as part of this </w:t>
      </w:r>
      <w:r w:rsidR="003B0083">
        <w:t>determination</w:t>
      </w:r>
      <w:r w:rsidR="00B629C6">
        <w:t>. D</w:t>
      </w:r>
      <w:r w:rsidR="00B312E9">
        <w:t>ur</w:t>
      </w:r>
      <w:r w:rsidR="00375343">
        <w:t>in</w:t>
      </w:r>
      <w:r w:rsidR="00B312E9">
        <w:t>g</w:t>
      </w:r>
      <w:r w:rsidR="00375343">
        <w:t xml:space="preserve"> </w:t>
      </w:r>
      <w:r w:rsidR="00B312E9">
        <w:t xml:space="preserve">initial </w:t>
      </w:r>
      <w:r w:rsidR="00375343">
        <w:t>consultations</w:t>
      </w:r>
      <w:r w:rsidR="00B312E9">
        <w:t xml:space="preserve"> and as part of the formal consultation process for the C-RIS</w:t>
      </w:r>
      <w:r w:rsidR="00375343">
        <w:t>,</w:t>
      </w:r>
      <w:r w:rsidR="00B629C6">
        <w:t xml:space="preserve"> the NTC assessed issues</w:t>
      </w:r>
      <w:r w:rsidR="00EB56BA">
        <w:t xml:space="preserve"> for their </w:t>
      </w:r>
      <w:r w:rsidR="00EC3562">
        <w:t xml:space="preserve">value </w:t>
      </w:r>
      <w:r w:rsidR="00B629C6">
        <w:t xml:space="preserve">in </w:t>
      </w:r>
      <w:r w:rsidR="00B4367C">
        <w:t>supporting an accurate determination of heavy vehicle charges</w:t>
      </w:r>
      <w:r w:rsidR="25B17E7C">
        <w:t>.</w:t>
      </w:r>
      <w:r w:rsidR="3889C708">
        <w:t xml:space="preserve"> Broadly</w:t>
      </w:r>
      <w:r w:rsidR="002D006C">
        <w:t>, these fall into the following categories</w:t>
      </w:r>
      <w:r w:rsidR="689824E8">
        <w:t>:</w:t>
      </w:r>
    </w:p>
    <w:p w14:paraId="4DD22F6C" w14:textId="3B00C8D2" w:rsidR="00C447EF" w:rsidRDefault="00CC3FBA" w:rsidP="008A2099">
      <w:pPr>
        <w:pStyle w:val="List-bulletlvl1"/>
        <w:ind w:left="567"/>
      </w:pPr>
      <w:r>
        <w:t>n</w:t>
      </w:r>
      <w:r w:rsidR="689824E8">
        <w:t>o changes to be made</w:t>
      </w:r>
      <w:r>
        <w:t xml:space="preserve"> –</w:t>
      </w:r>
      <w:r w:rsidR="689824E8">
        <w:t xml:space="preserve"> generally </w:t>
      </w:r>
      <w:r w:rsidR="00913F3D">
        <w:t xml:space="preserve">because </w:t>
      </w:r>
      <w:r w:rsidR="689824E8">
        <w:t xml:space="preserve">either there was no material basis </w:t>
      </w:r>
      <w:r w:rsidR="74C2FB19">
        <w:t>for a change to be made</w:t>
      </w:r>
      <w:r w:rsidR="0E15011D">
        <w:t xml:space="preserve"> or the issue</w:t>
      </w:r>
      <w:r w:rsidR="10DC557F">
        <w:t xml:space="preserve"> is being addressed under </w:t>
      </w:r>
      <w:r w:rsidR="30261560">
        <w:t>HVRR</w:t>
      </w:r>
    </w:p>
    <w:p w14:paraId="25637C8F" w14:textId="61263196" w:rsidR="00696B97" w:rsidRDefault="00CC3FBA" w:rsidP="008A2099">
      <w:pPr>
        <w:pStyle w:val="List-bulletlvl1"/>
        <w:ind w:left="567"/>
      </w:pPr>
      <w:r>
        <w:t>i</w:t>
      </w:r>
      <w:r w:rsidR="4D70DE0A">
        <w:t xml:space="preserve">mprovements to the </w:t>
      </w:r>
      <w:r w:rsidR="00CA461A" w:rsidRPr="00913F3D">
        <w:t xml:space="preserve">PAYGO </w:t>
      </w:r>
      <w:r w:rsidR="4D70DE0A">
        <w:t>model are recommended</w:t>
      </w:r>
      <w:r>
        <w:t xml:space="preserve"> –</w:t>
      </w:r>
      <w:r w:rsidR="4D70DE0A">
        <w:t xml:space="preserve"> </w:t>
      </w:r>
      <w:r w:rsidR="3352426F">
        <w:t xml:space="preserve">generally due to technical and/or </w:t>
      </w:r>
      <w:r w:rsidR="00AD5CB9">
        <w:t>non-</w:t>
      </w:r>
      <w:r w:rsidR="3352426F">
        <w:t>controversial changes being made</w:t>
      </w:r>
      <w:r w:rsidR="001006DF">
        <w:t>,</w:t>
      </w:r>
      <w:r w:rsidR="3352426F">
        <w:t xml:space="preserve"> including due to updated data</w:t>
      </w:r>
    </w:p>
    <w:p w14:paraId="38936A8B" w14:textId="70F3E6D4" w:rsidR="00696B97" w:rsidRDefault="00CC3FBA" w:rsidP="008A2099">
      <w:pPr>
        <w:pStyle w:val="List-bulletlvl1"/>
        <w:ind w:left="567"/>
      </w:pPr>
      <w:r>
        <w:t>o</w:t>
      </w:r>
      <w:r w:rsidR="3352426F">
        <w:t xml:space="preserve">ptions </w:t>
      </w:r>
      <w:r w:rsidR="02DCB83D">
        <w:t>parameters</w:t>
      </w:r>
      <w:r w:rsidR="003B0083">
        <w:t xml:space="preserve"> –</w:t>
      </w:r>
      <w:r w:rsidR="02DCB83D">
        <w:t xml:space="preserve"> where changes are potentially justified but are of a more </w:t>
      </w:r>
      <w:r w:rsidR="0B6CE3E6">
        <w:t xml:space="preserve">contestable nature and therefore warrant </w:t>
      </w:r>
      <w:r w:rsidR="3B8B8CA7">
        <w:t xml:space="preserve">deeper assessment as a core focus of </w:t>
      </w:r>
      <w:r w:rsidR="00FB03D3">
        <w:t xml:space="preserve">the options assessed in </w:t>
      </w:r>
      <w:r w:rsidR="3B8B8CA7">
        <w:t>th</w:t>
      </w:r>
      <w:r w:rsidR="50140774">
        <w:t xml:space="preserve">is </w:t>
      </w:r>
      <w:r w:rsidR="009F0EA2">
        <w:t>D</w:t>
      </w:r>
      <w:r w:rsidR="003B0083">
        <w:t>-</w:t>
      </w:r>
      <w:r w:rsidR="50140774">
        <w:t>RIS.</w:t>
      </w:r>
    </w:p>
    <w:p w14:paraId="7479DC9E" w14:textId="68A50CB9" w:rsidR="007F2910" w:rsidRDefault="004E10E4" w:rsidP="00AF7B68">
      <w:pPr>
        <w:pStyle w:val="BodyCopy"/>
      </w:pPr>
      <w:r>
        <w:t xml:space="preserve">These issues and their assessment are </w:t>
      </w:r>
      <w:r w:rsidR="002D54D1">
        <w:t xml:space="preserve">summarised in </w:t>
      </w:r>
      <w:r w:rsidR="00CD1BE2">
        <w:fldChar w:fldCharType="begin"/>
      </w:r>
      <w:r w:rsidR="00CD1BE2">
        <w:instrText xml:space="preserve"> REF _Ref61430525 \r \h </w:instrText>
      </w:r>
      <w:r w:rsidR="00CD0F5B">
        <w:instrText xml:space="preserve"> \* MERGEFORMAT </w:instrText>
      </w:r>
      <w:r w:rsidR="00CD1BE2">
        <w:fldChar w:fldCharType="separate"/>
      </w:r>
      <w:r w:rsidR="00225EEA">
        <w:t>Table 3</w:t>
      </w:r>
      <w:r w:rsidR="00CD1BE2">
        <w:fldChar w:fldCharType="end"/>
      </w:r>
      <w:r w:rsidR="00CD1BE2">
        <w:t>.</w:t>
      </w:r>
      <w:r w:rsidR="00830D17">
        <w:t xml:space="preserve"> </w:t>
      </w:r>
    </w:p>
    <w:p w14:paraId="4D76DDC9" w14:textId="6230BEA3" w:rsidR="007F2910" w:rsidRDefault="00CD1BE2" w:rsidP="00C66587">
      <w:pPr>
        <w:pStyle w:val="Tabletitle"/>
      </w:pPr>
      <w:bookmarkStart w:id="127" w:name="_Ref61430525"/>
      <w:bookmarkStart w:id="128" w:name="_Toc86158542"/>
      <w:r>
        <w:t>Summary of model improvements considered</w:t>
      </w:r>
      <w:bookmarkEnd w:id="127"/>
      <w:bookmarkEnd w:id="128"/>
    </w:p>
    <w:tbl>
      <w:tblPr>
        <w:tblStyle w:val="NTCtable"/>
        <w:tblW w:w="9425" w:type="dxa"/>
        <w:tblLook w:val="04A0" w:firstRow="1" w:lastRow="0" w:firstColumn="1" w:lastColumn="0" w:noHBand="0" w:noVBand="1"/>
      </w:tblPr>
      <w:tblGrid>
        <w:gridCol w:w="1080"/>
        <w:gridCol w:w="2250"/>
        <w:gridCol w:w="6095"/>
      </w:tblGrid>
      <w:tr w:rsidR="00C66587" w14:paraId="4D753EA6" w14:textId="77777777" w:rsidTr="00B629C6">
        <w:trPr>
          <w:cnfStyle w:val="100000000000" w:firstRow="1" w:lastRow="0" w:firstColumn="0" w:lastColumn="0" w:oddVBand="0" w:evenVBand="0" w:oddHBand="0" w:evenHBand="0" w:firstRowFirstColumn="0" w:firstRowLastColumn="0" w:lastRowFirstColumn="0" w:lastRowLastColumn="0"/>
          <w:tblHeader/>
        </w:trPr>
        <w:tc>
          <w:tcPr>
            <w:tcW w:w="1080" w:type="dxa"/>
          </w:tcPr>
          <w:p w14:paraId="65E2A4AF" w14:textId="77777777" w:rsidR="00C66587" w:rsidRPr="00A131E4" w:rsidRDefault="00C66587" w:rsidP="003D7EC0">
            <w:pPr>
              <w:rPr>
                <w:b/>
                <w:bCs/>
                <w:sz w:val="20"/>
                <w:szCs w:val="20"/>
              </w:rPr>
            </w:pPr>
            <w:bookmarkStart w:id="129" w:name="_Hlk63775476"/>
            <w:r w:rsidRPr="00A131E4">
              <w:rPr>
                <w:b/>
                <w:bCs/>
              </w:rPr>
              <w:t>Section</w:t>
            </w:r>
          </w:p>
        </w:tc>
        <w:tc>
          <w:tcPr>
            <w:tcW w:w="2250" w:type="dxa"/>
          </w:tcPr>
          <w:p w14:paraId="42D4CCBA" w14:textId="77777777" w:rsidR="00C66587" w:rsidRPr="00A131E4" w:rsidRDefault="00C66587" w:rsidP="003D7EC0">
            <w:pPr>
              <w:rPr>
                <w:b/>
                <w:bCs/>
                <w:sz w:val="20"/>
                <w:szCs w:val="20"/>
              </w:rPr>
            </w:pPr>
            <w:r w:rsidRPr="00A131E4">
              <w:rPr>
                <w:b/>
                <w:bCs/>
              </w:rPr>
              <w:t>Topic</w:t>
            </w:r>
          </w:p>
        </w:tc>
        <w:tc>
          <w:tcPr>
            <w:tcW w:w="6095" w:type="dxa"/>
          </w:tcPr>
          <w:p w14:paraId="78BEDEC6" w14:textId="77777777" w:rsidR="00C66587" w:rsidRPr="00A131E4" w:rsidRDefault="00C66587" w:rsidP="003D7EC0">
            <w:pPr>
              <w:rPr>
                <w:b/>
                <w:bCs/>
                <w:sz w:val="20"/>
                <w:szCs w:val="20"/>
              </w:rPr>
            </w:pPr>
            <w:r w:rsidRPr="00A131E4">
              <w:rPr>
                <w:b/>
                <w:bCs/>
              </w:rPr>
              <w:t>Summary of recommended approach</w:t>
            </w:r>
          </w:p>
        </w:tc>
      </w:tr>
      <w:tr w:rsidR="00067D3E" w14:paraId="2509FF61" w14:textId="77777777" w:rsidTr="004810A6">
        <w:tc>
          <w:tcPr>
            <w:tcW w:w="9425" w:type="dxa"/>
            <w:gridSpan w:val="3"/>
            <w:shd w:val="clear" w:color="auto" w:fill="E7E8EA" w:themeFill="text1" w:themeFillTint="1A"/>
          </w:tcPr>
          <w:p w14:paraId="24106BF3" w14:textId="6FEE18AC" w:rsidR="00067D3E" w:rsidRPr="00A131E4" w:rsidRDefault="002D006C" w:rsidP="003D7EC0">
            <w:pPr>
              <w:rPr>
                <w:b/>
                <w:bCs/>
                <w:sz w:val="20"/>
                <w:szCs w:val="20"/>
              </w:rPr>
            </w:pPr>
            <w:r w:rsidRPr="00A131E4">
              <w:rPr>
                <w:b/>
                <w:bCs/>
              </w:rPr>
              <w:t>R</w:t>
            </w:r>
            <w:r w:rsidR="00BF153E" w:rsidRPr="00A131E4">
              <w:rPr>
                <w:b/>
                <w:bCs/>
              </w:rPr>
              <w:t>oad expenditure</w:t>
            </w:r>
            <w:r w:rsidR="00067D3E" w:rsidRPr="00A131E4">
              <w:rPr>
                <w:b/>
                <w:bCs/>
              </w:rPr>
              <w:t xml:space="preserve"> </w:t>
            </w:r>
          </w:p>
        </w:tc>
      </w:tr>
      <w:tr w:rsidR="00C66587" w14:paraId="5E599EB8" w14:textId="77777777" w:rsidTr="00B629C6">
        <w:tc>
          <w:tcPr>
            <w:tcW w:w="1080" w:type="dxa"/>
          </w:tcPr>
          <w:p w14:paraId="25F155BA" w14:textId="7BCA6F12" w:rsidR="00C66587" w:rsidRPr="00C4270B" w:rsidDel="00CD1BE2" w:rsidRDefault="003F2731" w:rsidP="003D7EC0">
            <w:pPr>
              <w:rPr>
                <w:sz w:val="20"/>
                <w:szCs w:val="20"/>
              </w:rPr>
            </w:pPr>
            <w:r w:rsidRPr="00C4270B">
              <w:fldChar w:fldCharType="begin"/>
            </w:r>
            <w:r w:rsidRPr="00C4270B">
              <w:rPr>
                <w:sz w:val="20"/>
                <w:szCs w:val="20"/>
              </w:rPr>
              <w:instrText xml:space="preserve"> REF _Ref64880951 \r \h </w:instrText>
            </w:r>
            <w:r w:rsidR="00C4270B">
              <w:rPr>
                <w:sz w:val="20"/>
                <w:szCs w:val="20"/>
              </w:rPr>
              <w:instrText xml:space="preserve"> \* MERGEFORMAT </w:instrText>
            </w:r>
            <w:r w:rsidRPr="00C4270B">
              <w:fldChar w:fldCharType="separate"/>
            </w:r>
            <w:r w:rsidR="00225EEA">
              <w:rPr>
                <w:sz w:val="20"/>
                <w:szCs w:val="20"/>
              </w:rPr>
              <w:t>4.2</w:t>
            </w:r>
            <w:r w:rsidRPr="00C4270B">
              <w:fldChar w:fldCharType="end"/>
            </w:r>
          </w:p>
        </w:tc>
        <w:tc>
          <w:tcPr>
            <w:tcW w:w="2250" w:type="dxa"/>
          </w:tcPr>
          <w:p w14:paraId="367277DE" w14:textId="77777777" w:rsidR="00C66587" w:rsidRPr="00C4270B" w:rsidDel="00CD1BE2" w:rsidRDefault="00C66587" w:rsidP="003D7EC0">
            <w:pPr>
              <w:rPr>
                <w:sz w:val="20"/>
                <w:szCs w:val="20"/>
              </w:rPr>
            </w:pPr>
            <w:r w:rsidRPr="00C4270B">
              <w:rPr>
                <w:sz w:val="20"/>
                <w:szCs w:val="20"/>
              </w:rPr>
              <w:t>Trust in expenditure data</w:t>
            </w:r>
          </w:p>
        </w:tc>
        <w:tc>
          <w:tcPr>
            <w:tcW w:w="6095" w:type="dxa"/>
          </w:tcPr>
          <w:p w14:paraId="606D5B6F" w14:textId="5BBA14B0" w:rsidR="00C66587" w:rsidRPr="00C4270B" w:rsidRDefault="00976565" w:rsidP="003D7EC0">
            <w:pPr>
              <w:rPr>
                <w:sz w:val="20"/>
                <w:szCs w:val="20"/>
              </w:rPr>
            </w:pPr>
            <w:r>
              <w:rPr>
                <w:sz w:val="20"/>
                <w:szCs w:val="20"/>
              </w:rPr>
              <w:t xml:space="preserve">Consider </w:t>
            </w:r>
            <w:r w:rsidR="00440F94">
              <w:rPr>
                <w:sz w:val="20"/>
                <w:szCs w:val="20"/>
              </w:rPr>
              <w:t xml:space="preserve">the </w:t>
            </w:r>
            <w:r>
              <w:rPr>
                <w:sz w:val="20"/>
                <w:szCs w:val="20"/>
              </w:rPr>
              <w:t xml:space="preserve">feasibility of amending the expenditure template </w:t>
            </w:r>
            <w:r w:rsidR="005C77F4">
              <w:rPr>
                <w:sz w:val="20"/>
                <w:szCs w:val="20"/>
              </w:rPr>
              <w:t xml:space="preserve">requirements to include a confirmation that significant projects included in submitted expenditure were subject to third party review (e.g. Infrastructure Australia, </w:t>
            </w:r>
            <w:r w:rsidR="007B6F9B">
              <w:rPr>
                <w:sz w:val="20"/>
                <w:szCs w:val="20"/>
              </w:rPr>
              <w:t>s</w:t>
            </w:r>
            <w:r w:rsidR="005C77F4">
              <w:rPr>
                <w:sz w:val="20"/>
                <w:szCs w:val="20"/>
              </w:rPr>
              <w:t xml:space="preserve">tate-based infrastructure body, Treasury) as </w:t>
            </w:r>
            <w:r w:rsidR="00611D58">
              <w:rPr>
                <w:sz w:val="20"/>
                <w:szCs w:val="20"/>
              </w:rPr>
              <w:t xml:space="preserve">per current requirements. </w:t>
            </w:r>
            <w:r w:rsidR="00C66587" w:rsidRPr="00C4270B">
              <w:rPr>
                <w:sz w:val="20"/>
                <w:szCs w:val="20"/>
              </w:rPr>
              <w:t>No</w:t>
            </w:r>
            <w:r w:rsidR="00615BAE">
              <w:rPr>
                <w:sz w:val="20"/>
                <w:szCs w:val="20"/>
              </w:rPr>
              <w:t xml:space="preserve"> further</w:t>
            </w:r>
            <w:r w:rsidR="00C66587" w:rsidRPr="00C4270B">
              <w:rPr>
                <w:sz w:val="20"/>
                <w:szCs w:val="20"/>
              </w:rPr>
              <w:t xml:space="preserve"> changes recommended </w:t>
            </w:r>
            <w:r w:rsidR="003B0083">
              <w:rPr>
                <w:sz w:val="20"/>
                <w:szCs w:val="20"/>
              </w:rPr>
              <w:t>because</w:t>
            </w:r>
            <w:r w:rsidR="00440F94">
              <w:rPr>
                <w:sz w:val="20"/>
                <w:szCs w:val="20"/>
              </w:rPr>
              <w:t xml:space="preserve"> there is</w:t>
            </w:r>
            <w:r w:rsidR="003B0083" w:rsidRPr="00C4270B">
              <w:rPr>
                <w:sz w:val="20"/>
                <w:szCs w:val="20"/>
              </w:rPr>
              <w:t xml:space="preserve"> </w:t>
            </w:r>
            <w:r w:rsidR="00C66587" w:rsidRPr="00C4270B">
              <w:rPr>
                <w:sz w:val="20"/>
                <w:szCs w:val="20"/>
              </w:rPr>
              <w:t>no cost-effective mechanism to address</w:t>
            </w:r>
            <w:r w:rsidR="003B0083">
              <w:rPr>
                <w:sz w:val="20"/>
                <w:szCs w:val="20"/>
              </w:rPr>
              <w:t xml:space="preserve"> the</w:t>
            </w:r>
            <w:r w:rsidR="00C66587" w:rsidRPr="00C4270B">
              <w:rPr>
                <w:sz w:val="20"/>
                <w:szCs w:val="20"/>
              </w:rPr>
              <w:t xml:space="preserve"> issue has been identified.</w:t>
            </w:r>
            <w:r w:rsidR="00110455" w:rsidRPr="00C4270B">
              <w:rPr>
                <w:sz w:val="20"/>
                <w:szCs w:val="20"/>
              </w:rPr>
              <w:t xml:space="preserve"> </w:t>
            </w:r>
            <w:r w:rsidR="00C66587" w:rsidRPr="00C4270B">
              <w:rPr>
                <w:sz w:val="20"/>
                <w:szCs w:val="20"/>
              </w:rPr>
              <w:t xml:space="preserve">This issue will be better addressed as part of HVRR. </w:t>
            </w:r>
          </w:p>
        </w:tc>
      </w:tr>
      <w:tr w:rsidR="00C66587" w14:paraId="20170313" w14:textId="77777777" w:rsidTr="00B629C6">
        <w:tc>
          <w:tcPr>
            <w:tcW w:w="1080" w:type="dxa"/>
          </w:tcPr>
          <w:p w14:paraId="0942D979" w14:textId="3C580E52" w:rsidR="00C66587" w:rsidRPr="00C4270B" w:rsidRDefault="003F2731" w:rsidP="003D7EC0">
            <w:pPr>
              <w:rPr>
                <w:sz w:val="20"/>
                <w:szCs w:val="20"/>
              </w:rPr>
            </w:pPr>
            <w:r w:rsidRPr="00C4270B">
              <w:fldChar w:fldCharType="begin"/>
            </w:r>
            <w:r w:rsidRPr="00C4270B">
              <w:rPr>
                <w:sz w:val="20"/>
                <w:szCs w:val="20"/>
              </w:rPr>
              <w:instrText xml:space="preserve"> REF _Ref64880968 \r \h </w:instrText>
            </w:r>
            <w:r w:rsidR="00C4270B">
              <w:rPr>
                <w:sz w:val="20"/>
                <w:szCs w:val="20"/>
              </w:rPr>
              <w:instrText xml:space="preserve"> \* MERGEFORMAT </w:instrText>
            </w:r>
            <w:r w:rsidRPr="00C4270B">
              <w:fldChar w:fldCharType="separate"/>
            </w:r>
            <w:r w:rsidR="00225EEA">
              <w:rPr>
                <w:sz w:val="20"/>
                <w:szCs w:val="20"/>
              </w:rPr>
              <w:t>4.3</w:t>
            </w:r>
            <w:r w:rsidRPr="00C4270B">
              <w:fldChar w:fldCharType="end"/>
            </w:r>
          </w:p>
        </w:tc>
        <w:tc>
          <w:tcPr>
            <w:tcW w:w="2250" w:type="dxa"/>
          </w:tcPr>
          <w:p w14:paraId="649DA7A9" w14:textId="77777777" w:rsidR="00C66587" w:rsidRPr="00C4270B" w:rsidRDefault="00C66587" w:rsidP="003D7EC0">
            <w:pPr>
              <w:rPr>
                <w:sz w:val="20"/>
                <w:szCs w:val="20"/>
              </w:rPr>
            </w:pPr>
            <w:r w:rsidRPr="00C4270B">
              <w:rPr>
                <w:sz w:val="20"/>
                <w:szCs w:val="20"/>
              </w:rPr>
              <w:t xml:space="preserve">Expenditure categories </w:t>
            </w:r>
          </w:p>
        </w:tc>
        <w:tc>
          <w:tcPr>
            <w:tcW w:w="6095" w:type="dxa"/>
          </w:tcPr>
          <w:p w14:paraId="0F35DAC9" w14:textId="57EB5324" w:rsidR="00C66587" w:rsidRPr="00C4270B" w:rsidRDefault="00C66587" w:rsidP="003D7EC0">
            <w:pPr>
              <w:rPr>
                <w:sz w:val="20"/>
                <w:szCs w:val="20"/>
              </w:rPr>
            </w:pPr>
            <w:r w:rsidRPr="00C4270B">
              <w:rPr>
                <w:sz w:val="20"/>
                <w:szCs w:val="20"/>
              </w:rPr>
              <w:t xml:space="preserve">No change recommended </w:t>
            </w:r>
            <w:r w:rsidR="003B0083">
              <w:rPr>
                <w:sz w:val="20"/>
                <w:szCs w:val="20"/>
              </w:rPr>
              <w:t>because</w:t>
            </w:r>
            <w:r w:rsidR="003B0083" w:rsidRPr="00C4270B">
              <w:rPr>
                <w:sz w:val="20"/>
                <w:szCs w:val="20"/>
              </w:rPr>
              <w:t xml:space="preserve"> </w:t>
            </w:r>
            <w:r w:rsidR="003B0083">
              <w:rPr>
                <w:sz w:val="20"/>
                <w:szCs w:val="20"/>
              </w:rPr>
              <w:t xml:space="preserve">there is </w:t>
            </w:r>
            <w:r w:rsidRPr="00C4270B">
              <w:rPr>
                <w:sz w:val="20"/>
                <w:szCs w:val="20"/>
              </w:rPr>
              <w:t>no clear advantage to changing expenditure categories under PAYGO and there is no certainty on the categories that would be used under HVRR.</w:t>
            </w:r>
            <w:r w:rsidR="00830D17" w:rsidRPr="00C4270B">
              <w:rPr>
                <w:sz w:val="20"/>
                <w:szCs w:val="20"/>
              </w:rPr>
              <w:t xml:space="preserve"> </w:t>
            </w:r>
            <w:r w:rsidR="00420F6F">
              <w:rPr>
                <w:sz w:val="20"/>
                <w:szCs w:val="20"/>
              </w:rPr>
              <w:t>However,</w:t>
            </w:r>
            <w:r w:rsidR="00E00E6C">
              <w:rPr>
                <w:sz w:val="20"/>
                <w:szCs w:val="20"/>
              </w:rPr>
              <w:t xml:space="preserve"> </w:t>
            </w:r>
            <w:r w:rsidR="007912A0">
              <w:rPr>
                <w:sz w:val="20"/>
                <w:szCs w:val="20"/>
              </w:rPr>
              <w:t xml:space="preserve">the NTC recommends exploring the </w:t>
            </w:r>
            <w:r w:rsidR="00C32372">
              <w:rPr>
                <w:sz w:val="20"/>
                <w:szCs w:val="20"/>
              </w:rPr>
              <w:t>option</w:t>
            </w:r>
            <w:r w:rsidR="007912A0">
              <w:rPr>
                <w:sz w:val="20"/>
                <w:szCs w:val="20"/>
              </w:rPr>
              <w:t xml:space="preserve"> of a</w:t>
            </w:r>
            <w:r w:rsidR="00420F6F">
              <w:rPr>
                <w:sz w:val="20"/>
                <w:szCs w:val="20"/>
              </w:rPr>
              <w:t>dopt</w:t>
            </w:r>
            <w:r w:rsidR="007912A0">
              <w:rPr>
                <w:sz w:val="20"/>
                <w:szCs w:val="20"/>
              </w:rPr>
              <w:t>ing</w:t>
            </w:r>
            <w:r w:rsidR="00420F6F">
              <w:rPr>
                <w:sz w:val="20"/>
                <w:szCs w:val="20"/>
              </w:rPr>
              <w:t xml:space="preserve"> new expenditure categories</w:t>
            </w:r>
            <w:r w:rsidR="007912A0">
              <w:rPr>
                <w:sz w:val="20"/>
                <w:szCs w:val="20"/>
              </w:rPr>
              <w:t xml:space="preserve"> in PAYGO</w:t>
            </w:r>
            <w:r w:rsidR="00420F6F">
              <w:rPr>
                <w:sz w:val="20"/>
                <w:szCs w:val="20"/>
              </w:rPr>
              <w:t xml:space="preserve"> once new expenditure categories under HVRR have been </w:t>
            </w:r>
            <w:r w:rsidR="00894D86">
              <w:rPr>
                <w:sz w:val="20"/>
                <w:szCs w:val="20"/>
              </w:rPr>
              <w:t>agreed.</w:t>
            </w:r>
          </w:p>
        </w:tc>
      </w:tr>
      <w:tr w:rsidR="00C66587" w14:paraId="4F5E175F" w14:textId="77777777" w:rsidTr="00B629C6">
        <w:tc>
          <w:tcPr>
            <w:tcW w:w="1080" w:type="dxa"/>
          </w:tcPr>
          <w:p w14:paraId="2DDDB044" w14:textId="03EEC74B" w:rsidR="00C66587" w:rsidRPr="00C4270B" w:rsidDel="00CD1BE2" w:rsidRDefault="003F2731" w:rsidP="003D7EC0">
            <w:pPr>
              <w:rPr>
                <w:sz w:val="20"/>
                <w:szCs w:val="20"/>
              </w:rPr>
            </w:pPr>
            <w:r w:rsidRPr="00C4270B">
              <w:fldChar w:fldCharType="begin"/>
            </w:r>
            <w:r w:rsidRPr="00C4270B">
              <w:rPr>
                <w:sz w:val="20"/>
                <w:szCs w:val="20"/>
              </w:rPr>
              <w:instrText xml:space="preserve"> REF _Ref64880985 \r \h </w:instrText>
            </w:r>
            <w:r w:rsidR="00C4270B">
              <w:rPr>
                <w:sz w:val="20"/>
                <w:szCs w:val="20"/>
              </w:rPr>
              <w:instrText xml:space="preserve"> \* MERGEFORMAT </w:instrText>
            </w:r>
            <w:r w:rsidRPr="00C4270B">
              <w:fldChar w:fldCharType="separate"/>
            </w:r>
            <w:r w:rsidR="00225EEA">
              <w:rPr>
                <w:sz w:val="20"/>
                <w:szCs w:val="20"/>
              </w:rPr>
              <w:t>4.4</w:t>
            </w:r>
            <w:r w:rsidRPr="00C4270B">
              <w:fldChar w:fldCharType="end"/>
            </w:r>
          </w:p>
        </w:tc>
        <w:tc>
          <w:tcPr>
            <w:tcW w:w="2250" w:type="dxa"/>
          </w:tcPr>
          <w:p w14:paraId="2CBFFBAB" w14:textId="77777777" w:rsidR="00C66587" w:rsidRPr="00C4270B" w:rsidRDefault="00C66587" w:rsidP="003D7EC0">
            <w:pPr>
              <w:rPr>
                <w:sz w:val="20"/>
                <w:szCs w:val="20"/>
              </w:rPr>
            </w:pPr>
            <w:r w:rsidRPr="00C4270B">
              <w:rPr>
                <w:sz w:val="20"/>
                <w:szCs w:val="20"/>
              </w:rPr>
              <w:t>Treatment of innovative funding and financing models</w:t>
            </w:r>
          </w:p>
        </w:tc>
        <w:tc>
          <w:tcPr>
            <w:tcW w:w="6095" w:type="dxa"/>
          </w:tcPr>
          <w:p w14:paraId="5C26963A" w14:textId="6DE09EDD" w:rsidR="00C66587" w:rsidRPr="00C4270B" w:rsidRDefault="00C66587" w:rsidP="003D7EC0">
            <w:pPr>
              <w:rPr>
                <w:sz w:val="20"/>
                <w:szCs w:val="20"/>
              </w:rPr>
            </w:pPr>
            <w:r w:rsidRPr="00C4270B">
              <w:rPr>
                <w:sz w:val="20"/>
                <w:szCs w:val="20"/>
              </w:rPr>
              <w:t xml:space="preserve">Treatment on </w:t>
            </w:r>
            <w:r w:rsidR="00440F94">
              <w:rPr>
                <w:sz w:val="20"/>
                <w:szCs w:val="20"/>
              </w:rPr>
              <w:t xml:space="preserve">a </w:t>
            </w:r>
            <w:r w:rsidRPr="00C4270B">
              <w:rPr>
                <w:sz w:val="20"/>
                <w:szCs w:val="20"/>
              </w:rPr>
              <w:t>net</w:t>
            </w:r>
            <w:r w:rsidR="00440F94">
              <w:rPr>
                <w:sz w:val="20"/>
                <w:szCs w:val="20"/>
              </w:rPr>
              <w:t>-</w:t>
            </w:r>
            <w:r w:rsidRPr="00C4270B">
              <w:rPr>
                <w:sz w:val="20"/>
                <w:szCs w:val="20"/>
              </w:rPr>
              <w:t>neutral basis in accordance with broad principles recommended.</w:t>
            </w:r>
            <w:r w:rsidR="008E2134">
              <w:rPr>
                <w:sz w:val="20"/>
                <w:szCs w:val="20"/>
              </w:rPr>
              <w:t xml:space="preserve"> However, </w:t>
            </w:r>
            <w:r w:rsidR="00F453E4">
              <w:rPr>
                <w:sz w:val="20"/>
                <w:szCs w:val="20"/>
              </w:rPr>
              <w:t>the modelled numbers in this D-RIS do not include jurisdictions’ reported expenditure on innovative funding and financing in 2020–21 due to some concerns about the quality</w:t>
            </w:r>
            <w:r w:rsidR="006D50A7">
              <w:rPr>
                <w:sz w:val="20"/>
                <w:szCs w:val="20"/>
              </w:rPr>
              <w:t>/completeness</w:t>
            </w:r>
            <w:r w:rsidR="00F453E4">
              <w:rPr>
                <w:sz w:val="20"/>
                <w:szCs w:val="20"/>
              </w:rPr>
              <w:t xml:space="preserve"> of data</w:t>
            </w:r>
            <w:r w:rsidR="006D50A7">
              <w:rPr>
                <w:sz w:val="20"/>
                <w:szCs w:val="20"/>
              </w:rPr>
              <w:t xml:space="preserve"> provided for this year (the first year for which such data has been collected</w:t>
            </w:r>
            <w:r w:rsidR="0081142A">
              <w:rPr>
                <w:sz w:val="20"/>
                <w:szCs w:val="20"/>
              </w:rPr>
              <w:t>)</w:t>
            </w:r>
            <w:r w:rsidR="00F453E4">
              <w:rPr>
                <w:sz w:val="20"/>
                <w:szCs w:val="20"/>
              </w:rPr>
              <w:t>.</w:t>
            </w:r>
            <w:r w:rsidR="006D50A7">
              <w:rPr>
                <w:sz w:val="20"/>
                <w:szCs w:val="20"/>
              </w:rPr>
              <w:t xml:space="preserve"> </w:t>
            </w:r>
            <w:r w:rsidR="009A3304">
              <w:rPr>
                <w:sz w:val="20"/>
                <w:szCs w:val="20"/>
              </w:rPr>
              <w:t xml:space="preserve">Therefore, this will need to be implemented </w:t>
            </w:r>
            <w:r w:rsidR="00024979">
              <w:rPr>
                <w:sz w:val="20"/>
                <w:szCs w:val="20"/>
              </w:rPr>
              <w:t>after this determination.</w:t>
            </w:r>
            <w:r w:rsidR="009E61AA">
              <w:rPr>
                <w:sz w:val="20"/>
                <w:szCs w:val="20"/>
              </w:rPr>
              <w:t xml:space="preserve"> </w:t>
            </w:r>
          </w:p>
        </w:tc>
      </w:tr>
      <w:tr w:rsidR="00531FE4" w14:paraId="5707C330" w14:textId="77777777" w:rsidTr="004810A6">
        <w:tc>
          <w:tcPr>
            <w:tcW w:w="9425" w:type="dxa"/>
            <w:gridSpan w:val="3"/>
            <w:shd w:val="clear" w:color="auto" w:fill="E7E8EA" w:themeFill="text1" w:themeFillTint="1A"/>
          </w:tcPr>
          <w:p w14:paraId="0AF0E82D" w14:textId="6D305306" w:rsidR="00531FE4" w:rsidRPr="00A131E4" w:rsidRDefault="002D006C" w:rsidP="00531FE4">
            <w:pPr>
              <w:rPr>
                <w:b/>
                <w:bCs/>
                <w:sz w:val="20"/>
                <w:szCs w:val="20"/>
              </w:rPr>
            </w:pPr>
            <w:r w:rsidRPr="00A131E4">
              <w:rPr>
                <w:b/>
                <w:bCs/>
              </w:rPr>
              <w:t>I</w:t>
            </w:r>
            <w:r w:rsidR="00BF153E" w:rsidRPr="00A131E4">
              <w:rPr>
                <w:b/>
                <w:bCs/>
              </w:rPr>
              <w:t>nput data and assumptions</w:t>
            </w:r>
          </w:p>
        </w:tc>
      </w:tr>
      <w:tr w:rsidR="00BF153E" w14:paraId="714D8B2A" w14:textId="77777777" w:rsidTr="00B629C6">
        <w:tc>
          <w:tcPr>
            <w:tcW w:w="1080" w:type="dxa"/>
          </w:tcPr>
          <w:p w14:paraId="236805A8" w14:textId="596CD38A" w:rsidR="00BF153E" w:rsidRPr="00C4270B" w:rsidRDefault="003F2731" w:rsidP="00BF153E">
            <w:pPr>
              <w:rPr>
                <w:sz w:val="20"/>
                <w:szCs w:val="20"/>
              </w:rPr>
            </w:pPr>
            <w:r w:rsidRPr="00C4270B">
              <w:fldChar w:fldCharType="begin"/>
            </w:r>
            <w:r w:rsidRPr="00C4270B">
              <w:rPr>
                <w:sz w:val="20"/>
                <w:szCs w:val="20"/>
              </w:rPr>
              <w:instrText xml:space="preserve"> REF _Ref64880998 \r \h </w:instrText>
            </w:r>
            <w:r w:rsidR="00C4270B">
              <w:rPr>
                <w:sz w:val="20"/>
                <w:szCs w:val="20"/>
              </w:rPr>
              <w:instrText xml:space="preserve"> \* MERGEFORMAT </w:instrText>
            </w:r>
            <w:r w:rsidRPr="00C4270B">
              <w:fldChar w:fldCharType="separate"/>
            </w:r>
            <w:r w:rsidR="00225EEA">
              <w:rPr>
                <w:sz w:val="20"/>
                <w:szCs w:val="20"/>
              </w:rPr>
              <w:t>4.5</w:t>
            </w:r>
            <w:r w:rsidRPr="00C4270B">
              <w:fldChar w:fldCharType="end"/>
            </w:r>
          </w:p>
        </w:tc>
        <w:tc>
          <w:tcPr>
            <w:tcW w:w="2250" w:type="dxa"/>
          </w:tcPr>
          <w:p w14:paraId="68ADB626" w14:textId="0B92F70A" w:rsidR="00BF153E" w:rsidRPr="00C4270B" w:rsidRDefault="00BF153E" w:rsidP="00BF153E">
            <w:pPr>
              <w:rPr>
                <w:sz w:val="20"/>
                <w:szCs w:val="20"/>
              </w:rPr>
            </w:pPr>
            <w:r w:rsidRPr="00C4270B">
              <w:rPr>
                <w:sz w:val="20"/>
                <w:szCs w:val="20"/>
              </w:rPr>
              <w:t>Usage data</w:t>
            </w:r>
          </w:p>
        </w:tc>
        <w:tc>
          <w:tcPr>
            <w:tcW w:w="6095" w:type="dxa"/>
          </w:tcPr>
          <w:p w14:paraId="6B31D1E1" w14:textId="35CC0CF5" w:rsidR="00BF153E" w:rsidRPr="00C4270B" w:rsidRDefault="00BF153E" w:rsidP="00BF153E">
            <w:pPr>
              <w:rPr>
                <w:sz w:val="20"/>
                <w:szCs w:val="20"/>
              </w:rPr>
            </w:pPr>
            <w:r w:rsidRPr="00C4270B">
              <w:rPr>
                <w:sz w:val="20"/>
                <w:szCs w:val="20"/>
              </w:rPr>
              <w:t>Ensuring ongoing availability of usage data identified as</w:t>
            </w:r>
            <w:r w:rsidR="003B0083">
              <w:rPr>
                <w:sz w:val="20"/>
                <w:szCs w:val="20"/>
              </w:rPr>
              <w:t xml:space="preserve"> an</w:t>
            </w:r>
            <w:r w:rsidRPr="00C4270B">
              <w:rPr>
                <w:sz w:val="20"/>
                <w:szCs w:val="20"/>
              </w:rPr>
              <w:t xml:space="preserve"> important issue. </w:t>
            </w:r>
            <w:r w:rsidR="003B0083">
              <w:rPr>
                <w:sz w:val="20"/>
                <w:szCs w:val="20"/>
              </w:rPr>
              <w:t xml:space="preserve">The </w:t>
            </w:r>
            <w:r w:rsidRPr="00C4270B">
              <w:rPr>
                <w:sz w:val="20"/>
                <w:szCs w:val="20"/>
              </w:rPr>
              <w:t xml:space="preserve">NTC to develop and recommend alternative sources in the future. </w:t>
            </w:r>
            <w:r w:rsidR="00171C44">
              <w:rPr>
                <w:sz w:val="20"/>
                <w:szCs w:val="20"/>
              </w:rPr>
              <w:t xml:space="preserve">As a first option, </w:t>
            </w:r>
            <w:r w:rsidR="00440F94">
              <w:rPr>
                <w:sz w:val="20"/>
                <w:szCs w:val="20"/>
              </w:rPr>
              <w:t xml:space="preserve">the </w:t>
            </w:r>
            <w:r w:rsidR="00171C44">
              <w:rPr>
                <w:sz w:val="20"/>
                <w:szCs w:val="20"/>
              </w:rPr>
              <w:t xml:space="preserve">NTC </w:t>
            </w:r>
            <w:r w:rsidR="00024979">
              <w:rPr>
                <w:sz w:val="20"/>
                <w:szCs w:val="20"/>
              </w:rPr>
              <w:t xml:space="preserve">recommends that </w:t>
            </w:r>
            <w:r w:rsidR="00024979">
              <w:rPr>
                <w:sz w:val="20"/>
                <w:szCs w:val="20"/>
              </w:rPr>
              <w:lastRenderedPageBreak/>
              <w:t xml:space="preserve">it </w:t>
            </w:r>
            <w:r w:rsidR="00DF5412">
              <w:rPr>
                <w:sz w:val="20"/>
                <w:szCs w:val="20"/>
              </w:rPr>
              <w:t>should</w:t>
            </w:r>
            <w:r w:rsidR="00171C44">
              <w:rPr>
                <w:sz w:val="20"/>
                <w:szCs w:val="20"/>
              </w:rPr>
              <w:t xml:space="preserve"> explore </w:t>
            </w:r>
            <w:r w:rsidR="00BD30C8">
              <w:rPr>
                <w:sz w:val="20"/>
                <w:szCs w:val="20"/>
              </w:rPr>
              <w:t>addressing the issue through t</w:t>
            </w:r>
            <w:r w:rsidR="00894D86">
              <w:rPr>
                <w:sz w:val="20"/>
                <w:szCs w:val="20"/>
              </w:rPr>
              <w:t xml:space="preserve">he current work being undertaken by the Commonwealth Department of </w:t>
            </w:r>
            <w:r w:rsidR="00497202">
              <w:rPr>
                <w:sz w:val="20"/>
                <w:szCs w:val="20"/>
              </w:rPr>
              <w:t>Infrastructure, Transport, Regional Development</w:t>
            </w:r>
            <w:r w:rsidR="00171C44">
              <w:rPr>
                <w:sz w:val="20"/>
                <w:szCs w:val="20"/>
              </w:rPr>
              <w:t xml:space="preserve"> and Communications.</w:t>
            </w:r>
          </w:p>
        </w:tc>
      </w:tr>
      <w:tr w:rsidR="00BF153E" w14:paraId="4B001DDB" w14:textId="77777777" w:rsidTr="00B629C6">
        <w:tc>
          <w:tcPr>
            <w:tcW w:w="1080" w:type="dxa"/>
          </w:tcPr>
          <w:p w14:paraId="465A3E93" w14:textId="6FD02804" w:rsidR="00BF153E" w:rsidRPr="00621E3F" w:rsidRDefault="009622F8" w:rsidP="00BF153E">
            <w:pPr>
              <w:rPr>
                <w:sz w:val="20"/>
                <w:szCs w:val="20"/>
              </w:rPr>
            </w:pPr>
            <w:r w:rsidRPr="00BD61D2">
              <w:lastRenderedPageBreak/>
              <w:fldChar w:fldCharType="begin"/>
            </w:r>
            <w:r w:rsidRPr="00621E3F">
              <w:instrText xml:space="preserve"> REF _Ref81987284 \r \h </w:instrText>
            </w:r>
            <w:r w:rsidR="00621E3F">
              <w:rPr>
                <w:sz w:val="20"/>
                <w:szCs w:val="20"/>
              </w:rPr>
              <w:instrText xml:space="preserve"> \* MERGEFORMAT </w:instrText>
            </w:r>
            <w:r w:rsidRPr="00BD61D2">
              <w:fldChar w:fldCharType="separate"/>
            </w:r>
            <w:r w:rsidR="00225EEA">
              <w:t>4.6</w:t>
            </w:r>
            <w:r w:rsidRPr="00BD61D2">
              <w:fldChar w:fldCharType="end"/>
            </w:r>
          </w:p>
        </w:tc>
        <w:tc>
          <w:tcPr>
            <w:tcW w:w="2250" w:type="dxa"/>
          </w:tcPr>
          <w:p w14:paraId="0F1F740F" w14:textId="75F54FE7" w:rsidR="00BF153E" w:rsidRPr="00C4270B" w:rsidRDefault="00BF153E" w:rsidP="00BF153E">
            <w:pPr>
              <w:rPr>
                <w:sz w:val="20"/>
                <w:szCs w:val="20"/>
              </w:rPr>
            </w:pPr>
            <w:r w:rsidRPr="00C4270B">
              <w:rPr>
                <w:sz w:val="20"/>
                <w:szCs w:val="20"/>
              </w:rPr>
              <w:t>Review of ESA values</w:t>
            </w:r>
          </w:p>
        </w:tc>
        <w:tc>
          <w:tcPr>
            <w:tcW w:w="6095" w:type="dxa"/>
          </w:tcPr>
          <w:p w14:paraId="44B41115" w14:textId="49D740BC" w:rsidR="00BF153E" w:rsidRPr="00C4270B" w:rsidRDefault="00BF153E" w:rsidP="00BF153E">
            <w:pPr>
              <w:rPr>
                <w:sz w:val="20"/>
                <w:szCs w:val="20"/>
              </w:rPr>
            </w:pPr>
            <w:r w:rsidRPr="00C4270B">
              <w:rPr>
                <w:sz w:val="20"/>
                <w:szCs w:val="20"/>
              </w:rPr>
              <w:t>Use of new, updated ESA values recommended</w:t>
            </w:r>
            <w:r w:rsidR="00A03EA9" w:rsidRPr="00C4270B">
              <w:rPr>
                <w:sz w:val="20"/>
                <w:szCs w:val="20"/>
              </w:rPr>
              <w:t>.</w:t>
            </w:r>
          </w:p>
        </w:tc>
      </w:tr>
      <w:tr w:rsidR="00BF153E" w14:paraId="133A0DA3" w14:textId="77777777" w:rsidTr="00B629C6">
        <w:tc>
          <w:tcPr>
            <w:tcW w:w="1080" w:type="dxa"/>
          </w:tcPr>
          <w:p w14:paraId="3844E3AF" w14:textId="43EC39F8" w:rsidR="00BF153E" w:rsidRPr="00C4270B" w:rsidRDefault="003F2731" w:rsidP="00BF153E">
            <w:pPr>
              <w:rPr>
                <w:sz w:val="20"/>
                <w:szCs w:val="20"/>
              </w:rPr>
            </w:pPr>
            <w:r w:rsidRPr="00C4270B">
              <w:fldChar w:fldCharType="begin"/>
            </w:r>
            <w:r w:rsidRPr="00C4270B">
              <w:rPr>
                <w:sz w:val="20"/>
                <w:szCs w:val="20"/>
              </w:rPr>
              <w:instrText xml:space="preserve"> REF _Ref64881044 \r \h </w:instrText>
            </w:r>
            <w:r w:rsidR="00C4270B">
              <w:rPr>
                <w:sz w:val="20"/>
                <w:szCs w:val="20"/>
              </w:rPr>
              <w:instrText xml:space="preserve"> \* MERGEFORMAT </w:instrText>
            </w:r>
            <w:r w:rsidRPr="00C4270B">
              <w:fldChar w:fldCharType="separate"/>
            </w:r>
            <w:r w:rsidR="00225EEA">
              <w:rPr>
                <w:sz w:val="20"/>
                <w:szCs w:val="20"/>
              </w:rPr>
              <w:t>4.7</w:t>
            </w:r>
            <w:r w:rsidRPr="00C4270B">
              <w:fldChar w:fldCharType="end"/>
            </w:r>
          </w:p>
        </w:tc>
        <w:tc>
          <w:tcPr>
            <w:tcW w:w="2250" w:type="dxa"/>
          </w:tcPr>
          <w:p w14:paraId="45DF7210" w14:textId="47031977" w:rsidR="00BF153E" w:rsidRPr="00C4270B" w:rsidRDefault="00BF153E" w:rsidP="00BF153E">
            <w:pPr>
              <w:rPr>
                <w:sz w:val="20"/>
                <w:szCs w:val="20"/>
              </w:rPr>
            </w:pPr>
            <w:r w:rsidRPr="00C4270B">
              <w:rPr>
                <w:sz w:val="20"/>
                <w:szCs w:val="20"/>
              </w:rPr>
              <w:t>Cost allocation</w:t>
            </w:r>
          </w:p>
        </w:tc>
        <w:tc>
          <w:tcPr>
            <w:tcW w:w="6095" w:type="dxa"/>
          </w:tcPr>
          <w:p w14:paraId="2827A036" w14:textId="286FF09D" w:rsidR="00BF153E" w:rsidRPr="00C4270B" w:rsidRDefault="00BF153E" w:rsidP="00BF153E">
            <w:pPr>
              <w:rPr>
                <w:sz w:val="20"/>
                <w:szCs w:val="20"/>
              </w:rPr>
            </w:pPr>
            <w:r w:rsidRPr="00C4270B">
              <w:rPr>
                <w:sz w:val="20"/>
                <w:szCs w:val="20"/>
              </w:rPr>
              <w:t xml:space="preserve">Recommendation to build determination </w:t>
            </w:r>
            <w:r w:rsidR="00440F94">
              <w:rPr>
                <w:sz w:val="20"/>
                <w:szCs w:val="20"/>
              </w:rPr>
              <w:t>alternatives</w:t>
            </w:r>
            <w:r w:rsidR="00440F94" w:rsidRPr="00C4270B">
              <w:rPr>
                <w:sz w:val="20"/>
                <w:szCs w:val="20"/>
              </w:rPr>
              <w:t xml:space="preserve"> </w:t>
            </w:r>
            <w:r w:rsidRPr="00C4270B">
              <w:rPr>
                <w:sz w:val="20"/>
                <w:szCs w:val="20"/>
              </w:rPr>
              <w:t>around three different options for the cost allocation matrix.</w:t>
            </w:r>
            <w:r w:rsidR="00830D17" w:rsidRPr="00C4270B">
              <w:rPr>
                <w:sz w:val="20"/>
                <w:szCs w:val="20"/>
              </w:rPr>
              <w:t xml:space="preserve"> </w:t>
            </w:r>
            <w:r w:rsidR="00680CB8">
              <w:rPr>
                <w:sz w:val="20"/>
                <w:szCs w:val="20"/>
              </w:rPr>
              <w:t xml:space="preserve">These options are explored in detail in </w:t>
            </w:r>
            <w:r w:rsidR="00756765">
              <w:rPr>
                <w:sz w:val="20"/>
                <w:szCs w:val="20"/>
              </w:rPr>
              <w:t>c</w:t>
            </w:r>
            <w:r w:rsidR="00680CB8">
              <w:rPr>
                <w:sz w:val="20"/>
                <w:szCs w:val="20"/>
              </w:rPr>
              <w:t xml:space="preserve">hapter </w:t>
            </w:r>
            <w:r w:rsidR="00680CB8">
              <w:fldChar w:fldCharType="begin"/>
            </w:r>
            <w:r w:rsidR="00680CB8">
              <w:instrText xml:space="preserve"> </w:instrText>
            </w:r>
            <w:r w:rsidR="00680CB8">
              <w:rPr>
                <w:sz w:val="20"/>
                <w:szCs w:val="20"/>
              </w:rPr>
              <w:instrText xml:space="preserve">REF </w:instrText>
            </w:r>
            <w:r w:rsidR="00680CB8">
              <w:instrText xml:space="preserve">_Ref59450851 \r \h </w:instrText>
            </w:r>
            <w:r w:rsidR="00680CB8">
              <w:fldChar w:fldCharType="separate"/>
            </w:r>
            <w:r w:rsidR="00225EEA">
              <w:rPr>
                <w:sz w:val="20"/>
                <w:szCs w:val="20"/>
              </w:rPr>
              <w:t>5</w:t>
            </w:r>
            <w:r w:rsidR="00680CB8">
              <w:fldChar w:fldCharType="end"/>
            </w:r>
            <w:r w:rsidR="00680CB8">
              <w:rPr>
                <w:sz w:val="20"/>
                <w:szCs w:val="20"/>
              </w:rPr>
              <w:t>.</w:t>
            </w:r>
          </w:p>
        </w:tc>
      </w:tr>
      <w:tr w:rsidR="00BF153E" w14:paraId="630D79AD" w14:textId="77777777" w:rsidTr="004810A6">
        <w:tc>
          <w:tcPr>
            <w:tcW w:w="9425" w:type="dxa"/>
            <w:gridSpan w:val="3"/>
            <w:shd w:val="clear" w:color="auto" w:fill="E7E8EA" w:themeFill="text1" w:themeFillTint="1A"/>
          </w:tcPr>
          <w:p w14:paraId="725FDF7C" w14:textId="01412C3F" w:rsidR="00BF153E" w:rsidRPr="00A131E4" w:rsidRDefault="00BF153E" w:rsidP="00BF153E">
            <w:pPr>
              <w:rPr>
                <w:b/>
                <w:bCs/>
                <w:sz w:val="20"/>
                <w:szCs w:val="20"/>
              </w:rPr>
            </w:pPr>
            <w:r w:rsidRPr="00A131E4">
              <w:rPr>
                <w:b/>
                <w:bCs/>
              </w:rPr>
              <w:t>Modelling approach</w:t>
            </w:r>
            <w:r w:rsidR="002D006C" w:rsidRPr="00A131E4">
              <w:rPr>
                <w:b/>
                <w:bCs/>
              </w:rPr>
              <w:t xml:space="preserve"> and adjustments</w:t>
            </w:r>
          </w:p>
        </w:tc>
      </w:tr>
      <w:tr w:rsidR="00BF153E" w14:paraId="4164DCB8" w14:textId="77777777" w:rsidTr="00B629C6">
        <w:tc>
          <w:tcPr>
            <w:tcW w:w="1080" w:type="dxa"/>
          </w:tcPr>
          <w:p w14:paraId="5E8F27DE" w14:textId="4E06FD98" w:rsidR="00BF153E" w:rsidRPr="00C4270B" w:rsidDel="00CD1BE2" w:rsidRDefault="003F2731" w:rsidP="00BF153E">
            <w:pPr>
              <w:rPr>
                <w:sz w:val="20"/>
                <w:szCs w:val="20"/>
              </w:rPr>
            </w:pPr>
            <w:r w:rsidRPr="00C4270B">
              <w:fldChar w:fldCharType="begin"/>
            </w:r>
            <w:r w:rsidRPr="00C4270B">
              <w:rPr>
                <w:sz w:val="20"/>
                <w:szCs w:val="20"/>
              </w:rPr>
              <w:instrText xml:space="preserve"> REF _Ref64881058 \r \h </w:instrText>
            </w:r>
            <w:r w:rsidR="00C4270B">
              <w:rPr>
                <w:sz w:val="20"/>
                <w:szCs w:val="20"/>
              </w:rPr>
              <w:instrText xml:space="preserve"> \* MERGEFORMAT </w:instrText>
            </w:r>
            <w:r w:rsidRPr="00C4270B">
              <w:fldChar w:fldCharType="separate"/>
            </w:r>
            <w:r w:rsidR="00225EEA">
              <w:rPr>
                <w:sz w:val="20"/>
                <w:szCs w:val="20"/>
              </w:rPr>
              <w:t>4.8</w:t>
            </w:r>
            <w:r w:rsidRPr="00C4270B">
              <w:fldChar w:fldCharType="end"/>
            </w:r>
          </w:p>
        </w:tc>
        <w:tc>
          <w:tcPr>
            <w:tcW w:w="2250" w:type="dxa"/>
          </w:tcPr>
          <w:p w14:paraId="34F9625D" w14:textId="77777777" w:rsidR="00BF153E" w:rsidRPr="00C4270B" w:rsidRDefault="00BF153E" w:rsidP="00BF153E">
            <w:pPr>
              <w:rPr>
                <w:sz w:val="20"/>
                <w:szCs w:val="20"/>
              </w:rPr>
            </w:pPr>
            <w:r w:rsidRPr="00C4270B">
              <w:rPr>
                <w:sz w:val="20"/>
                <w:szCs w:val="20"/>
              </w:rPr>
              <w:t>MaxMan</w:t>
            </w:r>
          </w:p>
        </w:tc>
        <w:tc>
          <w:tcPr>
            <w:tcW w:w="6095" w:type="dxa"/>
          </w:tcPr>
          <w:p w14:paraId="5E3F6725" w14:textId="77777777" w:rsidR="00BF153E" w:rsidRPr="00C4270B" w:rsidRDefault="00BF153E" w:rsidP="00BF153E">
            <w:pPr>
              <w:rPr>
                <w:sz w:val="20"/>
                <w:szCs w:val="20"/>
              </w:rPr>
            </w:pPr>
            <w:r w:rsidRPr="00C4270B">
              <w:rPr>
                <w:sz w:val="20"/>
                <w:szCs w:val="20"/>
              </w:rPr>
              <w:t>Removal of MaxMan recommended.</w:t>
            </w:r>
          </w:p>
        </w:tc>
      </w:tr>
      <w:tr w:rsidR="00BF153E" w14:paraId="56D3024F" w14:textId="77777777" w:rsidTr="00B629C6">
        <w:tc>
          <w:tcPr>
            <w:tcW w:w="1080" w:type="dxa"/>
          </w:tcPr>
          <w:p w14:paraId="3F987970" w14:textId="7211FD43" w:rsidR="00BF153E" w:rsidRPr="00C4270B" w:rsidDel="00CD1BE2" w:rsidRDefault="003F2731" w:rsidP="00BF153E">
            <w:pPr>
              <w:rPr>
                <w:sz w:val="20"/>
                <w:szCs w:val="20"/>
              </w:rPr>
            </w:pPr>
            <w:r w:rsidRPr="00C4270B">
              <w:fldChar w:fldCharType="begin"/>
            </w:r>
            <w:r w:rsidRPr="00C4270B">
              <w:rPr>
                <w:sz w:val="20"/>
                <w:szCs w:val="20"/>
              </w:rPr>
              <w:instrText xml:space="preserve"> REF _Ref64881068 \r \h </w:instrText>
            </w:r>
            <w:r w:rsidR="00C4270B">
              <w:rPr>
                <w:sz w:val="20"/>
                <w:szCs w:val="20"/>
              </w:rPr>
              <w:instrText xml:space="preserve"> \* MERGEFORMAT </w:instrText>
            </w:r>
            <w:r w:rsidRPr="00C4270B">
              <w:fldChar w:fldCharType="separate"/>
            </w:r>
            <w:r w:rsidR="00225EEA">
              <w:rPr>
                <w:sz w:val="20"/>
                <w:szCs w:val="20"/>
              </w:rPr>
              <w:t>4.9</w:t>
            </w:r>
            <w:r w:rsidRPr="00C4270B">
              <w:fldChar w:fldCharType="end"/>
            </w:r>
          </w:p>
        </w:tc>
        <w:tc>
          <w:tcPr>
            <w:tcW w:w="2250" w:type="dxa"/>
          </w:tcPr>
          <w:p w14:paraId="57779C05" w14:textId="7D3B1BDB" w:rsidR="00BF153E" w:rsidRPr="00C4270B" w:rsidRDefault="00BF153E" w:rsidP="00BF153E">
            <w:pPr>
              <w:rPr>
                <w:sz w:val="20"/>
                <w:szCs w:val="20"/>
              </w:rPr>
            </w:pPr>
            <w:r w:rsidRPr="00C4270B">
              <w:rPr>
                <w:sz w:val="20"/>
                <w:szCs w:val="20"/>
              </w:rPr>
              <w:t>RUC leakages</w:t>
            </w:r>
          </w:p>
        </w:tc>
        <w:tc>
          <w:tcPr>
            <w:tcW w:w="6095" w:type="dxa"/>
          </w:tcPr>
          <w:p w14:paraId="22A95FF5" w14:textId="3EAF9ABE" w:rsidR="00BF153E" w:rsidRPr="00C4270B" w:rsidRDefault="00BF153E" w:rsidP="00BF153E">
            <w:pPr>
              <w:rPr>
                <w:sz w:val="20"/>
                <w:szCs w:val="20"/>
              </w:rPr>
            </w:pPr>
            <w:r w:rsidRPr="00C4270B">
              <w:rPr>
                <w:sz w:val="20"/>
                <w:szCs w:val="20"/>
              </w:rPr>
              <w:t xml:space="preserve">Recommendation that fuel usage be adjusted for leakages using conservative estimate </w:t>
            </w:r>
            <w:r w:rsidR="00DF5412">
              <w:rPr>
                <w:sz w:val="20"/>
                <w:szCs w:val="20"/>
              </w:rPr>
              <w:t>of 4 per cent,</w:t>
            </w:r>
            <w:r w:rsidRPr="00C4270B">
              <w:rPr>
                <w:sz w:val="20"/>
                <w:szCs w:val="20"/>
              </w:rPr>
              <w:t xml:space="preserve"> based on ATO fair and reasonable rates.</w:t>
            </w:r>
          </w:p>
        </w:tc>
      </w:tr>
      <w:tr w:rsidR="00BF153E" w14:paraId="07A16D92" w14:textId="77777777" w:rsidTr="00B629C6">
        <w:tc>
          <w:tcPr>
            <w:tcW w:w="1080" w:type="dxa"/>
          </w:tcPr>
          <w:p w14:paraId="780C7566" w14:textId="77F3781A" w:rsidR="00BF153E" w:rsidRPr="00C4270B" w:rsidRDefault="003F2731" w:rsidP="00BF153E">
            <w:pPr>
              <w:rPr>
                <w:sz w:val="20"/>
                <w:szCs w:val="20"/>
              </w:rPr>
            </w:pPr>
            <w:r w:rsidRPr="00C4270B">
              <w:fldChar w:fldCharType="begin"/>
            </w:r>
            <w:r w:rsidRPr="00C4270B">
              <w:rPr>
                <w:sz w:val="20"/>
                <w:szCs w:val="20"/>
              </w:rPr>
              <w:instrText xml:space="preserve"> REF _Ref58416272 \r \h </w:instrText>
            </w:r>
            <w:r w:rsidR="00C4270B">
              <w:rPr>
                <w:sz w:val="20"/>
                <w:szCs w:val="20"/>
              </w:rPr>
              <w:instrText xml:space="preserve"> \* MERGEFORMAT </w:instrText>
            </w:r>
            <w:r w:rsidRPr="00C4270B">
              <w:fldChar w:fldCharType="separate"/>
            </w:r>
            <w:r w:rsidR="00225EEA">
              <w:rPr>
                <w:sz w:val="20"/>
                <w:szCs w:val="20"/>
              </w:rPr>
              <w:t>4.10</w:t>
            </w:r>
            <w:r w:rsidRPr="00C4270B">
              <w:fldChar w:fldCharType="end"/>
            </w:r>
          </w:p>
        </w:tc>
        <w:tc>
          <w:tcPr>
            <w:tcW w:w="2250" w:type="dxa"/>
          </w:tcPr>
          <w:p w14:paraId="1100CF0E" w14:textId="1AF3E1FD" w:rsidR="00BF153E" w:rsidRPr="00C4270B" w:rsidRDefault="00BF153E" w:rsidP="00BF153E">
            <w:pPr>
              <w:rPr>
                <w:sz w:val="20"/>
                <w:szCs w:val="20"/>
              </w:rPr>
            </w:pPr>
            <w:r w:rsidRPr="00C4270B">
              <w:rPr>
                <w:sz w:val="20"/>
                <w:szCs w:val="20"/>
              </w:rPr>
              <w:t>Unsealed road travel discounts</w:t>
            </w:r>
          </w:p>
        </w:tc>
        <w:tc>
          <w:tcPr>
            <w:tcW w:w="6095" w:type="dxa"/>
          </w:tcPr>
          <w:p w14:paraId="67140F72" w14:textId="6BF39B0D" w:rsidR="00BF153E" w:rsidRPr="00C4270B" w:rsidRDefault="00BD30C8" w:rsidP="00BF153E">
            <w:pPr>
              <w:rPr>
                <w:sz w:val="20"/>
                <w:szCs w:val="20"/>
              </w:rPr>
            </w:pPr>
            <w:r>
              <w:rPr>
                <w:sz w:val="20"/>
                <w:szCs w:val="20"/>
              </w:rPr>
              <w:t xml:space="preserve">Recommendation to continue </w:t>
            </w:r>
            <w:r w:rsidR="00440F94">
              <w:rPr>
                <w:sz w:val="20"/>
                <w:szCs w:val="20"/>
              </w:rPr>
              <w:t xml:space="preserve">the </w:t>
            </w:r>
            <w:r>
              <w:rPr>
                <w:sz w:val="20"/>
                <w:szCs w:val="20"/>
              </w:rPr>
              <w:t>current approach until</w:t>
            </w:r>
            <w:r w:rsidR="00CC05D1">
              <w:rPr>
                <w:sz w:val="20"/>
                <w:szCs w:val="20"/>
              </w:rPr>
              <w:t xml:space="preserve"> better information on travel on unsealed roads can be obtained.</w:t>
            </w:r>
            <w:r w:rsidR="00C82E3E">
              <w:rPr>
                <w:sz w:val="20"/>
                <w:szCs w:val="20"/>
              </w:rPr>
              <w:t xml:space="preserve"> </w:t>
            </w:r>
            <w:r w:rsidR="00440F94">
              <w:rPr>
                <w:sz w:val="20"/>
                <w:szCs w:val="20"/>
              </w:rPr>
              <w:t xml:space="preserve">The </w:t>
            </w:r>
            <w:r w:rsidR="00C82E3E">
              <w:rPr>
                <w:sz w:val="20"/>
                <w:szCs w:val="20"/>
              </w:rPr>
              <w:t xml:space="preserve">NTC to investigate </w:t>
            </w:r>
            <w:r w:rsidR="006A318A">
              <w:rPr>
                <w:sz w:val="20"/>
                <w:szCs w:val="20"/>
              </w:rPr>
              <w:t>possible data sources after the determination</w:t>
            </w:r>
            <w:r w:rsidR="00A03EA9" w:rsidRPr="00C4270B">
              <w:rPr>
                <w:sz w:val="20"/>
                <w:szCs w:val="20"/>
              </w:rPr>
              <w:t>.</w:t>
            </w:r>
          </w:p>
        </w:tc>
      </w:tr>
      <w:tr w:rsidR="00BF153E" w14:paraId="225AFA47" w14:textId="77777777" w:rsidTr="00B629C6">
        <w:tc>
          <w:tcPr>
            <w:tcW w:w="1080" w:type="dxa"/>
          </w:tcPr>
          <w:p w14:paraId="28F65F3B" w14:textId="6924AE52" w:rsidR="00BF153E" w:rsidRPr="00C4270B" w:rsidRDefault="003F2731" w:rsidP="00BF153E">
            <w:pPr>
              <w:rPr>
                <w:sz w:val="20"/>
                <w:szCs w:val="20"/>
              </w:rPr>
            </w:pPr>
            <w:r w:rsidRPr="00C4270B">
              <w:fldChar w:fldCharType="begin"/>
            </w:r>
            <w:r w:rsidRPr="00C4270B">
              <w:rPr>
                <w:sz w:val="20"/>
                <w:szCs w:val="20"/>
              </w:rPr>
              <w:instrText xml:space="preserve"> REF _Ref58416291 \r \h </w:instrText>
            </w:r>
            <w:r w:rsidR="00C4270B">
              <w:rPr>
                <w:sz w:val="20"/>
                <w:szCs w:val="20"/>
              </w:rPr>
              <w:instrText xml:space="preserve"> \* MERGEFORMAT </w:instrText>
            </w:r>
            <w:r w:rsidRPr="00C4270B">
              <w:fldChar w:fldCharType="separate"/>
            </w:r>
            <w:r w:rsidR="00225EEA">
              <w:rPr>
                <w:sz w:val="20"/>
                <w:szCs w:val="20"/>
              </w:rPr>
              <w:t>4.11</w:t>
            </w:r>
            <w:r w:rsidRPr="00C4270B">
              <w:fldChar w:fldCharType="end"/>
            </w:r>
          </w:p>
        </w:tc>
        <w:tc>
          <w:tcPr>
            <w:tcW w:w="2250" w:type="dxa"/>
          </w:tcPr>
          <w:p w14:paraId="0EB01CAC" w14:textId="4AC886B5" w:rsidR="00BF153E" w:rsidRPr="00C4270B" w:rsidRDefault="005B6D0D" w:rsidP="00BF153E">
            <w:pPr>
              <w:rPr>
                <w:sz w:val="20"/>
                <w:szCs w:val="20"/>
              </w:rPr>
            </w:pPr>
            <w:r>
              <w:rPr>
                <w:sz w:val="20"/>
                <w:szCs w:val="20"/>
              </w:rPr>
              <w:t>Community service obligations</w:t>
            </w:r>
            <w:r w:rsidRPr="00C4270B">
              <w:rPr>
                <w:sz w:val="20"/>
                <w:szCs w:val="20"/>
              </w:rPr>
              <w:t xml:space="preserve"> </w:t>
            </w:r>
            <w:r w:rsidR="00BF153E" w:rsidRPr="00C4270B">
              <w:rPr>
                <w:sz w:val="20"/>
                <w:szCs w:val="20"/>
              </w:rPr>
              <w:t>discount</w:t>
            </w:r>
          </w:p>
        </w:tc>
        <w:tc>
          <w:tcPr>
            <w:tcW w:w="6095" w:type="dxa"/>
          </w:tcPr>
          <w:p w14:paraId="1548BBD8" w14:textId="775C177B" w:rsidR="00BF153E" w:rsidRPr="00C4270B" w:rsidRDefault="00BF153E" w:rsidP="00BF153E">
            <w:pPr>
              <w:rPr>
                <w:sz w:val="20"/>
                <w:szCs w:val="20"/>
              </w:rPr>
            </w:pPr>
            <w:r w:rsidRPr="00C4270B">
              <w:rPr>
                <w:sz w:val="20"/>
                <w:szCs w:val="20"/>
              </w:rPr>
              <w:t xml:space="preserve">Removal recommended </w:t>
            </w:r>
            <w:r w:rsidR="003B0083">
              <w:rPr>
                <w:sz w:val="20"/>
                <w:szCs w:val="20"/>
              </w:rPr>
              <w:t>because</w:t>
            </w:r>
            <w:r w:rsidR="003B0083" w:rsidRPr="00C4270B">
              <w:rPr>
                <w:sz w:val="20"/>
                <w:szCs w:val="20"/>
              </w:rPr>
              <w:t xml:space="preserve"> </w:t>
            </w:r>
            <w:r w:rsidRPr="00C4270B">
              <w:rPr>
                <w:sz w:val="20"/>
                <w:szCs w:val="20"/>
              </w:rPr>
              <w:t>this has minimal impact in practice.</w:t>
            </w:r>
          </w:p>
        </w:tc>
      </w:tr>
      <w:tr w:rsidR="002D006C" w14:paraId="3D925E65" w14:textId="77777777" w:rsidTr="00B629C6">
        <w:tc>
          <w:tcPr>
            <w:tcW w:w="1080" w:type="dxa"/>
          </w:tcPr>
          <w:p w14:paraId="5CBE1141" w14:textId="26DA37B3" w:rsidR="002D006C" w:rsidRPr="00C4270B" w:rsidRDefault="003F2731" w:rsidP="002D006C">
            <w:pPr>
              <w:rPr>
                <w:sz w:val="20"/>
                <w:szCs w:val="20"/>
              </w:rPr>
            </w:pPr>
            <w:r w:rsidRPr="00C4270B">
              <w:fldChar w:fldCharType="begin"/>
            </w:r>
            <w:r w:rsidRPr="00C4270B">
              <w:rPr>
                <w:sz w:val="20"/>
                <w:szCs w:val="20"/>
              </w:rPr>
              <w:instrText xml:space="preserve"> REF _Ref64881129 \r \h </w:instrText>
            </w:r>
            <w:r w:rsidR="00C4270B">
              <w:rPr>
                <w:sz w:val="20"/>
                <w:szCs w:val="20"/>
              </w:rPr>
              <w:instrText xml:space="preserve"> \* MERGEFORMAT </w:instrText>
            </w:r>
            <w:r w:rsidRPr="00C4270B">
              <w:fldChar w:fldCharType="separate"/>
            </w:r>
            <w:r w:rsidR="00225EEA">
              <w:rPr>
                <w:sz w:val="20"/>
                <w:szCs w:val="20"/>
              </w:rPr>
              <w:t>4.12</w:t>
            </w:r>
            <w:r w:rsidRPr="00C4270B">
              <w:fldChar w:fldCharType="end"/>
            </w:r>
          </w:p>
        </w:tc>
        <w:tc>
          <w:tcPr>
            <w:tcW w:w="2250" w:type="dxa"/>
          </w:tcPr>
          <w:p w14:paraId="02A8E50D" w14:textId="68219B86" w:rsidR="002D006C" w:rsidRPr="00C4270B" w:rsidRDefault="00B629C6" w:rsidP="002D006C">
            <w:pPr>
              <w:rPr>
                <w:sz w:val="20"/>
                <w:szCs w:val="20"/>
              </w:rPr>
            </w:pPr>
            <w:r>
              <w:rPr>
                <w:sz w:val="20"/>
                <w:szCs w:val="20"/>
              </w:rPr>
              <w:t>Heavy vehicle c</w:t>
            </w:r>
            <w:r w:rsidR="002D006C" w:rsidRPr="00C4270B">
              <w:rPr>
                <w:sz w:val="20"/>
                <w:szCs w:val="20"/>
              </w:rPr>
              <w:t>oncessions</w:t>
            </w:r>
          </w:p>
        </w:tc>
        <w:tc>
          <w:tcPr>
            <w:tcW w:w="6095" w:type="dxa"/>
          </w:tcPr>
          <w:p w14:paraId="2467CF8F" w14:textId="6B466A29" w:rsidR="002D006C" w:rsidRPr="00C4270B" w:rsidRDefault="002D006C" w:rsidP="002D006C">
            <w:pPr>
              <w:rPr>
                <w:sz w:val="20"/>
                <w:szCs w:val="20"/>
              </w:rPr>
            </w:pPr>
            <w:r w:rsidRPr="00C4270B">
              <w:rPr>
                <w:sz w:val="20"/>
                <w:szCs w:val="20"/>
              </w:rPr>
              <w:t xml:space="preserve">No changes recommended as part of </w:t>
            </w:r>
            <w:r w:rsidR="00440F94">
              <w:rPr>
                <w:sz w:val="20"/>
                <w:szCs w:val="20"/>
              </w:rPr>
              <w:t xml:space="preserve">this </w:t>
            </w:r>
            <w:r w:rsidRPr="00C4270B">
              <w:rPr>
                <w:sz w:val="20"/>
                <w:szCs w:val="20"/>
              </w:rPr>
              <w:t>determination. Separate process recommended for states and territories to review and harmonise, where possible.</w:t>
            </w:r>
          </w:p>
        </w:tc>
      </w:tr>
      <w:tr w:rsidR="002D006C" w14:paraId="6FE5C687" w14:textId="77777777" w:rsidTr="00B629C6">
        <w:tc>
          <w:tcPr>
            <w:tcW w:w="1080" w:type="dxa"/>
          </w:tcPr>
          <w:p w14:paraId="51BA8595" w14:textId="7E8EBE28" w:rsidR="002D006C" w:rsidRPr="00C4270B" w:rsidRDefault="003F2731" w:rsidP="002D006C">
            <w:pPr>
              <w:rPr>
                <w:sz w:val="20"/>
                <w:szCs w:val="20"/>
              </w:rPr>
            </w:pPr>
            <w:r w:rsidRPr="00C4270B">
              <w:fldChar w:fldCharType="begin"/>
            </w:r>
            <w:r w:rsidRPr="00C4270B">
              <w:rPr>
                <w:sz w:val="20"/>
                <w:szCs w:val="20"/>
              </w:rPr>
              <w:instrText xml:space="preserve"> REF _Ref58416306 \r \h </w:instrText>
            </w:r>
            <w:r w:rsidR="00C4270B">
              <w:rPr>
                <w:sz w:val="20"/>
                <w:szCs w:val="20"/>
              </w:rPr>
              <w:instrText xml:space="preserve"> \* MERGEFORMAT </w:instrText>
            </w:r>
            <w:r w:rsidRPr="00C4270B">
              <w:fldChar w:fldCharType="separate"/>
            </w:r>
            <w:r w:rsidR="00225EEA">
              <w:rPr>
                <w:sz w:val="20"/>
                <w:szCs w:val="20"/>
              </w:rPr>
              <w:t>4.13</w:t>
            </w:r>
            <w:r w:rsidRPr="00C4270B">
              <w:fldChar w:fldCharType="end"/>
            </w:r>
          </w:p>
        </w:tc>
        <w:tc>
          <w:tcPr>
            <w:tcW w:w="2250" w:type="dxa"/>
          </w:tcPr>
          <w:p w14:paraId="7BA3827C" w14:textId="7E779BCF" w:rsidR="002D006C" w:rsidRPr="00C4270B" w:rsidRDefault="002D006C" w:rsidP="002D006C">
            <w:pPr>
              <w:rPr>
                <w:sz w:val="20"/>
                <w:szCs w:val="20"/>
              </w:rPr>
            </w:pPr>
            <w:r w:rsidRPr="00C4270B">
              <w:rPr>
                <w:sz w:val="20"/>
                <w:szCs w:val="20"/>
              </w:rPr>
              <w:t>Electric vehicle fleet</w:t>
            </w:r>
          </w:p>
        </w:tc>
        <w:tc>
          <w:tcPr>
            <w:tcW w:w="6095" w:type="dxa"/>
          </w:tcPr>
          <w:p w14:paraId="4AD1DBB0" w14:textId="4DA1579F" w:rsidR="002D006C" w:rsidRPr="00C4270B" w:rsidRDefault="002D006C" w:rsidP="002D006C">
            <w:pPr>
              <w:rPr>
                <w:sz w:val="20"/>
                <w:szCs w:val="20"/>
              </w:rPr>
            </w:pPr>
            <w:r w:rsidRPr="00C4270B">
              <w:rPr>
                <w:sz w:val="20"/>
                <w:szCs w:val="20"/>
              </w:rPr>
              <w:t xml:space="preserve">No action recommended as part of this determination. Regular reporting and monitoring recommended. </w:t>
            </w:r>
          </w:p>
        </w:tc>
      </w:tr>
      <w:tr w:rsidR="002D006C" w14:paraId="76A63058" w14:textId="77777777" w:rsidTr="004810A6">
        <w:tc>
          <w:tcPr>
            <w:tcW w:w="9425" w:type="dxa"/>
            <w:gridSpan w:val="3"/>
            <w:shd w:val="clear" w:color="auto" w:fill="E7E8EA" w:themeFill="text1" w:themeFillTint="1A"/>
          </w:tcPr>
          <w:p w14:paraId="4FD34260" w14:textId="0239C064" w:rsidR="002D006C" w:rsidRPr="00A131E4" w:rsidRDefault="002D006C" w:rsidP="002D006C">
            <w:pPr>
              <w:rPr>
                <w:b/>
                <w:bCs/>
                <w:sz w:val="20"/>
                <w:szCs w:val="20"/>
              </w:rPr>
            </w:pPr>
            <w:r w:rsidRPr="00A131E4">
              <w:rPr>
                <w:b/>
                <w:bCs/>
              </w:rPr>
              <w:t>Recovery of regulatory costs</w:t>
            </w:r>
          </w:p>
        </w:tc>
      </w:tr>
      <w:tr w:rsidR="002D006C" w14:paraId="5F0A84A6" w14:textId="77777777" w:rsidTr="00B629C6">
        <w:tc>
          <w:tcPr>
            <w:tcW w:w="1080" w:type="dxa"/>
          </w:tcPr>
          <w:p w14:paraId="35CF0949" w14:textId="44C915DE" w:rsidR="002D006C" w:rsidRPr="00C4270B" w:rsidRDefault="003F2731" w:rsidP="002D006C">
            <w:pPr>
              <w:rPr>
                <w:sz w:val="20"/>
                <w:szCs w:val="20"/>
              </w:rPr>
            </w:pPr>
            <w:r w:rsidRPr="00C4270B">
              <w:fldChar w:fldCharType="begin"/>
            </w:r>
            <w:r w:rsidRPr="00C4270B">
              <w:rPr>
                <w:sz w:val="20"/>
                <w:szCs w:val="20"/>
              </w:rPr>
              <w:instrText xml:space="preserve"> REF _Ref58416330 \r \h </w:instrText>
            </w:r>
            <w:r w:rsidR="00C4270B">
              <w:rPr>
                <w:sz w:val="20"/>
                <w:szCs w:val="20"/>
              </w:rPr>
              <w:instrText xml:space="preserve"> \* MERGEFORMAT </w:instrText>
            </w:r>
            <w:r w:rsidRPr="00C4270B">
              <w:fldChar w:fldCharType="separate"/>
            </w:r>
            <w:r w:rsidR="00225EEA">
              <w:rPr>
                <w:sz w:val="20"/>
                <w:szCs w:val="20"/>
              </w:rPr>
              <w:t>4.14</w:t>
            </w:r>
            <w:r w:rsidRPr="00C4270B">
              <w:fldChar w:fldCharType="end"/>
            </w:r>
          </w:p>
        </w:tc>
        <w:tc>
          <w:tcPr>
            <w:tcW w:w="2250" w:type="dxa"/>
          </w:tcPr>
          <w:p w14:paraId="62A40564" w14:textId="492599EC" w:rsidR="002D006C" w:rsidRPr="00C4270B" w:rsidRDefault="002D006C" w:rsidP="002D006C">
            <w:pPr>
              <w:rPr>
                <w:sz w:val="20"/>
                <w:szCs w:val="20"/>
              </w:rPr>
            </w:pPr>
            <w:r w:rsidRPr="00C4270B">
              <w:rPr>
                <w:sz w:val="20"/>
                <w:szCs w:val="20"/>
              </w:rPr>
              <w:t>Recovery of regulatory costs</w:t>
            </w:r>
          </w:p>
        </w:tc>
        <w:tc>
          <w:tcPr>
            <w:tcW w:w="6095" w:type="dxa"/>
          </w:tcPr>
          <w:p w14:paraId="496FBF4B" w14:textId="5225787A" w:rsidR="002D006C" w:rsidRPr="00C4270B" w:rsidRDefault="00CC36EC" w:rsidP="002D006C">
            <w:pPr>
              <w:rPr>
                <w:sz w:val="20"/>
                <w:szCs w:val="20"/>
              </w:rPr>
            </w:pPr>
            <w:r w:rsidRPr="00C4270B">
              <w:rPr>
                <w:sz w:val="20"/>
                <w:szCs w:val="20"/>
              </w:rPr>
              <w:t xml:space="preserve">Recalculate </w:t>
            </w:r>
            <w:r w:rsidR="00440F94">
              <w:rPr>
                <w:sz w:val="20"/>
                <w:szCs w:val="20"/>
              </w:rPr>
              <w:t xml:space="preserve">the </w:t>
            </w:r>
            <w:r w:rsidRPr="00C4270B">
              <w:rPr>
                <w:sz w:val="20"/>
                <w:szCs w:val="20"/>
              </w:rPr>
              <w:t xml:space="preserve">regulatory component of registration charges using </w:t>
            </w:r>
            <w:r w:rsidR="00440F94">
              <w:rPr>
                <w:sz w:val="20"/>
                <w:szCs w:val="20"/>
              </w:rPr>
              <w:t xml:space="preserve">the </w:t>
            </w:r>
            <w:r w:rsidRPr="00C4270B">
              <w:rPr>
                <w:sz w:val="20"/>
                <w:szCs w:val="20"/>
              </w:rPr>
              <w:t xml:space="preserve">current formula, updated usage data and </w:t>
            </w:r>
            <w:r w:rsidR="00440F94">
              <w:rPr>
                <w:sz w:val="20"/>
                <w:szCs w:val="20"/>
              </w:rPr>
              <w:t xml:space="preserve">the </w:t>
            </w:r>
            <w:r w:rsidRPr="00C4270B">
              <w:rPr>
                <w:sz w:val="20"/>
                <w:szCs w:val="20"/>
              </w:rPr>
              <w:t>current approved NHVR budget.</w:t>
            </w:r>
            <w:r w:rsidR="006540F7">
              <w:rPr>
                <w:sz w:val="20"/>
                <w:szCs w:val="20"/>
              </w:rPr>
              <w:t xml:space="preserve"> Introduce</w:t>
            </w:r>
            <w:r w:rsidR="00440F94">
              <w:rPr>
                <w:sz w:val="20"/>
                <w:szCs w:val="20"/>
              </w:rPr>
              <w:t xml:space="preserve"> an</w:t>
            </w:r>
            <w:r w:rsidR="006540F7">
              <w:rPr>
                <w:sz w:val="20"/>
                <w:szCs w:val="20"/>
              </w:rPr>
              <w:t xml:space="preserve"> automatic process in </w:t>
            </w:r>
            <w:r w:rsidR="00440F94">
              <w:rPr>
                <w:sz w:val="20"/>
                <w:szCs w:val="20"/>
              </w:rPr>
              <w:t>m</w:t>
            </w:r>
            <w:r w:rsidR="006540F7">
              <w:rPr>
                <w:sz w:val="20"/>
                <w:szCs w:val="20"/>
              </w:rPr>
              <w:t xml:space="preserve">odel </w:t>
            </w:r>
            <w:r w:rsidR="00440F94">
              <w:rPr>
                <w:sz w:val="20"/>
                <w:szCs w:val="20"/>
              </w:rPr>
              <w:t>l</w:t>
            </w:r>
            <w:r w:rsidR="006540F7">
              <w:rPr>
                <w:sz w:val="20"/>
                <w:szCs w:val="20"/>
              </w:rPr>
              <w:t xml:space="preserve">aw to adjust </w:t>
            </w:r>
            <w:r w:rsidR="00440F94">
              <w:rPr>
                <w:sz w:val="20"/>
                <w:szCs w:val="20"/>
              </w:rPr>
              <w:t xml:space="preserve">the </w:t>
            </w:r>
            <w:r w:rsidR="006540F7">
              <w:rPr>
                <w:sz w:val="20"/>
                <w:szCs w:val="20"/>
              </w:rPr>
              <w:t xml:space="preserve">regulatory component of registration charges from year to year. </w:t>
            </w:r>
            <w:r w:rsidR="00440F94">
              <w:rPr>
                <w:sz w:val="20"/>
                <w:szCs w:val="20"/>
              </w:rPr>
              <w:t>Th</w:t>
            </w:r>
            <w:r w:rsidR="00DD7A14">
              <w:rPr>
                <w:sz w:val="20"/>
                <w:szCs w:val="20"/>
              </w:rPr>
              <w:t>e</w:t>
            </w:r>
            <w:r w:rsidR="00440F94">
              <w:rPr>
                <w:sz w:val="20"/>
                <w:szCs w:val="20"/>
              </w:rPr>
              <w:t xml:space="preserve"> </w:t>
            </w:r>
            <w:r w:rsidR="006540F7">
              <w:rPr>
                <w:sz w:val="20"/>
                <w:szCs w:val="20"/>
              </w:rPr>
              <w:t>NTC to publish indicative regulatory components of registration charges on its website for</w:t>
            </w:r>
            <w:r w:rsidR="00CA4299">
              <w:rPr>
                <w:sz w:val="20"/>
                <w:szCs w:val="20"/>
              </w:rPr>
              <w:t xml:space="preserve"> the proposed three-year price period.</w:t>
            </w:r>
            <w:r w:rsidR="009E61AA">
              <w:rPr>
                <w:sz w:val="20"/>
                <w:szCs w:val="20"/>
              </w:rPr>
              <w:t xml:space="preserve"> </w:t>
            </w:r>
          </w:p>
        </w:tc>
      </w:tr>
    </w:tbl>
    <w:bookmarkEnd w:id="129"/>
    <w:p w14:paraId="277B1F6F" w14:textId="026200F7" w:rsidR="002D006C" w:rsidRPr="001B077C" w:rsidRDefault="002D006C" w:rsidP="00AF7B68">
      <w:pPr>
        <w:pStyle w:val="BodyCopy"/>
      </w:pPr>
      <w:r>
        <w:t>Th</w:t>
      </w:r>
      <w:r w:rsidR="00CD0F5B">
        <w:t xml:space="preserve">e following </w:t>
      </w:r>
      <w:r>
        <w:t>section</w:t>
      </w:r>
      <w:r w:rsidR="00CD0F5B">
        <w:t>s</w:t>
      </w:r>
      <w:r>
        <w:t xml:space="preserve"> </w:t>
      </w:r>
      <w:r w:rsidR="00CD0F5B">
        <w:t>provide a detailed analysis for each topic, outlining</w:t>
      </w:r>
      <w:r>
        <w:t xml:space="preserve"> the issue and possible options before presenting a recommended approach.</w:t>
      </w:r>
      <w:r w:rsidR="00830D17">
        <w:t xml:space="preserve"> </w:t>
      </w:r>
    </w:p>
    <w:p w14:paraId="1359D255" w14:textId="00B60845" w:rsidR="00360124" w:rsidRDefault="1C43F52D" w:rsidP="00AF7B68">
      <w:pPr>
        <w:pStyle w:val="Heading2"/>
      </w:pPr>
      <w:bookmarkStart w:id="130" w:name="_Ref64880951"/>
      <w:bookmarkStart w:id="131" w:name="_Toc86158401"/>
      <w:r>
        <w:t>Trust in expenditure data</w:t>
      </w:r>
      <w:bookmarkEnd w:id="130"/>
      <w:bookmarkEnd w:id="131"/>
    </w:p>
    <w:p w14:paraId="6267E1C2" w14:textId="1C4AECAD" w:rsidR="00B312E9" w:rsidRPr="00B312E9" w:rsidRDefault="00B312E9" w:rsidP="00BD61D2">
      <w:pPr>
        <w:pStyle w:val="Heading3"/>
      </w:pPr>
      <w:bookmarkStart w:id="132" w:name="_Toc86158402"/>
      <w:r>
        <w:t>Background</w:t>
      </w:r>
      <w:bookmarkEnd w:id="132"/>
    </w:p>
    <w:p w14:paraId="133EB44E" w14:textId="108DEFC3" w:rsidR="00360124" w:rsidRPr="008514F3" w:rsidRDefault="008514F3" w:rsidP="00A33719">
      <w:pPr>
        <w:pStyle w:val="BodyCopy"/>
      </w:pPr>
      <w:r>
        <w:t xml:space="preserve">A relative lack of </w:t>
      </w:r>
      <w:r w:rsidR="0F2D63AF" w:rsidRPr="008514F3">
        <w:t>trust</w:t>
      </w:r>
      <w:r>
        <w:t xml:space="preserve"> by industry</w:t>
      </w:r>
      <w:r w:rsidR="0F2D63AF" w:rsidRPr="008514F3">
        <w:t xml:space="preserve"> in</w:t>
      </w:r>
      <w:r>
        <w:t xml:space="preserve"> the</w:t>
      </w:r>
      <w:r w:rsidR="0F2D63AF" w:rsidRPr="008514F3">
        <w:t xml:space="preserve"> </w:t>
      </w:r>
      <w:r>
        <w:t>e</w:t>
      </w:r>
      <w:r w:rsidR="0F2D63AF" w:rsidRPr="008514F3">
        <w:t>xpenditure data</w:t>
      </w:r>
      <w:r>
        <w:t xml:space="preserve"> submitted by states and territories</w:t>
      </w:r>
      <w:r w:rsidR="0F2D63AF" w:rsidRPr="008514F3">
        <w:t xml:space="preserve"> </w:t>
      </w:r>
      <w:r w:rsidR="04EEEECB" w:rsidRPr="008514F3">
        <w:t xml:space="preserve">and its allocation to </w:t>
      </w:r>
      <w:r w:rsidR="663F6FFE" w:rsidRPr="008514F3">
        <w:t>PAYGO cost categories has been a</w:t>
      </w:r>
      <w:r w:rsidR="04EEEECB" w:rsidRPr="008514F3">
        <w:t xml:space="preserve"> </w:t>
      </w:r>
      <w:r w:rsidR="742E18E0" w:rsidRPr="008514F3">
        <w:t>persistent iss</w:t>
      </w:r>
      <w:r w:rsidR="4CE2F6D0" w:rsidRPr="008514F3">
        <w:t>ue</w:t>
      </w:r>
      <w:r w:rsidR="45FDDF95" w:rsidRPr="008514F3">
        <w:t xml:space="preserve"> across previous </w:t>
      </w:r>
      <w:r>
        <w:t>determinations.</w:t>
      </w:r>
    </w:p>
    <w:p w14:paraId="4A166103" w14:textId="52467EF7" w:rsidR="00360124" w:rsidRPr="008514F3" w:rsidRDefault="507B448E" w:rsidP="00A33719">
      <w:pPr>
        <w:pStyle w:val="BodyCopy"/>
      </w:pPr>
      <w:r w:rsidRPr="008514F3">
        <w:lastRenderedPageBreak/>
        <w:t xml:space="preserve">As part of the previous </w:t>
      </w:r>
      <w:r w:rsidR="001A5C71">
        <w:t>d</w:t>
      </w:r>
      <w:r w:rsidRPr="008514F3">
        <w:t xml:space="preserve">etermination, the NTC commissioned a review conducted by EY to </w:t>
      </w:r>
      <w:r w:rsidR="008514F3">
        <w:t xml:space="preserve">develop a possible </w:t>
      </w:r>
      <w:r w:rsidRPr="008514F3">
        <w:t>audit program designed to check the accuracy of expenditure data submitted by jurisdictions</w:t>
      </w:r>
      <w:r w:rsidR="002F52F7">
        <w:t xml:space="preserve">. </w:t>
      </w:r>
    </w:p>
    <w:p w14:paraId="2CC5F226" w14:textId="744C1985" w:rsidR="00E03944" w:rsidRPr="00E03944" w:rsidRDefault="614E2712" w:rsidP="002B3467">
      <w:pPr>
        <w:pStyle w:val="BodyCopy"/>
      </w:pPr>
      <w:r>
        <w:t>The scope of this work included:</w:t>
      </w:r>
    </w:p>
    <w:p w14:paraId="40E75713" w14:textId="0399D1CA" w:rsidR="00E03944" w:rsidRPr="00E03944" w:rsidRDefault="008514F3" w:rsidP="002B3467">
      <w:pPr>
        <w:pStyle w:val="List-bulletlvl1"/>
      </w:pPr>
      <w:r>
        <w:t>i</w:t>
      </w:r>
      <w:r w:rsidR="614E2712">
        <w:t>dentify</w:t>
      </w:r>
      <w:r>
        <w:t>ing</w:t>
      </w:r>
      <w:r w:rsidR="614E2712">
        <w:t xml:space="preserve"> key risk areas associated with prepar</w:t>
      </w:r>
      <w:r w:rsidR="005B6D0D">
        <w:t>ing</w:t>
      </w:r>
      <w:r w:rsidR="614E2712">
        <w:t xml:space="preserve"> NTC road construction and maintenance data</w:t>
      </w:r>
    </w:p>
    <w:p w14:paraId="06044162" w14:textId="36C90D4E" w:rsidR="00E03944" w:rsidRPr="00E03944" w:rsidRDefault="008514F3" w:rsidP="002B3467">
      <w:pPr>
        <w:pStyle w:val="List-bulletlvl1"/>
      </w:pPr>
      <w:r>
        <w:t>d</w:t>
      </w:r>
      <w:r w:rsidR="614E2712">
        <w:t>evelop</w:t>
      </w:r>
      <w:r>
        <w:t>ing</w:t>
      </w:r>
      <w:r w:rsidR="614E2712">
        <w:t xml:space="preserve"> audit design options to address key risks</w:t>
      </w:r>
    </w:p>
    <w:p w14:paraId="6C4CF908" w14:textId="34B5D1D6" w:rsidR="00E03944" w:rsidRPr="00E03944" w:rsidRDefault="008514F3" w:rsidP="002B3467">
      <w:pPr>
        <w:pStyle w:val="List-bulletlvl1"/>
      </w:pPr>
      <w:r>
        <w:t>designing</w:t>
      </w:r>
      <w:r w:rsidR="614E2712">
        <w:t xml:space="preserve"> a range of audit options to assist the NTC in increasing stakeholder confidence on the accuracy, consistency and categorisation of the reported expenditure</w:t>
      </w:r>
      <w:r w:rsidR="00A03EA9">
        <w:t>.</w:t>
      </w:r>
      <w:r w:rsidR="614E2712">
        <w:t xml:space="preserve"> </w:t>
      </w:r>
    </w:p>
    <w:p w14:paraId="67E6F3CB" w14:textId="7765F12C" w:rsidR="00E03944" w:rsidRDefault="008514F3" w:rsidP="002B3467">
      <w:pPr>
        <w:pStyle w:val="BodyCopy"/>
      </w:pPr>
      <w:r>
        <w:t>The report provided a range of options</w:t>
      </w:r>
      <w:r w:rsidR="614E2712">
        <w:t xml:space="preserve"> </w:t>
      </w:r>
      <w:r w:rsidR="005833F5">
        <w:t>for an audit program</w:t>
      </w:r>
      <w:r w:rsidR="00756765">
        <w:t>. These options</w:t>
      </w:r>
      <w:r w:rsidR="001A5C71">
        <w:t xml:space="preserve"> </w:t>
      </w:r>
      <w:r>
        <w:t xml:space="preserve">were </w:t>
      </w:r>
      <w:r w:rsidR="614E2712">
        <w:t>assessed by</w:t>
      </w:r>
      <w:r>
        <w:t xml:space="preserve"> the</w:t>
      </w:r>
      <w:r w:rsidR="614E2712">
        <w:t xml:space="preserve"> level of confidence provided and </w:t>
      </w:r>
      <w:r>
        <w:t>the</w:t>
      </w:r>
      <w:r w:rsidR="001A5C71">
        <w:t xml:space="preserve"> </w:t>
      </w:r>
      <w:r w:rsidR="614E2712">
        <w:t>cost of implementation</w:t>
      </w:r>
      <w:r w:rsidR="001A5C71">
        <w:t>, as outlined</w:t>
      </w:r>
      <w:r w:rsidR="2624C5F8">
        <w:t xml:space="preserve"> in</w:t>
      </w:r>
      <w:r w:rsidR="001A5C71">
        <w:t xml:space="preserve"> </w:t>
      </w:r>
      <w:r w:rsidR="00E51670">
        <w:fldChar w:fldCharType="begin"/>
      </w:r>
      <w:r w:rsidR="00E51670">
        <w:instrText xml:space="preserve"> REF _Ref61442368 \r \h </w:instrText>
      </w:r>
      <w:r w:rsidR="00E51670">
        <w:fldChar w:fldCharType="separate"/>
      </w:r>
      <w:r w:rsidR="00225EEA">
        <w:t>Table 4</w:t>
      </w:r>
      <w:r w:rsidR="00E51670">
        <w:fldChar w:fldCharType="end"/>
      </w:r>
      <w:r>
        <w:t>.</w:t>
      </w:r>
      <w:r w:rsidR="00830D17">
        <w:t xml:space="preserve"> </w:t>
      </w:r>
    </w:p>
    <w:p w14:paraId="0FE8954E" w14:textId="4336C5D7" w:rsidR="00E2167C" w:rsidRDefault="008514F3" w:rsidP="00E2167C">
      <w:pPr>
        <w:pStyle w:val="Tabletitle"/>
      </w:pPr>
      <w:bookmarkStart w:id="133" w:name="_Ref59436339"/>
      <w:bookmarkStart w:id="134" w:name="_Toc59436388"/>
      <w:bookmarkStart w:id="135" w:name="_Ref61442368"/>
      <w:bookmarkStart w:id="136" w:name="_Toc86158543"/>
      <w:r>
        <w:t>Audit program</w:t>
      </w:r>
      <w:bookmarkEnd w:id="133"/>
      <w:bookmarkEnd w:id="134"/>
      <w:r>
        <w:t xml:space="preserve"> options</w:t>
      </w:r>
      <w:bookmarkEnd w:id="135"/>
      <w:bookmarkEnd w:id="136"/>
    </w:p>
    <w:tbl>
      <w:tblPr>
        <w:tblStyle w:val="NTCtable"/>
        <w:tblW w:w="9170" w:type="dxa"/>
        <w:tblLayout w:type="fixed"/>
        <w:tblCellMar>
          <w:top w:w="85" w:type="dxa"/>
          <w:bottom w:w="85" w:type="dxa"/>
        </w:tblCellMar>
        <w:tblLook w:val="0600" w:firstRow="0" w:lastRow="0" w:firstColumn="0" w:lastColumn="0" w:noHBand="1" w:noVBand="1"/>
      </w:tblPr>
      <w:tblGrid>
        <w:gridCol w:w="1710"/>
        <w:gridCol w:w="3960"/>
        <w:gridCol w:w="1350"/>
        <w:gridCol w:w="2150"/>
      </w:tblGrid>
      <w:tr w:rsidR="002B3467" w:rsidRPr="0034772A" w14:paraId="3DAE48F8" w14:textId="77777777" w:rsidTr="00756765">
        <w:trPr>
          <w:trHeight w:val="408"/>
          <w:tblHeader/>
        </w:trPr>
        <w:tc>
          <w:tcPr>
            <w:tcW w:w="1710" w:type="dxa"/>
            <w:shd w:val="clear" w:color="auto" w:fill="DCF5F3"/>
            <w:hideMark/>
          </w:tcPr>
          <w:p w14:paraId="685E4474" w14:textId="6CD62E50" w:rsidR="008514F3" w:rsidRPr="00A131E4" w:rsidRDefault="008514F3" w:rsidP="00FD39C5">
            <w:pPr>
              <w:pStyle w:val="BodyCopy"/>
              <w:rPr>
                <w:b/>
                <w:bCs/>
                <w:sz w:val="20"/>
                <w:szCs w:val="22"/>
              </w:rPr>
            </w:pPr>
            <w:r w:rsidRPr="00A131E4">
              <w:rPr>
                <w:b/>
                <w:bCs/>
                <w:sz w:val="20"/>
                <w:szCs w:val="22"/>
              </w:rPr>
              <w:t xml:space="preserve">Audit </w:t>
            </w:r>
            <w:r w:rsidR="00C24A7E" w:rsidRPr="00A131E4">
              <w:rPr>
                <w:b/>
                <w:bCs/>
                <w:sz w:val="20"/>
                <w:szCs w:val="22"/>
              </w:rPr>
              <w:t>o</w:t>
            </w:r>
            <w:r w:rsidRPr="00A131E4">
              <w:rPr>
                <w:b/>
                <w:bCs/>
                <w:sz w:val="20"/>
                <w:szCs w:val="22"/>
              </w:rPr>
              <w:t>ption</w:t>
            </w:r>
          </w:p>
        </w:tc>
        <w:tc>
          <w:tcPr>
            <w:tcW w:w="3960" w:type="dxa"/>
            <w:shd w:val="clear" w:color="auto" w:fill="DCF5F3"/>
            <w:hideMark/>
          </w:tcPr>
          <w:p w14:paraId="037516CD" w14:textId="77777777" w:rsidR="008514F3" w:rsidRPr="00A131E4" w:rsidRDefault="008514F3" w:rsidP="00FD39C5">
            <w:pPr>
              <w:pStyle w:val="BodyCopy"/>
              <w:rPr>
                <w:b/>
                <w:bCs/>
                <w:sz w:val="20"/>
                <w:szCs w:val="22"/>
              </w:rPr>
            </w:pPr>
            <w:r w:rsidRPr="00A131E4">
              <w:rPr>
                <w:b/>
                <w:bCs/>
                <w:sz w:val="20"/>
                <w:szCs w:val="22"/>
              </w:rPr>
              <w:t>Description</w:t>
            </w:r>
          </w:p>
        </w:tc>
        <w:tc>
          <w:tcPr>
            <w:tcW w:w="1350" w:type="dxa"/>
            <w:shd w:val="clear" w:color="auto" w:fill="DCF5F3"/>
            <w:hideMark/>
          </w:tcPr>
          <w:p w14:paraId="3DF855DE" w14:textId="77777777" w:rsidR="008514F3" w:rsidRPr="00A131E4" w:rsidRDefault="008514F3" w:rsidP="00FD39C5">
            <w:pPr>
              <w:pStyle w:val="BodyCopy"/>
              <w:rPr>
                <w:b/>
                <w:bCs/>
                <w:sz w:val="20"/>
                <w:szCs w:val="22"/>
              </w:rPr>
            </w:pPr>
            <w:r w:rsidRPr="00A131E4">
              <w:rPr>
                <w:b/>
                <w:bCs/>
                <w:sz w:val="20"/>
                <w:szCs w:val="22"/>
              </w:rPr>
              <w:t>Level of confidence</w:t>
            </w:r>
          </w:p>
        </w:tc>
        <w:tc>
          <w:tcPr>
            <w:tcW w:w="2150" w:type="dxa"/>
            <w:shd w:val="clear" w:color="auto" w:fill="DCF5F3"/>
            <w:hideMark/>
          </w:tcPr>
          <w:p w14:paraId="7B03039B" w14:textId="77777777" w:rsidR="008514F3" w:rsidRPr="00A131E4" w:rsidRDefault="008514F3" w:rsidP="00FD39C5">
            <w:pPr>
              <w:pStyle w:val="BodyCopy"/>
              <w:rPr>
                <w:b/>
                <w:bCs/>
                <w:sz w:val="20"/>
                <w:szCs w:val="22"/>
              </w:rPr>
            </w:pPr>
            <w:r w:rsidRPr="00A131E4">
              <w:rPr>
                <w:b/>
                <w:bCs/>
                <w:sz w:val="20"/>
                <w:szCs w:val="22"/>
              </w:rPr>
              <w:t>External cost estimate</w:t>
            </w:r>
          </w:p>
        </w:tc>
      </w:tr>
      <w:tr w:rsidR="008514F3" w:rsidRPr="0034772A" w14:paraId="7EFE0912" w14:textId="77777777" w:rsidTr="00756765">
        <w:trPr>
          <w:cantSplit/>
          <w:trHeight w:val="901"/>
        </w:trPr>
        <w:tc>
          <w:tcPr>
            <w:tcW w:w="1710" w:type="dxa"/>
            <w:hideMark/>
          </w:tcPr>
          <w:p w14:paraId="3A44FC11" w14:textId="77777777" w:rsidR="008514F3" w:rsidRPr="00C4270B" w:rsidRDefault="00B67A68" w:rsidP="001A5C71">
            <w:pPr>
              <w:pStyle w:val="BodyCopy"/>
              <w:spacing w:before="0" w:after="0"/>
              <w:rPr>
                <w:sz w:val="20"/>
                <w:szCs w:val="22"/>
              </w:rPr>
            </w:pPr>
            <w:r w:rsidRPr="00C4270B">
              <w:rPr>
                <w:sz w:val="20"/>
                <w:szCs w:val="22"/>
              </w:rPr>
              <w:t xml:space="preserve">Option 1: </w:t>
            </w:r>
            <w:r w:rsidR="008514F3" w:rsidRPr="00C4270B">
              <w:rPr>
                <w:sz w:val="20"/>
                <w:szCs w:val="22"/>
              </w:rPr>
              <w:t>Status quo with CEO attestation, increased guidance from improved guidelines and expenditure template</w:t>
            </w:r>
          </w:p>
        </w:tc>
        <w:tc>
          <w:tcPr>
            <w:tcW w:w="3960" w:type="dxa"/>
            <w:hideMark/>
          </w:tcPr>
          <w:p w14:paraId="0386DDF0" w14:textId="77777777" w:rsidR="008514F3" w:rsidRPr="00C4270B" w:rsidRDefault="008514F3" w:rsidP="001A5C71">
            <w:pPr>
              <w:pStyle w:val="BodyCopy"/>
              <w:spacing w:before="0" w:after="0"/>
              <w:rPr>
                <w:sz w:val="20"/>
                <w:szCs w:val="22"/>
              </w:rPr>
            </w:pPr>
            <w:r w:rsidRPr="00C4270B">
              <w:rPr>
                <w:sz w:val="20"/>
                <w:szCs w:val="22"/>
              </w:rPr>
              <w:t xml:space="preserve">Improve the expenditure template and guidelines to help achieve consistent application across all jurisdictions. </w:t>
            </w:r>
          </w:p>
          <w:p w14:paraId="67FCF7C8" w14:textId="3A9A97F6" w:rsidR="008514F3" w:rsidRPr="00C4270B" w:rsidRDefault="008514F3" w:rsidP="001A5C71">
            <w:pPr>
              <w:pStyle w:val="BodyCopy"/>
              <w:spacing w:before="0" w:after="0"/>
              <w:rPr>
                <w:sz w:val="20"/>
                <w:szCs w:val="22"/>
              </w:rPr>
            </w:pPr>
            <w:r w:rsidRPr="00C4270B">
              <w:rPr>
                <w:sz w:val="20"/>
                <w:szCs w:val="22"/>
              </w:rPr>
              <w:t>A sign</w:t>
            </w:r>
            <w:r w:rsidR="005B6D0D">
              <w:rPr>
                <w:sz w:val="20"/>
                <w:szCs w:val="22"/>
              </w:rPr>
              <w:t>-</w:t>
            </w:r>
            <w:r w:rsidRPr="00C4270B">
              <w:rPr>
                <w:sz w:val="20"/>
                <w:szCs w:val="22"/>
              </w:rPr>
              <w:t xml:space="preserve">off statement should be provided by each organisation’s CEO or equivalent when lodging the NTC expenditure template. </w:t>
            </w:r>
          </w:p>
        </w:tc>
        <w:tc>
          <w:tcPr>
            <w:tcW w:w="1350" w:type="dxa"/>
            <w:hideMark/>
          </w:tcPr>
          <w:p w14:paraId="6EBAAB50" w14:textId="77777777" w:rsidR="008514F3" w:rsidRPr="00C4270B" w:rsidRDefault="008514F3" w:rsidP="001A5C71">
            <w:pPr>
              <w:pStyle w:val="BodyCopy"/>
              <w:spacing w:before="0" w:after="0"/>
              <w:rPr>
                <w:sz w:val="20"/>
                <w:szCs w:val="22"/>
              </w:rPr>
            </w:pPr>
            <w:r w:rsidRPr="00C4270B">
              <w:rPr>
                <w:sz w:val="20"/>
                <w:szCs w:val="22"/>
              </w:rPr>
              <w:t xml:space="preserve">Low </w:t>
            </w:r>
          </w:p>
        </w:tc>
        <w:tc>
          <w:tcPr>
            <w:tcW w:w="2150" w:type="dxa"/>
            <w:hideMark/>
          </w:tcPr>
          <w:p w14:paraId="0A4B1F57" w14:textId="3215063F" w:rsidR="008514F3" w:rsidRPr="00C4270B" w:rsidRDefault="008514F3" w:rsidP="001A5C71">
            <w:pPr>
              <w:pStyle w:val="BodyCopy"/>
              <w:spacing w:before="0" w:after="0"/>
              <w:rPr>
                <w:sz w:val="20"/>
                <w:szCs w:val="22"/>
              </w:rPr>
            </w:pPr>
            <w:r w:rsidRPr="00C4270B">
              <w:rPr>
                <w:sz w:val="20"/>
                <w:szCs w:val="22"/>
              </w:rPr>
              <w:t>The</w:t>
            </w:r>
            <w:r w:rsidR="000A37DA" w:rsidRPr="00C4270B">
              <w:rPr>
                <w:sz w:val="20"/>
                <w:szCs w:val="22"/>
              </w:rPr>
              <w:t>re would be no</w:t>
            </w:r>
            <w:r w:rsidRPr="00C4270B">
              <w:rPr>
                <w:sz w:val="20"/>
                <w:szCs w:val="22"/>
              </w:rPr>
              <w:t xml:space="preserve"> audit fee paid to external parties</w:t>
            </w:r>
            <w:r w:rsidR="00A03EA9" w:rsidRPr="00C4270B">
              <w:rPr>
                <w:sz w:val="20"/>
                <w:szCs w:val="22"/>
              </w:rPr>
              <w:t>.</w:t>
            </w:r>
            <w:r w:rsidRPr="00C4270B">
              <w:rPr>
                <w:sz w:val="20"/>
                <w:szCs w:val="22"/>
              </w:rPr>
              <w:t xml:space="preserve"> </w:t>
            </w:r>
          </w:p>
        </w:tc>
      </w:tr>
      <w:tr w:rsidR="008514F3" w:rsidRPr="0034772A" w14:paraId="7BE32BD8" w14:textId="77777777" w:rsidTr="00756765">
        <w:trPr>
          <w:cantSplit/>
          <w:trHeight w:val="469"/>
        </w:trPr>
        <w:tc>
          <w:tcPr>
            <w:tcW w:w="1710" w:type="dxa"/>
            <w:hideMark/>
          </w:tcPr>
          <w:p w14:paraId="3AFEC164" w14:textId="77777777" w:rsidR="008514F3" w:rsidRPr="00C4270B" w:rsidRDefault="00B67A68" w:rsidP="001A5C71">
            <w:pPr>
              <w:pStyle w:val="BodyCopy"/>
              <w:spacing w:before="0" w:after="0"/>
              <w:rPr>
                <w:sz w:val="20"/>
                <w:szCs w:val="22"/>
              </w:rPr>
            </w:pPr>
            <w:r w:rsidRPr="00C4270B">
              <w:rPr>
                <w:sz w:val="20"/>
                <w:szCs w:val="22"/>
              </w:rPr>
              <w:t xml:space="preserve">Option 2: </w:t>
            </w:r>
            <w:r w:rsidR="008514F3" w:rsidRPr="00C4270B">
              <w:rPr>
                <w:sz w:val="20"/>
                <w:szCs w:val="22"/>
              </w:rPr>
              <w:t>Analytical review for reasonableness</w:t>
            </w:r>
          </w:p>
        </w:tc>
        <w:tc>
          <w:tcPr>
            <w:tcW w:w="3960" w:type="dxa"/>
            <w:hideMark/>
          </w:tcPr>
          <w:p w14:paraId="5A4DFC28" w14:textId="0AD46B21" w:rsidR="008514F3" w:rsidRPr="00C4270B" w:rsidRDefault="008514F3" w:rsidP="001A5C71">
            <w:pPr>
              <w:pStyle w:val="BodyCopy"/>
              <w:spacing w:before="0" w:after="0"/>
              <w:rPr>
                <w:sz w:val="20"/>
                <w:szCs w:val="22"/>
              </w:rPr>
            </w:pPr>
            <w:r w:rsidRPr="00C4270B">
              <w:rPr>
                <w:sz w:val="20"/>
                <w:szCs w:val="22"/>
              </w:rPr>
              <w:t xml:space="preserve">Perform a </w:t>
            </w:r>
            <w:r w:rsidR="000A37DA" w:rsidRPr="00C4270B">
              <w:rPr>
                <w:sz w:val="20"/>
                <w:szCs w:val="22"/>
              </w:rPr>
              <w:t>high-level</w:t>
            </w:r>
            <w:r w:rsidRPr="00C4270B">
              <w:rPr>
                <w:sz w:val="20"/>
                <w:szCs w:val="22"/>
              </w:rPr>
              <w:t xml:space="preserve"> analytical assessment of the expenditure data reported by each jurisdiction to identify variances and trends including a comparison between jurisdictions</w:t>
            </w:r>
            <w:r w:rsidR="005B6D0D">
              <w:rPr>
                <w:sz w:val="20"/>
                <w:szCs w:val="22"/>
              </w:rPr>
              <w:t>.</w:t>
            </w:r>
            <w:r w:rsidRPr="00C4270B">
              <w:rPr>
                <w:sz w:val="20"/>
                <w:szCs w:val="22"/>
              </w:rPr>
              <w:t xml:space="preserve"> </w:t>
            </w:r>
          </w:p>
        </w:tc>
        <w:tc>
          <w:tcPr>
            <w:tcW w:w="1350" w:type="dxa"/>
            <w:hideMark/>
          </w:tcPr>
          <w:p w14:paraId="7CCF7AC5" w14:textId="77777777" w:rsidR="008514F3" w:rsidRPr="00C4270B" w:rsidRDefault="008514F3" w:rsidP="001A5C71">
            <w:pPr>
              <w:pStyle w:val="BodyCopy"/>
              <w:spacing w:before="0" w:after="0"/>
              <w:rPr>
                <w:sz w:val="20"/>
                <w:szCs w:val="22"/>
              </w:rPr>
            </w:pPr>
            <w:r w:rsidRPr="00C4270B">
              <w:rPr>
                <w:sz w:val="20"/>
                <w:szCs w:val="22"/>
              </w:rPr>
              <w:t xml:space="preserve">Low </w:t>
            </w:r>
          </w:p>
        </w:tc>
        <w:tc>
          <w:tcPr>
            <w:tcW w:w="2150" w:type="dxa"/>
            <w:hideMark/>
          </w:tcPr>
          <w:p w14:paraId="3EA5DB84" w14:textId="6BF956DD" w:rsidR="008514F3" w:rsidRPr="00C4270B" w:rsidRDefault="008514F3" w:rsidP="001A5C71">
            <w:pPr>
              <w:pStyle w:val="BodyCopy"/>
              <w:spacing w:before="0" w:after="0"/>
              <w:rPr>
                <w:sz w:val="20"/>
                <w:szCs w:val="22"/>
              </w:rPr>
            </w:pPr>
            <w:r w:rsidRPr="00C4270B">
              <w:rPr>
                <w:sz w:val="20"/>
                <w:szCs w:val="22"/>
              </w:rPr>
              <w:t xml:space="preserve">The cost paid to external parties to implement this audit </w:t>
            </w:r>
            <w:r w:rsidR="000A37DA" w:rsidRPr="00C4270B">
              <w:rPr>
                <w:sz w:val="20"/>
                <w:szCs w:val="22"/>
              </w:rPr>
              <w:t>was</w:t>
            </w:r>
            <w:r w:rsidRPr="00C4270B">
              <w:rPr>
                <w:sz w:val="20"/>
                <w:szCs w:val="22"/>
              </w:rPr>
              <w:t xml:space="preserve"> estimated as $30</w:t>
            </w:r>
            <w:r w:rsidR="000046E1" w:rsidRPr="00C4270B">
              <w:rPr>
                <w:sz w:val="20"/>
                <w:szCs w:val="22"/>
              </w:rPr>
              <w:t>–</w:t>
            </w:r>
            <w:r w:rsidRPr="00C4270B">
              <w:rPr>
                <w:sz w:val="20"/>
                <w:szCs w:val="22"/>
              </w:rPr>
              <w:t>35</w:t>
            </w:r>
            <w:r w:rsidR="000046E1" w:rsidRPr="00C4270B">
              <w:rPr>
                <w:sz w:val="20"/>
                <w:szCs w:val="22"/>
              </w:rPr>
              <w:t>k</w:t>
            </w:r>
            <w:r w:rsidRPr="00C4270B">
              <w:rPr>
                <w:sz w:val="20"/>
                <w:szCs w:val="22"/>
              </w:rPr>
              <w:t xml:space="preserve"> across all jurisdictions. </w:t>
            </w:r>
          </w:p>
        </w:tc>
      </w:tr>
      <w:tr w:rsidR="008514F3" w:rsidRPr="0034772A" w14:paraId="2E173E36" w14:textId="77777777" w:rsidTr="00756765">
        <w:trPr>
          <w:cantSplit/>
          <w:trHeight w:val="1208"/>
        </w:trPr>
        <w:tc>
          <w:tcPr>
            <w:tcW w:w="1710" w:type="dxa"/>
            <w:hideMark/>
          </w:tcPr>
          <w:p w14:paraId="46896E7A" w14:textId="77777777" w:rsidR="008514F3" w:rsidRPr="00C4270B" w:rsidRDefault="00B67A68" w:rsidP="001A5C71">
            <w:pPr>
              <w:pStyle w:val="BodyCopy"/>
              <w:spacing w:before="0" w:after="0"/>
              <w:rPr>
                <w:sz w:val="20"/>
                <w:szCs w:val="22"/>
              </w:rPr>
            </w:pPr>
            <w:r w:rsidRPr="00C4270B">
              <w:rPr>
                <w:sz w:val="20"/>
                <w:szCs w:val="22"/>
              </w:rPr>
              <w:t xml:space="preserve">Option 3: </w:t>
            </w:r>
            <w:r w:rsidR="008514F3" w:rsidRPr="00C4270B">
              <w:rPr>
                <w:sz w:val="20"/>
                <w:szCs w:val="22"/>
              </w:rPr>
              <w:t>Desktop audit examining key inputs and assumptions</w:t>
            </w:r>
          </w:p>
        </w:tc>
        <w:tc>
          <w:tcPr>
            <w:tcW w:w="3960" w:type="dxa"/>
            <w:hideMark/>
          </w:tcPr>
          <w:p w14:paraId="21601A2F" w14:textId="1D958AD3" w:rsidR="008514F3" w:rsidRPr="00C4270B" w:rsidRDefault="008514F3" w:rsidP="001A5C71">
            <w:pPr>
              <w:pStyle w:val="BodyCopy"/>
              <w:spacing w:before="0" w:after="0"/>
              <w:rPr>
                <w:sz w:val="20"/>
                <w:szCs w:val="22"/>
              </w:rPr>
            </w:pPr>
            <w:r w:rsidRPr="00C4270B">
              <w:rPr>
                <w:sz w:val="20"/>
                <w:szCs w:val="22"/>
              </w:rPr>
              <w:t xml:space="preserve">Each jurisdiction to provide documentation to support the expenditure data it has reported in the NTC </w:t>
            </w:r>
            <w:r w:rsidR="005B6D0D">
              <w:rPr>
                <w:sz w:val="20"/>
                <w:szCs w:val="22"/>
              </w:rPr>
              <w:t>e</w:t>
            </w:r>
            <w:r w:rsidRPr="00C4270B">
              <w:rPr>
                <w:sz w:val="20"/>
                <w:szCs w:val="22"/>
              </w:rPr>
              <w:t xml:space="preserve">xpenditure </w:t>
            </w:r>
            <w:r w:rsidR="005B6D0D">
              <w:rPr>
                <w:sz w:val="20"/>
                <w:szCs w:val="22"/>
              </w:rPr>
              <w:t>t</w:t>
            </w:r>
            <w:r w:rsidRPr="00C4270B">
              <w:rPr>
                <w:sz w:val="20"/>
                <w:szCs w:val="22"/>
              </w:rPr>
              <w:t xml:space="preserve">emplate </w:t>
            </w:r>
            <w:r w:rsidR="000A37DA" w:rsidRPr="00C4270B">
              <w:rPr>
                <w:sz w:val="20"/>
                <w:szCs w:val="22"/>
              </w:rPr>
              <w:t>using</w:t>
            </w:r>
            <w:r w:rsidRPr="00C4270B">
              <w:rPr>
                <w:sz w:val="20"/>
                <w:szCs w:val="22"/>
              </w:rPr>
              <w:t xml:space="preserve"> a standard format prescribed by the NTC</w:t>
            </w:r>
            <w:r w:rsidR="005B6D0D">
              <w:rPr>
                <w:sz w:val="20"/>
                <w:szCs w:val="22"/>
              </w:rPr>
              <w:t>.</w:t>
            </w:r>
            <w:r w:rsidRPr="00C4270B">
              <w:rPr>
                <w:sz w:val="20"/>
                <w:szCs w:val="22"/>
              </w:rPr>
              <w:t xml:space="preserve"> </w:t>
            </w:r>
          </w:p>
          <w:p w14:paraId="7ED94B12" w14:textId="574A50E5" w:rsidR="008514F3" w:rsidRPr="00C4270B" w:rsidRDefault="008514F3" w:rsidP="001A5C71">
            <w:pPr>
              <w:pStyle w:val="BodyCopy"/>
              <w:spacing w:before="0" w:after="0"/>
              <w:rPr>
                <w:sz w:val="20"/>
                <w:szCs w:val="22"/>
              </w:rPr>
            </w:pPr>
            <w:r w:rsidRPr="00C4270B">
              <w:rPr>
                <w:sz w:val="20"/>
                <w:szCs w:val="22"/>
              </w:rPr>
              <w:t>The auditor performs a desktop review of all data provided on a line</w:t>
            </w:r>
            <w:r w:rsidR="005B6D0D">
              <w:rPr>
                <w:sz w:val="20"/>
                <w:szCs w:val="22"/>
              </w:rPr>
              <w:t>-</w:t>
            </w:r>
            <w:r w:rsidRPr="00C4270B">
              <w:rPr>
                <w:sz w:val="20"/>
                <w:szCs w:val="22"/>
              </w:rPr>
              <w:t>by</w:t>
            </w:r>
            <w:r w:rsidR="005B6D0D">
              <w:rPr>
                <w:sz w:val="20"/>
                <w:szCs w:val="22"/>
              </w:rPr>
              <w:t>-</w:t>
            </w:r>
            <w:r w:rsidRPr="00C4270B">
              <w:rPr>
                <w:sz w:val="20"/>
                <w:szCs w:val="22"/>
              </w:rPr>
              <w:t xml:space="preserve">line basis to confirm the calculation has been executed in accordance with </w:t>
            </w:r>
            <w:r w:rsidR="00336E4F">
              <w:rPr>
                <w:sz w:val="20"/>
                <w:szCs w:val="22"/>
              </w:rPr>
              <w:t xml:space="preserve">the </w:t>
            </w:r>
            <w:r w:rsidRPr="00C4270B">
              <w:rPr>
                <w:sz w:val="20"/>
                <w:szCs w:val="22"/>
              </w:rPr>
              <w:t>NTC’s instructions and the source appears appropriate</w:t>
            </w:r>
            <w:r w:rsidR="005B6D0D">
              <w:rPr>
                <w:sz w:val="20"/>
                <w:szCs w:val="22"/>
              </w:rPr>
              <w:t>.</w:t>
            </w:r>
          </w:p>
        </w:tc>
        <w:tc>
          <w:tcPr>
            <w:tcW w:w="1350" w:type="dxa"/>
            <w:hideMark/>
          </w:tcPr>
          <w:p w14:paraId="7121F51C" w14:textId="77777777" w:rsidR="008514F3" w:rsidRPr="00C4270B" w:rsidRDefault="008514F3" w:rsidP="001A5C71">
            <w:pPr>
              <w:pStyle w:val="BodyCopy"/>
              <w:spacing w:before="0" w:after="0"/>
              <w:rPr>
                <w:sz w:val="20"/>
                <w:szCs w:val="22"/>
              </w:rPr>
            </w:pPr>
            <w:r w:rsidRPr="00C4270B">
              <w:rPr>
                <w:sz w:val="20"/>
                <w:szCs w:val="22"/>
              </w:rPr>
              <w:t>Medium</w:t>
            </w:r>
          </w:p>
        </w:tc>
        <w:tc>
          <w:tcPr>
            <w:tcW w:w="2150" w:type="dxa"/>
            <w:hideMark/>
          </w:tcPr>
          <w:p w14:paraId="3EC531E0" w14:textId="5A484704" w:rsidR="008514F3" w:rsidRPr="00C4270B" w:rsidRDefault="008514F3" w:rsidP="001A5C71">
            <w:pPr>
              <w:pStyle w:val="BodyCopy"/>
              <w:spacing w:before="0" w:after="0"/>
              <w:rPr>
                <w:sz w:val="20"/>
                <w:szCs w:val="22"/>
              </w:rPr>
            </w:pPr>
            <w:r w:rsidRPr="00C4270B">
              <w:rPr>
                <w:sz w:val="20"/>
                <w:szCs w:val="22"/>
              </w:rPr>
              <w:t xml:space="preserve">The cost paid to external parties to implement this audit </w:t>
            </w:r>
            <w:r w:rsidR="000A37DA" w:rsidRPr="00C4270B">
              <w:rPr>
                <w:sz w:val="20"/>
                <w:szCs w:val="22"/>
              </w:rPr>
              <w:t>was</w:t>
            </w:r>
            <w:r w:rsidRPr="00C4270B">
              <w:rPr>
                <w:sz w:val="20"/>
                <w:szCs w:val="22"/>
              </w:rPr>
              <w:t xml:space="preserve"> estimated as $60–65</w:t>
            </w:r>
            <w:r w:rsidR="000046E1" w:rsidRPr="00C4270B">
              <w:rPr>
                <w:sz w:val="20"/>
                <w:szCs w:val="22"/>
              </w:rPr>
              <w:t>k</w:t>
            </w:r>
            <w:r w:rsidRPr="00C4270B">
              <w:rPr>
                <w:sz w:val="20"/>
                <w:szCs w:val="22"/>
              </w:rPr>
              <w:t xml:space="preserve"> across all jurisdictions</w:t>
            </w:r>
            <w:r w:rsidR="00A03EA9" w:rsidRPr="00C4270B">
              <w:rPr>
                <w:sz w:val="20"/>
                <w:szCs w:val="22"/>
              </w:rPr>
              <w:t>.</w:t>
            </w:r>
          </w:p>
        </w:tc>
      </w:tr>
      <w:tr w:rsidR="008514F3" w:rsidRPr="0034772A" w14:paraId="06BAF5F9" w14:textId="77777777" w:rsidTr="00756765">
        <w:trPr>
          <w:cantSplit/>
          <w:trHeight w:val="1475"/>
        </w:trPr>
        <w:tc>
          <w:tcPr>
            <w:tcW w:w="1710" w:type="dxa"/>
            <w:hideMark/>
          </w:tcPr>
          <w:p w14:paraId="249A6250" w14:textId="77777777" w:rsidR="008514F3" w:rsidRPr="00C4270B" w:rsidRDefault="00B67A68" w:rsidP="001A5C71">
            <w:pPr>
              <w:pStyle w:val="BodyCopy"/>
              <w:spacing w:before="0" w:after="0"/>
              <w:rPr>
                <w:sz w:val="20"/>
                <w:szCs w:val="20"/>
              </w:rPr>
            </w:pPr>
            <w:r w:rsidRPr="00C4270B">
              <w:rPr>
                <w:sz w:val="20"/>
                <w:szCs w:val="20"/>
              </w:rPr>
              <w:lastRenderedPageBreak/>
              <w:t xml:space="preserve">Option 4: </w:t>
            </w:r>
            <w:r w:rsidR="008514F3" w:rsidRPr="00C4270B">
              <w:rPr>
                <w:sz w:val="20"/>
                <w:szCs w:val="20"/>
              </w:rPr>
              <w:t>Site visit with detailed testing</w:t>
            </w:r>
          </w:p>
        </w:tc>
        <w:tc>
          <w:tcPr>
            <w:tcW w:w="3960" w:type="dxa"/>
            <w:hideMark/>
          </w:tcPr>
          <w:p w14:paraId="08D34220" w14:textId="7A14090A" w:rsidR="008514F3" w:rsidRPr="00C4270B" w:rsidRDefault="008514F3" w:rsidP="005B6D0D">
            <w:pPr>
              <w:pStyle w:val="BodyCopy"/>
              <w:spacing w:before="0" w:after="0"/>
              <w:rPr>
                <w:sz w:val="20"/>
                <w:szCs w:val="20"/>
              </w:rPr>
            </w:pPr>
            <w:r w:rsidRPr="00C4270B">
              <w:rPr>
                <w:sz w:val="20"/>
                <w:szCs w:val="20"/>
              </w:rPr>
              <w:t xml:space="preserve">A team of auditors will comprehensively examine the data inputs and calculation of figures reported in the NTC’s </w:t>
            </w:r>
            <w:r w:rsidR="005B6D0D">
              <w:rPr>
                <w:sz w:val="20"/>
                <w:szCs w:val="20"/>
              </w:rPr>
              <w:t>e</w:t>
            </w:r>
            <w:r w:rsidRPr="00C4270B">
              <w:rPr>
                <w:sz w:val="20"/>
                <w:szCs w:val="20"/>
              </w:rPr>
              <w:t xml:space="preserve">xpenditure </w:t>
            </w:r>
            <w:r w:rsidR="005B6D0D">
              <w:rPr>
                <w:sz w:val="20"/>
                <w:szCs w:val="20"/>
              </w:rPr>
              <w:t>t</w:t>
            </w:r>
            <w:r w:rsidRPr="00C4270B">
              <w:rPr>
                <w:sz w:val="20"/>
                <w:szCs w:val="20"/>
              </w:rPr>
              <w:t>emplate</w:t>
            </w:r>
            <w:r w:rsidR="005B6D0D">
              <w:rPr>
                <w:sz w:val="20"/>
                <w:szCs w:val="20"/>
              </w:rPr>
              <w:t xml:space="preserve">. </w:t>
            </w:r>
            <w:r w:rsidRPr="00C4270B">
              <w:rPr>
                <w:sz w:val="20"/>
                <w:szCs w:val="20"/>
              </w:rPr>
              <w:t>Key controls governing the template population process will be identified and tested on a sample basis.</w:t>
            </w:r>
            <w:r w:rsidR="009E61AA">
              <w:rPr>
                <w:sz w:val="20"/>
                <w:szCs w:val="20"/>
              </w:rPr>
              <w:t xml:space="preserve"> </w:t>
            </w:r>
            <w:r w:rsidRPr="00C4270B">
              <w:rPr>
                <w:sz w:val="20"/>
                <w:szCs w:val="20"/>
              </w:rPr>
              <w:t>A sample of transactions will be traced from the template to each jurisdiction’s finance system and through to source input information.</w:t>
            </w:r>
            <w:r w:rsidR="005B6D0D">
              <w:rPr>
                <w:sz w:val="20"/>
                <w:szCs w:val="20"/>
              </w:rPr>
              <w:t xml:space="preserve"> </w:t>
            </w:r>
            <w:r w:rsidRPr="00C4270B">
              <w:rPr>
                <w:sz w:val="20"/>
                <w:szCs w:val="20"/>
              </w:rPr>
              <w:t xml:space="preserve">Manual calculations will be re-performed to confirm accuracy and reviewed for consistency with the intent of the guidelines. </w:t>
            </w:r>
          </w:p>
        </w:tc>
        <w:tc>
          <w:tcPr>
            <w:tcW w:w="1350" w:type="dxa"/>
            <w:hideMark/>
          </w:tcPr>
          <w:p w14:paraId="2B9C8C82" w14:textId="77777777" w:rsidR="008514F3" w:rsidRPr="00C4270B" w:rsidRDefault="008514F3" w:rsidP="001A5C71">
            <w:pPr>
              <w:pStyle w:val="BodyCopy"/>
              <w:spacing w:before="0" w:after="0"/>
              <w:rPr>
                <w:sz w:val="20"/>
                <w:szCs w:val="20"/>
              </w:rPr>
            </w:pPr>
            <w:r w:rsidRPr="00C4270B">
              <w:rPr>
                <w:sz w:val="20"/>
                <w:szCs w:val="20"/>
              </w:rPr>
              <w:t xml:space="preserve">High </w:t>
            </w:r>
          </w:p>
        </w:tc>
        <w:tc>
          <w:tcPr>
            <w:tcW w:w="2150" w:type="dxa"/>
            <w:hideMark/>
          </w:tcPr>
          <w:p w14:paraId="2FC72AA0" w14:textId="5FDDFD6D" w:rsidR="008514F3" w:rsidRPr="00C4270B" w:rsidRDefault="008514F3" w:rsidP="001A5C71">
            <w:pPr>
              <w:pStyle w:val="BodyCopy"/>
              <w:spacing w:before="0" w:after="0"/>
              <w:rPr>
                <w:sz w:val="20"/>
                <w:szCs w:val="20"/>
              </w:rPr>
            </w:pPr>
            <w:r w:rsidRPr="00C4270B">
              <w:rPr>
                <w:sz w:val="20"/>
                <w:szCs w:val="20"/>
              </w:rPr>
              <w:t xml:space="preserve">The cost paid to external parties to implement this audit </w:t>
            </w:r>
            <w:r w:rsidR="000A37DA" w:rsidRPr="00C4270B">
              <w:rPr>
                <w:sz w:val="20"/>
                <w:szCs w:val="20"/>
              </w:rPr>
              <w:t>was</w:t>
            </w:r>
            <w:r w:rsidRPr="00C4270B">
              <w:rPr>
                <w:sz w:val="20"/>
                <w:szCs w:val="20"/>
              </w:rPr>
              <w:t xml:space="preserve"> estimated as $115</w:t>
            </w:r>
            <w:r w:rsidR="00A03EA9" w:rsidRPr="00C4270B">
              <w:rPr>
                <w:sz w:val="20"/>
                <w:szCs w:val="20"/>
              </w:rPr>
              <w:t>–</w:t>
            </w:r>
            <w:r w:rsidRPr="00C4270B">
              <w:rPr>
                <w:sz w:val="20"/>
                <w:szCs w:val="20"/>
              </w:rPr>
              <w:t>125</w:t>
            </w:r>
            <w:r w:rsidR="00A03EA9" w:rsidRPr="00C4270B">
              <w:rPr>
                <w:sz w:val="20"/>
                <w:szCs w:val="20"/>
              </w:rPr>
              <w:t>k</w:t>
            </w:r>
            <w:r w:rsidRPr="00C4270B">
              <w:rPr>
                <w:sz w:val="20"/>
                <w:szCs w:val="20"/>
              </w:rPr>
              <w:t xml:space="preserve"> across all jurisdictions</w:t>
            </w:r>
            <w:r w:rsidR="00A03EA9" w:rsidRPr="00C4270B">
              <w:rPr>
                <w:sz w:val="20"/>
                <w:szCs w:val="20"/>
              </w:rPr>
              <w:t>.</w:t>
            </w:r>
          </w:p>
        </w:tc>
      </w:tr>
      <w:tr w:rsidR="008514F3" w:rsidRPr="0034772A" w14:paraId="7A6AC580" w14:textId="77777777" w:rsidTr="00756765">
        <w:trPr>
          <w:cantSplit/>
          <w:trHeight w:val="987"/>
        </w:trPr>
        <w:tc>
          <w:tcPr>
            <w:tcW w:w="1710" w:type="dxa"/>
            <w:hideMark/>
          </w:tcPr>
          <w:p w14:paraId="04C68780" w14:textId="4A7E176D" w:rsidR="008514F3" w:rsidRPr="00C4270B" w:rsidRDefault="00B67A68" w:rsidP="001A5C71">
            <w:pPr>
              <w:pStyle w:val="BodyCopy"/>
              <w:spacing w:before="0" w:after="0"/>
              <w:rPr>
                <w:sz w:val="20"/>
                <w:szCs w:val="20"/>
              </w:rPr>
            </w:pPr>
            <w:r w:rsidRPr="00C4270B">
              <w:rPr>
                <w:sz w:val="20"/>
                <w:szCs w:val="20"/>
              </w:rPr>
              <w:t xml:space="preserve">Option 5: </w:t>
            </w:r>
            <w:r w:rsidR="008514F3" w:rsidRPr="00C4270B">
              <w:rPr>
                <w:sz w:val="20"/>
                <w:szCs w:val="20"/>
              </w:rPr>
              <w:t xml:space="preserve">Expenditure data checked by each jurisdiction’s external auditor or other </w:t>
            </w:r>
            <w:r w:rsidR="000A37DA" w:rsidRPr="00C4270B">
              <w:rPr>
                <w:sz w:val="20"/>
                <w:szCs w:val="20"/>
              </w:rPr>
              <w:t>third-party</w:t>
            </w:r>
            <w:r w:rsidR="008514F3" w:rsidRPr="00C4270B">
              <w:rPr>
                <w:sz w:val="20"/>
                <w:szCs w:val="20"/>
              </w:rPr>
              <w:t xml:space="preserve"> auditor</w:t>
            </w:r>
          </w:p>
        </w:tc>
        <w:tc>
          <w:tcPr>
            <w:tcW w:w="3960" w:type="dxa"/>
            <w:hideMark/>
          </w:tcPr>
          <w:p w14:paraId="4F48DAD8" w14:textId="202B0507" w:rsidR="008514F3" w:rsidRPr="00C4270B" w:rsidRDefault="008514F3" w:rsidP="001A5C71">
            <w:pPr>
              <w:pStyle w:val="BodyCopy"/>
              <w:spacing w:before="0" w:after="0"/>
              <w:rPr>
                <w:sz w:val="20"/>
                <w:szCs w:val="20"/>
              </w:rPr>
            </w:pPr>
            <w:r w:rsidRPr="00C4270B">
              <w:rPr>
                <w:sz w:val="20"/>
                <w:szCs w:val="20"/>
              </w:rPr>
              <w:t>Jurisdiction</w:t>
            </w:r>
            <w:r w:rsidR="005B6D0D">
              <w:rPr>
                <w:sz w:val="20"/>
                <w:szCs w:val="20"/>
              </w:rPr>
              <w:t>s</w:t>
            </w:r>
            <w:r w:rsidRPr="00C4270B">
              <w:rPr>
                <w:sz w:val="20"/>
                <w:szCs w:val="20"/>
              </w:rPr>
              <w:t xml:space="preserve"> are to include the expenditure data reported to the NTC as an additional note disclosure to its annual financial statements</w:t>
            </w:r>
            <w:r w:rsidR="005B6D0D">
              <w:rPr>
                <w:sz w:val="20"/>
                <w:szCs w:val="20"/>
              </w:rPr>
              <w:t>.</w:t>
            </w:r>
          </w:p>
          <w:p w14:paraId="390063CA" w14:textId="7FE1CCC7" w:rsidR="008514F3" w:rsidRPr="00C4270B" w:rsidRDefault="008514F3" w:rsidP="001A5C71">
            <w:pPr>
              <w:pStyle w:val="BodyCopy"/>
              <w:spacing w:before="0" w:after="0"/>
              <w:rPr>
                <w:sz w:val="20"/>
                <w:szCs w:val="20"/>
              </w:rPr>
            </w:pPr>
            <w:r w:rsidRPr="00C4270B">
              <w:rPr>
                <w:sz w:val="20"/>
                <w:szCs w:val="20"/>
              </w:rPr>
              <w:t xml:space="preserve">Jurisdiction external auditors </w:t>
            </w:r>
            <w:r w:rsidR="00336E4F">
              <w:rPr>
                <w:sz w:val="20"/>
                <w:szCs w:val="20"/>
              </w:rPr>
              <w:t xml:space="preserve">will </w:t>
            </w:r>
            <w:r w:rsidRPr="00C4270B">
              <w:rPr>
                <w:sz w:val="20"/>
                <w:szCs w:val="20"/>
              </w:rPr>
              <w:t>assess the material accuracy of reported expenditure data as part of their annual financial statement audits</w:t>
            </w:r>
            <w:r w:rsidR="005B6D0D">
              <w:rPr>
                <w:sz w:val="20"/>
                <w:szCs w:val="20"/>
              </w:rPr>
              <w:t>.</w:t>
            </w:r>
          </w:p>
        </w:tc>
        <w:tc>
          <w:tcPr>
            <w:tcW w:w="1350" w:type="dxa"/>
            <w:hideMark/>
          </w:tcPr>
          <w:p w14:paraId="5F01159F" w14:textId="77777777" w:rsidR="008514F3" w:rsidRPr="00C4270B" w:rsidRDefault="008514F3" w:rsidP="001A5C71">
            <w:pPr>
              <w:pStyle w:val="BodyCopy"/>
              <w:spacing w:before="0" w:after="0"/>
              <w:rPr>
                <w:sz w:val="20"/>
                <w:szCs w:val="20"/>
              </w:rPr>
            </w:pPr>
            <w:r w:rsidRPr="00C4270B">
              <w:rPr>
                <w:sz w:val="20"/>
                <w:szCs w:val="20"/>
              </w:rPr>
              <w:t>High</w:t>
            </w:r>
          </w:p>
        </w:tc>
        <w:tc>
          <w:tcPr>
            <w:tcW w:w="2150" w:type="dxa"/>
            <w:hideMark/>
          </w:tcPr>
          <w:p w14:paraId="47A75B6A" w14:textId="6E360DDE" w:rsidR="008514F3" w:rsidRPr="00C4270B" w:rsidRDefault="008514F3" w:rsidP="001A5C71">
            <w:pPr>
              <w:pStyle w:val="BodyCopy"/>
              <w:spacing w:before="0" w:after="0"/>
              <w:rPr>
                <w:sz w:val="20"/>
                <w:szCs w:val="20"/>
              </w:rPr>
            </w:pPr>
            <w:r w:rsidRPr="00C4270B">
              <w:rPr>
                <w:sz w:val="20"/>
                <w:szCs w:val="20"/>
              </w:rPr>
              <w:t xml:space="preserve">The cost paid to external parties to implement this audit </w:t>
            </w:r>
            <w:r w:rsidR="000A37DA" w:rsidRPr="00C4270B">
              <w:rPr>
                <w:sz w:val="20"/>
                <w:szCs w:val="20"/>
              </w:rPr>
              <w:t>was</w:t>
            </w:r>
            <w:r w:rsidRPr="00C4270B">
              <w:rPr>
                <w:sz w:val="20"/>
                <w:szCs w:val="20"/>
              </w:rPr>
              <w:t xml:space="preserve"> estimated as $185–200</w:t>
            </w:r>
            <w:r w:rsidR="00A03EA9" w:rsidRPr="00C4270B">
              <w:rPr>
                <w:sz w:val="20"/>
                <w:szCs w:val="20"/>
              </w:rPr>
              <w:t>k</w:t>
            </w:r>
            <w:r w:rsidRPr="00C4270B">
              <w:rPr>
                <w:sz w:val="20"/>
                <w:szCs w:val="20"/>
              </w:rPr>
              <w:t xml:space="preserve"> across all jurisdictions</w:t>
            </w:r>
            <w:r w:rsidR="00A03EA9" w:rsidRPr="00C4270B">
              <w:rPr>
                <w:sz w:val="20"/>
                <w:szCs w:val="20"/>
              </w:rPr>
              <w:t>.</w:t>
            </w:r>
          </w:p>
        </w:tc>
      </w:tr>
    </w:tbl>
    <w:p w14:paraId="31B034B9" w14:textId="15EE4B3F" w:rsidR="00E03944" w:rsidRPr="000A37DA" w:rsidRDefault="000A37DA" w:rsidP="00FD39C5">
      <w:pPr>
        <w:pStyle w:val="BodyCopy"/>
      </w:pPr>
      <w:r>
        <w:t>O</w:t>
      </w:r>
      <w:r w:rsidR="2D7C71B3" w:rsidRPr="000A37DA">
        <w:t>ption 1</w:t>
      </w:r>
      <w:r w:rsidR="00A03EA9">
        <w:t>,</w:t>
      </w:r>
      <w:r w:rsidR="2D7C71B3" w:rsidRPr="000A37DA">
        <w:t xml:space="preserve"> </w:t>
      </w:r>
      <w:r w:rsidR="004C254E">
        <w:t>which was to retain the status quo</w:t>
      </w:r>
      <w:r w:rsidR="00A03EA9">
        <w:t>,</w:t>
      </w:r>
      <w:r w:rsidR="2D7C71B3">
        <w:t xml:space="preserve"> </w:t>
      </w:r>
      <w:r w:rsidR="2D7C71B3" w:rsidRPr="000A37DA">
        <w:t>was implemented</w:t>
      </w:r>
      <w:r>
        <w:t xml:space="preserve"> as part of the 2014 determination</w:t>
      </w:r>
      <w:r w:rsidR="2D7C71B3" w:rsidRPr="000A37DA">
        <w:t xml:space="preserve"> with </w:t>
      </w:r>
      <w:r w:rsidR="00B0428E">
        <w:t xml:space="preserve">the addition of </w:t>
      </w:r>
      <w:r w:rsidR="61AD6F08" w:rsidRPr="000A37DA">
        <w:t xml:space="preserve">a CEO </w:t>
      </w:r>
      <w:r w:rsidR="00E217E8">
        <w:t>(or delegate)</w:t>
      </w:r>
      <w:r w:rsidR="61AD6F08">
        <w:t xml:space="preserve"> </w:t>
      </w:r>
      <w:r w:rsidR="2D7C71B3" w:rsidRPr="000A37DA">
        <w:t>sign</w:t>
      </w:r>
      <w:r w:rsidR="005B6D0D">
        <w:t>-</w:t>
      </w:r>
      <w:r w:rsidR="2D7C71B3" w:rsidRPr="000A37DA">
        <w:t>off statement now suppl</w:t>
      </w:r>
      <w:r w:rsidR="61AD6F08" w:rsidRPr="000A37DA">
        <w:t xml:space="preserve">ied </w:t>
      </w:r>
      <w:r w:rsidR="00E217E8">
        <w:t xml:space="preserve">annually </w:t>
      </w:r>
      <w:r w:rsidR="61AD6F08" w:rsidRPr="000A37DA">
        <w:t>to the NTC</w:t>
      </w:r>
      <w:r w:rsidR="001A5C71">
        <w:t xml:space="preserve"> together</w:t>
      </w:r>
      <w:r w:rsidR="61AD6F08" w:rsidRPr="000A37DA">
        <w:t xml:space="preserve"> with </w:t>
      </w:r>
      <w:r w:rsidR="00E217E8">
        <w:t>the PAYGO</w:t>
      </w:r>
      <w:r w:rsidR="61AD6F08">
        <w:t xml:space="preserve"> </w:t>
      </w:r>
      <w:r w:rsidR="61AD6F08" w:rsidRPr="000A37DA">
        <w:t>expenditure data</w:t>
      </w:r>
      <w:r w:rsidR="001A5C71">
        <w:t>.</w:t>
      </w:r>
      <w:r w:rsidR="00830D17">
        <w:t xml:space="preserve"> </w:t>
      </w:r>
    </w:p>
    <w:p w14:paraId="28AC5325" w14:textId="26CB6173" w:rsidR="00FE332C" w:rsidRPr="000A37DA" w:rsidRDefault="6ED19DFF" w:rsidP="002B3467">
      <w:pPr>
        <w:pStyle w:val="BodyCopy"/>
      </w:pPr>
      <w:r w:rsidRPr="000A37DA">
        <w:t xml:space="preserve">The options </w:t>
      </w:r>
      <w:r w:rsidR="002A0355">
        <w:t xml:space="preserve">in </w:t>
      </w:r>
      <w:r w:rsidR="00E31709">
        <w:fldChar w:fldCharType="begin"/>
      </w:r>
      <w:r w:rsidR="00E31709">
        <w:instrText xml:space="preserve"> REF _Ref61442368 \r \h </w:instrText>
      </w:r>
      <w:r w:rsidR="00E31709">
        <w:fldChar w:fldCharType="separate"/>
      </w:r>
      <w:r w:rsidR="00225EEA">
        <w:t>Table 4</w:t>
      </w:r>
      <w:r w:rsidR="00E31709">
        <w:fldChar w:fldCharType="end"/>
      </w:r>
      <w:r w:rsidR="00324250">
        <w:t xml:space="preserve"> </w:t>
      </w:r>
      <w:r w:rsidRPr="000A37DA">
        <w:t xml:space="preserve">were again presented to the industry and governments as part of </w:t>
      </w:r>
      <w:r w:rsidR="001D5027">
        <w:t xml:space="preserve">the workshops </w:t>
      </w:r>
      <w:r w:rsidR="00B312E9">
        <w:t>prior to the C-RIS</w:t>
      </w:r>
      <w:r w:rsidR="001A5C71">
        <w:t>:</w:t>
      </w:r>
    </w:p>
    <w:p w14:paraId="6D355865" w14:textId="390346AD" w:rsidR="00604859" w:rsidRDefault="42E8E513" w:rsidP="002B3467">
      <w:pPr>
        <w:pStyle w:val="List-bulletlvl1"/>
      </w:pPr>
      <w:r>
        <w:t xml:space="preserve">While industry </w:t>
      </w:r>
      <w:r w:rsidR="64EE6675">
        <w:t>retain</w:t>
      </w:r>
      <w:r w:rsidR="000A37DA">
        <w:t>s</w:t>
      </w:r>
      <w:r w:rsidR="64EE6675">
        <w:t xml:space="preserve"> a desire for increased transparency </w:t>
      </w:r>
      <w:r w:rsidR="6D5033EB">
        <w:t xml:space="preserve">of expenditure reporting, they </w:t>
      </w:r>
      <w:r w:rsidR="407AA74F">
        <w:t xml:space="preserve">expressed </w:t>
      </w:r>
      <w:r w:rsidR="3042A346">
        <w:t xml:space="preserve">an unwillingness to pay for </w:t>
      </w:r>
      <w:r w:rsidR="00293B0F">
        <w:t xml:space="preserve">an </w:t>
      </w:r>
      <w:r w:rsidR="3042A346">
        <w:t>expensive auditing regime</w:t>
      </w:r>
      <w:r w:rsidR="00A03EA9">
        <w:t>.</w:t>
      </w:r>
    </w:p>
    <w:p w14:paraId="0ED20EDF" w14:textId="45DB99D5" w:rsidR="002F1EBB" w:rsidRDefault="3042A346" w:rsidP="002B3467">
      <w:pPr>
        <w:pStyle w:val="List-bulletlvl1"/>
      </w:pPr>
      <w:r>
        <w:t xml:space="preserve">Governments suggested that the options presented </w:t>
      </w:r>
      <w:r w:rsidR="66917528">
        <w:t xml:space="preserve">may not provide </w:t>
      </w:r>
      <w:r w:rsidR="5FFA9596">
        <w:t>much greater transparency</w:t>
      </w:r>
      <w:r w:rsidR="00AC3017">
        <w:t>,</w:t>
      </w:r>
      <w:r w:rsidR="5FFA9596">
        <w:t xml:space="preserve"> despite the cost</w:t>
      </w:r>
      <w:r w:rsidR="00AC3017">
        <w:t>,</w:t>
      </w:r>
      <w:r w:rsidR="5FFA9596">
        <w:t xml:space="preserve"> given the </w:t>
      </w:r>
      <w:r w:rsidR="145464EB">
        <w:t xml:space="preserve">range of skills and knowledge that </w:t>
      </w:r>
      <w:r w:rsidR="00C7469E">
        <w:t>is necessary for</w:t>
      </w:r>
      <w:r w:rsidR="145464EB">
        <w:t xml:space="preserve"> </w:t>
      </w:r>
      <w:r w:rsidR="53D53BBC">
        <w:t>expenditure</w:t>
      </w:r>
      <w:r w:rsidR="145464EB">
        <w:t xml:space="preserve"> allocation</w:t>
      </w:r>
      <w:r w:rsidR="00A03EA9">
        <w:t>.</w:t>
      </w:r>
    </w:p>
    <w:p w14:paraId="64AF8D44" w14:textId="22F5BEE0" w:rsidR="00B312E9" w:rsidRDefault="00B312E9" w:rsidP="00B312E9">
      <w:pPr>
        <w:pStyle w:val="Heading3"/>
      </w:pPr>
      <w:bookmarkStart w:id="137" w:name="_Toc86158403"/>
      <w:r>
        <w:t>Summary of submissions</w:t>
      </w:r>
      <w:bookmarkEnd w:id="137"/>
    </w:p>
    <w:p w14:paraId="1A59050B" w14:textId="28D72046" w:rsidR="00EB751D" w:rsidRDefault="00796A65" w:rsidP="00646D3C">
      <w:pPr>
        <w:pStyle w:val="BodyCopy"/>
      </w:pPr>
      <w:r>
        <w:t xml:space="preserve">Only the </w:t>
      </w:r>
      <w:r w:rsidR="00336E4F">
        <w:t>Australian Trucking Association (</w:t>
      </w:r>
      <w:r>
        <w:t>ATA</w:t>
      </w:r>
      <w:r w:rsidR="00336E4F">
        <w:t>)</w:t>
      </w:r>
      <w:r>
        <w:t xml:space="preserve"> commented specifically on this issue. </w:t>
      </w:r>
      <w:r w:rsidR="00646D3C">
        <w:t>The ATA noted that its concerns about the PAYGO expenditure inputs go beyond auditing or reviewing the data.</w:t>
      </w:r>
      <w:r w:rsidR="006A1AE4">
        <w:t xml:space="preserve"> It stated that</w:t>
      </w:r>
      <w:r w:rsidR="00646D3C">
        <w:t xml:space="preserve"> PAYGO is entirely driven by governments’ spending decisions and requires heavy vehicle operators to pay an outsize share of the cost of road investments that are not freight priorities, and higher costs due to inadequate project assessment and selection</w:t>
      </w:r>
      <w:r w:rsidR="00EB751D">
        <w:t>.</w:t>
      </w:r>
    </w:p>
    <w:p w14:paraId="48A8502C" w14:textId="0F06C7B2" w:rsidR="00B312E9" w:rsidRDefault="00EB751D" w:rsidP="00B312E9">
      <w:pPr>
        <w:pStyle w:val="BodyCopy"/>
      </w:pPr>
      <w:r>
        <w:t>The ATA</w:t>
      </w:r>
      <w:r w:rsidR="00B47476">
        <w:t xml:space="preserve"> proposed that the NTC expenditure template should be amended to require each organisation’s CEO or equivalent to certify that the major projects included in categories F1, F2 and F3 have been endorsed by an independent infrastructure agency</w:t>
      </w:r>
      <w:r w:rsidR="00A43B69">
        <w:t>;</w:t>
      </w:r>
      <w:r w:rsidR="00B47476">
        <w:t xml:space="preserve"> are based on integrated transport planning, including trucking industry and community consultation</w:t>
      </w:r>
      <w:r w:rsidR="00A43B69">
        <w:t>;</w:t>
      </w:r>
      <w:r w:rsidR="00914BEA">
        <w:t xml:space="preserve"> and</w:t>
      </w:r>
      <w:r w:rsidR="00B47476">
        <w:t xml:space="preserve"> include rest areas and access improvements in project planning and delivery.</w:t>
      </w:r>
      <w:r w:rsidR="009E61AA">
        <w:t xml:space="preserve"> </w:t>
      </w:r>
    </w:p>
    <w:p w14:paraId="5F5EFB83" w14:textId="51354FB1" w:rsidR="00B312E9" w:rsidRPr="00B312E9" w:rsidRDefault="00B312E9" w:rsidP="00BD61D2">
      <w:pPr>
        <w:pStyle w:val="Heading3"/>
      </w:pPr>
      <w:bookmarkStart w:id="138" w:name="_Toc86158404"/>
      <w:r>
        <w:lastRenderedPageBreak/>
        <w:t>Conclusion</w:t>
      </w:r>
      <w:r w:rsidR="00B96F7D">
        <w:t xml:space="preserve"> and recommendations</w:t>
      </w:r>
      <w:bookmarkEnd w:id="138"/>
    </w:p>
    <w:p w14:paraId="65E70093" w14:textId="59A25D06" w:rsidR="00C437BF" w:rsidRDefault="00914BEA" w:rsidP="00FD39C5">
      <w:pPr>
        <w:pStyle w:val="BodyCopy"/>
      </w:pPr>
      <w:r>
        <w:t xml:space="preserve">The NTC acknowledges that </w:t>
      </w:r>
      <w:r w:rsidR="005D3C04">
        <w:t>there continue to be concerns about the quality of expenditure data used in the PAYGO model. The ATA’s recommendations could be a low-cost option to provide reassurance around the process surrounding major project</w:t>
      </w:r>
      <w:r w:rsidR="00C437BF">
        <w:t>s included in select expenditure categories.</w:t>
      </w:r>
      <w:r w:rsidR="009E61AA">
        <w:t xml:space="preserve"> </w:t>
      </w:r>
    </w:p>
    <w:p w14:paraId="23429A45" w14:textId="5234CCF0" w:rsidR="001F4F5C" w:rsidRDefault="00C437BF" w:rsidP="00FD39C5">
      <w:pPr>
        <w:pStyle w:val="BodyCopy"/>
      </w:pPr>
      <w:r>
        <w:t>While</w:t>
      </w:r>
      <w:r w:rsidR="007069BD">
        <w:t xml:space="preserve"> the NTC </w:t>
      </w:r>
      <w:r>
        <w:t>still</w:t>
      </w:r>
      <w:r w:rsidR="007069BD">
        <w:t xml:space="preserve"> proposes to make no changes to expenditure auditing at this time</w:t>
      </w:r>
      <w:r>
        <w:t>, it is proposed that the NTC investigate</w:t>
      </w:r>
      <w:r w:rsidR="0094601B">
        <w:t>s</w:t>
      </w:r>
      <w:r>
        <w:t xml:space="preserve"> the feasibility of including additional certification similar to that proposed by the ATA in </w:t>
      </w:r>
      <w:r w:rsidR="001F4F5C">
        <w:t xml:space="preserve">the </w:t>
      </w:r>
      <w:r>
        <w:t>future</w:t>
      </w:r>
      <w:r w:rsidR="0055028E">
        <w:t>.</w:t>
      </w:r>
    </w:p>
    <w:p w14:paraId="68AE289D" w14:textId="1FF1C57A" w:rsidR="00117DEC" w:rsidRPr="00117DEC" w:rsidRDefault="2068AF2D" w:rsidP="0042671F">
      <w:pPr>
        <w:pStyle w:val="BodyCopy"/>
      </w:pPr>
      <w:r w:rsidRPr="000A37DA">
        <w:t xml:space="preserve">The NTC </w:t>
      </w:r>
      <w:r w:rsidR="001F4F5C">
        <w:t xml:space="preserve">also considers </w:t>
      </w:r>
      <w:r w:rsidRPr="000A37DA">
        <w:t xml:space="preserve">that </w:t>
      </w:r>
      <w:r w:rsidR="001F4F5C">
        <w:t>additional</w:t>
      </w:r>
      <w:r w:rsidRPr="000A37DA">
        <w:t xml:space="preserve"> </w:t>
      </w:r>
      <w:r w:rsidR="482A1B49" w:rsidRPr="000A37DA">
        <w:t xml:space="preserve">mechanisms for </w:t>
      </w:r>
      <w:r w:rsidR="482A1B49" w:rsidRPr="0042671F">
        <w:t>greater</w:t>
      </w:r>
      <w:r w:rsidR="482A1B49" w:rsidRPr="000A37DA">
        <w:t xml:space="preserve"> transparency </w:t>
      </w:r>
      <w:r w:rsidR="001F4F5C">
        <w:t>could</w:t>
      </w:r>
      <w:r w:rsidR="482A1B49" w:rsidRPr="000A37DA">
        <w:t xml:space="preserve"> be considered </w:t>
      </w:r>
      <w:r w:rsidR="38AC6080" w:rsidRPr="000A37DA">
        <w:t xml:space="preserve">under </w:t>
      </w:r>
      <w:r w:rsidR="38D5605F" w:rsidRPr="000A37DA">
        <w:t xml:space="preserve">HVRR, </w:t>
      </w:r>
      <w:r w:rsidR="5FFA9596" w:rsidRPr="000A37DA">
        <w:t>specifically in the proposed</w:t>
      </w:r>
      <w:r w:rsidR="000A37DA">
        <w:t xml:space="preserve"> responsibilities of the organisations tasked with implementing </w:t>
      </w:r>
      <w:r w:rsidR="000C0B4B">
        <w:t>a</w:t>
      </w:r>
      <w:r w:rsidR="005B6D0D">
        <w:t>n</w:t>
      </w:r>
      <w:r w:rsidR="000C0B4B">
        <w:t xml:space="preserve"> </w:t>
      </w:r>
      <w:r w:rsidR="5FFA9596" w:rsidRPr="000A37DA">
        <w:t>FLCB</w:t>
      </w:r>
      <w:r w:rsidR="00104191">
        <w:t xml:space="preserve"> </w:t>
      </w:r>
      <w:r w:rsidR="000C0B4B">
        <w:t>model</w:t>
      </w:r>
      <w:r w:rsidR="00104191">
        <w:t xml:space="preserve"> under an independent price regulator</w:t>
      </w:r>
      <w:r w:rsidR="5FFA9596">
        <w:t>.</w:t>
      </w:r>
      <w:r w:rsidR="001F4F5C">
        <w:t xml:space="preserve"> We will </w:t>
      </w:r>
      <w:r w:rsidR="007A228E">
        <w:t>inform the Land Transport Market Reform Steering Group of the feedback we have received.</w:t>
      </w:r>
      <w:r w:rsidR="009E61AA">
        <w:t xml:space="preserve"> </w:t>
      </w:r>
    </w:p>
    <w:p w14:paraId="0B2114D9" w14:textId="5C019DAA" w:rsidR="001D2A51" w:rsidRDefault="001D2A51" w:rsidP="0042671F">
      <w:pPr>
        <w:pStyle w:val="BodyCopy"/>
      </w:pPr>
      <w:r>
        <w:t xml:space="preserve">The NTC </w:t>
      </w:r>
      <w:r w:rsidRPr="0042671F">
        <w:t>recommends</w:t>
      </w:r>
      <w:r>
        <w:t xml:space="preserve"> that:</w:t>
      </w:r>
    </w:p>
    <w:p w14:paraId="2311A764" w14:textId="5978FC48" w:rsidR="001D2A51" w:rsidRDefault="00F11F2E" w:rsidP="001D2A51">
      <w:pPr>
        <w:pStyle w:val="List-bulletlvl1"/>
      </w:pPr>
      <w:r>
        <w:t>t</w:t>
      </w:r>
      <w:r w:rsidR="001D2A51">
        <w:t>here be no change to expenditure audi</w:t>
      </w:r>
      <w:r>
        <w:t>ting at this time</w:t>
      </w:r>
    </w:p>
    <w:p w14:paraId="5F0D7221" w14:textId="7E50581E" w:rsidR="0042671F" w:rsidRPr="0042671F" w:rsidRDefault="00F11F2E" w:rsidP="008A167B">
      <w:pPr>
        <w:pStyle w:val="List-bulletlvl1"/>
      </w:pPr>
      <w:r>
        <w:t xml:space="preserve">the NTC </w:t>
      </w:r>
      <w:r w:rsidR="00A86415">
        <w:t>investigate</w:t>
      </w:r>
      <w:r w:rsidR="0094601B">
        <w:t>s</w:t>
      </w:r>
      <w:r>
        <w:t xml:space="preserve"> whether additional</w:t>
      </w:r>
      <w:r w:rsidR="00A86415">
        <w:t xml:space="preserve"> certification </w:t>
      </w:r>
      <w:r>
        <w:t>requirements</w:t>
      </w:r>
      <w:r w:rsidR="00A86415">
        <w:t xml:space="preserve"> similar to those recommended by the ATA could be introduced at reasonable cost in the future.</w:t>
      </w:r>
    </w:p>
    <w:p w14:paraId="09C43865" w14:textId="77777777" w:rsidR="002D006C" w:rsidRDefault="002D006C" w:rsidP="00AF7B68">
      <w:pPr>
        <w:pStyle w:val="Heading2"/>
      </w:pPr>
      <w:bookmarkStart w:id="139" w:name="_Ref64880968"/>
      <w:bookmarkStart w:id="140" w:name="_Toc86158405"/>
      <w:r>
        <w:t>Expenditure categories</w:t>
      </w:r>
      <w:bookmarkEnd w:id="139"/>
      <w:bookmarkEnd w:id="140"/>
    </w:p>
    <w:p w14:paraId="47B43895" w14:textId="77777777" w:rsidR="002D006C" w:rsidRPr="00F51AF9" w:rsidRDefault="002D006C" w:rsidP="00AF7B68">
      <w:pPr>
        <w:pStyle w:val="Heading3"/>
      </w:pPr>
      <w:bookmarkStart w:id="141" w:name="_Toc86158406"/>
      <w:r w:rsidRPr="00F51AF9">
        <w:t>Background</w:t>
      </w:r>
      <w:bookmarkEnd w:id="141"/>
    </w:p>
    <w:p w14:paraId="67EB8751" w14:textId="66263875" w:rsidR="002D006C" w:rsidRDefault="002D006C" w:rsidP="002D006C">
      <w:pPr>
        <w:pStyle w:val="BodyCopy"/>
      </w:pPr>
      <w:r>
        <w:t>Road expenditure is entered into the PAYGO model in different expenditure categories. This allows for a different allocation of costs to heavy vehicles and light vehicles depending on the nature of the expenditure and the degree to which it is affected by different cost drivers. Cost allocation is discussed further in section</w:t>
      </w:r>
      <w:r w:rsidR="00E22EBC">
        <w:t xml:space="preserve"> </w:t>
      </w:r>
      <w:r w:rsidR="00E22EBC">
        <w:fldChar w:fldCharType="begin"/>
      </w:r>
      <w:r w:rsidR="00E22EBC">
        <w:instrText xml:space="preserve"> REF _Ref64881044 \r \h </w:instrText>
      </w:r>
      <w:r w:rsidR="00E22EBC">
        <w:fldChar w:fldCharType="separate"/>
      </w:r>
      <w:r w:rsidR="00225EEA">
        <w:t>4.7</w:t>
      </w:r>
      <w:r w:rsidR="00E22EBC">
        <w:fldChar w:fldCharType="end"/>
      </w:r>
      <w:r>
        <w:t>.</w:t>
      </w:r>
    </w:p>
    <w:p w14:paraId="51B30A70" w14:textId="154B02D2" w:rsidR="002D006C" w:rsidRDefault="002D006C" w:rsidP="002D006C">
      <w:pPr>
        <w:pStyle w:val="BodyCopy"/>
      </w:pPr>
      <w:r>
        <w:t xml:space="preserve">Over recent years, the NTC has been working on a prototype FLCB model in support of HVRR. As part of this work, Opus (now WSP) developed a set of expenditure categories for the NTC to use in the prototype FLCB model </w:t>
      </w:r>
      <w:sdt>
        <w:sdtPr>
          <w:id w:val="-1339680814"/>
          <w:citation/>
        </w:sdtPr>
        <w:sdtContent>
          <w:r>
            <w:fldChar w:fldCharType="begin"/>
          </w:r>
          <w:r w:rsidR="00406F3F">
            <w:instrText xml:space="preserve">CITATION Opu17 \l 3081 </w:instrText>
          </w:r>
          <w:r>
            <w:fldChar w:fldCharType="separate"/>
          </w:r>
          <w:r w:rsidR="000A4DC7" w:rsidRPr="000A4DC7">
            <w:rPr>
              <w:noProof/>
            </w:rPr>
            <w:t>(Opus, 2017)</w:t>
          </w:r>
          <w:r>
            <w:fldChar w:fldCharType="end"/>
          </w:r>
        </w:sdtContent>
      </w:sdt>
      <w:r>
        <w:t xml:space="preserve">. The NTC has since made some modifications to those expenditure categories in the prototype FLCB model, based on feedback from road agencies and research completed under Austroads’ </w:t>
      </w:r>
      <w:r w:rsidRPr="00557B8D">
        <w:rPr>
          <w:i/>
          <w:iCs/>
        </w:rPr>
        <w:t>AAM2102 Guidelines for minimum levels of asset componentisation</w:t>
      </w:r>
      <w:r>
        <w:t xml:space="preserve"> project </w:t>
      </w:r>
      <w:sdt>
        <w:sdtPr>
          <w:id w:val="272910166"/>
          <w:citation/>
        </w:sdtPr>
        <w:sdtContent>
          <w:r>
            <w:fldChar w:fldCharType="begin"/>
          </w:r>
          <w:r w:rsidR="00406F3F">
            <w:instrText xml:space="preserve">CITATION Aus181 \l 3081 </w:instrText>
          </w:r>
          <w:r>
            <w:fldChar w:fldCharType="separate"/>
          </w:r>
          <w:r w:rsidR="000A4DC7" w:rsidRPr="000A4DC7">
            <w:rPr>
              <w:noProof/>
            </w:rPr>
            <w:t>(Austroads, 2018)</w:t>
          </w:r>
          <w:r>
            <w:fldChar w:fldCharType="end"/>
          </w:r>
        </w:sdtContent>
      </w:sdt>
      <w:r>
        <w:t>.</w:t>
      </w:r>
    </w:p>
    <w:p w14:paraId="5CA446A0" w14:textId="77777777" w:rsidR="002D006C" w:rsidRDefault="002D006C" w:rsidP="002D006C">
      <w:pPr>
        <w:pStyle w:val="BodyCopy"/>
      </w:pPr>
      <w:r>
        <w:t>The key considerations in developing the prototype FLCB asset/expenditure categories included:</w:t>
      </w:r>
    </w:p>
    <w:p w14:paraId="25363D18" w14:textId="1CA07B28" w:rsidR="002D006C" w:rsidRDefault="005B6D0D" w:rsidP="002D006C">
      <w:pPr>
        <w:pStyle w:val="List-bulletlvl1"/>
      </w:pPr>
      <w:r>
        <w:t>s</w:t>
      </w:r>
      <w:r w:rsidR="002D006C">
        <w:t>eparati</w:t>
      </w:r>
      <w:r>
        <w:t>ng</w:t>
      </w:r>
      <w:r w:rsidR="002D006C">
        <w:t xml:space="preserve"> expenditure by combined work categories, namely capital expenditure (including upgrade, development and renewal) and operating expenditure (including operating and maintenance)</w:t>
      </w:r>
      <w:r>
        <w:t xml:space="preserve"> –</w:t>
      </w:r>
      <w:r w:rsidR="002D006C">
        <w:t xml:space="preserve"> </w:t>
      </w:r>
      <w:r>
        <w:t>t</w:t>
      </w:r>
      <w:r w:rsidR="002D006C">
        <w:t xml:space="preserve">his is important in </w:t>
      </w:r>
      <w:r w:rsidR="00B754A6">
        <w:t xml:space="preserve">a </w:t>
      </w:r>
      <w:r w:rsidR="002D006C">
        <w:t>lifecycle FLCB model (or building block model) because capital expenditure is recovered over the entire life of the asset, in contrast to operating expenditure which, similar to PAYGO, is recovered as it is incurred</w:t>
      </w:r>
    </w:p>
    <w:p w14:paraId="2CD29ACF" w14:textId="0D41DB94" w:rsidR="002D006C" w:rsidRDefault="005B6D0D" w:rsidP="002D006C">
      <w:pPr>
        <w:pStyle w:val="List-bulletlvl1"/>
      </w:pPr>
      <w:r>
        <w:t>s</w:t>
      </w:r>
      <w:r w:rsidR="002D006C">
        <w:t>eparating asset/expenditure categories with different asset lives to allow for recovery of costs over the asset’s economic lifetime to be modelled more appropriately</w:t>
      </w:r>
    </w:p>
    <w:p w14:paraId="2689CFEB" w14:textId="0F5E0257" w:rsidR="002D006C" w:rsidRDefault="005B6D0D" w:rsidP="002D006C">
      <w:pPr>
        <w:pStyle w:val="List-bulletlvl1"/>
      </w:pPr>
      <w:r>
        <w:t>s</w:t>
      </w:r>
      <w:r w:rsidR="002D006C">
        <w:t>eparating expenditure categories based on the degree to which heavy vehicles drive the road wear or construction requirements (similar to the approach for PAYGO)</w:t>
      </w:r>
    </w:p>
    <w:p w14:paraId="0FFA203F" w14:textId="0DE68399" w:rsidR="002D006C" w:rsidRDefault="005B6D0D" w:rsidP="002D006C">
      <w:pPr>
        <w:pStyle w:val="List-bulletlvl1"/>
      </w:pPr>
      <w:r>
        <w:t>a</w:t>
      </w:r>
      <w:r w:rsidR="002D006C">
        <w:t>pplying a materiality test to avoid having an excessive number of asset/expenditure categories</w:t>
      </w:r>
      <w:r>
        <w:t>;</w:t>
      </w:r>
      <w:r w:rsidR="002D006C">
        <w:t xml:space="preserve"> </w:t>
      </w:r>
      <w:r>
        <w:t>f</w:t>
      </w:r>
      <w:r w:rsidR="002D006C">
        <w:t xml:space="preserve">or example, there may be categories </w:t>
      </w:r>
      <w:r>
        <w:t xml:space="preserve">that </w:t>
      </w:r>
      <w:r w:rsidR="002D006C">
        <w:t xml:space="preserve">road agencies do not collect data </w:t>
      </w:r>
      <w:r w:rsidR="002D006C">
        <w:lastRenderedPageBreak/>
        <w:t xml:space="preserve">for (and will continue not to in the future) and/or others </w:t>
      </w:r>
      <w:r>
        <w:t xml:space="preserve">that </w:t>
      </w:r>
      <w:r w:rsidR="002D006C">
        <w:t>may have a very low collective asset value.</w:t>
      </w:r>
    </w:p>
    <w:p w14:paraId="09B3DB5E" w14:textId="77777777" w:rsidR="002D006C" w:rsidRPr="00F51AF9" w:rsidRDefault="002D006C" w:rsidP="00AF7B68">
      <w:pPr>
        <w:pStyle w:val="Heading3"/>
      </w:pPr>
      <w:bookmarkStart w:id="142" w:name="_Toc86158407"/>
      <w:r w:rsidRPr="00F51AF9">
        <w:t>Analysis</w:t>
      </w:r>
      <w:bookmarkEnd w:id="142"/>
    </w:p>
    <w:p w14:paraId="53F36DC1" w14:textId="2F79008F" w:rsidR="002D006C" w:rsidRDefault="002D006C" w:rsidP="002D006C">
      <w:pPr>
        <w:pStyle w:val="BodyCopy"/>
      </w:pPr>
      <w:r>
        <w:t xml:space="preserve">Although the prototype FLCB model itself is out of scope for this </w:t>
      </w:r>
      <w:r w:rsidR="005B6D0D" w:rsidRPr="005B6D0D">
        <w:t>determination</w:t>
      </w:r>
      <w:r>
        <w:t xml:space="preserve">, the NTC considered the option of using its expenditure categories for the purposes of the PAYGO model in this </w:t>
      </w:r>
      <w:r w:rsidR="005B6D0D">
        <w:t>determination</w:t>
      </w:r>
      <w:r>
        <w:t xml:space="preserve">. The NTC has analysed the potential advantages and disadvantages of using the existing PAYGO expenditure categories or changing to the prototype FLCB expenditure categories in </w:t>
      </w:r>
      <w:r w:rsidR="00AE5FB7">
        <w:fldChar w:fldCharType="begin"/>
      </w:r>
      <w:r w:rsidR="00AE5FB7">
        <w:instrText xml:space="preserve"> REF _Ref57370723 \r \h </w:instrText>
      </w:r>
      <w:r w:rsidR="00AE5FB7">
        <w:fldChar w:fldCharType="separate"/>
      </w:r>
      <w:r w:rsidR="00225EEA">
        <w:t>Table 5</w:t>
      </w:r>
      <w:r w:rsidR="00AE5FB7">
        <w:fldChar w:fldCharType="end"/>
      </w:r>
      <w:r w:rsidDel="00810969">
        <w:fldChar w:fldCharType="begin"/>
      </w:r>
      <w:r w:rsidDel="00810969">
        <w:fldChar w:fldCharType="separate"/>
      </w:r>
      <w:r>
        <w:rPr>
          <w:b/>
          <w:bCs/>
          <w:lang w:val="en-US"/>
        </w:rPr>
        <w:t>Error! No bookmark name given.</w:t>
      </w:r>
      <w:r w:rsidDel="00810969">
        <w:fldChar w:fldCharType="end"/>
      </w:r>
      <w:r>
        <w:t>.</w:t>
      </w:r>
    </w:p>
    <w:p w14:paraId="3CC65F54" w14:textId="77777777" w:rsidR="002D006C" w:rsidRDefault="002D006C" w:rsidP="002D006C">
      <w:pPr>
        <w:pStyle w:val="Tabletitle"/>
      </w:pPr>
      <w:bookmarkStart w:id="143" w:name="_Ref57370723"/>
      <w:bookmarkStart w:id="144" w:name="_Toc86158544"/>
      <w:r>
        <w:t>Advantages and disadvantages of using PAYGO or FLCB categories</w:t>
      </w:r>
      <w:bookmarkEnd w:id="143"/>
      <w:bookmarkEnd w:id="144"/>
    </w:p>
    <w:tbl>
      <w:tblPr>
        <w:tblStyle w:val="NTCtable"/>
        <w:tblW w:w="0" w:type="auto"/>
        <w:tblLook w:val="04A0" w:firstRow="1" w:lastRow="0" w:firstColumn="1" w:lastColumn="0" w:noHBand="0" w:noVBand="1"/>
      </w:tblPr>
      <w:tblGrid>
        <w:gridCol w:w="1139"/>
        <w:gridCol w:w="2693"/>
        <w:gridCol w:w="5195"/>
      </w:tblGrid>
      <w:tr w:rsidR="002D006C" w14:paraId="682034BE" w14:textId="77777777" w:rsidTr="00E31709">
        <w:trPr>
          <w:cnfStyle w:val="100000000000" w:firstRow="1" w:lastRow="0" w:firstColumn="0" w:lastColumn="0" w:oddVBand="0" w:evenVBand="0" w:oddHBand="0" w:evenHBand="0" w:firstRowFirstColumn="0" w:firstRowLastColumn="0" w:lastRowFirstColumn="0" w:lastRowLastColumn="0"/>
          <w:tblHeader/>
        </w:trPr>
        <w:tc>
          <w:tcPr>
            <w:tcW w:w="1139" w:type="dxa"/>
          </w:tcPr>
          <w:p w14:paraId="2143E7AB" w14:textId="77777777" w:rsidR="002D006C" w:rsidRPr="00D11756" w:rsidRDefault="002D006C" w:rsidP="002D006C">
            <w:pPr>
              <w:pStyle w:val="BodyCopy"/>
              <w:spacing w:before="80" w:after="80"/>
              <w:rPr>
                <w:sz w:val="20"/>
                <w:szCs w:val="22"/>
              </w:rPr>
            </w:pPr>
          </w:p>
        </w:tc>
        <w:tc>
          <w:tcPr>
            <w:tcW w:w="2693" w:type="dxa"/>
          </w:tcPr>
          <w:p w14:paraId="451B4FE8" w14:textId="77777777" w:rsidR="002D006C" w:rsidRPr="00A329DF" w:rsidRDefault="002D006C" w:rsidP="002D006C">
            <w:pPr>
              <w:pStyle w:val="BodyCopy"/>
              <w:spacing w:before="80" w:after="80"/>
              <w:rPr>
                <w:b/>
                <w:bCs/>
                <w:sz w:val="20"/>
                <w:szCs w:val="22"/>
              </w:rPr>
            </w:pPr>
            <w:r w:rsidRPr="00A329DF">
              <w:rPr>
                <w:b/>
                <w:bCs/>
                <w:sz w:val="20"/>
                <w:szCs w:val="22"/>
              </w:rPr>
              <w:t>Advantages</w:t>
            </w:r>
          </w:p>
        </w:tc>
        <w:tc>
          <w:tcPr>
            <w:tcW w:w="5195" w:type="dxa"/>
          </w:tcPr>
          <w:p w14:paraId="43D54761" w14:textId="77777777" w:rsidR="002D006C" w:rsidRPr="00A329DF" w:rsidRDefault="002D006C" w:rsidP="002D006C">
            <w:pPr>
              <w:pStyle w:val="BodyCopy"/>
              <w:spacing w:before="80" w:after="80"/>
              <w:rPr>
                <w:b/>
                <w:bCs/>
                <w:sz w:val="20"/>
                <w:szCs w:val="22"/>
              </w:rPr>
            </w:pPr>
            <w:r w:rsidRPr="00A329DF">
              <w:rPr>
                <w:b/>
                <w:bCs/>
                <w:sz w:val="20"/>
                <w:szCs w:val="22"/>
              </w:rPr>
              <w:t>Disadvantages</w:t>
            </w:r>
          </w:p>
        </w:tc>
      </w:tr>
      <w:tr w:rsidR="002D006C" w14:paraId="76257010" w14:textId="77777777" w:rsidTr="00E31709">
        <w:tc>
          <w:tcPr>
            <w:tcW w:w="1139" w:type="dxa"/>
          </w:tcPr>
          <w:p w14:paraId="36945B6E" w14:textId="77777777" w:rsidR="002D006C" w:rsidRPr="00D11756" w:rsidRDefault="002D006C" w:rsidP="002D006C">
            <w:pPr>
              <w:pStyle w:val="BodyCopy"/>
              <w:spacing w:before="80" w:after="80"/>
              <w:rPr>
                <w:sz w:val="20"/>
                <w:szCs w:val="22"/>
              </w:rPr>
            </w:pPr>
            <w:r w:rsidRPr="00D11756">
              <w:rPr>
                <w:sz w:val="20"/>
                <w:szCs w:val="22"/>
              </w:rPr>
              <w:t>PAYGO categories</w:t>
            </w:r>
          </w:p>
        </w:tc>
        <w:tc>
          <w:tcPr>
            <w:tcW w:w="2693" w:type="dxa"/>
          </w:tcPr>
          <w:p w14:paraId="74844ED8" w14:textId="77777777" w:rsidR="002D006C" w:rsidRPr="00D11756" w:rsidRDefault="002D006C" w:rsidP="002D006C">
            <w:pPr>
              <w:pStyle w:val="BodyCopy"/>
              <w:spacing w:before="80" w:after="80"/>
              <w:rPr>
                <w:sz w:val="20"/>
                <w:szCs w:val="22"/>
              </w:rPr>
            </w:pPr>
            <w:r w:rsidRPr="00D11756">
              <w:rPr>
                <w:sz w:val="20"/>
                <w:szCs w:val="22"/>
              </w:rPr>
              <w:t>Existing and established process.</w:t>
            </w:r>
          </w:p>
          <w:p w14:paraId="12D1A40A" w14:textId="2EFAADB7" w:rsidR="002D006C" w:rsidRPr="00D11756" w:rsidRDefault="002D006C" w:rsidP="002D006C">
            <w:pPr>
              <w:pStyle w:val="BodyCopy"/>
              <w:spacing w:before="80" w:after="80"/>
              <w:rPr>
                <w:sz w:val="20"/>
                <w:szCs w:val="22"/>
              </w:rPr>
            </w:pPr>
            <w:r w:rsidRPr="00D11756">
              <w:rPr>
                <w:sz w:val="20"/>
                <w:szCs w:val="22"/>
              </w:rPr>
              <w:t xml:space="preserve">Avoids any uncertainty about </w:t>
            </w:r>
            <w:r w:rsidR="00B754A6">
              <w:rPr>
                <w:sz w:val="20"/>
                <w:szCs w:val="22"/>
              </w:rPr>
              <w:t xml:space="preserve">the </w:t>
            </w:r>
            <w:r w:rsidRPr="00D11756">
              <w:rPr>
                <w:sz w:val="20"/>
                <w:szCs w:val="22"/>
              </w:rPr>
              <w:t>accuracy of data provided in any alternative expenditure categories.</w:t>
            </w:r>
          </w:p>
        </w:tc>
        <w:tc>
          <w:tcPr>
            <w:tcW w:w="5195" w:type="dxa"/>
          </w:tcPr>
          <w:p w14:paraId="0F8ED8F2" w14:textId="77777777" w:rsidR="002D006C" w:rsidRPr="00D11756" w:rsidRDefault="002D006C" w:rsidP="002D006C">
            <w:pPr>
              <w:pStyle w:val="BodyCopy"/>
              <w:spacing w:before="80" w:after="80"/>
              <w:rPr>
                <w:sz w:val="20"/>
                <w:szCs w:val="22"/>
              </w:rPr>
            </w:pPr>
            <w:r w:rsidRPr="00D11756">
              <w:rPr>
                <w:sz w:val="20"/>
                <w:szCs w:val="22"/>
              </w:rPr>
              <w:t>State and territory road agencies may incur some additional administrative costs if the prototype FLCB model expenditure data continues to be provided alongside the PAYGO data in the coming years. That is, under this option road agencies would continue to provide two datasets rather than one (assuming the NTC continues to request data for the prototype FLCB model in the coming years).</w:t>
            </w:r>
          </w:p>
        </w:tc>
      </w:tr>
      <w:tr w:rsidR="002D006C" w14:paraId="6965A529" w14:textId="77777777" w:rsidTr="00E31709">
        <w:tc>
          <w:tcPr>
            <w:tcW w:w="1139" w:type="dxa"/>
          </w:tcPr>
          <w:p w14:paraId="1548FFD7" w14:textId="77777777" w:rsidR="002D006C" w:rsidRPr="00D11756" w:rsidRDefault="002D006C" w:rsidP="002D006C">
            <w:pPr>
              <w:pStyle w:val="BodyCopy"/>
              <w:spacing w:before="80" w:after="80"/>
              <w:rPr>
                <w:sz w:val="20"/>
                <w:szCs w:val="22"/>
              </w:rPr>
            </w:pPr>
            <w:r w:rsidRPr="00D11756">
              <w:rPr>
                <w:sz w:val="20"/>
                <w:szCs w:val="22"/>
              </w:rPr>
              <w:t>FLCB categories</w:t>
            </w:r>
          </w:p>
        </w:tc>
        <w:tc>
          <w:tcPr>
            <w:tcW w:w="2693" w:type="dxa"/>
          </w:tcPr>
          <w:p w14:paraId="2C8B8F7B" w14:textId="77777777" w:rsidR="002D006C" w:rsidRPr="00D11756" w:rsidRDefault="002D006C" w:rsidP="002D006C">
            <w:pPr>
              <w:pStyle w:val="BodyCopy"/>
              <w:spacing w:before="80" w:after="80"/>
              <w:rPr>
                <w:sz w:val="20"/>
                <w:szCs w:val="22"/>
              </w:rPr>
            </w:pPr>
            <w:r w:rsidRPr="00D11756">
              <w:rPr>
                <w:sz w:val="20"/>
                <w:szCs w:val="22"/>
              </w:rPr>
              <w:t>Potential to reduce some administrative costs if only one dataset (for the FLCB model) were to be provided by road agencies in the coming years.</w:t>
            </w:r>
            <w:r w:rsidRPr="00D11756">
              <w:rPr>
                <w:rStyle w:val="FootnoteReference"/>
                <w:sz w:val="20"/>
                <w:szCs w:val="22"/>
              </w:rPr>
              <w:footnoteReference w:id="4"/>
            </w:r>
          </w:p>
          <w:p w14:paraId="010C3A41" w14:textId="1E41C48A" w:rsidR="002D006C" w:rsidRPr="00D11756" w:rsidRDefault="002D006C" w:rsidP="002D006C">
            <w:pPr>
              <w:pStyle w:val="BodyCopy"/>
              <w:spacing w:before="80" w:after="80"/>
              <w:rPr>
                <w:sz w:val="20"/>
                <w:szCs w:val="22"/>
              </w:rPr>
            </w:pPr>
            <w:r w:rsidRPr="00D11756">
              <w:rPr>
                <w:sz w:val="20"/>
                <w:szCs w:val="22"/>
              </w:rPr>
              <w:t>Potentially begins</w:t>
            </w:r>
            <w:r w:rsidR="00B754A6">
              <w:rPr>
                <w:sz w:val="20"/>
                <w:szCs w:val="22"/>
              </w:rPr>
              <w:t xml:space="preserve"> the</w:t>
            </w:r>
            <w:r w:rsidRPr="00D11756">
              <w:rPr>
                <w:sz w:val="20"/>
                <w:szCs w:val="22"/>
              </w:rPr>
              <w:t xml:space="preserve"> transition towards a future use of FLCB expenditure categories under HVRR.</w:t>
            </w:r>
          </w:p>
        </w:tc>
        <w:tc>
          <w:tcPr>
            <w:tcW w:w="5195" w:type="dxa"/>
          </w:tcPr>
          <w:p w14:paraId="4D23778D" w14:textId="77777777" w:rsidR="002D006C" w:rsidRPr="00D11756" w:rsidRDefault="002D006C" w:rsidP="002D006C">
            <w:pPr>
              <w:pStyle w:val="BodyCopy"/>
              <w:spacing w:before="80" w:after="80"/>
              <w:rPr>
                <w:sz w:val="20"/>
                <w:szCs w:val="22"/>
              </w:rPr>
            </w:pPr>
            <w:r w:rsidRPr="00D11756">
              <w:rPr>
                <w:sz w:val="20"/>
                <w:szCs w:val="22"/>
              </w:rPr>
              <w:t>It is not certain that any future FLCB model that may be used under HVRR would use the exact expenditure categories used by the NTC for the prototype FLCB model (which would be the basis under which the NTC would request data under this option).</w:t>
            </w:r>
          </w:p>
          <w:p w14:paraId="64AE2EF1" w14:textId="0906CB37" w:rsidR="002D006C" w:rsidRPr="00D11756" w:rsidRDefault="002D006C" w:rsidP="002D006C">
            <w:pPr>
              <w:pStyle w:val="BodyCopy"/>
              <w:spacing w:before="80" w:after="80"/>
              <w:rPr>
                <w:sz w:val="20"/>
                <w:szCs w:val="22"/>
              </w:rPr>
            </w:pPr>
            <w:r w:rsidRPr="00D11756">
              <w:rPr>
                <w:sz w:val="20"/>
                <w:szCs w:val="22"/>
              </w:rPr>
              <w:t xml:space="preserve">Road agencies would need to provide </w:t>
            </w:r>
            <w:r w:rsidR="005B6D0D">
              <w:rPr>
                <w:sz w:val="20"/>
                <w:szCs w:val="22"/>
              </w:rPr>
              <w:t>seven</w:t>
            </w:r>
            <w:r w:rsidRPr="00D11756">
              <w:rPr>
                <w:sz w:val="20"/>
                <w:szCs w:val="22"/>
              </w:rPr>
              <w:t xml:space="preserve"> years of historical data in order to operate the PAYGO model’s exponential moving average. This would </w:t>
            </w:r>
            <w:r w:rsidR="00E22EBC">
              <w:rPr>
                <w:sz w:val="20"/>
                <w:szCs w:val="22"/>
              </w:rPr>
              <w:t xml:space="preserve">be </w:t>
            </w:r>
            <w:r w:rsidRPr="00D11756">
              <w:rPr>
                <w:sz w:val="20"/>
                <w:szCs w:val="22"/>
              </w:rPr>
              <w:t xml:space="preserve">likely </w:t>
            </w:r>
            <w:r w:rsidR="00E22EBC">
              <w:rPr>
                <w:sz w:val="20"/>
                <w:szCs w:val="22"/>
              </w:rPr>
              <w:t xml:space="preserve">to </w:t>
            </w:r>
            <w:r w:rsidRPr="00D11756">
              <w:rPr>
                <w:sz w:val="20"/>
                <w:szCs w:val="22"/>
              </w:rPr>
              <w:t>more than offset any administrative cost savings for road agencies for the next few years that could arise from providing only one dataset under this option.</w:t>
            </w:r>
          </w:p>
          <w:p w14:paraId="094BCD3D" w14:textId="77777777" w:rsidR="002D006C" w:rsidRPr="00D11756" w:rsidRDefault="002D006C" w:rsidP="002D006C">
            <w:pPr>
              <w:pStyle w:val="BodyCopy"/>
              <w:spacing w:before="80" w:after="80"/>
              <w:rPr>
                <w:sz w:val="20"/>
                <w:szCs w:val="22"/>
              </w:rPr>
            </w:pPr>
            <w:r w:rsidRPr="00D11756">
              <w:rPr>
                <w:sz w:val="20"/>
                <w:szCs w:val="22"/>
              </w:rPr>
              <w:t>There would also be administrative costs incurred by the NTC in significantly redesigning the PAYGO model to reflect the new, larger number of expenditure categories.</w:t>
            </w:r>
          </w:p>
          <w:p w14:paraId="3C0D5009" w14:textId="77777777" w:rsidR="002D006C" w:rsidRPr="00D11756" w:rsidRDefault="002D006C" w:rsidP="002D006C">
            <w:pPr>
              <w:pStyle w:val="BodyCopy"/>
              <w:spacing w:before="80" w:after="80"/>
              <w:rPr>
                <w:sz w:val="20"/>
                <w:szCs w:val="22"/>
              </w:rPr>
            </w:pPr>
            <w:r w:rsidRPr="00D11756">
              <w:rPr>
                <w:sz w:val="20"/>
                <w:szCs w:val="22"/>
              </w:rPr>
              <w:t>The split into capital expenditure and operating expenditure in the FLCB categories is irrelevant for the PAYGO model, which treats both types of expenditure in the same way.</w:t>
            </w:r>
          </w:p>
          <w:p w14:paraId="373AE4BB" w14:textId="26658DCA" w:rsidR="002D006C" w:rsidRPr="00D11756" w:rsidRDefault="005B6D0D" w:rsidP="0065220C">
            <w:pPr>
              <w:pStyle w:val="BodyCopy"/>
              <w:spacing w:before="80" w:after="80"/>
              <w:rPr>
                <w:sz w:val="20"/>
                <w:szCs w:val="22"/>
              </w:rPr>
            </w:pPr>
            <w:r>
              <w:rPr>
                <w:sz w:val="20"/>
                <w:szCs w:val="22"/>
              </w:rPr>
              <w:t>It would r</w:t>
            </w:r>
            <w:r w:rsidR="002D006C" w:rsidRPr="00D11756">
              <w:rPr>
                <w:sz w:val="20"/>
                <w:szCs w:val="22"/>
              </w:rPr>
              <w:t>equire new cost allocators, albeit these could be based on those currently used in the NTC’s prototype FLCB model. However, the cost allocators currently used in the prototype FLCB model are based on a best-effort translation of the PAYGO cost allocators, and therefore they have not been subject to any significant testing or review of appropriateness and accuracy.</w:t>
            </w:r>
          </w:p>
        </w:tc>
      </w:tr>
    </w:tbl>
    <w:p w14:paraId="6082CBEA" w14:textId="77777777" w:rsidR="00E31709" w:rsidRDefault="00E31709" w:rsidP="00E31709">
      <w:pPr>
        <w:pStyle w:val="Heading3"/>
      </w:pPr>
      <w:bookmarkStart w:id="145" w:name="_Toc86158408"/>
      <w:r>
        <w:lastRenderedPageBreak/>
        <w:t>Summary of submissions</w:t>
      </w:r>
      <w:bookmarkEnd w:id="145"/>
    </w:p>
    <w:p w14:paraId="78D8D0CE" w14:textId="30CD077D" w:rsidR="00E31709" w:rsidRDefault="00EB751D" w:rsidP="00BD61D2">
      <w:pPr>
        <w:pStyle w:val="BodyCopy"/>
      </w:pPr>
      <w:r>
        <w:t xml:space="preserve">Most submitters agreed with the NTC’s recommendation to retain the existing PAYGO expenditure categories. </w:t>
      </w:r>
      <w:r w:rsidR="00BC6DF2">
        <w:t xml:space="preserve">However, in informal discussions, a stakeholder suggested that a transition to new expenditure categories could be considered if </w:t>
      </w:r>
      <w:r w:rsidR="00752E8A">
        <w:t>and when these have been agreed under HVRR.</w:t>
      </w:r>
      <w:r w:rsidR="009E61AA">
        <w:t xml:space="preserve"> </w:t>
      </w:r>
    </w:p>
    <w:p w14:paraId="7B7DFDD1" w14:textId="3899835D" w:rsidR="002D006C" w:rsidRPr="00F51AF9" w:rsidRDefault="002D006C" w:rsidP="00AF7B68">
      <w:pPr>
        <w:pStyle w:val="Heading3"/>
      </w:pPr>
      <w:bookmarkStart w:id="146" w:name="_Toc86158409"/>
      <w:r w:rsidRPr="00F51AF9">
        <w:t>Conclusion</w:t>
      </w:r>
      <w:r w:rsidR="005472CF">
        <w:t xml:space="preserve"> and recommendations</w:t>
      </w:r>
      <w:bookmarkEnd w:id="146"/>
    </w:p>
    <w:p w14:paraId="78AEDB91" w14:textId="259D5F6A" w:rsidR="002D006C" w:rsidRDefault="002D006C" w:rsidP="002D006C">
      <w:pPr>
        <w:pStyle w:val="BodyCopy"/>
      </w:pPr>
      <w:r>
        <w:t xml:space="preserve">Based on the analysis in </w:t>
      </w:r>
      <w:r w:rsidR="00275F91">
        <w:fldChar w:fldCharType="begin"/>
      </w:r>
      <w:r w:rsidR="00275F91">
        <w:instrText xml:space="preserve"> REF _Ref57370723 \r \h </w:instrText>
      </w:r>
      <w:r w:rsidR="00275F91">
        <w:fldChar w:fldCharType="separate"/>
      </w:r>
      <w:r w:rsidR="00225EEA">
        <w:t>Table 5</w:t>
      </w:r>
      <w:r w:rsidR="00275F91">
        <w:fldChar w:fldCharType="end"/>
      </w:r>
      <w:r>
        <w:t xml:space="preserve">, the NTC </w:t>
      </w:r>
      <w:r w:rsidR="292CCBDA">
        <w:t>recommends</w:t>
      </w:r>
      <w:r w:rsidR="00FA2217">
        <w:t xml:space="preserve"> that</w:t>
      </w:r>
      <w:r w:rsidR="292CCBDA">
        <w:t>:</w:t>
      </w:r>
    </w:p>
    <w:p w14:paraId="5D70B491" w14:textId="2FABE959" w:rsidR="008C1CDE" w:rsidRDefault="0073249D" w:rsidP="00CD3486">
      <w:pPr>
        <w:pStyle w:val="List-bulletlvl1"/>
      </w:pPr>
      <w:r>
        <w:t>t</w:t>
      </w:r>
      <w:r w:rsidR="009E7E86">
        <w:t>he existing</w:t>
      </w:r>
      <w:r w:rsidR="00B570A4">
        <w:t xml:space="preserve"> </w:t>
      </w:r>
      <w:r w:rsidR="002D006C">
        <w:t xml:space="preserve">PAYGO expenditure categories </w:t>
      </w:r>
      <w:r w:rsidR="00B570A4">
        <w:t>be retained</w:t>
      </w:r>
    </w:p>
    <w:p w14:paraId="2B7F38A8" w14:textId="1EE50A96" w:rsidR="002D006C" w:rsidRDefault="00996466" w:rsidP="00357D40">
      <w:pPr>
        <w:pStyle w:val="List-bulletlvl1"/>
      </w:pPr>
      <w:r>
        <w:t xml:space="preserve">the option of introducing new expenditure categories </w:t>
      </w:r>
      <w:r w:rsidR="00752E8A">
        <w:t xml:space="preserve">should </w:t>
      </w:r>
      <w:r>
        <w:t xml:space="preserve">be </w:t>
      </w:r>
      <w:r w:rsidR="00743952">
        <w:t xml:space="preserve">explored </w:t>
      </w:r>
      <w:r w:rsidR="009B352D">
        <w:t>once</w:t>
      </w:r>
      <w:r w:rsidR="00752E8A">
        <w:t xml:space="preserve"> a new set of expenditure categories </w:t>
      </w:r>
      <w:r w:rsidR="005B7C89">
        <w:t>is</w:t>
      </w:r>
      <w:r w:rsidR="00752E8A">
        <w:t xml:space="preserve"> agreed under HVRR. </w:t>
      </w:r>
    </w:p>
    <w:p w14:paraId="0891252E" w14:textId="77777777" w:rsidR="002D006C" w:rsidRDefault="002D006C" w:rsidP="00AF7B68">
      <w:pPr>
        <w:pStyle w:val="Heading2"/>
      </w:pPr>
      <w:bookmarkStart w:id="147" w:name="_Ref64880985"/>
      <w:bookmarkStart w:id="148" w:name="_Toc86158410"/>
      <w:r>
        <w:t>Treatment of innovative funding and financing methods</w:t>
      </w:r>
      <w:bookmarkEnd w:id="147"/>
      <w:bookmarkEnd w:id="148"/>
    </w:p>
    <w:p w14:paraId="434C0A29" w14:textId="77777777" w:rsidR="002D006C" w:rsidRPr="00F51AF9" w:rsidRDefault="002D006C">
      <w:pPr>
        <w:pStyle w:val="Heading3"/>
      </w:pPr>
      <w:bookmarkStart w:id="149" w:name="_Toc86158411"/>
      <w:r w:rsidRPr="00F51AF9">
        <w:t>Background</w:t>
      </w:r>
      <w:bookmarkEnd w:id="149"/>
    </w:p>
    <w:p w14:paraId="572EA66D" w14:textId="52D00C74" w:rsidR="002D006C" w:rsidRPr="00DD4FF3" w:rsidRDefault="002D006C" w:rsidP="002D006C">
      <w:pPr>
        <w:pStyle w:val="BodyText1"/>
        <w:rPr>
          <w:rFonts w:eastAsia="Cambria"/>
        </w:rPr>
      </w:pPr>
      <w:r w:rsidRPr="00DD4FF3">
        <w:rPr>
          <w:rFonts w:eastAsia="Cambria"/>
        </w:rPr>
        <w:t xml:space="preserve">A 2016 report from the Bureau of Infrastructure, Transport and Regional Economics </w:t>
      </w:r>
      <w:r w:rsidR="00EB3A56">
        <w:rPr>
          <w:rFonts w:eastAsia="Cambria"/>
        </w:rPr>
        <w:t xml:space="preserve">(BITRE, 2016) </w:t>
      </w:r>
      <w:r w:rsidRPr="00DD4FF3">
        <w:rPr>
          <w:rFonts w:eastAsia="Cambria"/>
        </w:rPr>
        <w:t>noted there were 16 toll roads in Australia</w:t>
      </w:r>
      <w:r>
        <w:rPr>
          <w:rFonts w:eastAsia="Cambria"/>
        </w:rPr>
        <w:t xml:space="preserve">. </w:t>
      </w:r>
      <w:r w:rsidRPr="00DD4FF3">
        <w:rPr>
          <w:rFonts w:eastAsia="Cambria"/>
        </w:rPr>
        <w:t>Since that time, the Toowoomba Bypass has opened in Queensland, new toll roads</w:t>
      </w:r>
      <w:r>
        <w:rPr>
          <w:rFonts w:eastAsia="Cambria"/>
        </w:rPr>
        <w:t xml:space="preserve"> have opened in Sydney</w:t>
      </w:r>
      <w:r w:rsidRPr="00DD4FF3">
        <w:rPr>
          <w:rFonts w:eastAsia="Cambria"/>
        </w:rPr>
        <w:t xml:space="preserve"> </w:t>
      </w:r>
      <w:r>
        <w:rPr>
          <w:rFonts w:eastAsia="Cambria"/>
        </w:rPr>
        <w:t>and more new toll roads are expected to open</w:t>
      </w:r>
      <w:r w:rsidRPr="00DD4FF3">
        <w:rPr>
          <w:rFonts w:eastAsia="Cambria"/>
        </w:rPr>
        <w:t xml:space="preserve"> in the coming years.</w:t>
      </w:r>
    </w:p>
    <w:p w14:paraId="33B39424" w14:textId="18B57CE1" w:rsidR="002D006C" w:rsidRPr="00DD4FF3" w:rsidRDefault="002D006C" w:rsidP="002D006C">
      <w:pPr>
        <w:pStyle w:val="BodyText1"/>
        <w:rPr>
          <w:rFonts w:eastAsia="Cambria"/>
        </w:rPr>
      </w:pPr>
      <w:r w:rsidRPr="00DD4FF3">
        <w:rPr>
          <w:rFonts w:eastAsia="Cambria"/>
        </w:rPr>
        <w:t>Increasingly, governments are using innovative financing and funding methods in partnership with private enterprises to deliver new roads, bridges and tunnels, and to maintain them. There is no single PPP model that has emerged as the dominant, or preferred, financing and funding model. In fact, recent PPPs are becoming more diverse and complex. For example, the CityLink</w:t>
      </w:r>
      <w:r w:rsidR="005B6D0D">
        <w:rPr>
          <w:rFonts w:eastAsia="Cambria"/>
        </w:rPr>
        <w:t>–</w:t>
      </w:r>
      <w:r w:rsidRPr="00DD4FF3">
        <w:rPr>
          <w:rFonts w:eastAsia="Cambria"/>
        </w:rPr>
        <w:t xml:space="preserve">Tullamarine widening project and West Gate Tunnel </w:t>
      </w:r>
      <w:r w:rsidR="005B6D0D">
        <w:rPr>
          <w:rFonts w:eastAsia="Cambria"/>
        </w:rPr>
        <w:t xml:space="preserve">projects in Melbourne </w:t>
      </w:r>
      <w:r w:rsidRPr="00DD4FF3">
        <w:rPr>
          <w:rFonts w:eastAsia="Cambria"/>
        </w:rPr>
        <w:t>are being funded at least partially by tolls, and by amending existing tolling arrangements on other roads owned by the private sector entity undertaking the project</w:t>
      </w:r>
      <w:r w:rsidR="00EB3A56">
        <w:rPr>
          <w:rFonts w:eastAsia="Cambria"/>
        </w:rPr>
        <w:t xml:space="preserve"> (Transurban, 2015; 2020).</w:t>
      </w:r>
    </w:p>
    <w:p w14:paraId="0B46FC2D" w14:textId="2B54C877" w:rsidR="002D006C" w:rsidRPr="00DD4FF3" w:rsidRDefault="002D006C" w:rsidP="002D006C">
      <w:pPr>
        <w:pStyle w:val="BodyText1"/>
        <w:rPr>
          <w:rFonts w:eastAsia="Cambria"/>
        </w:rPr>
      </w:pPr>
      <w:r w:rsidRPr="00DD4FF3">
        <w:rPr>
          <w:rFonts w:eastAsia="Cambria"/>
        </w:rPr>
        <w:t>Toll roads generate revenues that help pay for their construction and ongoing maintenance. Under PAYGO, expenditure relating to tolled roads has historically been excluded from the cost base on the basis that the costs of these roads were already recovered through tolls.</w:t>
      </w:r>
      <w:r>
        <w:rPr>
          <w:rStyle w:val="FootnoteReference"/>
          <w:rFonts w:eastAsia="Cambria"/>
        </w:rPr>
        <w:footnoteReference w:id="5"/>
      </w:r>
      <w:r w:rsidRPr="00DD4FF3">
        <w:rPr>
          <w:rFonts w:eastAsia="Cambria"/>
        </w:rPr>
        <w:t xml:space="preserve"> This treatment is likely to be appropriate where all of a road’s costs are funded by the toll revenue (regardless of whether the road is owned by the private sector or government). Under any future price</w:t>
      </w:r>
      <w:r w:rsidR="00C629E2">
        <w:rPr>
          <w:rFonts w:eastAsia="Cambria"/>
        </w:rPr>
        <w:t>-</w:t>
      </w:r>
      <w:r w:rsidRPr="00DD4FF3">
        <w:rPr>
          <w:rFonts w:eastAsia="Cambria"/>
        </w:rPr>
        <w:t>setting mechanism, whether PAYGO or a</w:t>
      </w:r>
      <w:r w:rsidR="002C190B">
        <w:rPr>
          <w:rFonts w:eastAsia="Cambria"/>
        </w:rPr>
        <w:t>n</w:t>
      </w:r>
      <w:r w:rsidRPr="00DD4FF3">
        <w:rPr>
          <w:rFonts w:eastAsia="Cambria"/>
        </w:rPr>
        <w:t xml:space="preserve"> FLCB, this </w:t>
      </w:r>
      <w:r>
        <w:rPr>
          <w:rFonts w:eastAsia="Cambria"/>
        </w:rPr>
        <w:t xml:space="preserve">is </w:t>
      </w:r>
      <w:r w:rsidRPr="00DD4FF3">
        <w:rPr>
          <w:rFonts w:eastAsia="Cambria"/>
        </w:rPr>
        <w:t xml:space="preserve">also </w:t>
      </w:r>
      <w:r>
        <w:rPr>
          <w:rFonts w:eastAsia="Cambria"/>
        </w:rPr>
        <w:t xml:space="preserve">expected </w:t>
      </w:r>
      <w:r w:rsidRPr="00DD4FF3">
        <w:rPr>
          <w:rFonts w:eastAsia="Cambria"/>
        </w:rPr>
        <w:t xml:space="preserve">be the case. </w:t>
      </w:r>
    </w:p>
    <w:p w14:paraId="3D450EAF" w14:textId="369EBAA3" w:rsidR="002D006C" w:rsidRPr="00DD4FF3" w:rsidRDefault="002D006C" w:rsidP="002D006C">
      <w:pPr>
        <w:pStyle w:val="BodyText1"/>
        <w:rPr>
          <w:rFonts w:eastAsia="Cambria"/>
        </w:rPr>
      </w:pPr>
      <w:r w:rsidRPr="00DD4FF3">
        <w:rPr>
          <w:rFonts w:eastAsia="Cambria"/>
        </w:rPr>
        <w:t xml:space="preserve">For fully tolled roads, as described in the previous paragraph, the case is straightforward. However, in practice, there </w:t>
      </w:r>
      <w:r w:rsidR="00C629E2">
        <w:rPr>
          <w:rFonts w:eastAsia="Cambria"/>
        </w:rPr>
        <w:t>is</w:t>
      </w:r>
      <w:r w:rsidR="00C629E2" w:rsidRPr="00DD4FF3">
        <w:rPr>
          <w:rFonts w:eastAsia="Cambria"/>
        </w:rPr>
        <w:t xml:space="preserve"> </w:t>
      </w:r>
      <w:r w:rsidRPr="00DD4FF3">
        <w:rPr>
          <w:rFonts w:eastAsia="Cambria"/>
        </w:rPr>
        <w:t>a growing variety of PPP approaches to road provision that differ in how planning, funding</w:t>
      </w:r>
      <w:r w:rsidR="00C629E2">
        <w:rPr>
          <w:rFonts w:eastAsia="Cambria"/>
        </w:rPr>
        <w:t>/</w:t>
      </w:r>
      <w:r w:rsidRPr="00DD4FF3">
        <w:rPr>
          <w:rFonts w:eastAsia="Cambria"/>
        </w:rPr>
        <w:t xml:space="preserve">investment, operation, maintenance and ownership are allocated between government and private partners over time. This adds complexity to how road costs and revenues should be treated, and this workstream aims to address the potential deficiency in the current PAYGO guidelines regarding the treatment of these innovative financing and funding models. </w:t>
      </w:r>
    </w:p>
    <w:p w14:paraId="1D511C3A" w14:textId="0FB775DE" w:rsidR="002D006C" w:rsidRPr="00DD4FF3" w:rsidRDefault="002D006C" w:rsidP="002D006C">
      <w:pPr>
        <w:pStyle w:val="BodyText1"/>
        <w:rPr>
          <w:rFonts w:eastAsia="Cambria"/>
        </w:rPr>
      </w:pPr>
      <w:r w:rsidRPr="00DD4FF3">
        <w:rPr>
          <w:rFonts w:eastAsia="Cambria"/>
        </w:rPr>
        <w:lastRenderedPageBreak/>
        <w:t>The increasing prevalence and complexity of these innovative financing and funding models in the roads sector demonstrate a need to reconsider how these models are treated under the PAYGO system. As part of our FLCB program of work in previous years, the NTC identified several principles and approaches for dealing with these innovative financing and funding models, and the current workstream builds on that work.</w:t>
      </w:r>
    </w:p>
    <w:p w14:paraId="4BB4AFF1" w14:textId="77777777" w:rsidR="002D006C" w:rsidRPr="00907FF5" w:rsidRDefault="002D006C" w:rsidP="002D006C">
      <w:pPr>
        <w:pStyle w:val="BodyText1"/>
        <w:rPr>
          <w:rFonts w:eastAsia="Cambria"/>
        </w:rPr>
      </w:pPr>
      <w:r w:rsidRPr="00DD4FF3">
        <w:rPr>
          <w:rFonts w:eastAsia="Cambria"/>
        </w:rPr>
        <w:t>The objective of this workstream is to identify a methodology for treating PPPs</w:t>
      </w:r>
      <w:r>
        <w:rPr>
          <w:rFonts w:eastAsia="Cambria"/>
        </w:rPr>
        <w:t xml:space="preserve">, </w:t>
      </w:r>
      <w:r w:rsidRPr="00DD4FF3">
        <w:rPr>
          <w:rFonts w:eastAsia="Cambria"/>
        </w:rPr>
        <w:t>toll roads</w:t>
      </w:r>
      <w:r>
        <w:rPr>
          <w:rFonts w:eastAsia="Cambria"/>
        </w:rPr>
        <w:t xml:space="preserve"> and other innovative financing approaches</w:t>
      </w:r>
      <w:r w:rsidRPr="00DD4FF3">
        <w:rPr>
          <w:rFonts w:eastAsia="Cambria"/>
        </w:rPr>
        <w:t xml:space="preserve"> in a pragmatic and non-distortionary way. Any proposed treatment</w:t>
      </w:r>
      <w:r>
        <w:rPr>
          <w:rFonts w:eastAsia="Cambria"/>
        </w:rPr>
        <w:t xml:space="preserve"> under PAYGO</w:t>
      </w:r>
      <w:r w:rsidRPr="00DD4FF3">
        <w:rPr>
          <w:rFonts w:eastAsia="Cambria"/>
        </w:rPr>
        <w:t xml:space="preserve"> should ideally not distort government decisions and should be based on available and identifiable information.</w:t>
      </w:r>
    </w:p>
    <w:p w14:paraId="6DCE8657" w14:textId="211C4406" w:rsidR="002D006C" w:rsidRPr="00F51AF9" w:rsidRDefault="002D006C">
      <w:pPr>
        <w:pStyle w:val="Heading3"/>
      </w:pPr>
      <w:bookmarkStart w:id="150" w:name="_Toc86158412"/>
      <w:r>
        <w:t>Issue</w:t>
      </w:r>
      <w:r w:rsidR="00EB3A56">
        <w:t>s</w:t>
      </w:r>
      <w:bookmarkEnd w:id="150"/>
    </w:p>
    <w:p w14:paraId="2704B6FC" w14:textId="1CCBDD7F" w:rsidR="002D006C" w:rsidRDefault="002D006C" w:rsidP="002D006C">
      <w:pPr>
        <w:pStyle w:val="BodyCopy"/>
      </w:pPr>
      <w:r>
        <w:t>The following points outline the problem to be addressed in this workstream:</w:t>
      </w:r>
    </w:p>
    <w:p w14:paraId="7AECB34A" w14:textId="400D63C6" w:rsidR="002D006C" w:rsidRDefault="002D006C" w:rsidP="002D006C">
      <w:pPr>
        <w:pStyle w:val="List-bulletlvl1"/>
      </w:pPr>
      <w:r w:rsidRPr="005F1983">
        <w:t>The PAYGO system aims to recover government expenditure on roads that is not funded through other sources of revenue (</w:t>
      </w:r>
      <w:r w:rsidR="00B25452">
        <w:t>e.g.</w:t>
      </w:r>
      <w:r w:rsidRPr="005F1983">
        <w:t xml:space="preserve"> insurance or disaster relief money).</w:t>
      </w:r>
    </w:p>
    <w:p w14:paraId="65A7249A" w14:textId="6ABDF8B1" w:rsidR="002D006C" w:rsidRDefault="002D006C" w:rsidP="002D006C">
      <w:pPr>
        <w:pStyle w:val="List-bulletlvl1"/>
      </w:pPr>
      <w:r w:rsidRPr="005F1983">
        <w:t xml:space="preserve">Government road procurement processes and funding/financing models have changed over the </w:t>
      </w:r>
      <w:r w:rsidR="002C190B">
        <w:t>p</w:t>
      </w:r>
      <w:r w:rsidRPr="005F1983">
        <w:t xml:space="preserve">ast 20 </w:t>
      </w:r>
      <w:r w:rsidR="00867653" w:rsidRPr="005F1983">
        <w:t>years and</w:t>
      </w:r>
      <w:r w:rsidRPr="005F1983">
        <w:t xml:space="preserve"> are continuously evolving. The current expenditure guidelines were developed during a different era of government road procurement and may not appropriately reflect developments since that time. </w:t>
      </w:r>
    </w:p>
    <w:p w14:paraId="58341890" w14:textId="74A1B14F" w:rsidR="002D006C" w:rsidRDefault="002D006C" w:rsidP="002D006C">
      <w:pPr>
        <w:pStyle w:val="List-bulletlvl1"/>
      </w:pPr>
      <w:r w:rsidRPr="005F1983">
        <w:t>The current PAYGO expenditure guidelines may lead to relevant government expenditure not being reported and government revenue sources not being adequately removed from reported expenditure (and therefore the cost base). As a result, the current expenditure guidelines could lead to an incorrect measurement of the heavy vehicle cost base, and therefore incorrect heavy vehicle charges, if they remain unchanged.</w:t>
      </w:r>
    </w:p>
    <w:p w14:paraId="619F2660" w14:textId="77777777" w:rsidR="002D006C" w:rsidRPr="00F51AF9" w:rsidRDefault="002D006C">
      <w:pPr>
        <w:pStyle w:val="Heading3"/>
      </w:pPr>
      <w:bookmarkStart w:id="151" w:name="_Toc86158413"/>
      <w:r w:rsidRPr="00F51AF9">
        <w:t>Analysis</w:t>
      </w:r>
      <w:bookmarkEnd w:id="151"/>
    </w:p>
    <w:p w14:paraId="31901774" w14:textId="77777777" w:rsidR="002D006C" w:rsidRDefault="002D006C" w:rsidP="002D006C">
      <w:pPr>
        <w:pStyle w:val="BodyCopy"/>
      </w:pPr>
      <w:r>
        <w:t xml:space="preserve">Under the current PAYGO approach, expenditure relating to tolled roads is excluded from the cost base on the basis that the costs of these roads were already recovered through tolls. This treatment is appropriate where </w:t>
      </w:r>
      <w:r w:rsidDel="00F13BA6">
        <w:t>all of</w:t>
      </w:r>
      <w:r>
        <w:t xml:space="preserve"> a road’s costs are funded by the toll revenue (regardless of whether the road is owned by the private sector or government). </w:t>
      </w:r>
    </w:p>
    <w:p w14:paraId="7FE08A2A" w14:textId="77777777" w:rsidR="002D006C" w:rsidRDefault="002D006C" w:rsidP="002D006C">
      <w:pPr>
        <w:pStyle w:val="BodyCopy"/>
      </w:pPr>
      <w:r>
        <w:t xml:space="preserve">In practice, however, governments may make contributions to toll roads in a variety of ways, and toll revenue may not adequately recover the costs borne by the government or private sector for building, operating and maintaining the road. For example, a government may own a road that is tolled but could potentially choose to levy tolls at a level where the road’s costs are not fully recovered through tolls. Even where a private sector entity has a concession to levy tolls, governments may choose to make grants, loans or other payments to the private sector entity to help ensure the viability of a project where expected future toll revenue may be perceived to be inadequate. </w:t>
      </w:r>
    </w:p>
    <w:p w14:paraId="642162F8" w14:textId="2D747D99" w:rsidR="002D006C" w:rsidRDefault="002D006C" w:rsidP="002D006C">
      <w:pPr>
        <w:pStyle w:val="BodyCopy"/>
      </w:pPr>
      <w:r>
        <w:t>Both of the above are examples of where the toll is in effect a ‘partial toll’, since the arrangements are not achieving full cost recovery from the users of that road and the government is making up the shortfall of revenue. There is an argument that</w:t>
      </w:r>
      <w:r w:rsidR="00211111">
        <w:t>,</w:t>
      </w:r>
      <w:r>
        <w:t xml:space="preserve"> in principle, governments should recover these costs from road users on the wider road network, since the tolls are not achieving cost recovery (as anticipated by the PAYGO expenditure guidelines). </w:t>
      </w:r>
    </w:p>
    <w:p w14:paraId="6FDEABB8" w14:textId="76D3C30D" w:rsidR="002D006C" w:rsidRDefault="002D006C" w:rsidP="002D006C">
      <w:pPr>
        <w:pStyle w:val="BodyCopy"/>
      </w:pPr>
      <w:r>
        <w:t>Although governments may make contributions to toll roads to help ensure their viability, they may also receive revenues from alternative road-related sources. For example, governments may receive tolls on certain government-owned roads. Another potential model is where a government may receive any toll revenue raised on a road and</w:t>
      </w:r>
      <w:r w:rsidR="00C629E2">
        <w:t>,</w:t>
      </w:r>
      <w:r>
        <w:t xml:space="preserve"> in return</w:t>
      </w:r>
      <w:r w:rsidR="00C629E2">
        <w:t>,</w:t>
      </w:r>
      <w:r>
        <w:t xml:space="preserve"> make </w:t>
      </w:r>
      <w:r>
        <w:lastRenderedPageBreak/>
        <w:t>availability payments</w:t>
      </w:r>
      <w:r>
        <w:rPr>
          <w:rStyle w:val="FootnoteReference"/>
        </w:rPr>
        <w:footnoteReference w:id="6"/>
      </w:r>
      <w:r>
        <w:t xml:space="preserve"> to a private sector participant, in effect meaning the government bears any risks relating to traffic demand levels or toll collection for that project. Apart from potentially receiving revenue from toll roads, governments may also raise revenue through other sources such as value capture</w:t>
      </w:r>
      <w:r>
        <w:rPr>
          <w:rStyle w:val="FootnoteReference"/>
        </w:rPr>
        <w:footnoteReference w:id="7"/>
      </w:r>
      <w:r>
        <w:t xml:space="preserve"> and asset recycling</w:t>
      </w:r>
      <w:r w:rsidR="002C190B">
        <w:t>.</w:t>
      </w:r>
      <w:r>
        <w:rPr>
          <w:rStyle w:val="FootnoteReference"/>
        </w:rPr>
        <w:footnoteReference w:id="8"/>
      </w:r>
      <w:r>
        <w:t xml:space="preserve"> In addition to these funding sources, governments may receive ‘gifted’/contributed assets</w:t>
      </w:r>
      <w:r w:rsidR="00B25452">
        <w:t xml:space="preserve"> (e.g.</w:t>
      </w:r>
      <w:r>
        <w:t xml:space="preserve"> as part of new developments</w:t>
      </w:r>
      <w:r w:rsidR="00B25452">
        <w:t xml:space="preserve">) </w:t>
      </w:r>
      <w:r w:rsidR="00396BB3">
        <w:t>that</w:t>
      </w:r>
      <w:r>
        <w:t xml:space="preserve"> the government is then responsible for maintaining and operating on an ongoing basis. </w:t>
      </w:r>
    </w:p>
    <w:p w14:paraId="4C6E93B3" w14:textId="73CF9720" w:rsidR="002D006C" w:rsidRDefault="002D006C" w:rsidP="002D006C">
      <w:pPr>
        <w:pStyle w:val="BodyCopy"/>
      </w:pPr>
      <w:r>
        <w:t>The current road charging system is designed to recover the costs of roads from road users</w:t>
      </w:r>
      <w:r w:rsidR="00B25452">
        <w:t xml:space="preserve"> – </w:t>
      </w:r>
      <w:r>
        <w:t>at present from heavy vehicles only but in the future potentially including light vehicles. The additional sources of funds and assets outlined in the previous paragraph need to be considered so the funding necessary to recover the identified cost of roads is not recovered more than once. That is, if a road has already been funded through another funding source</w:t>
      </w:r>
      <w:r w:rsidR="00B25452">
        <w:t xml:space="preserve"> (e.g.</w:t>
      </w:r>
      <w:r>
        <w:t xml:space="preserve"> toll road users, taxpayers or developers</w:t>
      </w:r>
      <w:r w:rsidR="00B25452">
        <w:t xml:space="preserve">) </w:t>
      </w:r>
      <w:r>
        <w:t>its costs should not then be recovered from road users.</w:t>
      </w:r>
    </w:p>
    <w:p w14:paraId="49251C8F" w14:textId="0B95E90C" w:rsidR="002D006C" w:rsidRDefault="002D006C" w:rsidP="002D006C">
      <w:pPr>
        <w:pStyle w:val="BodyCopy"/>
      </w:pPr>
      <w:r>
        <w:t xml:space="preserve">This workstream is primarily concerned with achieving adequate funding of roads, having regard to the increasingly diverse methods of financing and funding roads, and the diversity of entities involved in the construction and management of roads. As the Productivity Commission noted in its 2014 </w:t>
      </w:r>
      <w:r w:rsidRPr="00A329DF">
        <w:t>Public Infrastructure</w:t>
      </w:r>
      <w:r>
        <w:t xml:space="preserve"> inquiry report, road funding ultimately must come from road users/beneficiaries or governments (which effectively means either current taxpayers or, if the government chooses to borrow funds, future taxpayers) </w:t>
      </w:r>
      <w:sdt>
        <w:sdtPr>
          <w:id w:val="1466154607"/>
          <w:citation/>
        </w:sdtPr>
        <w:sdtContent>
          <w:r>
            <w:fldChar w:fldCharType="begin"/>
          </w:r>
          <w:r>
            <w:instrText xml:space="preserve">CITATION Pro14 \p 142 \l 3081 </w:instrText>
          </w:r>
          <w:r>
            <w:fldChar w:fldCharType="separate"/>
          </w:r>
          <w:r w:rsidR="000A4DC7" w:rsidRPr="000A4DC7">
            <w:rPr>
              <w:noProof/>
            </w:rPr>
            <w:t>(Productivity Commission, 2014, p. 142)</w:t>
          </w:r>
          <w:r>
            <w:fldChar w:fldCharType="end"/>
          </w:r>
        </w:sdtContent>
      </w:sdt>
      <w:r>
        <w:t xml:space="preserve">. </w:t>
      </w:r>
    </w:p>
    <w:p w14:paraId="2FC56E52" w14:textId="660B97E4" w:rsidR="002D006C" w:rsidRDefault="002D006C" w:rsidP="002D006C">
      <w:pPr>
        <w:pStyle w:val="BodyCopy"/>
      </w:pPr>
      <w:r>
        <w:t>The current heavy vehicle charging system is designed to recover identified costs in the PAYGO model from the relevant road users (heavy vehicles). Although revenue raised through tolling or value capture could be perceived as achieving a number of possible goals</w:t>
      </w:r>
      <w:r w:rsidR="00B25452">
        <w:t xml:space="preserve"> – </w:t>
      </w:r>
      <w:r>
        <w:t>including potentially addressing externalities such as congestion or noise</w:t>
      </w:r>
      <w:r w:rsidR="00B25452">
        <w:t xml:space="preserve"> – </w:t>
      </w:r>
      <w:r>
        <w:t xml:space="preserve">the NTC proposes (for the purpose of this analysis) to simply treat revenue raised </w:t>
      </w:r>
      <w:r w:rsidR="0059367C">
        <w:t xml:space="preserve">through </w:t>
      </w:r>
      <w:r>
        <w:t>these innovative funding methods as being for the purpose of cost recovery.</w:t>
      </w:r>
    </w:p>
    <w:p w14:paraId="4426077F" w14:textId="4D8A5484" w:rsidR="002D006C" w:rsidRDefault="002D006C" w:rsidP="002D006C">
      <w:pPr>
        <w:pStyle w:val="BodyCopy"/>
      </w:pPr>
      <w:r>
        <w:t xml:space="preserve">In considering the various innovative financing and funding methods for roads, we have established high-level principles for their application in a pricing context as described in section </w:t>
      </w:r>
      <w:r w:rsidR="00311E59">
        <w:fldChar w:fldCharType="begin"/>
      </w:r>
      <w:r w:rsidR="00311E59">
        <w:instrText xml:space="preserve"> REF _Ref75784539 \r \h </w:instrText>
      </w:r>
      <w:r w:rsidR="00311E59">
        <w:fldChar w:fldCharType="separate"/>
      </w:r>
      <w:r w:rsidR="00225EEA">
        <w:t>4.4.4</w:t>
      </w:r>
      <w:r w:rsidR="00311E59">
        <w:fldChar w:fldCharType="end"/>
      </w:r>
      <w:r w:rsidR="00311E59">
        <w:t>.</w:t>
      </w:r>
    </w:p>
    <w:p w14:paraId="01FA6676" w14:textId="77777777" w:rsidR="002D006C" w:rsidRDefault="002D006C">
      <w:pPr>
        <w:pStyle w:val="Heading3"/>
      </w:pPr>
      <w:bookmarkStart w:id="152" w:name="_Ref75784539"/>
      <w:bookmarkStart w:id="153" w:name="_Toc86158414"/>
      <w:r>
        <w:t>Proposed p</w:t>
      </w:r>
      <w:r w:rsidRPr="00EF347C">
        <w:t>rinciples</w:t>
      </w:r>
      <w:r>
        <w:t xml:space="preserve"> for innovative funding and financing</w:t>
      </w:r>
      <w:bookmarkEnd w:id="152"/>
      <w:bookmarkEnd w:id="153"/>
    </w:p>
    <w:p w14:paraId="7E396FBD" w14:textId="77777777" w:rsidR="002D006C" w:rsidRDefault="002D006C" w:rsidP="002D006C">
      <w:pPr>
        <w:pStyle w:val="BodyCopy"/>
      </w:pPr>
      <w:r w:rsidRPr="00CA777C">
        <w:t xml:space="preserve">The </w:t>
      </w:r>
      <w:r>
        <w:t xml:space="preserve">NTC’s </w:t>
      </w:r>
      <w:r w:rsidRPr="00CA777C">
        <w:t>proposed high-level principles are:</w:t>
      </w:r>
    </w:p>
    <w:p w14:paraId="7C80B2AD" w14:textId="50439820" w:rsidR="002D006C" w:rsidRPr="00274F66" w:rsidRDefault="002D006C" w:rsidP="002D006C">
      <w:pPr>
        <w:pStyle w:val="List-number"/>
      </w:pPr>
      <w:r w:rsidRPr="00274F66">
        <w:t>The principal aim is to achieve cost recovery</w:t>
      </w:r>
      <w:r w:rsidR="002C190B">
        <w:t>.</w:t>
      </w:r>
    </w:p>
    <w:p w14:paraId="705381EB" w14:textId="6136B351" w:rsidR="002D006C" w:rsidRPr="00274F66" w:rsidRDefault="002D006C" w:rsidP="002D006C">
      <w:pPr>
        <w:pStyle w:val="List-number"/>
      </w:pPr>
      <w:r w:rsidRPr="00274F66">
        <w:t xml:space="preserve">All costs incurred by road agencies in building, maintaining and operating the road network for </w:t>
      </w:r>
      <w:r w:rsidR="00396BB3">
        <w:t>providing</w:t>
      </w:r>
      <w:r w:rsidRPr="00274F66">
        <w:t xml:space="preserve"> road services should be included in the cost base</w:t>
      </w:r>
      <w:r w:rsidR="002C190B">
        <w:t>.</w:t>
      </w:r>
    </w:p>
    <w:p w14:paraId="4EAC03F0" w14:textId="0526F32A" w:rsidR="002D006C" w:rsidRPr="00274F66" w:rsidRDefault="002D006C" w:rsidP="002D006C">
      <w:pPr>
        <w:pStyle w:val="List-number"/>
      </w:pPr>
      <w:r w:rsidRPr="00274F66">
        <w:lastRenderedPageBreak/>
        <w:t>All revenue received by governments through toll</w:t>
      </w:r>
      <w:r w:rsidR="00396BB3">
        <w:t>s</w:t>
      </w:r>
      <w:r w:rsidRPr="00274F66">
        <w:t xml:space="preserve"> or other charges (or from value capture) on assets used to provide road services should be counted against the cost base</w:t>
      </w:r>
      <w:r w:rsidR="002C190B">
        <w:t>.</w:t>
      </w:r>
    </w:p>
    <w:p w14:paraId="381FF9DC" w14:textId="6F6D7D41" w:rsidR="002D006C" w:rsidRPr="00274F66" w:rsidRDefault="002D006C" w:rsidP="002D006C">
      <w:pPr>
        <w:pStyle w:val="List-number"/>
      </w:pPr>
      <w:r w:rsidRPr="00274F66">
        <w:t>The treatment of PPPs and toll roads should not distort government decisions on financing and funding road infrastructure</w:t>
      </w:r>
      <w:r w:rsidR="002C190B">
        <w:t>.</w:t>
      </w:r>
      <w:r w:rsidRPr="00274F66">
        <w:t xml:space="preserve"> </w:t>
      </w:r>
    </w:p>
    <w:p w14:paraId="3DC14770" w14:textId="615B2B8B" w:rsidR="002D006C" w:rsidRDefault="002D006C" w:rsidP="002D006C">
      <w:pPr>
        <w:pStyle w:val="List-number"/>
      </w:pPr>
      <w:r w:rsidRPr="00274F66">
        <w:t xml:space="preserve">Where necessary, pragmatic, implementable solutions </w:t>
      </w:r>
      <w:r w:rsidR="00396BB3">
        <w:t>that</w:t>
      </w:r>
      <w:r w:rsidR="00396BB3" w:rsidRPr="00274F66">
        <w:t xml:space="preserve"> </w:t>
      </w:r>
      <w:r w:rsidRPr="00274F66">
        <w:t>build on available information should be used (with the view that some aspects may need to be revisited in the future)</w:t>
      </w:r>
      <w:r w:rsidR="002C190B">
        <w:t>.</w:t>
      </w:r>
    </w:p>
    <w:p w14:paraId="1E0C954B" w14:textId="77777777" w:rsidR="00DA1BDF" w:rsidRDefault="002D006C" w:rsidP="002D006C">
      <w:pPr>
        <w:pStyle w:val="BodyCopy"/>
      </w:pPr>
      <w:r>
        <w:t>We note that certain PPP/toll road projects will be unique, meaning that despite the proposed high-level principles, the treatment of these projects for modelling purposes may need to be assessed on a case-by-case basis.</w:t>
      </w:r>
    </w:p>
    <w:p w14:paraId="7EC9CBFE" w14:textId="7C71649A" w:rsidR="002D006C" w:rsidRDefault="002D006C">
      <w:pPr>
        <w:pStyle w:val="Heading3"/>
      </w:pPr>
      <w:bookmarkStart w:id="154" w:name="_Ref81907990"/>
      <w:bookmarkStart w:id="155" w:name="_Toc86158415"/>
      <w:r>
        <w:t>Potential options for treating innovative funding and financing</w:t>
      </w:r>
      <w:bookmarkEnd w:id="154"/>
      <w:bookmarkEnd w:id="155"/>
    </w:p>
    <w:p w14:paraId="1EA3C73C" w14:textId="7E406F3F" w:rsidR="002D006C" w:rsidRDefault="002D006C" w:rsidP="002D006C">
      <w:pPr>
        <w:pStyle w:val="BodyCopy"/>
      </w:pPr>
      <w:r w:rsidRPr="00CF1D9C">
        <w:t xml:space="preserve">The previous section outlined some of the potential principles and treatments for innovative financing and funding models that governments may use in the roads sector. However, there is a choice to be made about whether and how much to change the current treatment of innovative financing and funding models under PAYGO. </w:t>
      </w:r>
      <w:r w:rsidR="000A121B">
        <w:fldChar w:fldCharType="begin"/>
      </w:r>
      <w:r w:rsidR="000A121B">
        <w:instrText xml:space="preserve"> REF _Ref82165169 \r \h </w:instrText>
      </w:r>
      <w:r w:rsidR="000A121B">
        <w:fldChar w:fldCharType="separate"/>
      </w:r>
      <w:r w:rsidR="00225EEA">
        <w:t>Table 6</w:t>
      </w:r>
      <w:r w:rsidR="000A121B">
        <w:fldChar w:fldCharType="end"/>
      </w:r>
      <w:r>
        <w:t xml:space="preserve"> </w:t>
      </w:r>
      <w:r w:rsidRPr="00CF1D9C">
        <w:t xml:space="preserve">outlines several options and </w:t>
      </w:r>
      <w:r w:rsidR="0059367C">
        <w:t>the</w:t>
      </w:r>
      <w:r w:rsidRPr="00CF1D9C">
        <w:t xml:space="preserve"> advantages and disadvantages</w:t>
      </w:r>
      <w:r w:rsidR="0059367C">
        <w:t xml:space="preserve"> of each</w:t>
      </w:r>
      <w:r w:rsidRPr="00CF1D9C">
        <w:t>.</w:t>
      </w:r>
    </w:p>
    <w:p w14:paraId="0C1F1B4C" w14:textId="77777777" w:rsidR="002D006C" w:rsidRDefault="002D006C" w:rsidP="002D006C">
      <w:pPr>
        <w:pStyle w:val="Tabletitle"/>
      </w:pPr>
      <w:bookmarkStart w:id="156" w:name="_Ref81903621"/>
      <w:bookmarkStart w:id="157" w:name="_Ref82165169"/>
      <w:bookmarkStart w:id="158" w:name="_Ref82165198"/>
      <w:bookmarkStart w:id="159" w:name="_Toc86158545"/>
      <w:r>
        <w:t>Treatment approaches for innovative funding and financing</w:t>
      </w:r>
      <w:bookmarkEnd w:id="156"/>
      <w:bookmarkEnd w:id="157"/>
      <w:bookmarkEnd w:id="158"/>
      <w:bookmarkEnd w:id="159"/>
    </w:p>
    <w:tbl>
      <w:tblPr>
        <w:tblStyle w:val="NTCtable"/>
        <w:tblW w:w="0" w:type="auto"/>
        <w:tblLook w:val="04A0" w:firstRow="1" w:lastRow="0" w:firstColumn="1" w:lastColumn="0" w:noHBand="0" w:noVBand="1"/>
      </w:tblPr>
      <w:tblGrid>
        <w:gridCol w:w="2250"/>
        <w:gridCol w:w="2160"/>
        <w:gridCol w:w="4617"/>
      </w:tblGrid>
      <w:tr w:rsidR="002D006C" w:rsidRPr="00A34BBE" w14:paraId="70FCB89C" w14:textId="77777777" w:rsidTr="00A329DF">
        <w:trPr>
          <w:cnfStyle w:val="100000000000" w:firstRow="1" w:lastRow="0" w:firstColumn="0" w:lastColumn="0" w:oddVBand="0" w:evenVBand="0" w:oddHBand="0" w:evenHBand="0" w:firstRowFirstColumn="0" w:firstRowLastColumn="0" w:lastRowFirstColumn="0" w:lastRowLastColumn="0"/>
          <w:tblHeader/>
        </w:trPr>
        <w:tc>
          <w:tcPr>
            <w:tcW w:w="2250" w:type="dxa"/>
          </w:tcPr>
          <w:p w14:paraId="2066E590" w14:textId="77777777" w:rsidR="002D006C" w:rsidRPr="00A329DF" w:rsidRDefault="002D006C" w:rsidP="002D006C">
            <w:pPr>
              <w:pStyle w:val="BodyCopy"/>
              <w:spacing w:before="80" w:after="80"/>
              <w:rPr>
                <w:b/>
                <w:bCs/>
                <w:sz w:val="20"/>
                <w:szCs w:val="22"/>
              </w:rPr>
            </w:pPr>
            <w:r w:rsidRPr="00A329DF">
              <w:rPr>
                <w:b/>
                <w:bCs/>
                <w:sz w:val="20"/>
                <w:szCs w:val="22"/>
              </w:rPr>
              <w:t>Option</w:t>
            </w:r>
          </w:p>
        </w:tc>
        <w:tc>
          <w:tcPr>
            <w:tcW w:w="2160" w:type="dxa"/>
          </w:tcPr>
          <w:p w14:paraId="26818C92" w14:textId="77777777" w:rsidR="002D006C" w:rsidRPr="00A329DF" w:rsidRDefault="002D006C" w:rsidP="002D006C">
            <w:pPr>
              <w:pStyle w:val="BodyCopy"/>
              <w:spacing w:before="80" w:after="80"/>
              <w:rPr>
                <w:b/>
                <w:bCs/>
                <w:sz w:val="20"/>
                <w:szCs w:val="22"/>
              </w:rPr>
            </w:pPr>
            <w:r w:rsidRPr="00A329DF">
              <w:rPr>
                <w:b/>
                <w:bCs/>
                <w:sz w:val="20"/>
                <w:szCs w:val="22"/>
              </w:rPr>
              <w:t>Advantages</w:t>
            </w:r>
          </w:p>
        </w:tc>
        <w:tc>
          <w:tcPr>
            <w:tcW w:w="4617" w:type="dxa"/>
          </w:tcPr>
          <w:p w14:paraId="52FA8CE9" w14:textId="77777777" w:rsidR="002D006C" w:rsidRPr="00A329DF" w:rsidRDefault="002D006C" w:rsidP="002D006C">
            <w:pPr>
              <w:pStyle w:val="BodyCopy"/>
              <w:spacing w:before="80" w:after="80"/>
              <w:rPr>
                <w:b/>
                <w:bCs/>
                <w:sz w:val="20"/>
                <w:szCs w:val="22"/>
              </w:rPr>
            </w:pPr>
            <w:r w:rsidRPr="00A329DF">
              <w:rPr>
                <w:b/>
                <w:bCs/>
                <w:sz w:val="20"/>
                <w:szCs w:val="22"/>
              </w:rPr>
              <w:t>Disadvantages</w:t>
            </w:r>
          </w:p>
        </w:tc>
      </w:tr>
      <w:tr w:rsidR="002D006C" w:rsidRPr="00A34BBE" w14:paraId="1E057F6B" w14:textId="77777777" w:rsidTr="00A329DF">
        <w:tc>
          <w:tcPr>
            <w:tcW w:w="2250" w:type="dxa"/>
          </w:tcPr>
          <w:p w14:paraId="2A431D14" w14:textId="77777777" w:rsidR="002D006C" w:rsidRPr="00A34BBE" w:rsidRDefault="002D006C" w:rsidP="002D006C">
            <w:pPr>
              <w:pStyle w:val="BodyCopy"/>
              <w:spacing w:before="80" w:after="80"/>
              <w:rPr>
                <w:sz w:val="20"/>
                <w:szCs w:val="22"/>
              </w:rPr>
            </w:pPr>
            <w:r w:rsidRPr="00A34BBE">
              <w:rPr>
                <w:sz w:val="20"/>
                <w:szCs w:val="22"/>
              </w:rPr>
              <w:t>1. Status quo (leave expenditure guidelines unchanged)</w:t>
            </w:r>
          </w:p>
        </w:tc>
        <w:tc>
          <w:tcPr>
            <w:tcW w:w="2160" w:type="dxa"/>
          </w:tcPr>
          <w:p w14:paraId="6BBF4B06" w14:textId="77777777" w:rsidR="002D006C" w:rsidRPr="00A34BBE" w:rsidRDefault="002D006C" w:rsidP="002D006C">
            <w:pPr>
              <w:pStyle w:val="BodyCopy"/>
              <w:spacing w:before="80" w:after="80"/>
              <w:rPr>
                <w:sz w:val="20"/>
                <w:szCs w:val="22"/>
              </w:rPr>
            </w:pPr>
            <w:r w:rsidRPr="00A34BBE">
              <w:rPr>
                <w:sz w:val="20"/>
                <w:szCs w:val="22"/>
              </w:rPr>
              <w:t>Simple approach, with no costs/effort incurred by road agencies to change current processes. The current PAYGO system may not be in place for much longer, so this would avoid incurring any unnecessary costs.</w:t>
            </w:r>
          </w:p>
        </w:tc>
        <w:tc>
          <w:tcPr>
            <w:tcW w:w="4617" w:type="dxa"/>
          </w:tcPr>
          <w:p w14:paraId="24AE1F51" w14:textId="1EEF2360" w:rsidR="002D006C" w:rsidRDefault="002D006C" w:rsidP="002D006C">
            <w:pPr>
              <w:pStyle w:val="BodyCopy"/>
              <w:spacing w:before="80" w:after="80"/>
              <w:rPr>
                <w:sz w:val="20"/>
                <w:szCs w:val="22"/>
              </w:rPr>
            </w:pPr>
            <w:r w:rsidRPr="00A34BBE">
              <w:rPr>
                <w:sz w:val="20"/>
                <w:szCs w:val="22"/>
              </w:rPr>
              <w:t>Guidelines do not allow reporting of genuine government costs on roads that are tolled, potentially leading to an incorrect measurement of the cost base</w:t>
            </w:r>
            <w:r>
              <w:rPr>
                <w:sz w:val="20"/>
                <w:szCs w:val="22"/>
              </w:rPr>
              <w:t xml:space="preserve"> and a potential inconsistency with cost recovery principles</w:t>
            </w:r>
            <w:r w:rsidRPr="00A34BBE">
              <w:rPr>
                <w:sz w:val="20"/>
                <w:szCs w:val="22"/>
              </w:rPr>
              <w:t>.</w:t>
            </w:r>
          </w:p>
          <w:p w14:paraId="46F41CE6" w14:textId="0C9B20F3" w:rsidR="002D006C" w:rsidRPr="00A34BBE" w:rsidRDefault="002D006C" w:rsidP="002D006C">
            <w:pPr>
              <w:pStyle w:val="BodyCopy"/>
              <w:spacing w:before="80" w:after="80"/>
              <w:rPr>
                <w:sz w:val="20"/>
                <w:szCs w:val="22"/>
              </w:rPr>
            </w:pPr>
            <w:r w:rsidRPr="00A34BBE">
              <w:rPr>
                <w:sz w:val="20"/>
                <w:szCs w:val="22"/>
              </w:rPr>
              <w:t>Greater prevalence of toll roads and other innovative funding/financing approaches over time may mean cost base measurement becomes increasingly inaccurate</w:t>
            </w:r>
            <w:r w:rsidR="00080D1B">
              <w:rPr>
                <w:sz w:val="20"/>
                <w:szCs w:val="22"/>
              </w:rPr>
              <w:t xml:space="preserve"> or</w:t>
            </w:r>
            <w:r w:rsidRPr="00A34BBE">
              <w:rPr>
                <w:sz w:val="20"/>
                <w:szCs w:val="22"/>
              </w:rPr>
              <w:t xml:space="preserve"> unrepresentative under the current expenditure guidelines.</w:t>
            </w:r>
          </w:p>
        </w:tc>
      </w:tr>
      <w:tr w:rsidR="002D006C" w:rsidRPr="00A34BBE" w14:paraId="2CE79B48" w14:textId="77777777" w:rsidTr="00A329DF">
        <w:tc>
          <w:tcPr>
            <w:tcW w:w="2250" w:type="dxa"/>
          </w:tcPr>
          <w:p w14:paraId="53F5F9DF" w14:textId="71F44BF3" w:rsidR="002D006C" w:rsidRPr="00A34BBE" w:rsidRDefault="002D006C" w:rsidP="002D006C">
            <w:pPr>
              <w:pStyle w:val="BodyCopy"/>
              <w:spacing w:before="80" w:after="80"/>
              <w:rPr>
                <w:sz w:val="20"/>
                <w:szCs w:val="22"/>
              </w:rPr>
            </w:pPr>
            <w:r w:rsidRPr="00A34BBE">
              <w:rPr>
                <w:sz w:val="20"/>
                <w:szCs w:val="22"/>
              </w:rPr>
              <w:t>2. Change guidelines to require reporting of government expenditure on roads that are tolled but do not require any toll revenue received by governments to be reported</w:t>
            </w:r>
          </w:p>
        </w:tc>
        <w:tc>
          <w:tcPr>
            <w:tcW w:w="2160" w:type="dxa"/>
          </w:tcPr>
          <w:p w14:paraId="1E7FBD3A" w14:textId="77777777" w:rsidR="002D006C" w:rsidRPr="00A34BBE" w:rsidRDefault="002D006C" w:rsidP="002D006C">
            <w:pPr>
              <w:pStyle w:val="BodyCopy"/>
              <w:spacing w:before="80" w:after="80"/>
              <w:rPr>
                <w:sz w:val="20"/>
                <w:szCs w:val="22"/>
              </w:rPr>
            </w:pPr>
            <w:r w:rsidRPr="001A437B">
              <w:rPr>
                <w:sz w:val="20"/>
                <w:szCs w:val="22"/>
              </w:rPr>
              <w:t>Allows for more accurate reporting of all costs relating to roads that are incurred by governments (relative to status quo).</w:t>
            </w:r>
          </w:p>
        </w:tc>
        <w:tc>
          <w:tcPr>
            <w:tcW w:w="4617" w:type="dxa"/>
          </w:tcPr>
          <w:p w14:paraId="258B0C0D" w14:textId="77777777" w:rsidR="002D006C" w:rsidRDefault="002D006C" w:rsidP="002D006C">
            <w:pPr>
              <w:pStyle w:val="BodyCopy"/>
              <w:spacing w:before="80" w:after="80"/>
              <w:rPr>
                <w:sz w:val="20"/>
                <w:szCs w:val="22"/>
              </w:rPr>
            </w:pPr>
            <w:r w:rsidRPr="00037923">
              <w:rPr>
                <w:sz w:val="20"/>
                <w:szCs w:val="22"/>
              </w:rPr>
              <w:t>Does not take into account road-related revenue received by governments through toll roads or other innovative funding or financing models, potentially creating inconsistencies in the treatment of these roads/projects.</w:t>
            </w:r>
            <w:r>
              <w:rPr>
                <w:rStyle w:val="FootnoteReference"/>
                <w:szCs w:val="22"/>
              </w:rPr>
              <w:footnoteReference w:id="9"/>
            </w:r>
          </w:p>
          <w:p w14:paraId="625A081E" w14:textId="77777777" w:rsidR="002D006C" w:rsidRPr="00037923" w:rsidRDefault="002D006C" w:rsidP="002D006C">
            <w:pPr>
              <w:pStyle w:val="BodyCopy"/>
              <w:spacing w:before="80" w:after="80"/>
              <w:rPr>
                <w:sz w:val="20"/>
                <w:szCs w:val="22"/>
              </w:rPr>
            </w:pPr>
            <w:r>
              <w:rPr>
                <w:sz w:val="20"/>
                <w:szCs w:val="22"/>
              </w:rPr>
              <w:t>Unlikely to be consistent with cost recovery principles.</w:t>
            </w:r>
          </w:p>
          <w:p w14:paraId="32F645FC" w14:textId="134E4ADC" w:rsidR="002D006C" w:rsidRPr="00A34BBE" w:rsidRDefault="002D006C" w:rsidP="002D006C">
            <w:pPr>
              <w:pStyle w:val="BodyCopy"/>
              <w:spacing w:before="80" w:after="80"/>
              <w:rPr>
                <w:sz w:val="20"/>
                <w:szCs w:val="22"/>
              </w:rPr>
            </w:pPr>
            <w:r w:rsidRPr="00037923">
              <w:rPr>
                <w:sz w:val="20"/>
                <w:szCs w:val="22"/>
              </w:rPr>
              <w:t xml:space="preserve">Potential for </w:t>
            </w:r>
            <w:r w:rsidR="00677139">
              <w:rPr>
                <w:sz w:val="20"/>
                <w:szCs w:val="22"/>
              </w:rPr>
              <w:t xml:space="preserve">a </w:t>
            </w:r>
            <w:r w:rsidRPr="00037923">
              <w:rPr>
                <w:sz w:val="20"/>
                <w:szCs w:val="22"/>
              </w:rPr>
              <w:t>minor increase in administrative costs and effort for some road agencies to report this data (relative to the status quo).</w:t>
            </w:r>
          </w:p>
        </w:tc>
      </w:tr>
      <w:tr w:rsidR="002D006C" w:rsidRPr="00A34BBE" w14:paraId="2FE71887" w14:textId="77777777" w:rsidTr="00A329DF">
        <w:tc>
          <w:tcPr>
            <w:tcW w:w="2250" w:type="dxa"/>
          </w:tcPr>
          <w:p w14:paraId="4C3CDE9D" w14:textId="1960666F" w:rsidR="002D006C" w:rsidRPr="00A34BBE" w:rsidRDefault="002D006C" w:rsidP="002D006C">
            <w:pPr>
              <w:pStyle w:val="BodyCopy"/>
              <w:spacing w:before="80" w:after="80"/>
              <w:rPr>
                <w:sz w:val="20"/>
                <w:szCs w:val="22"/>
              </w:rPr>
            </w:pPr>
            <w:r w:rsidRPr="00A34BBE">
              <w:rPr>
                <w:sz w:val="20"/>
                <w:szCs w:val="22"/>
              </w:rPr>
              <w:lastRenderedPageBreak/>
              <w:t>3. Change guidelines to require reporting of government revenue from roads that are tolled but do not require any expenditure on these roads to be reported</w:t>
            </w:r>
          </w:p>
        </w:tc>
        <w:tc>
          <w:tcPr>
            <w:tcW w:w="2160" w:type="dxa"/>
          </w:tcPr>
          <w:p w14:paraId="5635157C" w14:textId="77777777" w:rsidR="002D006C" w:rsidRPr="00A34BBE" w:rsidRDefault="002D006C" w:rsidP="002D006C">
            <w:pPr>
              <w:pStyle w:val="BodyCopy"/>
              <w:spacing w:before="80" w:after="80"/>
              <w:rPr>
                <w:sz w:val="20"/>
                <w:szCs w:val="22"/>
              </w:rPr>
            </w:pPr>
            <w:r w:rsidRPr="00571F5F">
              <w:rPr>
                <w:sz w:val="20"/>
                <w:szCs w:val="22"/>
              </w:rPr>
              <w:t>Allows for more accurate reporting of road-related revenue received by governments (relative to the status quo).</w:t>
            </w:r>
          </w:p>
        </w:tc>
        <w:tc>
          <w:tcPr>
            <w:tcW w:w="4617" w:type="dxa"/>
          </w:tcPr>
          <w:p w14:paraId="4D8617D4" w14:textId="77777777" w:rsidR="002D006C" w:rsidRDefault="002D006C" w:rsidP="002D006C">
            <w:pPr>
              <w:pStyle w:val="BodyCopy"/>
              <w:spacing w:before="80" w:after="80"/>
              <w:rPr>
                <w:sz w:val="20"/>
                <w:szCs w:val="22"/>
              </w:rPr>
            </w:pPr>
            <w:r w:rsidRPr="00B67E15">
              <w:rPr>
                <w:sz w:val="20"/>
                <w:szCs w:val="22"/>
              </w:rPr>
              <w:t>Does not take into account road-related expenditure by governments on tolled roads or any other innovative funding or financing models used by governments, potentially creating inconsistencies.</w:t>
            </w:r>
            <w:r>
              <w:rPr>
                <w:rStyle w:val="FootnoteReference"/>
                <w:szCs w:val="22"/>
              </w:rPr>
              <w:footnoteReference w:id="10"/>
            </w:r>
          </w:p>
          <w:p w14:paraId="2C4CFB6E" w14:textId="44F4D135" w:rsidR="002D006C" w:rsidRPr="00B67E15" w:rsidRDefault="002D006C" w:rsidP="002D006C">
            <w:pPr>
              <w:pStyle w:val="BodyCopy"/>
              <w:spacing w:before="80" w:after="80"/>
              <w:rPr>
                <w:sz w:val="20"/>
                <w:szCs w:val="22"/>
              </w:rPr>
            </w:pPr>
            <w:r>
              <w:rPr>
                <w:sz w:val="20"/>
                <w:szCs w:val="22"/>
              </w:rPr>
              <w:t xml:space="preserve">Also, </w:t>
            </w:r>
            <w:r w:rsidR="00677139">
              <w:rPr>
                <w:sz w:val="20"/>
                <w:szCs w:val="22"/>
              </w:rPr>
              <w:t xml:space="preserve">it is </w:t>
            </w:r>
            <w:r>
              <w:rPr>
                <w:sz w:val="20"/>
                <w:szCs w:val="22"/>
              </w:rPr>
              <w:t xml:space="preserve">unlikely to be consistent with cost recovery principles. </w:t>
            </w:r>
          </w:p>
          <w:p w14:paraId="20567584" w14:textId="43210481" w:rsidR="002D006C" w:rsidRPr="00A34BBE" w:rsidRDefault="002D006C" w:rsidP="002D006C">
            <w:pPr>
              <w:pStyle w:val="BodyCopy"/>
              <w:spacing w:before="80" w:after="80"/>
              <w:rPr>
                <w:sz w:val="20"/>
                <w:szCs w:val="22"/>
              </w:rPr>
            </w:pPr>
            <w:r w:rsidRPr="00B67E15">
              <w:rPr>
                <w:sz w:val="20"/>
                <w:szCs w:val="22"/>
              </w:rPr>
              <w:t xml:space="preserve">Potential for </w:t>
            </w:r>
            <w:r w:rsidR="00677139">
              <w:rPr>
                <w:sz w:val="20"/>
                <w:szCs w:val="22"/>
              </w:rPr>
              <w:t xml:space="preserve">a </w:t>
            </w:r>
            <w:r w:rsidRPr="00B67E15">
              <w:rPr>
                <w:sz w:val="20"/>
                <w:szCs w:val="22"/>
              </w:rPr>
              <w:t>minor increase in administrative costs and effort for some road agencies to</w:t>
            </w:r>
            <w:r>
              <w:t xml:space="preserve"> </w:t>
            </w:r>
            <w:r w:rsidRPr="003A6076">
              <w:rPr>
                <w:sz w:val="20"/>
                <w:szCs w:val="22"/>
              </w:rPr>
              <w:t>report this data (relative to the status quo).</w:t>
            </w:r>
          </w:p>
        </w:tc>
      </w:tr>
      <w:tr w:rsidR="002D006C" w:rsidRPr="00A34BBE" w14:paraId="662750A0" w14:textId="77777777" w:rsidTr="00A329DF">
        <w:tc>
          <w:tcPr>
            <w:tcW w:w="2250" w:type="dxa"/>
          </w:tcPr>
          <w:p w14:paraId="4FA4C923" w14:textId="47BB52A5" w:rsidR="002D006C" w:rsidRPr="00A34BBE" w:rsidRDefault="002D006C" w:rsidP="002D006C">
            <w:pPr>
              <w:pStyle w:val="BodyCopy"/>
              <w:spacing w:before="80" w:after="80"/>
              <w:rPr>
                <w:sz w:val="20"/>
                <w:szCs w:val="22"/>
              </w:rPr>
            </w:pPr>
            <w:r w:rsidRPr="00A34BBE">
              <w:rPr>
                <w:sz w:val="20"/>
                <w:szCs w:val="22"/>
              </w:rPr>
              <w:t>4. Change guidelines to allow reporting of government expenditure on tolled roads but also require government revenue from tolls to be reported</w:t>
            </w:r>
          </w:p>
        </w:tc>
        <w:tc>
          <w:tcPr>
            <w:tcW w:w="2160" w:type="dxa"/>
          </w:tcPr>
          <w:p w14:paraId="7FC5123C" w14:textId="77777777" w:rsidR="002D006C" w:rsidRPr="00A34BBE" w:rsidRDefault="002D006C" w:rsidP="002D006C">
            <w:pPr>
              <w:pStyle w:val="BodyCopy"/>
              <w:spacing w:before="80" w:after="80"/>
              <w:rPr>
                <w:sz w:val="20"/>
                <w:szCs w:val="22"/>
              </w:rPr>
            </w:pPr>
            <w:r w:rsidRPr="0059241E">
              <w:rPr>
                <w:sz w:val="20"/>
                <w:szCs w:val="22"/>
              </w:rPr>
              <w:t>Option would correctly capture governments’ net costs relating to toll roads and allow them to be treated in an internally consistent manner.</w:t>
            </w:r>
          </w:p>
        </w:tc>
        <w:tc>
          <w:tcPr>
            <w:tcW w:w="4617" w:type="dxa"/>
          </w:tcPr>
          <w:p w14:paraId="465995C9" w14:textId="77777777" w:rsidR="002D006C" w:rsidRPr="006B5044" w:rsidRDefault="002D006C" w:rsidP="002D006C">
            <w:pPr>
              <w:pStyle w:val="BodyCopy"/>
              <w:spacing w:before="80" w:after="80"/>
              <w:rPr>
                <w:sz w:val="20"/>
                <w:szCs w:val="22"/>
              </w:rPr>
            </w:pPr>
            <w:r w:rsidRPr="006B5044">
              <w:rPr>
                <w:sz w:val="20"/>
                <w:szCs w:val="22"/>
              </w:rPr>
              <w:t>Does not take into account other models of innovative funding and financing that may be used by governments.</w:t>
            </w:r>
          </w:p>
          <w:p w14:paraId="75D421F3" w14:textId="2E094663" w:rsidR="002D006C" w:rsidRPr="00A34BBE" w:rsidRDefault="002D006C" w:rsidP="002D006C">
            <w:pPr>
              <w:pStyle w:val="BodyCopy"/>
              <w:spacing w:before="80" w:after="80"/>
              <w:rPr>
                <w:sz w:val="20"/>
                <w:szCs w:val="22"/>
              </w:rPr>
            </w:pPr>
            <w:r w:rsidRPr="006B5044">
              <w:rPr>
                <w:sz w:val="20"/>
                <w:szCs w:val="22"/>
              </w:rPr>
              <w:t>Potential for</w:t>
            </w:r>
            <w:r w:rsidR="00677139">
              <w:rPr>
                <w:sz w:val="20"/>
                <w:szCs w:val="22"/>
              </w:rPr>
              <w:t xml:space="preserve"> a</w:t>
            </w:r>
            <w:r w:rsidRPr="006B5044">
              <w:rPr>
                <w:sz w:val="20"/>
                <w:szCs w:val="22"/>
              </w:rPr>
              <w:t xml:space="preserve"> minor increase in administrative costs and effort for some road agencies to report this data (relative to the status quo).</w:t>
            </w:r>
          </w:p>
        </w:tc>
      </w:tr>
      <w:tr w:rsidR="002D006C" w:rsidRPr="00A34BBE" w14:paraId="5DBAA9F6" w14:textId="77777777" w:rsidTr="00A329DF">
        <w:tc>
          <w:tcPr>
            <w:tcW w:w="2250" w:type="dxa"/>
          </w:tcPr>
          <w:p w14:paraId="78D2C4D5" w14:textId="5936DD01" w:rsidR="008B3FC6" w:rsidRDefault="002D006C" w:rsidP="002D006C">
            <w:pPr>
              <w:pStyle w:val="BodyCopy"/>
              <w:spacing w:before="80" w:after="80"/>
              <w:rPr>
                <w:sz w:val="20"/>
                <w:szCs w:val="22"/>
              </w:rPr>
            </w:pPr>
            <w:r w:rsidRPr="002A194F">
              <w:rPr>
                <w:sz w:val="20"/>
                <w:szCs w:val="22"/>
              </w:rPr>
              <w:t xml:space="preserve">5. Change guidelines to properly account for tolled roads and any other types of innovative funding or financing models used by governments that change the timing or nature of expenditure incurred or revenues received by governments </w:t>
            </w:r>
          </w:p>
          <w:p w14:paraId="0D4CF2F4" w14:textId="23F20CDC" w:rsidR="002D006C" w:rsidRPr="00A34BBE" w:rsidRDefault="008B3FC6" w:rsidP="002D006C">
            <w:pPr>
              <w:pStyle w:val="BodyCopy"/>
              <w:spacing w:before="80" w:after="80"/>
              <w:rPr>
                <w:sz w:val="20"/>
                <w:szCs w:val="22"/>
              </w:rPr>
            </w:pPr>
            <w:r>
              <w:rPr>
                <w:sz w:val="20"/>
                <w:szCs w:val="22"/>
              </w:rPr>
              <w:t>(</w:t>
            </w:r>
            <w:r w:rsidR="002D006C" w:rsidRPr="002A194F">
              <w:rPr>
                <w:sz w:val="20"/>
                <w:szCs w:val="22"/>
              </w:rPr>
              <w:t>Intended treatment would be to ensure that any net road-related costs incurred by governments would be included in the cost base</w:t>
            </w:r>
            <w:r>
              <w:rPr>
                <w:sz w:val="20"/>
                <w:szCs w:val="22"/>
              </w:rPr>
              <w:t>)</w:t>
            </w:r>
          </w:p>
        </w:tc>
        <w:tc>
          <w:tcPr>
            <w:tcW w:w="2160" w:type="dxa"/>
          </w:tcPr>
          <w:p w14:paraId="5C113289" w14:textId="6FE64900" w:rsidR="002D006C" w:rsidRPr="00512CA4" w:rsidRDefault="002D006C" w:rsidP="002D006C">
            <w:pPr>
              <w:pStyle w:val="BodyCopy"/>
              <w:spacing w:before="80" w:after="80"/>
              <w:rPr>
                <w:sz w:val="20"/>
                <w:szCs w:val="22"/>
              </w:rPr>
            </w:pPr>
            <w:r w:rsidRPr="00512CA4">
              <w:rPr>
                <w:sz w:val="20"/>
                <w:szCs w:val="22"/>
              </w:rPr>
              <w:t xml:space="preserve">Most consistent with intent of PAYGO cost recovery system, </w:t>
            </w:r>
            <w:r>
              <w:rPr>
                <w:sz w:val="20"/>
                <w:szCs w:val="22"/>
              </w:rPr>
              <w:t>and the cost recovery principle,</w:t>
            </w:r>
            <w:r w:rsidRPr="00512CA4">
              <w:rPr>
                <w:sz w:val="20"/>
                <w:szCs w:val="22"/>
              </w:rPr>
              <w:t xml:space="preserve"> </w:t>
            </w:r>
            <w:r w:rsidR="00080D1B">
              <w:rPr>
                <w:sz w:val="20"/>
                <w:szCs w:val="22"/>
              </w:rPr>
              <w:t>because</w:t>
            </w:r>
            <w:r w:rsidR="00080D1B" w:rsidRPr="00512CA4">
              <w:rPr>
                <w:sz w:val="20"/>
                <w:szCs w:val="22"/>
              </w:rPr>
              <w:t xml:space="preserve"> </w:t>
            </w:r>
            <w:r w:rsidRPr="00512CA4">
              <w:rPr>
                <w:sz w:val="20"/>
                <w:szCs w:val="22"/>
              </w:rPr>
              <w:t>it would capture all net road-related costs incurred by governments regardless of the financing/funding model used.</w:t>
            </w:r>
          </w:p>
          <w:p w14:paraId="1ACC9EF1" w14:textId="19666A0E" w:rsidR="002D006C" w:rsidRPr="0059241E" w:rsidRDefault="002D006C" w:rsidP="002D006C">
            <w:pPr>
              <w:pStyle w:val="BodyCopy"/>
              <w:spacing w:before="80" w:after="80"/>
              <w:rPr>
                <w:sz w:val="20"/>
                <w:szCs w:val="22"/>
              </w:rPr>
            </w:pPr>
            <w:r w:rsidRPr="00512CA4">
              <w:rPr>
                <w:sz w:val="20"/>
                <w:szCs w:val="22"/>
              </w:rPr>
              <w:t>Potentially more consistent with the expenditure policies that would be applied under</w:t>
            </w:r>
            <w:r w:rsidR="00830D17">
              <w:rPr>
                <w:sz w:val="20"/>
                <w:szCs w:val="22"/>
              </w:rPr>
              <w:t xml:space="preserve"> </w:t>
            </w:r>
            <w:r w:rsidRPr="00512CA4">
              <w:rPr>
                <w:sz w:val="20"/>
                <w:szCs w:val="22"/>
              </w:rPr>
              <w:t xml:space="preserve">possible future developments in </w:t>
            </w:r>
            <w:r w:rsidR="00C02680">
              <w:rPr>
                <w:sz w:val="20"/>
                <w:szCs w:val="22"/>
              </w:rPr>
              <w:t>HVRR</w:t>
            </w:r>
            <w:r w:rsidRPr="00512CA4">
              <w:rPr>
                <w:sz w:val="20"/>
                <w:szCs w:val="22"/>
              </w:rPr>
              <w:t xml:space="preserve"> (</w:t>
            </w:r>
            <w:r w:rsidR="00B25452">
              <w:rPr>
                <w:sz w:val="20"/>
                <w:szCs w:val="22"/>
              </w:rPr>
              <w:t>e.g.</w:t>
            </w:r>
            <w:r w:rsidRPr="00512CA4">
              <w:rPr>
                <w:sz w:val="20"/>
                <w:szCs w:val="22"/>
              </w:rPr>
              <w:t xml:space="preserve"> an independent price regulator and FLCB model).</w:t>
            </w:r>
          </w:p>
        </w:tc>
        <w:tc>
          <w:tcPr>
            <w:tcW w:w="4617" w:type="dxa"/>
          </w:tcPr>
          <w:p w14:paraId="36FA4FFB" w14:textId="74BAB0EC" w:rsidR="002D006C" w:rsidRPr="00116FC8" w:rsidRDefault="002D006C" w:rsidP="002D006C">
            <w:pPr>
              <w:pStyle w:val="BodyCopy"/>
              <w:spacing w:before="80" w:after="80"/>
              <w:rPr>
                <w:sz w:val="20"/>
                <w:szCs w:val="22"/>
              </w:rPr>
            </w:pPr>
            <w:r w:rsidRPr="00116FC8">
              <w:rPr>
                <w:sz w:val="20"/>
                <w:szCs w:val="22"/>
              </w:rPr>
              <w:t>Some types of innovative funding and financing will be difficult to foresee and/or develop detailed guidance for ahead of time. This may require assessment on a case-by-case basis as to whether the relevant expenditure or revenue is appropriate for inclusion.</w:t>
            </w:r>
          </w:p>
          <w:p w14:paraId="3BDB0E26" w14:textId="0D0D387A" w:rsidR="002D006C" w:rsidRPr="006B5044" w:rsidRDefault="002D006C" w:rsidP="002D006C">
            <w:pPr>
              <w:pStyle w:val="BodyCopy"/>
              <w:spacing w:before="80" w:after="80"/>
              <w:rPr>
                <w:sz w:val="20"/>
                <w:szCs w:val="22"/>
              </w:rPr>
            </w:pPr>
            <w:r w:rsidRPr="00116FC8">
              <w:rPr>
                <w:sz w:val="20"/>
                <w:szCs w:val="22"/>
              </w:rPr>
              <w:t>Potential for</w:t>
            </w:r>
            <w:r w:rsidR="00677139">
              <w:rPr>
                <w:sz w:val="20"/>
                <w:szCs w:val="22"/>
              </w:rPr>
              <w:t xml:space="preserve"> a</w:t>
            </w:r>
            <w:r w:rsidRPr="00116FC8">
              <w:rPr>
                <w:sz w:val="20"/>
                <w:szCs w:val="22"/>
              </w:rPr>
              <w:t xml:space="preserve"> minor increase in administrative costs and effort for some road agencies to report this data (relative to the status quo). This option is likely to have the highest administrative costs of all the options.</w:t>
            </w:r>
          </w:p>
        </w:tc>
      </w:tr>
    </w:tbl>
    <w:p w14:paraId="5D171A42" w14:textId="7C79815F" w:rsidR="002D006C" w:rsidRDefault="002D006C" w:rsidP="002D006C">
      <w:pPr>
        <w:pStyle w:val="BodyCopy"/>
      </w:pPr>
      <w:r>
        <w:t>At a stakeholder workshop on this topic in August 2020, some government stakeholders support</w:t>
      </w:r>
      <w:r w:rsidR="00677139">
        <w:t>ed</w:t>
      </w:r>
      <w:r>
        <w:t xml:space="preserve"> amending the expenditure guidelines. Industry stakeholders expressed the following views:</w:t>
      </w:r>
    </w:p>
    <w:p w14:paraId="5A573249" w14:textId="7FAA6A99" w:rsidR="002D006C" w:rsidRDefault="00F02AA8" w:rsidP="002D006C">
      <w:pPr>
        <w:pStyle w:val="List-bulletlvl1"/>
      </w:pPr>
      <w:r>
        <w:t>t</w:t>
      </w:r>
      <w:r w:rsidR="002D006C">
        <w:t xml:space="preserve">he need for toll roads to be declared under Part IIIA of the </w:t>
      </w:r>
      <w:r w:rsidR="002D006C" w:rsidRPr="00D263C9">
        <w:rPr>
          <w:i/>
          <w:iCs/>
        </w:rPr>
        <w:t>Competition and Consumer Act 2010</w:t>
      </w:r>
    </w:p>
    <w:p w14:paraId="5E311254" w14:textId="3EEFF974" w:rsidR="002D006C" w:rsidRDefault="00F02AA8" w:rsidP="002D006C">
      <w:pPr>
        <w:pStyle w:val="List-bulletlvl1"/>
      </w:pPr>
      <w:r>
        <w:lastRenderedPageBreak/>
        <w:t>t</w:t>
      </w:r>
      <w:r w:rsidR="002D006C">
        <w:t>he level of tolls charged, including the relative amounts paid by trucks (or commercial vehicles) relative to light vehicles, and the need for tolls to reflect cost savings to users</w:t>
      </w:r>
    </w:p>
    <w:p w14:paraId="1B990B5E" w14:textId="1BD6F473" w:rsidR="002D006C" w:rsidRDefault="00F02AA8" w:rsidP="002D006C">
      <w:pPr>
        <w:pStyle w:val="List-bulletlvl1"/>
      </w:pPr>
      <w:r>
        <w:t>that g</w:t>
      </w:r>
      <w:r w:rsidR="002D006C">
        <w:t>overnments should not charge industry for roads that trucks cannot use (except when accessing a local destination only accessible using that road), such as Pennant Hills Road in N</w:t>
      </w:r>
      <w:r w:rsidR="002C190B">
        <w:t>ew South Wales</w:t>
      </w:r>
      <w:r w:rsidR="002D006C">
        <w:t>.</w:t>
      </w:r>
    </w:p>
    <w:p w14:paraId="5955C95F" w14:textId="70697484" w:rsidR="002D006C" w:rsidRDefault="002D006C" w:rsidP="002D006C">
      <w:pPr>
        <w:pStyle w:val="BodyCopy"/>
      </w:pPr>
      <w:r>
        <w:t>The NTC notes that the first two points above are outside the scope of this determination. The third point is something that c</w:t>
      </w:r>
      <w:r w:rsidR="00C831C4">
        <w:t>ould</w:t>
      </w:r>
      <w:r>
        <w:t xml:space="preserve"> potentially be addressed if the expenditure on the relevant types of roads </w:t>
      </w:r>
      <w:r w:rsidR="00A0624B">
        <w:t xml:space="preserve">were </w:t>
      </w:r>
      <w:r>
        <w:t>by state or territory governments.</w:t>
      </w:r>
      <w:r>
        <w:rPr>
          <w:rStyle w:val="FootnoteReference"/>
        </w:rPr>
        <w:footnoteReference w:id="11"/>
      </w:r>
      <w:r>
        <w:t xml:space="preserve"> This could potentially be achieved by amending the PAYGO expenditure guidelines to specify that </w:t>
      </w:r>
      <w:r w:rsidR="00D668CE">
        <w:t xml:space="preserve">states and territories should not include </w:t>
      </w:r>
      <w:r>
        <w:t>this type of expenditure.</w:t>
      </w:r>
      <w:r w:rsidR="00F40E3F">
        <w:t xml:space="preserve"> There is a question </w:t>
      </w:r>
      <w:r w:rsidR="00D668CE">
        <w:t xml:space="preserve">as to </w:t>
      </w:r>
      <w:r w:rsidR="00F40E3F">
        <w:t xml:space="preserve">whether it would be feasible for states and territories to consistently exclude this expenditure. It is also likely that the </w:t>
      </w:r>
      <w:r w:rsidR="0065220C">
        <w:t>amount of expenditure that would be excluded would</w:t>
      </w:r>
      <w:r w:rsidR="00F40E3F">
        <w:t xml:space="preserve"> be minor.</w:t>
      </w:r>
      <w:r w:rsidR="009E61AA">
        <w:t xml:space="preserve"> </w:t>
      </w:r>
    </w:p>
    <w:p w14:paraId="1884A691" w14:textId="6326004C" w:rsidR="00DB5B46" w:rsidRDefault="00DB5B46" w:rsidP="00DB5B46">
      <w:pPr>
        <w:pStyle w:val="Heading3"/>
      </w:pPr>
      <w:bookmarkStart w:id="160" w:name="_Toc86158416"/>
      <w:r>
        <w:t>Summary of submissions</w:t>
      </w:r>
      <w:bookmarkEnd w:id="160"/>
    </w:p>
    <w:p w14:paraId="33F6D1E2" w14:textId="4B1A1195" w:rsidR="00DB5B46" w:rsidRPr="00DA1BDF" w:rsidRDefault="00DB5B46" w:rsidP="00DB5B46">
      <w:pPr>
        <w:pStyle w:val="BodyCopy"/>
      </w:pPr>
      <w:r>
        <w:t>There</w:t>
      </w:r>
      <w:r w:rsidR="00993C65">
        <w:t xml:space="preserve"> were</w:t>
      </w:r>
      <w:r>
        <w:t xml:space="preserve"> five submissions on innovative funding and financing treatment, from</w:t>
      </w:r>
      <w:r w:rsidR="00D668CE">
        <w:t xml:space="preserve"> the </w:t>
      </w:r>
      <w:r w:rsidR="00D668CE" w:rsidRPr="00D668CE">
        <w:t>Australian Logistics Council</w:t>
      </w:r>
      <w:r>
        <w:t xml:space="preserve"> </w:t>
      </w:r>
      <w:r w:rsidR="00D668CE">
        <w:t>(</w:t>
      </w:r>
      <w:r>
        <w:t>ALC</w:t>
      </w:r>
      <w:r w:rsidR="00D668CE">
        <w:t>)</w:t>
      </w:r>
      <w:r>
        <w:t xml:space="preserve">, the ATA, </w:t>
      </w:r>
      <w:r w:rsidR="00D668CE">
        <w:t xml:space="preserve">the </w:t>
      </w:r>
      <w:r w:rsidR="00D668CE" w:rsidRPr="00D668CE">
        <w:t xml:space="preserve">Bus Industry Confederation </w:t>
      </w:r>
      <w:r w:rsidR="00D668CE">
        <w:t>(</w:t>
      </w:r>
      <w:r>
        <w:t>BIC</w:t>
      </w:r>
      <w:r w:rsidR="00D668CE">
        <w:t>)</w:t>
      </w:r>
      <w:r>
        <w:t xml:space="preserve">, NatRoad and the NHVR. Three submitters (ALC, </w:t>
      </w:r>
      <w:r w:rsidR="0032461D">
        <w:t xml:space="preserve">the </w:t>
      </w:r>
      <w:r>
        <w:t>BIC and the NHVR) support</w:t>
      </w:r>
      <w:r w:rsidR="00D668CE">
        <w:t>ed</w:t>
      </w:r>
      <w:r>
        <w:t xml:space="preserve"> changing the PAYGO guidelines in line with </w:t>
      </w:r>
      <w:r w:rsidR="00D668CE">
        <w:t>o</w:t>
      </w:r>
      <w:r>
        <w:t xml:space="preserve">ption 5 in </w:t>
      </w:r>
      <w:r>
        <w:fldChar w:fldCharType="begin"/>
      </w:r>
      <w:r>
        <w:instrText xml:space="preserve"> REF _Ref81903621 \r \h </w:instrText>
      </w:r>
      <w:r>
        <w:fldChar w:fldCharType="separate"/>
      </w:r>
      <w:r w:rsidR="00225EEA">
        <w:t>Table 6</w:t>
      </w:r>
      <w:r>
        <w:fldChar w:fldCharType="end"/>
      </w:r>
      <w:r w:rsidR="00D668CE">
        <w:t xml:space="preserve">, </w:t>
      </w:r>
      <w:r>
        <w:t xml:space="preserve">while the ATA and NatRoad were not in favour. The ATA submitted that this approach would ignore the existing tolls paid by heavy vehicles, which vastly exceed the marginal cost of their road wear, and could also result in light vehicle toll relief paid out of government revenue being inappropriately attributed to heavy vehicles. NatRoad expressed concern that </w:t>
      </w:r>
      <w:r w:rsidR="009E2A1B">
        <w:t xml:space="preserve">it may be difficult to anticipate </w:t>
      </w:r>
      <w:r w:rsidR="00D74E4D">
        <w:t>and develop guidance for certain type</w:t>
      </w:r>
      <w:r w:rsidR="007D6726">
        <w:t xml:space="preserve">s of </w:t>
      </w:r>
      <w:r w:rsidR="00D74E4D">
        <w:t>projects</w:t>
      </w:r>
      <w:r w:rsidR="00D668CE">
        <w:t xml:space="preserve"> and</w:t>
      </w:r>
      <w:r w:rsidR="00976590">
        <w:t xml:space="preserve"> </w:t>
      </w:r>
      <w:r w:rsidR="00447676">
        <w:t xml:space="preserve">difficult </w:t>
      </w:r>
      <w:r w:rsidR="00976590">
        <w:t>to quantify the impact of this change</w:t>
      </w:r>
      <w:r w:rsidR="00447676">
        <w:t xml:space="preserve"> in advance</w:t>
      </w:r>
      <w:r w:rsidR="00976590">
        <w:t>.</w:t>
      </w:r>
    </w:p>
    <w:p w14:paraId="362AB58C" w14:textId="11C9AE49" w:rsidR="00DB5B46" w:rsidRDefault="00DB5B46" w:rsidP="00DB5B46">
      <w:pPr>
        <w:pStyle w:val="Heading3"/>
      </w:pPr>
      <w:bookmarkStart w:id="161" w:name="_Toc86158417"/>
      <w:r>
        <w:t>Conclusion</w:t>
      </w:r>
      <w:r w:rsidR="00A63117">
        <w:t xml:space="preserve"> and recommendations</w:t>
      </w:r>
      <w:bookmarkEnd w:id="161"/>
    </w:p>
    <w:p w14:paraId="3C663536" w14:textId="13F0D62D" w:rsidR="00447676" w:rsidRDefault="00412802" w:rsidP="00412802">
      <w:pPr>
        <w:pStyle w:val="BodyCopy"/>
      </w:pPr>
      <w:r>
        <w:t xml:space="preserve">Based on the evaluation presented in </w:t>
      </w:r>
      <w:r w:rsidR="000A121B">
        <w:fldChar w:fldCharType="begin"/>
      </w:r>
      <w:r w:rsidR="000A121B">
        <w:instrText xml:space="preserve"> REF _Ref82165198 \r \h </w:instrText>
      </w:r>
      <w:r w:rsidR="000A121B">
        <w:fldChar w:fldCharType="separate"/>
      </w:r>
      <w:r w:rsidR="00225EEA">
        <w:t>Table 6</w:t>
      </w:r>
      <w:r w:rsidR="000A121B">
        <w:fldChar w:fldCharType="end"/>
      </w:r>
      <w:r>
        <w:t xml:space="preserve">, the NTC </w:t>
      </w:r>
      <w:r w:rsidR="00976590">
        <w:t xml:space="preserve">retains its </w:t>
      </w:r>
      <w:r w:rsidR="002519EC">
        <w:t>preferred option</w:t>
      </w:r>
      <w:r w:rsidR="00976590">
        <w:t xml:space="preserve"> from the C-RIS</w:t>
      </w:r>
      <w:r w:rsidR="002519EC">
        <w:t xml:space="preserve"> to </w:t>
      </w:r>
      <w:r w:rsidR="00B937AC">
        <w:t>proceed with</w:t>
      </w:r>
      <w:r>
        <w:t xml:space="preserve"> option 5 because it is consistent with the principle of full cost recovery and is flexible to allow the treatment to be tailored to individual projects if necessary. </w:t>
      </w:r>
      <w:r w:rsidR="002519EC">
        <w:t>However,</w:t>
      </w:r>
      <w:r w:rsidR="00F41E3B">
        <w:t xml:space="preserve"> the</w:t>
      </w:r>
      <w:r w:rsidR="005F4995">
        <w:t xml:space="preserve"> NTC recommends a delayed implementation of this methodology</w:t>
      </w:r>
      <w:r w:rsidR="0053365E">
        <w:t>,</w:t>
      </w:r>
      <w:r w:rsidR="005F4995">
        <w:t xml:space="preserve"> and the</w:t>
      </w:r>
      <w:r w:rsidR="00F41E3B">
        <w:t xml:space="preserve"> calculated cost bases under direct implementation </w:t>
      </w:r>
      <w:r w:rsidR="00102091">
        <w:t xml:space="preserve">in this D-RIS do not incorporate </w:t>
      </w:r>
      <w:r w:rsidR="00B4036E">
        <w:t xml:space="preserve">any </w:t>
      </w:r>
      <w:r w:rsidR="00324D1C">
        <w:t>costs or revenues from innovative funding and financing reported</w:t>
      </w:r>
      <w:r w:rsidR="0024052F">
        <w:t xml:space="preserve"> by jurisdictions</w:t>
      </w:r>
      <w:r w:rsidR="00324D1C">
        <w:t xml:space="preserve"> for 202</w:t>
      </w:r>
      <w:r w:rsidR="00A96F99">
        <w:t>0–</w:t>
      </w:r>
      <w:r w:rsidR="00324D1C">
        <w:t>2</w:t>
      </w:r>
      <w:r w:rsidR="00A96F99">
        <w:t>1</w:t>
      </w:r>
      <w:r w:rsidR="00505591">
        <w:t>.</w:t>
      </w:r>
      <w:r w:rsidR="00170596">
        <w:t xml:space="preserve"> </w:t>
      </w:r>
    </w:p>
    <w:p w14:paraId="46CECDE5" w14:textId="73ED6543" w:rsidR="00412802" w:rsidRDefault="00F1692B" w:rsidP="00412802">
      <w:pPr>
        <w:pStyle w:val="BodyCopy"/>
      </w:pPr>
      <w:r>
        <w:t xml:space="preserve">This is </w:t>
      </w:r>
      <w:r w:rsidR="00447676">
        <w:t xml:space="preserve">primarily for two reasons. </w:t>
      </w:r>
      <w:r w:rsidR="00A61E11">
        <w:t>The f</w:t>
      </w:r>
      <w:r w:rsidR="00447676">
        <w:t>irst</w:t>
      </w:r>
      <w:r w:rsidR="00A61E11">
        <w:t xml:space="preserve"> is a concern about the</w:t>
      </w:r>
      <w:r w:rsidR="006A3A63">
        <w:t xml:space="preserve"> current</w:t>
      </w:r>
      <w:r w:rsidR="00A61E11">
        <w:t xml:space="preserve"> quality</w:t>
      </w:r>
      <w:r w:rsidR="00174316">
        <w:t>/ completeness</w:t>
      </w:r>
      <w:r w:rsidR="00A61E11">
        <w:t xml:space="preserve"> of data.</w:t>
      </w:r>
      <w:r>
        <w:t xml:space="preserve"> </w:t>
      </w:r>
      <w:r w:rsidR="00170596">
        <w:t>Two</w:t>
      </w:r>
      <w:r w:rsidR="005F4995">
        <w:t xml:space="preserve"> jurisdictions reported</w:t>
      </w:r>
      <w:r w:rsidR="0019205B">
        <w:t xml:space="preserve"> expenditure</w:t>
      </w:r>
      <w:r w:rsidR="006A3A63">
        <w:t xml:space="preserve"> for innovative funding and financing</w:t>
      </w:r>
      <w:r w:rsidR="0019205B">
        <w:t xml:space="preserve"> </w:t>
      </w:r>
      <w:r w:rsidR="0053365E">
        <w:t>totalling around $1.47 billion</w:t>
      </w:r>
      <w:r>
        <w:t>; however</w:t>
      </w:r>
      <w:r w:rsidR="00D668CE">
        <w:t>,</w:t>
      </w:r>
      <w:r w:rsidR="0019205B">
        <w:t xml:space="preserve"> </w:t>
      </w:r>
      <w:r w:rsidR="00AE57CA">
        <w:t>one of the jurisdictions reported no toll revenue</w:t>
      </w:r>
      <w:r w:rsidR="00610F9C">
        <w:t xml:space="preserve"> (despite having government-owned toll roads in th</w:t>
      </w:r>
      <w:r w:rsidR="007156A3">
        <w:t>at</w:t>
      </w:r>
      <w:r w:rsidR="00610F9C">
        <w:t xml:space="preserve"> jurisdiction), while the other</w:t>
      </w:r>
      <w:r w:rsidR="00AE57CA">
        <w:t xml:space="preserve"> provided no detail on what</w:t>
      </w:r>
      <w:r w:rsidR="00610F9C">
        <w:t xml:space="preserve"> projects the expenditure was occurring on.</w:t>
      </w:r>
      <w:r w:rsidR="00BA4018">
        <w:t xml:space="preserve"> Implementation of this change requires confidence in the quality of the data</w:t>
      </w:r>
      <w:r w:rsidR="004C38E7">
        <w:t xml:space="preserve"> –</w:t>
      </w:r>
      <w:r w:rsidR="00BA4018">
        <w:t xml:space="preserve"> which may require </w:t>
      </w:r>
      <w:r w:rsidR="004214FC">
        <w:t xml:space="preserve">additional </w:t>
      </w:r>
      <w:r w:rsidR="00BA4018">
        <w:t>time and</w:t>
      </w:r>
      <w:r w:rsidR="00CD169B">
        <w:t>/or</w:t>
      </w:r>
      <w:r w:rsidR="00BA4018">
        <w:t xml:space="preserve"> </w:t>
      </w:r>
      <w:r w:rsidR="007156A3">
        <w:t>guidance from the NTC for road agencies to u</w:t>
      </w:r>
      <w:r w:rsidR="004214FC">
        <w:t>nderstand</w:t>
      </w:r>
      <w:r w:rsidR="00CD169B">
        <w:t xml:space="preserve"> and correctly report these expenditures and </w:t>
      </w:r>
      <w:r w:rsidR="004C38E7">
        <w:t xml:space="preserve">revenues – and importantly requires that both </w:t>
      </w:r>
      <w:r w:rsidR="000C017E">
        <w:t xml:space="preserve">government </w:t>
      </w:r>
      <w:r w:rsidR="004C38E7">
        <w:t>revenues</w:t>
      </w:r>
      <w:r w:rsidR="000C017E">
        <w:t xml:space="preserve"> and costs</w:t>
      </w:r>
      <w:r w:rsidR="004C38E7">
        <w:t xml:space="preserve"> are reported accurately to ensure the correct ‘net costs’</w:t>
      </w:r>
      <w:r w:rsidR="00804787">
        <w:t xml:space="preserve"> to governments</w:t>
      </w:r>
      <w:r w:rsidR="001439D6">
        <w:t xml:space="preserve"> are calculated</w:t>
      </w:r>
      <w:r w:rsidR="00CD169B">
        <w:t xml:space="preserve">. </w:t>
      </w:r>
      <w:r w:rsidR="00CD169B" w:rsidRPr="008A167B">
        <w:t>Second, from a pragmatic perspective</w:t>
      </w:r>
      <w:r w:rsidR="005D4430">
        <w:t>,</w:t>
      </w:r>
      <w:r w:rsidR="00804787" w:rsidRPr="008A167B">
        <w:t xml:space="preserve"> the cost bases under direct implementation are likely to be </w:t>
      </w:r>
      <w:r w:rsidR="00592824" w:rsidRPr="008A167B">
        <w:t>difficult</w:t>
      </w:r>
      <w:r w:rsidR="00804787" w:rsidRPr="008A167B">
        <w:t xml:space="preserve"> to implement</w:t>
      </w:r>
      <w:r w:rsidR="00A868BC" w:rsidRPr="008A167B">
        <w:t xml:space="preserve"> (as discussed in </w:t>
      </w:r>
      <w:r w:rsidR="00184896" w:rsidRPr="008A167B">
        <w:t>c</w:t>
      </w:r>
      <w:r w:rsidR="00297C12" w:rsidRPr="008A167B">
        <w:t xml:space="preserve">hapter </w:t>
      </w:r>
      <w:r w:rsidR="00297C12" w:rsidRPr="008A167B">
        <w:fldChar w:fldCharType="begin"/>
      </w:r>
      <w:r w:rsidR="00297C12" w:rsidRPr="008A167B">
        <w:instrText xml:space="preserve"> REF _Ref81906436 \r \h </w:instrText>
      </w:r>
      <w:r w:rsidR="00CB0F18" w:rsidRPr="008A167B">
        <w:instrText xml:space="preserve"> \* MERGEFORMAT </w:instrText>
      </w:r>
      <w:r w:rsidR="00297C12" w:rsidRPr="008A167B">
        <w:fldChar w:fldCharType="separate"/>
      </w:r>
      <w:r w:rsidR="00225EEA">
        <w:t>6</w:t>
      </w:r>
      <w:r w:rsidR="00297C12" w:rsidRPr="008A167B">
        <w:fldChar w:fldCharType="end"/>
      </w:r>
      <w:r w:rsidR="00297C12" w:rsidRPr="008A167B">
        <w:t>)</w:t>
      </w:r>
      <w:r w:rsidR="005D4430">
        <w:t>,</w:t>
      </w:r>
      <w:r w:rsidR="00804787" w:rsidRPr="008A167B">
        <w:t xml:space="preserve"> even without th</w:t>
      </w:r>
      <w:r w:rsidR="00592824" w:rsidRPr="008A167B">
        <w:t xml:space="preserve">e reported additional </w:t>
      </w:r>
      <w:r w:rsidR="00592824" w:rsidRPr="008A167B">
        <w:lastRenderedPageBreak/>
        <w:t>costs</w:t>
      </w:r>
      <w:r w:rsidR="005D4430">
        <w:t>.</w:t>
      </w:r>
      <w:r w:rsidR="00297C12" w:rsidRPr="008A167B">
        <w:t xml:space="preserve"> </w:t>
      </w:r>
      <w:r w:rsidR="005D4430">
        <w:t>U</w:t>
      </w:r>
      <w:r w:rsidR="00297C12" w:rsidRPr="008A167B">
        <w:t xml:space="preserve">nder a </w:t>
      </w:r>
      <w:r w:rsidR="00CB0F18" w:rsidRPr="008A167B">
        <w:t xml:space="preserve">multi-year </w:t>
      </w:r>
      <w:r w:rsidR="00297C12" w:rsidRPr="008A167B">
        <w:t>price path</w:t>
      </w:r>
      <w:r w:rsidR="00CB0F18" w:rsidRPr="008A167B">
        <w:t xml:space="preserve"> implementation</w:t>
      </w:r>
      <w:r w:rsidR="00297C12" w:rsidRPr="008A167B">
        <w:t xml:space="preserve"> option</w:t>
      </w:r>
      <w:r w:rsidR="005D4430">
        <w:t>,</w:t>
      </w:r>
      <w:r w:rsidR="00297C12" w:rsidRPr="008A167B">
        <w:t xml:space="preserve"> this change would have no practical impact on charges</w:t>
      </w:r>
      <w:r w:rsidR="00CB0F18" w:rsidRPr="008A167B">
        <w:t xml:space="preserve"> over the pricing period</w:t>
      </w:r>
      <w:r w:rsidR="00CB0F18" w:rsidRPr="008441F5">
        <w:t>.</w:t>
      </w:r>
    </w:p>
    <w:p w14:paraId="56005D16" w14:textId="4BA0DEEB" w:rsidR="00C2013F" w:rsidRDefault="003B4ABC" w:rsidP="00767386">
      <w:pPr>
        <w:pStyle w:val="BodyCopy"/>
      </w:pPr>
      <w:r>
        <w:t>Some</w:t>
      </w:r>
      <w:r w:rsidR="00726834">
        <w:t xml:space="preserve"> other issues</w:t>
      </w:r>
      <w:r>
        <w:t xml:space="preserve"> relating </w:t>
      </w:r>
      <w:r w:rsidR="00A04A7A">
        <w:t xml:space="preserve">to </w:t>
      </w:r>
      <w:r>
        <w:t>this workstream were</w:t>
      </w:r>
      <w:r w:rsidR="00726834">
        <w:t xml:space="preserve"> raised in submissions</w:t>
      </w:r>
      <w:r>
        <w:t>. First</w:t>
      </w:r>
      <w:r w:rsidR="00726834">
        <w:t>, the NTC ac</w:t>
      </w:r>
      <w:r w:rsidR="00E9131A">
        <w:t>knowledges</w:t>
      </w:r>
      <w:r w:rsidR="00726834">
        <w:t xml:space="preserve"> the ATA’s </w:t>
      </w:r>
      <w:r w:rsidR="00E9131A">
        <w:t>concerns</w:t>
      </w:r>
      <w:r w:rsidR="00726834">
        <w:t xml:space="preserve"> that </w:t>
      </w:r>
      <w:r w:rsidR="00E9131A">
        <w:t>toll relief</w:t>
      </w:r>
      <w:r w:rsidR="00682368">
        <w:t xml:space="preserve"> for light vehicles</w:t>
      </w:r>
      <w:r w:rsidR="00E9131A">
        <w:t xml:space="preserve"> should not </w:t>
      </w:r>
      <w:r w:rsidR="004C2204">
        <w:t>be included in reported costs for innovative funding and financing expenditure</w:t>
      </w:r>
      <w:r w:rsidR="001F48C0">
        <w:t xml:space="preserve">. </w:t>
      </w:r>
      <w:r w:rsidR="000D310C">
        <w:t>It</w:t>
      </w:r>
      <w:r w:rsidR="00D973AF">
        <w:t xml:space="preserve"> </w:t>
      </w:r>
      <w:r w:rsidR="000D310C">
        <w:t xml:space="preserve">was not the </w:t>
      </w:r>
      <w:r w:rsidR="00D973AF">
        <w:t>NTC</w:t>
      </w:r>
      <w:r w:rsidR="000D310C">
        <w:t>’s intention to capture this type of expenditure</w:t>
      </w:r>
      <w:r w:rsidR="00767386">
        <w:t xml:space="preserve"> under the proposed changes, and </w:t>
      </w:r>
      <w:r w:rsidR="00767386" w:rsidRPr="00767386">
        <w:t>none</w:t>
      </w:r>
      <w:r w:rsidR="00767386">
        <w:t xml:space="preserve"> was reported by the relevant jurisdiction</w:t>
      </w:r>
      <w:r w:rsidR="00A96F99">
        <w:t xml:space="preserve"> for 2020–21</w:t>
      </w:r>
      <w:r w:rsidR="00767386">
        <w:t xml:space="preserve">, but this </w:t>
      </w:r>
      <w:r w:rsidR="001F48C0">
        <w:t>can be</w:t>
      </w:r>
      <w:r w:rsidR="00767386">
        <w:t xml:space="preserve"> specifically</w:t>
      </w:r>
      <w:r w:rsidR="001F48C0">
        <w:t xml:space="preserve"> clarified in </w:t>
      </w:r>
      <w:r w:rsidR="00767386">
        <w:t>future versions of the expenditure guidelines to avoid any doubt</w:t>
      </w:r>
      <w:r w:rsidR="004C2204">
        <w:t>.</w:t>
      </w:r>
      <w:r>
        <w:t xml:space="preserve"> </w:t>
      </w:r>
      <w:r w:rsidR="00785D3D">
        <w:t>Second, the</w:t>
      </w:r>
      <w:r w:rsidR="0091702F">
        <w:t xml:space="preserve"> level of existing tolls paid by heavy vehicles</w:t>
      </w:r>
      <w:r w:rsidR="00233D8D">
        <w:t xml:space="preserve"> on privately owned/operated roads is not in scope for this determination and is a matter determined under the relevant contractual </w:t>
      </w:r>
      <w:r w:rsidR="006C7232">
        <w:t>terms</w:t>
      </w:r>
      <w:r w:rsidR="00233D8D">
        <w:t xml:space="preserve"> between the government</w:t>
      </w:r>
      <w:r w:rsidR="009E655E">
        <w:t xml:space="preserve"> and the road’s owner or operator.</w:t>
      </w:r>
    </w:p>
    <w:p w14:paraId="02E942C5" w14:textId="7FA44FD3" w:rsidR="00D967E5" w:rsidRPr="00D967E5" w:rsidRDefault="009E655E" w:rsidP="00D967E5">
      <w:pPr>
        <w:pStyle w:val="BodyCopy"/>
      </w:pPr>
      <w:r>
        <w:t>Finall</w:t>
      </w:r>
      <w:r w:rsidR="003B4ABC">
        <w:t xml:space="preserve">y, </w:t>
      </w:r>
      <w:r w:rsidR="0003354B">
        <w:t>the NTC does not recommend making changes to address</w:t>
      </w:r>
      <w:r w:rsidR="003B4ABC">
        <w:t xml:space="preserve"> </w:t>
      </w:r>
      <w:r w:rsidR="0030589E">
        <w:t>the issue of</w:t>
      </w:r>
      <w:r w:rsidR="00F0063C">
        <w:t xml:space="preserve"> jurisdictions</w:t>
      </w:r>
      <w:r w:rsidR="0030589E">
        <w:t xml:space="preserve"> excluding expenditure on roads that heavy vehicles</w:t>
      </w:r>
      <w:r w:rsidR="00F0063C">
        <w:t xml:space="preserve"> are unable to use</w:t>
      </w:r>
      <w:r w:rsidR="001A3B2D">
        <w:t xml:space="preserve"> due to</w:t>
      </w:r>
      <w:r w:rsidR="00FA21BE">
        <w:t xml:space="preserve"> the presence of</w:t>
      </w:r>
      <w:r w:rsidR="001A3B2D">
        <w:t xml:space="preserve"> nearby toll roads</w:t>
      </w:r>
      <w:r w:rsidR="0003354B">
        <w:t>.</w:t>
      </w:r>
      <w:r w:rsidR="001A3B2D">
        <w:t xml:space="preserve"> The NTC acknowledges the NHVR’s submission that</w:t>
      </w:r>
      <w:r w:rsidR="006A6CF3">
        <w:t xml:space="preserve"> a potential example of such a road – Pennant Hills Road in NSW – only forbids certain types of heavy vehicles (rather than all heavy vehicle traffic)</w:t>
      </w:r>
      <w:r w:rsidR="00C2013F">
        <w:t>.</w:t>
      </w:r>
      <w:r w:rsidR="00F464C0">
        <w:t xml:space="preserve"> </w:t>
      </w:r>
      <w:r w:rsidR="00C2013F">
        <w:t>T</w:t>
      </w:r>
      <w:r w:rsidR="00F464C0">
        <w:t>his</w:t>
      </w:r>
      <w:r w:rsidR="00B94C97">
        <w:t xml:space="preserve"> fact</w:t>
      </w:r>
      <w:r w:rsidR="00F464C0">
        <w:t xml:space="preserve"> would make implementation very challenging</w:t>
      </w:r>
      <w:r w:rsidR="007E6D35">
        <w:t xml:space="preserve"> given that some heavy vehicles still benefit from us</w:t>
      </w:r>
      <w:r w:rsidR="005D4430">
        <w:t>ing</w:t>
      </w:r>
      <w:r w:rsidR="007E6D35">
        <w:t xml:space="preserve"> these roads</w:t>
      </w:r>
      <w:r w:rsidR="00A91A44">
        <w:t xml:space="preserve"> (and drive costs on them)</w:t>
      </w:r>
      <w:r w:rsidR="006A6CF3">
        <w:t>.</w:t>
      </w:r>
      <w:r w:rsidR="00F464C0">
        <w:t xml:space="preserve"> </w:t>
      </w:r>
      <w:r w:rsidR="00944FE1">
        <w:t>S</w:t>
      </w:r>
      <w:r w:rsidR="00F464C0">
        <w:t>ubmissions did not provide</w:t>
      </w:r>
      <w:r w:rsidR="00B94C97">
        <w:t xml:space="preserve"> evidence of this being a widespread</w:t>
      </w:r>
      <w:r w:rsidR="00285688">
        <w:t xml:space="preserve"> issue around the country</w:t>
      </w:r>
      <w:r w:rsidR="00CB6635">
        <w:t>.</w:t>
      </w:r>
      <w:r w:rsidR="00510EB6">
        <w:t xml:space="preserve"> </w:t>
      </w:r>
      <w:r w:rsidR="00510EB6" w:rsidRPr="00510EB6">
        <w:t xml:space="preserve">While there are some roads that are not accessible for heavy vehicles, expenditure on these roads </w:t>
      </w:r>
      <w:r w:rsidR="008441F5">
        <w:t>is</w:t>
      </w:r>
      <w:r w:rsidR="00510EB6" w:rsidRPr="00510EB6">
        <w:t xml:space="preserve"> unlikely to have a material effect on the heavy vehicle cost base. Many of these roads are likely to be local roads where the current approach of excluding significant proportions of costs</w:t>
      </w:r>
      <w:r w:rsidR="002E0D19">
        <w:t xml:space="preserve"> (as discussed in the footnote in se</w:t>
      </w:r>
      <w:r w:rsidR="0045543D">
        <w:t xml:space="preserve">ction </w:t>
      </w:r>
      <w:r w:rsidR="0045543D">
        <w:fldChar w:fldCharType="begin"/>
      </w:r>
      <w:r w:rsidR="0045543D">
        <w:instrText xml:space="preserve"> REF _Ref81907990 \r \h </w:instrText>
      </w:r>
      <w:r w:rsidR="0045543D">
        <w:fldChar w:fldCharType="separate"/>
      </w:r>
      <w:r w:rsidR="00225EEA">
        <w:t>4.4.5</w:t>
      </w:r>
      <w:r w:rsidR="0045543D">
        <w:fldChar w:fldCharType="end"/>
      </w:r>
      <w:r w:rsidR="0045543D">
        <w:t>)</w:t>
      </w:r>
      <w:r w:rsidR="00510EB6" w:rsidRPr="00510EB6">
        <w:t xml:space="preserve"> already reduce the amount of relevant expenditure included in the cost base.</w:t>
      </w:r>
      <w:r w:rsidR="009E61AA">
        <w:t xml:space="preserve"> </w:t>
      </w:r>
    </w:p>
    <w:p w14:paraId="052477F1" w14:textId="3CFA1A26" w:rsidR="005B57BD" w:rsidRDefault="005B57BD" w:rsidP="00767386">
      <w:pPr>
        <w:pStyle w:val="BodyCopy"/>
      </w:pPr>
      <w:r>
        <w:t>The NTC recommends that:</w:t>
      </w:r>
    </w:p>
    <w:p w14:paraId="75FB8513" w14:textId="1353F77A" w:rsidR="006E7D67" w:rsidRPr="006E7D67" w:rsidRDefault="00674DB8" w:rsidP="00930179">
      <w:pPr>
        <w:pStyle w:val="List-bulletlvl1"/>
      </w:pPr>
      <w:r>
        <w:t>t</w:t>
      </w:r>
      <w:r w:rsidR="00DB0F30">
        <w:t>he NTC should c</w:t>
      </w:r>
      <w:r w:rsidR="00DB0F30" w:rsidRPr="002A194F">
        <w:t>hange</w:t>
      </w:r>
      <w:r w:rsidR="00DB0F30">
        <w:t xml:space="preserve"> the expenditure reporting</w:t>
      </w:r>
      <w:r w:rsidR="00DB0F30" w:rsidRPr="002A194F">
        <w:t xml:space="preserve"> guidelines to account for tolled roads and any other types of innovative funding or financing models used by governments </w:t>
      </w:r>
      <w:r w:rsidR="00C126C1">
        <w:t>on a net neutral basis</w:t>
      </w:r>
      <w:r w:rsidR="00DB0F30">
        <w:t xml:space="preserve"> (</w:t>
      </w:r>
      <w:r w:rsidR="005D4430">
        <w:t>o</w:t>
      </w:r>
      <w:r w:rsidR="00DB0F30">
        <w:t xml:space="preserve">ption 5) in </w:t>
      </w:r>
      <w:r w:rsidR="00DB0F30" w:rsidRPr="00357D40">
        <w:t>accordance</w:t>
      </w:r>
      <w:r w:rsidR="00DB0F30">
        <w:t xml:space="preserve"> with the principles in section </w:t>
      </w:r>
      <w:r w:rsidR="009A77F1">
        <w:fldChar w:fldCharType="begin"/>
      </w:r>
      <w:r w:rsidR="009A77F1">
        <w:instrText xml:space="preserve"> REF _Ref75784539 \r \h </w:instrText>
      </w:r>
      <w:r w:rsidR="009A77F1">
        <w:fldChar w:fldCharType="separate"/>
      </w:r>
      <w:r w:rsidR="00225EEA">
        <w:t>4.4.4</w:t>
      </w:r>
      <w:r w:rsidR="009A77F1">
        <w:fldChar w:fldCharType="end"/>
      </w:r>
    </w:p>
    <w:p w14:paraId="5621DA0F" w14:textId="072A12E7" w:rsidR="00810604" w:rsidRPr="00412802" w:rsidRDefault="00674DB8" w:rsidP="00357D40">
      <w:pPr>
        <w:pStyle w:val="List-bulletlvl1"/>
      </w:pPr>
      <w:r>
        <w:t>t</w:t>
      </w:r>
      <w:r w:rsidR="00810604">
        <w:t xml:space="preserve">he NTC should work with </w:t>
      </w:r>
      <w:r w:rsidR="007B07E5">
        <w:t>state and territory road agencies to assist them in</w:t>
      </w:r>
      <w:r w:rsidR="00380FC4">
        <w:t xml:space="preserve"> </w:t>
      </w:r>
      <w:r w:rsidR="009A77F1">
        <w:t>reporting the relevant expenditures and revenues in accordance with the guidelines and principles</w:t>
      </w:r>
      <w:r w:rsidR="00930179">
        <w:t>.</w:t>
      </w:r>
    </w:p>
    <w:p w14:paraId="44A98C46" w14:textId="77777777" w:rsidR="007932A1" w:rsidRPr="001F0D0B" w:rsidRDefault="007932A1">
      <w:pPr>
        <w:pStyle w:val="Heading2"/>
      </w:pPr>
      <w:bookmarkStart w:id="162" w:name="_Toc65920735"/>
      <w:bookmarkStart w:id="163" w:name="_Ref64880998"/>
      <w:bookmarkStart w:id="164" w:name="_Toc86158418"/>
      <w:bookmarkEnd w:id="162"/>
      <w:r>
        <w:t>Usage data</w:t>
      </w:r>
      <w:bookmarkEnd w:id="163"/>
      <w:bookmarkEnd w:id="164"/>
    </w:p>
    <w:p w14:paraId="37772FE6" w14:textId="7423E8CE" w:rsidR="007932A1" w:rsidRPr="002530E7" w:rsidRDefault="007932A1" w:rsidP="007932A1">
      <w:pPr>
        <w:pStyle w:val="BodyCopy"/>
        <w:rPr>
          <w:b/>
          <w:bCs/>
          <w:sz w:val="24"/>
        </w:rPr>
      </w:pPr>
      <w:r>
        <w:t xml:space="preserve">Usage data in this </w:t>
      </w:r>
      <w:r w:rsidR="009F0EA2">
        <w:t>D</w:t>
      </w:r>
      <w:r w:rsidR="00F02AA8">
        <w:t>-</w:t>
      </w:r>
      <w:r>
        <w:t xml:space="preserve">RIS refers to data </w:t>
      </w:r>
      <w:r w:rsidR="00F02AA8">
        <w:t xml:space="preserve">about </w:t>
      </w:r>
      <w:r>
        <w:t xml:space="preserve">vehicle use </w:t>
      </w:r>
      <w:r w:rsidR="00F02AA8">
        <w:t xml:space="preserve">that </w:t>
      </w:r>
      <w:r>
        <w:t>is used in the PAYGO model as part of the cost allocation process.</w:t>
      </w:r>
      <w:r w:rsidR="00830D17">
        <w:t xml:space="preserve"> </w:t>
      </w:r>
    </w:p>
    <w:p w14:paraId="7275558E" w14:textId="796500B1" w:rsidR="007932A1" w:rsidRDefault="007932A1">
      <w:pPr>
        <w:pStyle w:val="Heading3"/>
      </w:pPr>
      <w:bookmarkStart w:id="165" w:name="_Toc86158419"/>
      <w:r>
        <w:t>Issue</w:t>
      </w:r>
      <w:r w:rsidR="00F02AA8">
        <w:t>s</w:t>
      </w:r>
      <w:bookmarkEnd w:id="165"/>
    </w:p>
    <w:p w14:paraId="1A6021F9" w14:textId="148041AC" w:rsidR="007932A1" w:rsidRDefault="007932A1" w:rsidP="007932A1">
      <w:pPr>
        <w:pStyle w:val="BodyCopy"/>
      </w:pPr>
      <w:r w:rsidRPr="007A7E69">
        <w:t xml:space="preserve">The ABS has announced it will discontinue the </w:t>
      </w:r>
      <w:r>
        <w:t xml:space="preserve">SMVU </w:t>
      </w:r>
      <w:r w:rsidRPr="007A7E69">
        <w:t>after the 2020 SMVU is</w:t>
      </w:r>
      <w:r w:rsidR="00EB01A2">
        <w:t xml:space="preserve"> completed</w:t>
      </w:r>
      <w:r w:rsidRPr="007A7E69">
        <w:t xml:space="preserve">. </w:t>
      </w:r>
      <w:r>
        <w:t xml:space="preserve">The SMVU </w:t>
      </w:r>
      <w:r w:rsidRPr="007A7E69">
        <w:t>has been the NTC’s only source of road use and fuel use data in the past</w:t>
      </w:r>
      <w:r w:rsidR="00F02AA8">
        <w:t>,</w:t>
      </w:r>
      <w:r w:rsidRPr="007A7E69">
        <w:t xml:space="preserve"> and no other source is readily available.</w:t>
      </w:r>
      <w:r w:rsidR="00830D17">
        <w:t xml:space="preserve"> </w:t>
      </w:r>
      <w:r>
        <w:t>The key reasons for discontinuing the SMVU are</w:t>
      </w:r>
      <w:r w:rsidRPr="007A7E69">
        <w:t xml:space="preserve"> an ABS decision to focus on </w:t>
      </w:r>
      <w:r w:rsidR="00B31DE0">
        <w:t>its</w:t>
      </w:r>
      <w:r w:rsidR="00B31DE0" w:rsidRPr="007A7E69">
        <w:t xml:space="preserve"> </w:t>
      </w:r>
      <w:r w:rsidRPr="007A7E69">
        <w:t>core business of the National Accounts and the Census, as well as the $2.6</w:t>
      </w:r>
      <w:r w:rsidR="00B25452">
        <w:t xml:space="preserve"> </w:t>
      </w:r>
      <w:r w:rsidR="00B25452" w:rsidRPr="00BA5C03">
        <w:rPr>
          <w:szCs w:val="22"/>
        </w:rPr>
        <w:t>m</w:t>
      </w:r>
      <w:r w:rsidR="00B25452">
        <w:rPr>
          <w:szCs w:val="22"/>
        </w:rPr>
        <w:t>illion</w:t>
      </w:r>
      <w:r w:rsidR="00B25452" w:rsidRPr="00BA5C03">
        <w:rPr>
          <w:szCs w:val="22"/>
        </w:rPr>
        <w:t xml:space="preserve"> </w:t>
      </w:r>
      <w:r w:rsidRPr="007A7E69">
        <w:t>cost of undertaking the survey every two years.</w:t>
      </w:r>
    </w:p>
    <w:p w14:paraId="75040AD2" w14:textId="298A9BF9" w:rsidR="007932A1" w:rsidRDefault="007932A1" w:rsidP="007932A1">
      <w:pPr>
        <w:pStyle w:val="BodyCopy"/>
      </w:pPr>
      <w:r>
        <w:t xml:space="preserve">The ABS also plans to discontinue the annual Motor Vehicle Census but not before it can be proven that the </w:t>
      </w:r>
      <w:r w:rsidR="005D28A6">
        <w:t>National Exchange of Vehicle and Driver Information System (</w:t>
      </w:r>
      <w:r>
        <w:t>NEVDIS</w:t>
      </w:r>
      <w:r w:rsidR="005D28A6">
        <w:t>)</w:t>
      </w:r>
      <w:r>
        <w:t xml:space="preserve"> system can effectively provide an equivalent collection of the nation’s motor vehicle population.</w:t>
      </w:r>
      <w:r w:rsidR="00830D17">
        <w:t xml:space="preserve"> </w:t>
      </w:r>
      <w:r>
        <w:t xml:space="preserve">The </w:t>
      </w:r>
      <w:r w:rsidR="00724514">
        <w:t>Motor Vehicle Census</w:t>
      </w:r>
      <w:r>
        <w:t xml:space="preserve">, or a NEVDIS equivalent, is essential for the continuation of the SMVU (or an equivalent) </w:t>
      </w:r>
      <w:r w:rsidR="00784EE6">
        <w:t xml:space="preserve">because </w:t>
      </w:r>
      <w:r>
        <w:t>it provides the national vehicle population totals by vehicle type for any survey outcomes to be projected up to the national level.</w:t>
      </w:r>
    </w:p>
    <w:p w14:paraId="3720116D" w14:textId="11566BA1" w:rsidR="007932A1" w:rsidRDefault="007932A1">
      <w:pPr>
        <w:pStyle w:val="Heading3"/>
      </w:pPr>
      <w:bookmarkStart w:id="166" w:name="_Toc86158420"/>
      <w:r>
        <w:lastRenderedPageBreak/>
        <w:t xml:space="preserve">Description of the </w:t>
      </w:r>
      <w:r w:rsidR="002244B2">
        <w:t>Survey of Motor Vehicle Use</w:t>
      </w:r>
      <w:bookmarkEnd w:id="166"/>
    </w:p>
    <w:p w14:paraId="6449553E" w14:textId="4E34A928" w:rsidR="007932A1" w:rsidRPr="002B3467" w:rsidRDefault="007932A1" w:rsidP="007932A1">
      <w:pPr>
        <w:pStyle w:val="BodyCopy"/>
      </w:pPr>
      <w:r>
        <w:t>Every</w:t>
      </w:r>
      <w:r w:rsidRPr="002B3467">
        <w:t xml:space="preserve"> two years</w:t>
      </w:r>
      <w:r>
        <w:t>, t</w:t>
      </w:r>
      <w:r w:rsidRPr="009C22A4">
        <w:t>he ABS</w:t>
      </w:r>
      <w:r w:rsidRPr="002B3467">
        <w:t xml:space="preserve"> conducts the SMVU based on a random sample of 16,000 vehicle owners using either </w:t>
      </w:r>
      <w:r w:rsidRPr="009C22A4">
        <w:t>online</w:t>
      </w:r>
      <w:r w:rsidRPr="002B3467">
        <w:t xml:space="preserve"> or hard copy surveys. It is the only survey of national road use by vehicle type or vehicle combination</w:t>
      </w:r>
      <w:r>
        <w:t>, with data provided</w:t>
      </w:r>
      <w:r w:rsidRPr="002B3467">
        <w:t xml:space="preserve"> by </w:t>
      </w:r>
      <w:r w:rsidR="002244B2">
        <w:t>s</w:t>
      </w:r>
      <w:r w:rsidRPr="002B3467">
        <w:t>tate/</w:t>
      </w:r>
      <w:r w:rsidR="002244B2">
        <w:t>t</w:t>
      </w:r>
      <w:r w:rsidRPr="002B3467">
        <w:t xml:space="preserve">erritory across urban and rural areas and </w:t>
      </w:r>
      <w:r w:rsidRPr="009C22A4">
        <w:t>measure</w:t>
      </w:r>
      <w:r>
        <w:t>s</w:t>
      </w:r>
      <w:r w:rsidRPr="002B3467">
        <w:t xml:space="preserve"> of interstate travel. The vehicle population frame for the SMVU is provided by the Motor Vehicle Census.</w:t>
      </w:r>
    </w:p>
    <w:p w14:paraId="6C5812C6" w14:textId="66B734DC" w:rsidR="007932A1" w:rsidRPr="002B3467" w:rsidRDefault="007932A1" w:rsidP="007932A1">
      <w:pPr>
        <w:pStyle w:val="BodyCopy"/>
      </w:pPr>
      <w:r w:rsidRPr="002B3467">
        <w:t xml:space="preserve">This survey is conducted </w:t>
      </w:r>
      <w:r w:rsidR="002244B2">
        <w:t>over one</w:t>
      </w:r>
      <w:r w:rsidRPr="002B3467">
        <w:t xml:space="preserve"> financial year in three periods</w:t>
      </w:r>
      <w:r w:rsidR="002244B2">
        <w:t>:</w:t>
      </w:r>
      <w:r w:rsidRPr="002B3467">
        <w:t xml:space="preserve"> </w:t>
      </w:r>
      <w:r w:rsidRPr="009C22A4">
        <w:t>Jul</w:t>
      </w:r>
      <w:r>
        <w:t>y</w:t>
      </w:r>
      <w:r w:rsidR="00C02680">
        <w:t>–</w:t>
      </w:r>
      <w:r w:rsidRPr="009C22A4">
        <w:t>Oct</w:t>
      </w:r>
      <w:r>
        <w:t>ober</w:t>
      </w:r>
      <w:r w:rsidRPr="009C22A4">
        <w:t>, Nov</w:t>
      </w:r>
      <w:r>
        <w:t>ember</w:t>
      </w:r>
      <w:r w:rsidR="00C02680">
        <w:t>–</w:t>
      </w:r>
      <w:r w:rsidRPr="009C22A4">
        <w:t>Feb</w:t>
      </w:r>
      <w:r>
        <w:t>ruary</w:t>
      </w:r>
      <w:r w:rsidRPr="002B3467">
        <w:t xml:space="preserve"> and </w:t>
      </w:r>
      <w:r w:rsidRPr="009C22A4">
        <w:t>Mar</w:t>
      </w:r>
      <w:r>
        <w:t>ch</w:t>
      </w:r>
      <w:r w:rsidR="00C02680">
        <w:t>–</w:t>
      </w:r>
      <w:r w:rsidRPr="009C22A4">
        <w:t>Jun</w:t>
      </w:r>
      <w:r>
        <w:t>e</w:t>
      </w:r>
      <w:r w:rsidRPr="002B3467">
        <w:t>.</w:t>
      </w:r>
      <w:r w:rsidR="00830D17">
        <w:t xml:space="preserve"> </w:t>
      </w:r>
    </w:p>
    <w:p w14:paraId="09D51B50" w14:textId="53C4CC80" w:rsidR="007932A1" w:rsidRDefault="007932A1" w:rsidP="007932A1">
      <w:pPr>
        <w:pStyle w:val="BodyCopy"/>
      </w:pPr>
      <w:r w:rsidRPr="002B3467">
        <w:t xml:space="preserve">The sample of 16,000 </w:t>
      </w:r>
      <w:r>
        <w:t xml:space="preserve">vehicle owners </w:t>
      </w:r>
      <w:r w:rsidRPr="002B3467">
        <w:t xml:space="preserve">is allocated into one of these three </w:t>
      </w:r>
      <w:r w:rsidRPr="009C22A4">
        <w:t>period</w:t>
      </w:r>
      <w:r>
        <w:t>s,</w:t>
      </w:r>
      <w:r w:rsidRPr="002B3467">
        <w:t xml:space="preserve"> with the results annualised. Survey questionnaires are provided at the start and end of each period so that </w:t>
      </w:r>
      <w:r>
        <w:t xml:space="preserve">data such as </w:t>
      </w:r>
      <w:r w:rsidRPr="002B3467">
        <w:t>travel start/end odometer readings, fuel use, types of travel and average loads can be determined.</w:t>
      </w:r>
      <w:r w:rsidR="00830D17">
        <w:t xml:space="preserve"> </w:t>
      </w:r>
      <w:r w:rsidRPr="002B3467">
        <w:t xml:space="preserve">The </w:t>
      </w:r>
      <w:r w:rsidR="00CD702D">
        <w:t xml:space="preserve">2020 SMVU </w:t>
      </w:r>
      <w:r w:rsidRPr="002B3467">
        <w:t xml:space="preserve">states that the survey </w:t>
      </w:r>
      <w:r w:rsidR="00CD702D">
        <w:t xml:space="preserve">sample </w:t>
      </w:r>
      <w:r w:rsidRPr="002B3467">
        <w:t>consisted of passenger vehicles (1</w:t>
      </w:r>
      <w:r w:rsidR="00CD702D">
        <w:t>8.0</w:t>
      </w:r>
      <w:r w:rsidRPr="002B3467">
        <w:t xml:space="preserve"> per cent), motor cycles (5.</w:t>
      </w:r>
      <w:r w:rsidR="00CD702D">
        <w:t>0</w:t>
      </w:r>
      <w:r>
        <w:t> </w:t>
      </w:r>
      <w:r w:rsidRPr="002B3467">
        <w:t>per cent), freight vehicles (including light commercial</w:t>
      </w:r>
      <w:r>
        <w:t xml:space="preserve">, </w:t>
      </w:r>
      <w:r w:rsidRPr="002B3467">
        <w:t>65.</w:t>
      </w:r>
      <w:r w:rsidR="00CD702D">
        <w:t>9</w:t>
      </w:r>
      <w:r w:rsidRPr="002B3467">
        <w:t xml:space="preserve"> per cent), buses (8.</w:t>
      </w:r>
      <w:r w:rsidR="00CD702D">
        <w:t>1</w:t>
      </w:r>
      <w:r w:rsidRPr="002B3467">
        <w:t xml:space="preserve"> per cent) and non-freight carrying vehicles (3.</w:t>
      </w:r>
      <w:r w:rsidR="00CD702D">
        <w:t>0</w:t>
      </w:r>
      <w:r w:rsidRPr="002B3467">
        <w:t xml:space="preserve"> per cent). The sample size chosen gives a suitable level of reliability for estimates of total distance travelled and tonne</w:t>
      </w:r>
      <w:r w:rsidR="002244B2">
        <w:t xml:space="preserve"> </w:t>
      </w:r>
      <w:r w:rsidRPr="002B3467">
        <w:t xml:space="preserve">kilometres travelled for each state/territory of registration by type of vehicle category over the survey period. </w:t>
      </w:r>
    </w:p>
    <w:p w14:paraId="4F857665" w14:textId="3847A91E" w:rsidR="007932A1" w:rsidRPr="002B3467" w:rsidRDefault="007932A1" w:rsidP="007932A1">
      <w:pPr>
        <w:pStyle w:val="BodyCopy"/>
      </w:pPr>
      <w:r w:rsidRPr="002B3467">
        <w:t xml:space="preserve">At </w:t>
      </w:r>
      <w:r w:rsidR="002244B2">
        <w:t>the</w:t>
      </w:r>
      <w:r w:rsidRPr="002B3467">
        <w:t xml:space="preserve"> national level</w:t>
      </w:r>
      <w:r>
        <w:t>,</w:t>
      </w:r>
      <w:r w:rsidRPr="002B3467">
        <w:t xml:space="preserve"> relative standard error (RSE)</w:t>
      </w:r>
      <w:r>
        <w:rPr>
          <w:rStyle w:val="FootnoteReference"/>
        </w:rPr>
        <w:footnoteReference w:id="12"/>
      </w:r>
      <w:r>
        <w:t xml:space="preserve"> </w:t>
      </w:r>
      <w:r w:rsidRPr="002B3467">
        <w:t>results of less than 2</w:t>
      </w:r>
      <w:r>
        <w:t xml:space="preserve"> per cent</w:t>
      </w:r>
      <w:r w:rsidRPr="002B3467">
        <w:t xml:space="preserve"> are achieved with the 20</w:t>
      </w:r>
      <w:r w:rsidR="00CD702D">
        <w:t>20</w:t>
      </w:r>
      <w:r w:rsidRPr="002B3467">
        <w:t xml:space="preserve"> SMVU having aggregate RSE results of 1.</w:t>
      </w:r>
      <w:r w:rsidR="00CD702D">
        <w:t>9</w:t>
      </w:r>
      <w:r w:rsidRPr="002B3467">
        <w:t xml:space="preserve"> per cent for</w:t>
      </w:r>
      <w:r w:rsidR="00B25452">
        <w:t xml:space="preserve"> VKT</w:t>
      </w:r>
      <w:r w:rsidRPr="002B3467">
        <w:t>, 0.</w:t>
      </w:r>
      <w:r w:rsidR="00CD702D">
        <w:t>69</w:t>
      </w:r>
      <w:r w:rsidRPr="002B3467">
        <w:t xml:space="preserve"> per cent for vehicle in use numbers, 1.</w:t>
      </w:r>
      <w:r w:rsidR="00CD702D">
        <w:t>7</w:t>
      </w:r>
      <w:r w:rsidRPr="002B3467">
        <w:t xml:space="preserve"> per cent for fuel use and 1.</w:t>
      </w:r>
      <w:r w:rsidR="00CD702D">
        <w:t>81</w:t>
      </w:r>
      <w:r w:rsidRPr="002B3467">
        <w:t xml:space="preserve"> per cent for average tonne</w:t>
      </w:r>
      <w:r w:rsidR="002244B2">
        <w:t xml:space="preserve"> </w:t>
      </w:r>
      <w:r w:rsidRPr="002B3467">
        <w:t>kilometres.</w:t>
      </w:r>
    </w:p>
    <w:p w14:paraId="4E1BF295" w14:textId="75D74916" w:rsidR="007932A1" w:rsidRDefault="007932A1" w:rsidP="007932A1">
      <w:pPr>
        <w:pStyle w:val="BodyCopy"/>
      </w:pPr>
      <w:r w:rsidRPr="002B3467">
        <w:t>The SMVU provides disaggregated vehicle data to the NTC</w:t>
      </w:r>
      <w:r w:rsidR="002244B2">
        <w:t>,</w:t>
      </w:r>
      <w:r w:rsidRPr="002B3467">
        <w:t xml:space="preserve"> with results for 40 </w:t>
      </w:r>
      <w:r w:rsidRPr="009C22A4">
        <w:t>vehicle</w:t>
      </w:r>
      <w:r w:rsidRPr="002B3467">
        <w:t xml:space="preserve"> classes</w:t>
      </w:r>
      <w:r>
        <w:t>:</w:t>
      </w:r>
      <w:r w:rsidRPr="002B3467">
        <w:t xml:space="preserve"> eight light vehicle classes and 32 heavy vehicle and vehicle combination classes</w:t>
      </w:r>
      <w:r>
        <w:t>.</w:t>
      </w:r>
    </w:p>
    <w:p w14:paraId="21361B91" w14:textId="54E9E3B3" w:rsidR="007932A1" w:rsidRDefault="007932A1" w:rsidP="007932A1">
      <w:pPr>
        <w:pStyle w:val="Heading3"/>
      </w:pPr>
      <w:bookmarkStart w:id="167" w:name="_Toc86158421"/>
      <w:r>
        <w:t xml:space="preserve">Essential data provided by the </w:t>
      </w:r>
      <w:r w:rsidR="002244B2">
        <w:t>Survey of Motor Vehicle Use</w:t>
      </w:r>
      <w:bookmarkEnd w:id="167"/>
    </w:p>
    <w:p w14:paraId="33CC508F" w14:textId="1DAECB25" w:rsidR="007932A1" w:rsidRDefault="007932A1" w:rsidP="007932A1">
      <w:pPr>
        <w:pStyle w:val="BodyCopy"/>
        <w:rPr>
          <w:rFonts w:ascii="Calibri" w:hAnsi="Calibri"/>
        </w:rPr>
      </w:pPr>
      <w:r>
        <w:t>The following three datasets that only the SMVU provides are each essential for running and updating the PAYGO model:</w:t>
      </w:r>
    </w:p>
    <w:p w14:paraId="403B5158" w14:textId="36E64915" w:rsidR="007932A1" w:rsidRDefault="002244B2" w:rsidP="00A329DF">
      <w:pPr>
        <w:pStyle w:val="List-bulletlvl1"/>
      </w:pPr>
      <w:r>
        <w:t>t</w:t>
      </w:r>
      <w:r w:rsidR="007932A1">
        <w:t>otal distance travelled (VKT) by area of operation (urban and rural)</w:t>
      </w:r>
      <w:r w:rsidR="002A4444">
        <w:t>,</w:t>
      </w:r>
      <w:r w:rsidR="007932A1">
        <w:t xml:space="preserve"> by type of vehicle and by state/territory of registration</w:t>
      </w:r>
    </w:p>
    <w:p w14:paraId="3EAC7D2D" w14:textId="4931F886" w:rsidR="007932A1" w:rsidRDefault="002244B2" w:rsidP="00A329DF">
      <w:pPr>
        <w:pStyle w:val="List-bulletlvl1"/>
      </w:pPr>
      <w:r>
        <w:t>t</w:t>
      </w:r>
      <w:r w:rsidR="007932A1">
        <w:t>otal fuel consumed by area of operation (urban and rural)</w:t>
      </w:r>
      <w:r w:rsidR="002A4444">
        <w:t>,</w:t>
      </w:r>
      <w:r w:rsidR="007932A1">
        <w:t xml:space="preserve"> by type of vehicle and by state/territory of registration</w:t>
      </w:r>
    </w:p>
    <w:p w14:paraId="7A4B09E0" w14:textId="745A975C" w:rsidR="007932A1" w:rsidRDefault="002A4444" w:rsidP="00A329DF">
      <w:pPr>
        <w:pStyle w:val="List-bulletlvl1"/>
      </w:pPr>
      <w:r>
        <w:t>GTK</w:t>
      </w:r>
      <w:r w:rsidR="007932A1">
        <w:t xml:space="preserve"> by area of operation (urban and rural)</w:t>
      </w:r>
      <w:r>
        <w:t>,</w:t>
      </w:r>
      <w:r w:rsidR="007932A1">
        <w:t xml:space="preserve"> by type of vehicle and by state/territory of registration. Although labelled </w:t>
      </w:r>
      <w:r>
        <w:t>GTK</w:t>
      </w:r>
      <w:r w:rsidR="007932A1">
        <w:t>, this dataset measures average tonne</w:t>
      </w:r>
      <w:r w:rsidR="002C190B">
        <w:t xml:space="preserve"> </w:t>
      </w:r>
      <w:r w:rsidR="007932A1">
        <w:t>kilometres and takes into account both loaded and unloaded travel.</w:t>
      </w:r>
    </w:p>
    <w:p w14:paraId="2BC6D11C" w14:textId="77777777" w:rsidR="007932A1" w:rsidRDefault="007932A1" w:rsidP="007932A1">
      <w:pPr>
        <w:pStyle w:val="BodyCopy"/>
      </w:pPr>
      <w:bookmarkStart w:id="168" w:name="_Hlk64905638"/>
      <w:r>
        <w:lastRenderedPageBreak/>
        <w:t>Discontinuing the SMVU after 2020 means the PAYGO model could become inoperable unless an alternative approach to source the essential usage data is found.</w:t>
      </w:r>
    </w:p>
    <w:bookmarkEnd w:id="168"/>
    <w:p w14:paraId="0550E708" w14:textId="77777777" w:rsidR="007932A1" w:rsidRDefault="007932A1" w:rsidP="007932A1">
      <w:pPr>
        <w:pStyle w:val="BodyCopy"/>
      </w:pPr>
      <w:r>
        <w:t>In addition to using the data outlined above to operate the PAYGO model, the NTC relies on other SMVU data for analysis:</w:t>
      </w:r>
    </w:p>
    <w:p w14:paraId="0BBBD8CE" w14:textId="56E6190D" w:rsidR="007932A1" w:rsidRDefault="007932A1" w:rsidP="007932A1">
      <w:pPr>
        <w:pStyle w:val="List-bulletlvl1"/>
      </w:pPr>
      <w:r>
        <w:t xml:space="preserve">Three fuel-related datasets show total distance travelled, number of vehicles and </w:t>
      </w:r>
      <w:r w:rsidRPr="00EF0686">
        <w:t>type of fuel</w:t>
      </w:r>
      <w:r>
        <w:t xml:space="preserve"> consumed by vehicle type and state of registration.</w:t>
      </w:r>
    </w:p>
    <w:p w14:paraId="40790178" w14:textId="43C41C6C" w:rsidR="007932A1" w:rsidRDefault="007932A1" w:rsidP="007932A1">
      <w:pPr>
        <w:pStyle w:val="List-bulletlvl1"/>
      </w:pPr>
      <w:r>
        <w:t xml:space="preserve">The GVM/GCM dataset is used to assess the distribution of GVM/GCM by vehicle type compared </w:t>
      </w:r>
      <w:r w:rsidR="00485614">
        <w:t xml:space="preserve">with </w:t>
      </w:r>
      <w:r>
        <w:t>average values used in the PAYGO model.</w:t>
      </w:r>
    </w:p>
    <w:p w14:paraId="7D3A3FFE" w14:textId="39B45C48" w:rsidR="007932A1" w:rsidRDefault="007932A1" w:rsidP="007932A1">
      <w:pPr>
        <w:pStyle w:val="List-bulletlvl1"/>
      </w:pPr>
      <w:r w:rsidDel="00253810">
        <w:t>The</w:t>
      </w:r>
      <w:r>
        <w:t xml:space="preserve"> two distance travelled distribution datasets show the distribution of total distance travelled and number of vehicles by type of vehicle and by state of registration.</w:t>
      </w:r>
    </w:p>
    <w:p w14:paraId="3EB5E697" w14:textId="75191EDD" w:rsidR="007932A1" w:rsidRDefault="007932A1" w:rsidP="007932A1">
      <w:pPr>
        <w:pStyle w:val="List-bulletlvl1"/>
      </w:pPr>
      <w:r>
        <w:t xml:space="preserve">Two load level/reason datasets show a breakdown of loaded and unloaded travel by distance travelled and number of vehicles by vehicle type and state of registration. </w:t>
      </w:r>
    </w:p>
    <w:p w14:paraId="635BF74F" w14:textId="4B0D79BA" w:rsidR="007932A1" w:rsidRDefault="007932A1" w:rsidP="007932A1">
      <w:pPr>
        <w:pStyle w:val="List-bulletlvl1"/>
      </w:pPr>
      <w:r>
        <w:t>The by</w:t>
      </w:r>
      <w:r w:rsidR="002244B2">
        <w:t>-</w:t>
      </w:r>
      <w:r>
        <w:t>business type dataset show</w:t>
      </w:r>
      <w:r w:rsidR="002244B2">
        <w:t>s</w:t>
      </w:r>
      <w:r>
        <w:t xml:space="preserve"> a breakdown of fleet use between hire and reward and own business ancillary by vehicle type and state of registration</w:t>
      </w:r>
      <w:r w:rsidR="002244B2">
        <w:t>.</w:t>
      </w:r>
    </w:p>
    <w:p w14:paraId="5A2B8457" w14:textId="77777777" w:rsidR="007932A1" w:rsidRDefault="007932A1" w:rsidP="007932A1">
      <w:pPr>
        <w:pStyle w:val="BodyCopy"/>
      </w:pPr>
      <w:r>
        <w:t xml:space="preserve">The vehicle population frame </w:t>
      </w:r>
      <w:r w:rsidRPr="00A81463">
        <w:t>used</w:t>
      </w:r>
      <w:r>
        <w:t xml:space="preserve"> by the NTC is collected directly from state/territory road authorities for the PAYGO model.</w:t>
      </w:r>
    </w:p>
    <w:p w14:paraId="5280D3FF" w14:textId="53FE1C27" w:rsidR="007932A1" w:rsidRDefault="007932A1" w:rsidP="007932A1">
      <w:pPr>
        <w:pStyle w:val="BodyCopy"/>
      </w:pPr>
      <w:r>
        <w:t>In the long run, it is possible that the information required to operate PAYGO or a similar methodology for setting heavy vehicle charges could be provided through telematics, possibly through a future electronic charging mechanism. It is unclear when or if this will become feasible. In the interim, the data currently produced by the SMVU will be needed to operate PAYGO or any similar pricing model based on forward</w:t>
      </w:r>
      <w:r w:rsidR="002244B2">
        <w:t>-</w:t>
      </w:r>
      <w:r>
        <w:t>looking costs that is currently being considered under HVRR.</w:t>
      </w:r>
      <w:r w:rsidR="00830D17">
        <w:t xml:space="preserve"> </w:t>
      </w:r>
    </w:p>
    <w:p w14:paraId="3351C809" w14:textId="77777777" w:rsidR="007932A1" w:rsidRDefault="007932A1" w:rsidP="007932A1">
      <w:pPr>
        <w:pStyle w:val="Heading3"/>
      </w:pPr>
      <w:bookmarkStart w:id="169" w:name="_Toc86158422"/>
      <w:r>
        <w:t>Possible interim approaches</w:t>
      </w:r>
      <w:bookmarkEnd w:id="169"/>
    </w:p>
    <w:p w14:paraId="6373D869" w14:textId="71749E2A" w:rsidR="007932A1" w:rsidRDefault="007932A1" w:rsidP="007932A1">
      <w:pPr>
        <w:pStyle w:val="BodyCopy"/>
      </w:pPr>
      <w:r>
        <w:t>Given the SMVU is crucial to the ongoing viability of PAYGO, and also provides important data for analytical purposes, it is likely that a short</w:t>
      </w:r>
      <w:r w:rsidR="003C1E26">
        <w:t>-</w:t>
      </w:r>
      <w:r>
        <w:t xml:space="preserve">term solution would involve contracting with a private or public organisation other than the ABS </w:t>
      </w:r>
      <w:r w:rsidRPr="00134068">
        <w:t>to undertake the SMVU or equivalent</w:t>
      </w:r>
      <w:r>
        <w:t xml:space="preserve"> in future, noting that this will require an ongoing source of funding. </w:t>
      </w:r>
    </w:p>
    <w:p w14:paraId="6E42177F" w14:textId="7DB7434D" w:rsidR="007932A1" w:rsidRPr="00BD611C" w:rsidRDefault="007932A1" w:rsidP="007932A1">
      <w:pPr>
        <w:pStyle w:val="BodyCopy"/>
        <w:rPr>
          <w:b/>
          <w:bCs/>
        </w:rPr>
      </w:pPr>
      <w:r>
        <w:t>This approach presents an opportunity to expand or improve the survey to collect additional data that may</w:t>
      </w:r>
      <w:r w:rsidDel="00253810">
        <w:t xml:space="preserve"> </w:t>
      </w:r>
      <w:r>
        <w:t>be useful to governments generally.</w:t>
      </w:r>
      <w:r w:rsidR="00830D17">
        <w:t xml:space="preserve"> </w:t>
      </w:r>
    </w:p>
    <w:p w14:paraId="788C5DCB" w14:textId="44BB0F3C" w:rsidR="007932A1" w:rsidRPr="00B50944" w:rsidRDefault="007932A1" w:rsidP="007932A1">
      <w:pPr>
        <w:pStyle w:val="BodyCopy"/>
      </w:pPr>
      <w:r>
        <w:t xml:space="preserve">There are </w:t>
      </w:r>
      <w:r w:rsidR="003C1E26">
        <w:t>several</w:t>
      </w:r>
      <w:r>
        <w:t xml:space="preserve"> k</w:t>
      </w:r>
      <w:r w:rsidRPr="00134068">
        <w:t>ey</w:t>
      </w:r>
      <w:r w:rsidRPr="00B50944">
        <w:t xml:space="preserve"> </w:t>
      </w:r>
      <w:r w:rsidR="003C1E26">
        <w:t>steps</w:t>
      </w:r>
      <w:r w:rsidR="003C1E26" w:rsidRPr="00B50944">
        <w:t xml:space="preserve"> </w:t>
      </w:r>
      <w:r w:rsidRPr="00B50944">
        <w:t xml:space="preserve">to determine </w:t>
      </w:r>
      <w:r w:rsidR="003C1E26">
        <w:t xml:space="preserve">before </w:t>
      </w:r>
      <w:r>
        <w:t>investigating possible alternate providers:</w:t>
      </w:r>
      <w:r w:rsidRPr="00B50944">
        <w:t xml:space="preserve"> </w:t>
      </w:r>
    </w:p>
    <w:p w14:paraId="3BF71BEC" w14:textId="00BDE210" w:rsidR="007932A1" w:rsidRDefault="007932A1" w:rsidP="007932A1">
      <w:pPr>
        <w:pStyle w:val="List-number"/>
        <w:numPr>
          <w:ilvl w:val="0"/>
          <w:numId w:val="65"/>
        </w:numPr>
      </w:pPr>
      <w:r>
        <w:t>Confirm</w:t>
      </w:r>
      <w:r w:rsidRPr="00253810">
        <w:t xml:space="preserve"> </w:t>
      </w:r>
      <w:r>
        <w:t xml:space="preserve">which </w:t>
      </w:r>
      <w:r w:rsidRPr="00253810">
        <w:t>usage data</w:t>
      </w:r>
      <w:r>
        <w:t xml:space="preserve"> would be required by the </w:t>
      </w:r>
      <w:r w:rsidRPr="00253810">
        <w:t>NTC</w:t>
      </w:r>
      <w:r>
        <w:t xml:space="preserve"> (to operate PAYGO and conduct analysis) and other transport agencies and specify confidence levels required</w:t>
      </w:r>
      <w:r w:rsidRPr="00253810">
        <w:t>.</w:t>
      </w:r>
      <w:r>
        <w:t xml:space="preserve"> This step would also include approaching other key users of this dataset to obtain their input and support.</w:t>
      </w:r>
    </w:p>
    <w:p w14:paraId="11F70B39" w14:textId="77777777" w:rsidR="007932A1" w:rsidRDefault="007932A1" w:rsidP="007932A1">
      <w:pPr>
        <w:pStyle w:val="List-number"/>
        <w:numPr>
          <w:ilvl w:val="0"/>
          <w:numId w:val="65"/>
        </w:numPr>
      </w:pPr>
      <w:r>
        <w:t xml:space="preserve">Establish whether any usable road usage data is being collected currently by other organisations and could possibly be used instead of survey data. </w:t>
      </w:r>
    </w:p>
    <w:p w14:paraId="4D763F0E" w14:textId="0DF30F78" w:rsidR="007932A1" w:rsidRDefault="007932A1" w:rsidP="007932A1">
      <w:pPr>
        <w:pStyle w:val="List-number"/>
        <w:numPr>
          <w:ilvl w:val="0"/>
          <w:numId w:val="65"/>
        </w:numPr>
      </w:pPr>
      <w:r>
        <w:t>Design guidelines as to what will be required in an alternate SMVU data collection to maintain continuity with the former SMVU across the key usage data fields that are used in PAYGO.</w:t>
      </w:r>
    </w:p>
    <w:p w14:paraId="48C7A10B" w14:textId="522FE89D" w:rsidR="007932A1" w:rsidRDefault="007932A1" w:rsidP="007932A1">
      <w:pPr>
        <w:pStyle w:val="List-number"/>
      </w:pPr>
      <w:r w:rsidRPr="0068337C">
        <w:t>Specify how often updated data will be required. It will take time to establish an alternate collection and at this stage a collection covering the 2021</w:t>
      </w:r>
      <w:r w:rsidR="00272BD6">
        <w:t>–2</w:t>
      </w:r>
      <w:r w:rsidRPr="0068337C">
        <w:t>2 year</w:t>
      </w:r>
      <w:r>
        <w:t xml:space="preserve"> would be required to </w:t>
      </w:r>
      <w:r>
        <w:lastRenderedPageBreak/>
        <w:t>maintain continuity</w:t>
      </w:r>
      <w:r w:rsidRPr="0068337C">
        <w:t xml:space="preserve">. However, it </w:t>
      </w:r>
      <w:r>
        <w:t xml:space="preserve">may be necessary to delay this to have time to confirm funding and </w:t>
      </w:r>
      <w:r w:rsidR="003C1E26">
        <w:t xml:space="preserve">to </w:t>
      </w:r>
      <w:r>
        <w:t>s</w:t>
      </w:r>
      <w:r w:rsidRPr="0068337C">
        <w:t xml:space="preserve">et up an alternate data collection </w:t>
      </w:r>
      <w:r>
        <w:t>process.</w:t>
      </w:r>
      <w:r w:rsidR="00830D17">
        <w:t xml:space="preserve"> </w:t>
      </w:r>
    </w:p>
    <w:p w14:paraId="2D79FA97" w14:textId="4025951A" w:rsidR="007932A1" w:rsidRDefault="007932A1" w:rsidP="007932A1">
      <w:pPr>
        <w:pStyle w:val="List-number"/>
      </w:pPr>
      <w:r>
        <w:t>Participate and keep up to date with</w:t>
      </w:r>
      <w:r w:rsidR="00867653">
        <w:t xml:space="preserve"> the</w:t>
      </w:r>
      <w:r>
        <w:t xml:space="preserve"> Commonwealth</w:t>
      </w:r>
      <w:r w:rsidR="00867653">
        <w:t xml:space="preserve"> </w:t>
      </w:r>
      <w:r w:rsidR="002C190B">
        <w:t>G</w:t>
      </w:r>
      <w:r w:rsidR="00867653">
        <w:t>overnment’s</w:t>
      </w:r>
      <w:r>
        <w:t xml:space="preserve"> plans to establish a substitute for the SMVU. </w:t>
      </w:r>
    </w:p>
    <w:p w14:paraId="3B8F334B" w14:textId="6631A342" w:rsidR="007932A1" w:rsidRDefault="29FDEFFC" w:rsidP="00A329DF">
      <w:pPr>
        <w:pStyle w:val="List-bulletlvl2"/>
      </w:pPr>
      <w:r>
        <w:t>BITRE</w:t>
      </w:r>
      <w:r w:rsidR="002C190B">
        <w:t xml:space="preserve"> </w:t>
      </w:r>
      <w:r w:rsidR="29D9CFB1">
        <w:t>obtained</w:t>
      </w:r>
      <w:r w:rsidR="007932A1">
        <w:t xml:space="preserve"> agreement with Austroads to run a NEVDIS count at the same time as the last ABS Motor Vehicle Census survey</w:t>
      </w:r>
      <w:r w:rsidR="41DB59D8">
        <w:t>.</w:t>
      </w:r>
      <w:r w:rsidR="007932A1">
        <w:t xml:space="preserve"> This enable</w:t>
      </w:r>
      <w:r w:rsidR="6E8F34D5">
        <w:t>d</w:t>
      </w:r>
      <w:r w:rsidR="007932A1">
        <w:t xml:space="preserve"> a comparison </w:t>
      </w:r>
      <w:r w:rsidR="000E0FCF">
        <w:t xml:space="preserve">that </w:t>
      </w:r>
      <w:r w:rsidR="14612A81">
        <w:t>has</w:t>
      </w:r>
      <w:r w:rsidR="007932A1">
        <w:t xml:space="preserve"> determine</w:t>
      </w:r>
      <w:r w:rsidR="72E8EB5D">
        <w:t>d</w:t>
      </w:r>
      <w:r w:rsidR="007932A1">
        <w:t xml:space="preserve"> </w:t>
      </w:r>
      <w:r w:rsidR="31F40248">
        <w:t>that</w:t>
      </w:r>
      <w:r w:rsidR="00124CB8">
        <w:t xml:space="preserve"> </w:t>
      </w:r>
      <w:r w:rsidR="007932A1">
        <w:t xml:space="preserve">NEVDIS </w:t>
      </w:r>
      <w:r w:rsidR="00B10A0B">
        <w:t xml:space="preserve">could </w:t>
      </w:r>
      <w:r w:rsidR="007932A1">
        <w:t>be an alternate population frame.</w:t>
      </w:r>
    </w:p>
    <w:p w14:paraId="7FAFA62C" w14:textId="16FC58D3" w:rsidR="007932A1" w:rsidRDefault="007932A1" w:rsidP="00A329DF">
      <w:pPr>
        <w:pStyle w:val="List-bulletlvl2"/>
      </w:pPr>
      <w:r>
        <w:t xml:space="preserve">NEVDIS </w:t>
      </w:r>
      <w:r w:rsidR="17A365F6">
        <w:t>in future</w:t>
      </w:r>
      <w:r>
        <w:t xml:space="preserve"> will provide the same data to generate current Motor Vehicle Census table builder outputs down to </w:t>
      </w:r>
      <w:r w:rsidR="00B10A0B">
        <w:t>the</w:t>
      </w:r>
      <w:r>
        <w:t xml:space="preserve"> postcode level.</w:t>
      </w:r>
    </w:p>
    <w:p w14:paraId="1086F5B3" w14:textId="7C3EEF00" w:rsidR="00B42DE7" w:rsidRPr="00B42DE7" w:rsidRDefault="007932A1" w:rsidP="00B42DE7">
      <w:pPr>
        <w:pStyle w:val="List-bulletlvl2"/>
      </w:pPr>
      <w:r>
        <w:t xml:space="preserve">However, this would not provide usage data such as VKT, fuel use and </w:t>
      </w:r>
      <w:r w:rsidR="00B10A0B">
        <w:t>GTK</w:t>
      </w:r>
      <w:r>
        <w:t>.</w:t>
      </w:r>
    </w:p>
    <w:p w14:paraId="0F774FD7" w14:textId="54426F47" w:rsidR="2C15311C" w:rsidRDefault="6C1A0DB1" w:rsidP="00B662E9">
      <w:pPr>
        <w:pStyle w:val="List-bulletlvl2"/>
      </w:pPr>
      <w:r>
        <w:t xml:space="preserve">BITRE </w:t>
      </w:r>
      <w:r w:rsidR="53ACE69D">
        <w:t xml:space="preserve">is also in the process of finalising a tender to </w:t>
      </w:r>
      <w:r w:rsidR="00894207">
        <w:t>explore</w:t>
      </w:r>
      <w:r w:rsidR="53ACE69D">
        <w:t xml:space="preserve"> the costs and feasibility of </w:t>
      </w:r>
      <w:r w:rsidR="0021CE11">
        <w:t xml:space="preserve">producing a replacement SMVU to be reported </w:t>
      </w:r>
      <w:r w:rsidR="5E2D81E7">
        <w:t>on early in 2022</w:t>
      </w:r>
      <w:r w:rsidR="00124CB8">
        <w:t>.</w:t>
      </w:r>
    </w:p>
    <w:p w14:paraId="407617AC" w14:textId="2B39113C" w:rsidR="007932A1" w:rsidRDefault="007932A1" w:rsidP="007932A1">
      <w:pPr>
        <w:pStyle w:val="List-number"/>
      </w:pPr>
      <w:r>
        <w:t>Determine a source of funding.</w:t>
      </w:r>
      <w:r w:rsidR="00830D17">
        <w:t xml:space="preserve"> </w:t>
      </w:r>
    </w:p>
    <w:p w14:paraId="0D76E84C" w14:textId="77777777" w:rsidR="007932A1" w:rsidRDefault="007932A1" w:rsidP="007932A1">
      <w:pPr>
        <w:pStyle w:val="List-number"/>
      </w:pPr>
      <w:r>
        <w:t>Establish what governance and legal provisions will be required for this data collection</w:t>
      </w:r>
      <w:r w:rsidDel="00253810">
        <w:t xml:space="preserve"> </w:t>
      </w:r>
      <w:r>
        <w:t xml:space="preserve">relating to privacy and confidentiality. </w:t>
      </w:r>
    </w:p>
    <w:p w14:paraId="25BA51AD" w14:textId="77777777" w:rsidR="007932A1" w:rsidRDefault="007932A1" w:rsidP="007932A1">
      <w:pPr>
        <w:pStyle w:val="List-number"/>
      </w:pPr>
      <w:r>
        <w:t xml:space="preserve">Establish how the outputs from this data collection are to be presented and made available. </w:t>
      </w:r>
    </w:p>
    <w:p w14:paraId="77DC17CF" w14:textId="78425CD4" w:rsidR="007932A1" w:rsidRDefault="007932A1" w:rsidP="007932A1">
      <w:pPr>
        <w:pStyle w:val="List-number"/>
      </w:pPr>
      <w:r>
        <w:t xml:space="preserve">Establish a list of potential providers and establish whether contracting for the </w:t>
      </w:r>
      <w:r w:rsidR="003C1E26">
        <w:t xml:space="preserve">required data </w:t>
      </w:r>
      <w:r>
        <w:t>provision is feasible.</w:t>
      </w:r>
    </w:p>
    <w:p w14:paraId="24F017F8" w14:textId="3F32F66E" w:rsidR="00FF3178" w:rsidRPr="00FF3178" w:rsidRDefault="00DA1BDF" w:rsidP="00FF3178">
      <w:pPr>
        <w:pStyle w:val="Heading3"/>
      </w:pPr>
      <w:bookmarkStart w:id="170" w:name="_Toc86158423"/>
      <w:r w:rsidRPr="00DA1BDF">
        <w:t>Summary of submissions</w:t>
      </w:r>
      <w:bookmarkEnd w:id="170"/>
    </w:p>
    <w:p w14:paraId="2124A438" w14:textId="72691E78" w:rsidR="00DA1BDF" w:rsidRPr="00DA1BDF" w:rsidRDefault="2677FB93" w:rsidP="00BD61D2">
      <w:pPr>
        <w:pStyle w:val="BodyCopy"/>
      </w:pPr>
      <w:r>
        <w:t xml:space="preserve">A number of submissions commented on the importance of </w:t>
      </w:r>
      <w:r w:rsidR="47D31745">
        <w:t>maintaining</w:t>
      </w:r>
      <w:r w:rsidR="00D8264C">
        <w:t xml:space="preserve"> a</w:t>
      </w:r>
      <w:r w:rsidR="47D31745">
        <w:t xml:space="preserve"> comprehensive national road use dataset as has been provided in the past by the SMVU.</w:t>
      </w:r>
      <w:r w:rsidR="1ECA3EB1">
        <w:t xml:space="preserve"> For exa</w:t>
      </w:r>
      <w:r w:rsidR="585B2F80">
        <w:t>mple</w:t>
      </w:r>
      <w:r w:rsidR="1CFB16DF">
        <w:t>,</w:t>
      </w:r>
      <w:r w:rsidR="585B2F80">
        <w:t xml:space="preserve"> </w:t>
      </w:r>
      <w:r w:rsidR="3D7A7E08">
        <w:t>Nat</w:t>
      </w:r>
      <w:r w:rsidR="00D8264C">
        <w:t>R</w:t>
      </w:r>
      <w:r w:rsidR="3D7A7E08">
        <w:t>oa</w:t>
      </w:r>
      <w:r w:rsidR="06B3D912">
        <w:t>d</w:t>
      </w:r>
      <w:r w:rsidR="585B2F80">
        <w:t xml:space="preserve"> commented that the NTC and</w:t>
      </w:r>
      <w:r w:rsidR="00D8264C">
        <w:t>/</w:t>
      </w:r>
      <w:r w:rsidR="585B2F80">
        <w:t xml:space="preserve">or government agencies should pay for the </w:t>
      </w:r>
      <w:r w:rsidR="3D7A7E08">
        <w:t>continua</w:t>
      </w:r>
      <w:r w:rsidR="0302FFA4">
        <w:t>ti</w:t>
      </w:r>
      <w:r w:rsidR="3D7A7E08">
        <w:t>on</w:t>
      </w:r>
      <w:r w:rsidR="585B2F80">
        <w:t xml:space="preserve"> of the SMVU and that a r</w:t>
      </w:r>
      <w:r w:rsidR="176D932E">
        <w:t xml:space="preserve">oad use dataset like the SMVU will still be required under </w:t>
      </w:r>
      <w:r w:rsidR="007F649B">
        <w:t>HVRR</w:t>
      </w:r>
      <w:r w:rsidR="176D932E">
        <w:t xml:space="preserve"> under an alternate s</w:t>
      </w:r>
      <w:r w:rsidR="27FD661E">
        <w:t>ystem to PAYGO.</w:t>
      </w:r>
      <w:r w:rsidR="2807B089">
        <w:t xml:space="preserve"> The </w:t>
      </w:r>
      <w:r w:rsidR="00B10A0B">
        <w:t>NHVR</w:t>
      </w:r>
      <w:r w:rsidR="5CE4B186">
        <w:t xml:space="preserve"> also said that the information capture cost of a replacement system should not be passed onto industry or be at minimal cost</w:t>
      </w:r>
      <w:r w:rsidR="43765558">
        <w:t>.</w:t>
      </w:r>
    </w:p>
    <w:p w14:paraId="518A68B8" w14:textId="10D051B5" w:rsidR="007932A1" w:rsidRDefault="007932A1" w:rsidP="007932A1">
      <w:pPr>
        <w:pStyle w:val="Heading3"/>
      </w:pPr>
      <w:bookmarkStart w:id="171" w:name="_Toc86158424"/>
      <w:r>
        <w:t>Conclusion</w:t>
      </w:r>
      <w:r w:rsidR="002F68B0">
        <w:t xml:space="preserve"> and r</w:t>
      </w:r>
      <w:r>
        <w:t>ecommendation</w:t>
      </w:r>
      <w:r w:rsidR="005472CF">
        <w:t>s</w:t>
      </w:r>
      <w:bookmarkEnd w:id="171"/>
    </w:p>
    <w:p w14:paraId="0C43157B" w14:textId="47E57D92" w:rsidR="00174F1E" w:rsidRPr="00174F1E" w:rsidRDefault="205B64B3" w:rsidP="00174F1E">
      <w:pPr>
        <w:pStyle w:val="BodyCopy"/>
      </w:pPr>
      <w:r w:rsidRPr="00357D40">
        <w:t>Ensuring ongoing availability of usage data has been identified as an important issue. The NTC</w:t>
      </w:r>
      <w:r>
        <w:t xml:space="preserve"> </w:t>
      </w:r>
      <w:r w:rsidR="00F64D5D">
        <w:t>will need</w:t>
      </w:r>
      <w:r w:rsidRPr="00357D40">
        <w:t xml:space="preserve"> to </w:t>
      </w:r>
      <w:r w:rsidR="00F64D5D">
        <w:t>find</w:t>
      </w:r>
      <w:r>
        <w:t xml:space="preserve"> </w:t>
      </w:r>
      <w:r w:rsidRPr="00357D40">
        <w:t xml:space="preserve">alternative </w:t>
      </w:r>
      <w:r w:rsidR="00E824E6">
        <w:t xml:space="preserve">data </w:t>
      </w:r>
      <w:r w:rsidRPr="00357D40">
        <w:t>sources</w:t>
      </w:r>
      <w:r>
        <w:t xml:space="preserve"> </w:t>
      </w:r>
      <w:r w:rsidR="00E824E6">
        <w:t>to be able to continue operating the PAYGO model</w:t>
      </w:r>
      <w:r w:rsidRPr="00357D40">
        <w:t xml:space="preserve">. As a first option, </w:t>
      </w:r>
      <w:r w:rsidR="00D8264C">
        <w:t xml:space="preserve">the </w:t>
      </w:r>
      <w:r w:rsidRPr="00357D40">
        <w:t xml:space="preserve">NTC will explore addressing the issue through the current work being undertaken by </w:t>
      </w:r>
      <w:r w:rsidR="494C0069" w:rsidRPr="00357D40">
        <w:t>BITRE.</w:t>
      </w:r>
      <w:r w:rsidR="00C04586">
        <w:t xml:space="preserve"> If that approach looks unlikely to succeed, we will explore alternative options.</w:t>
      </w:r>
      <w:r w:rsidR="009E61AA">
        <w:t xml:space="preserve"> </w:t>
      </w:r>
    </w:p>
    <w:p w14:paraId="07530A7D" w14:textId="575716AD" w:rsidR="00E824E6" w:rsidRDefault="00E824E6" w:rsidP="00B31DE0">
      <w:pPr>
        <w:pStyle w:val="BodyCopy"/>
      </w:pPr>
      <w:r>
        <w:t>The NTC recommends that:</w:t>
      </w:r>
    </w:p>
    <w:p w14:paraId="6ADD6880" w14:textId="0B76E886" w:rsidR="00582E9B" w:rsidRPr="00582E9B" w:rsidRDefault="00B8224B" w:rsidP="00A67BF2">
      <w:pPr>
        <w:pStyle w:val="List-bulletlvl1"/>
      </w:pPr>
      <w:r>
        <w:t>t</w:t>
      </w:r>
      <w:r w:rsidR="00674093">
        <w:t>he NTC should explore whether the current work undertaken by BITRE to replace the usage data previously sourced from the SMVU will provide suitable usage data for use in the PAYGO model</w:t>
      </w:r>
    </w:p>
    <w:p w14:paraId="6C61E7D1" w14:textId="751C8A26" w:rsidR="00632F0F" w:rsidRDefault="00B8224B" w:rsidP="00A67BF2">
      <w:pPr>
        <w:pStyle w:val="List-bulletlvl1"/>
      </w:pPr>
      <w:r>
        <w:t>t</w:t>
      </w:r>
      <w:r w:rsidR="00632F0F">
        <w:t>he NTC should collaborate with BITRE to develop an alternative source of usage data, if possible</w:t>
      </w:r>
    </w:p>
    <w:p w14:paraId="1290FD52" w14:textId="29C02903" w:rsidR="00C04586" w:rsidRPr="00357D40" w:rsidRDefault="00B8224B" w:rsidP="00357D40">
      <w:pPr>
        <w:pStyle w:val="List-bulletlvl1"/>
      </w:pPr>
      <w:r>
        <w:t>t</w:t>
      </w:r>
      <w:r w:rsidR="00C04586">
        <w:t xml:space="preserve">he NTC </w:t>
      </w:r>
      <w:r w:rsidR="00B10A0B">
        <w:t xml:space="preserve">should </w:t>
      </w:r>
      <w:r w:rsidR="00C04586">
        <w:t>explore alternative options if it is unlikely that the current work undertaken by BITRE will provide the type of data needed to operate the PAYGO model within a suitable time frame</w:t>
      </w:r>
      <w:r w:rsidR="00B611A9">
        <w:t>.</w:t>
      </w:r>
    </w:p>
    <w:p w14:paraId="776D9608" w14:textId="21702226" w:rsidR="00CD0F5B" w:rsidRDefault="00CD0F5B">
      <w:pPr>
        <w:pStyle w:val="Heading2"/>
      </w:pPr>
      <w:bookmarkStart w:id="172" w:name="_Ref64881017"/>
      <w:bookmarkStart w:id="173" w:name="_Ref81902690"/>
      <w:bookmarkStart w:id="174" w:name="_Ref81987284"/>
      <w:bookmarkStart w:id="175" w:name="_Toc86158425"/>
      <w:r>
        <w:lastRenderedPageBreak/>
        <w:t xml:space="preserve">Review of </w:t>
      </w:r>
      <w:r w:rsidR="002F68B0">
        <w:t>e</w:t>
      </w:r>
      <w:r>
        <w:t xml:space="preserve">quivalent </w:t>
      </w:r>
      <w:r w:rsidR="002F68B0">
        <w:t>s</w:t>
      </w:r>
      <w:r>
        <w:t xml:space="preserve">tandard </w:t>
      </w:r>
      <w:r w:rsidR="002F68B0">
        <w:t>a</w:t>
      </w:r>
      <w:r>
        <w:t>xle values</w:t>
      </w:r>
      <w:bookmarkEnd w:id="172"/>
      <w:bookmarkEnd w:id="173"/>
      <w:bookmarkEnd w:id="174"/>
      <w:bookmarkEnd w:id="175"/>
    </w:p>
    <w:p w14:paraId="4221959C" w14:textId="128A1671" w:rsidR="00CD0F5B" w:rsidRDefault="00CD0F5B" w:rsidP="00CD0F5B">
      <w:pPr>
        <w:pStyle w:val="Heading3"/>
      </w:pPr>
      <w:bookmarkStart w:id="176" w:name="_Toc72310760"/>
      <w:bookmarkStart w:id="177" w:name="_Toc86158426"/>
      <w:bookmarkEnd w:id="176"/>
      <w:r>
        <w:t>Issue</w:t>
      </w:r>
      <w:r w:rsidR="003C1E26">
        <w:t>s</w:t>
      </w:r>
      <w:bookmarkEnd w:id="177"/>
    </w:p>
    <w:p w14:paraId="1D75604F" w14:textId="0C7A8EFC" w:rsidR="00CD0F5B" w:rsidRDefault="00CD0F5B" w:rsidP="00CD0F5B">
      <w:pPr>
        <w:pStyle w:val="BodyCopy"/>
      </w:pPr>
      <w:r>
        <w:t>ESA values are a key cost allocator in the PAYGO model, particularly for heavy vehicles. ESA values measure deep road wear by vehicles, with heavy vehicles traditionally accounting for around 94 per cent of</w:t>
      </w:r>
      <w:r w:rsidR="0021530B">
        <w:t xml:space="preserve"> the E</w:t>
      </w:r>
      <w:r>
        <w:t>SA-kilometre (ESA-km) allocated cost in aggregate across the entire heavy vehicle fleet.</w:t>
      </w:r>
      <w:r w:rsidR="00830D17">
        <w:t xml:space="preserve"> </w:t>
      </w:r>
    </w:p>
    <w:p w14:paraId="3AFC79FC" w14:textId="4B570E26" w:rsidR="00CD0F5B" w:rsidRDefault="00CD0F5B" w:rsidP="00CD0F5B">
      <w:pPr>
        <w:pStyle w:val="BodyCopy"/>
      </w:pPr>
      <w:r w:rsidRPr="009B0435">
        <w:t>ESA is a non-dimensional measure of the relative pavement wear associated with different loads, axle groups and tyre configurations. The ESA for a particular vehicle is the sum of the ESA for each of the vehicle’s axle groups</w:t>
      </w:r>
      <w:r>
        <w:t xml:space="preserve">. The ESA values used in the PAYGO model were last revised in 2013 for the </w:t>
      </w:r>
      <w:r w:rsidR="00F206D4">
        <w:t xml:space="preserve">2014 </w:t>
      </w:r>
      <w:r>
        <w:t xml:space="preserve">heavy vehicle charges determination. </w:t>
      </w:r>
    </w:p>
    <w:p w14:paraId="02E096BC" w14:textId="66F5F968" w:rsidR="00CD0F5B" w:rsidRDefault="00CD0F5B" w:rsidP="00CD0F5B">
      <w:pPr>
        <w:pStyle w:val="BodyCopy"/>
      </w:pPr>
      <w:r>
        <w:t xml:space="preserve">We undertook a review of a sample of five heavy vehicle classes in 2019. This found there had been </w:t>
      </w:r>
      <w:r w:rsidR="00B10A0B">
        <w:t xml:space="preserve">enough </w:t>
      </w:r>
      <w:r>
        <w:t>change in ESA values for this sample of heavy vehicle classes to warrant a full review of ESA values for all heavy vehicle classes. This comprehensive review is now complete.</w:t>
      </w:r>
    </w:p>
    <w:p w14:paraId="7D036A22" w14:textId="77777777" w:rsidR="00CD0F5B" w:rsidRDefault="00CD0F5B" w:rsidP="00CD0F5B">
      <w:pPr>
        <w:pStyle w:val="Heading3"/>
      </w:pPr>
      <w:bookmarkStart w:id="178" w:name="_Toc86158427"/>
      <w:r>
        <w:t>Approach</w:t>
      </w:r>
      <w:bookmarkEnd w:id="178"/>
    </w:p>
    <w:p w14:paraId="070B9145" w14:textId="11A98130" w:rsidR="00CD0F5B" w:rsidRDefault="00CD0F5B" w:rsidP="00CD0F5B">
      <w:pPr>
        <w:pStyle w:val="BodyCopy"/>
      </w:pPr>
      <w:r>
        <w:t xml:space="preserve">The approach used in this review is similar to that used in 2013. The calculations include the most recent available </w:t>
      </w:r>
      <w:r w:rsidR="008173BB">
        <w:t>w</w:t>
      </w:r>
      <w:r>
        <w:t>eigh</w:t>
      </w:r>
      <w:r w:rsidR="008173BB">
        <w:t>-</w:t>
      </w:r>
      <w:r>
        <w:t>in</w:t>
      </w:r>
      <w:r w:rsidR="008173BB">
        <w:t>-m</w:t>
      </w:r>
      <w:r>
        <w:t>otion (WIM) data</w:t>
      </w:r>
      <w:r w:rsidR="00F206D4">
        <w:t>,</w:t>
      </w:r>
      <w:r>
        <w:t xml:space="preserve"> which provides the basis for the ESA estimates for all heavy vehicle classes, except those that cannot be separately identified. </w:t>
      </w:r>
      <w:r w:rsidRPr="005819C9">
        <w:t>A WIM device measures the dynamic axle weight of a moving vehicle to estimate the corresponding static axle weigh</w:t>
      </w:r>
      <w:r>
        <w:t>t. In Australia WIM devices are installed on selected roads to monitor the weights in practice that are occurring by axle group on the road surface. The WIM system works effectively to assess the effect of heavy vehicle traffic on the road network.</w:t>
      </w:r>
    </w:p>
    <w:p w14:paraId="61D0B24C" w14:textId="17959A88" w:rsidR="00CD0F5B" w:rsidRDefault="00CD0F5B" w:rsidP="00CD0F5B">
      <w:pPr>
        <w:pStyle w:val="BodyCopy"/>
      </w:pPr>
      <w:r>
        <w:t xml:space="preserve">The NTC contracted Pekol Traffic and Transport (PTT) to undertake the review. It analysed WIM data covering a three-year period from 2017 to 2019 for all </w:t>
      </w:r>
      <w:r w:rsidR="00881FCC">
        <w:t>s</w:t>
      </w:r>
      <w:r>
        <w:t xml:space="preserve">tates and </w:t>
      </w:r>
      <w:r w:rsidR="00881FCC">
        <w:t>t</w:t>
      </w:r>
      <w:r>
        <w:t>erritories except the Northern Territory</w:t>
      </w:r>
      <w:r w:rsidR="00881FCC">
        <w:t>,</w:t>
      </w:r>
      <w:r>
        <w:t xml:space="preserve"> where WIM data is </w:t>
      </w:r>
      <w:r w:rsidR="00881FCC">
        <w:t xml:space="preserve">not </w:t>
      </w:r>
      <w:r>
        <w:t xml:space="preserve">available. </w:t>
      </w:r>
    </w:p>
    <w:p w14:paraId="1E54EA39" w14:textId="5A43F7D5" w:rsidR="00CD0F5B" w:rsidRDefault="00CD0F5B" w:rsidP="00CD0F5B">
      <w:pPr>
        <w:pStyle w:val="BodyCopy"/>
      </w:pPr>
      <w:r>
        <w:t>WIM data does not provide a means of distinguishing individual light vehicle classes because many different classes have a similar axle spacing. However, PTT calculated national estimates of the AGM and ESA values for PAYGO light vehicle classes using a ‘first principles’ approach, based on the kerb weight of the more popular makes and models.</w:t>
      </w:r>
    </w:p>
    <w:p w14:paraId="3AAA53AA" w14:textId="615ED82B" w:rsidR="00CD0F5B" w:rsidRDefault="00CD0F5B" w:rsidP="00CD0F5B">
      <w:pPr>
        <w:pStyle w:val="BodyCopy"/>
      </w:pPr>
      <w:r>
        <w:t xml:space="preserve">PTT estimated national estimates of the AGM and ESA values for the PAYGO heavy vehicle categories </w:t>
      </w:r>
      <w:r w:rsidR="00F206D4">
        <w:t>based on</w:t>
      </w:r>
      <w:r>
        <w:t xml:space="preserve"> 208 million ‘clean’ WIM records. The raw WIM data supplied by the state road authorities and Transmetric underwent a series of quality checks to identify and remove: out</w:t>
      </w:r>
      <w:r w:rsidR="0060684D">
        <w:t>-</w:t>
      </w:r>
      <w:r>
        <w:t>of</w:t>
      </w:r>
      <w:r w:rsidR="0060684D">
        <w:t>-</w:t>
      </w:r>
      <w:r>
        <w:t xml:space="preserve">scope records; records with partial or inconsistent data; records associated with equipment failure; and outliers. The latter were defined as records with an ESA value </w:t>
      </w:r>
      <w:r w:rsidR="00EB01A2">
        <w:t xml:space="preserve">outside a band of </w:t>
      </w:r>
      <w:r>
        <w:t>±1.5 standard deviations from the initial state mean for each PAYGO vehicle class.</w:t>
      </w:r>
    </w:p>
    <w:p w14:paraId="33587B1F" w14:textId="13316746" w:rsidR="00CD0F5B" w:rsidRDefault="00CD0F5B" w:rsidP="00CD0F5B">
      <w:pPr>
        <w:pStyle w:val="BodyCopy"/>
      </w:pPr>
      <w:r>
        <w:t xml:space="preserve">The ‘clean’ WIM records were then weighted to reflect the observed distribution in VKT reported in the </w:t>
      </w:r>
      <w:r w:rsidR="00724514">
        <w:t>SMVU</w:t>
      </w:r>
      <w:r>
        <w:t>. This step is required to minimise the potential for bias introduced by the non-uniform distribution of WIM sites between and within states. PTT used a modular approach to estimate final ESA values by vehicle type by summing the ESA values for each axle group in the vehicle or vehicle and trailer combination. This is the same approach used for the 201</w:t>
      </w:r>
      <w:r w:rsidR="00B74BF7">
        <w:t>4</w:t>
      </w:r>
      <w:r>
        <w:t xml:space="preserve"> determination.</w:t>
      </w:r>
    </w:p>
    <w:p w14:paraId="64783059" w14:textId="77777777" w:rsidR="00CD0F5B" w:rsidRDefault="00CD0F5B" w:rsidP="00CD0F5B">
      <w:pPr>
        <w:pStyle w:val="Heading3"/>
      </w:pPr>
      <w:bookmarkStart w:id="179" w:name="_Toc86158428"/>
      <w:r>
        <w:lastRenderedPageBreak/>
        <w:t>Analysis of outcomes</w:t>
      </w:r>
      <w:bookmarkEnd w:id="179"/>
      <w:r>
        <w:t xml:space="preserve"> </w:t>
      </w:r>
    </w:p>
    <w:p w14:paraId="71E3A93C" w14:textId="05187DB4" w:rsidR="00CD0F5B" w:rsidRDefault="00CD0F5B" w:rsidP="00CD0F5B">
      <w:pPr>
        <w:pStyle w:val="BodyCopy"/>
      </w:pPr>
      <w:r w:rsidRPr="002B3467">
        <w:t xml:space="preserve">The approach taken to assess and analyse WIM data </w:t>
      </w:r>
      <w:r>
        <w:t xml:space="preserve">is </w:t>
      </w:r>
      <w:r w:rsidRPr="002B3467">
        <w:t xml:space="preserve">the most comprehensive undertaken to date. The outcomes </w:t>
      </w:r>
      <w:r>
        <w:t>are</w:t>
      </w:r>
      <w:r w:rsidRPr="002B3467">
        <w:t xml:space="preserve"> shown in </w:t>
      </w:r>
      <w:r w:rsidR="0013499B">
        <w:fldChar w:fldCharType="begin"/>
      </w:r>
      <w:r w:rsidR="0013499B">
        <w:instrText xml:space="preserve"> REF _Ref82162788 \r \h </w:instrText>
      </w:r>
      <w:r w:rsidR="0013499B">
        <w:fldChar w:fldCharType="separate"/>
      </w:r>
      <w:r w:rsidR="00225EEA">
        <w:t>Table 7</w:t>
      </w:r>
      <w:r w:rsidR="0013499B">
        <w:fldChar w:fldCharType="end"/>
      </w:r>
      <w:r w:rsidR="00F206D4">
        <w:t>,</w:t>
      </w:r>
      <w:r w:rsidRPr="002B3467">
        <w:t xml:space="preserve"> which</w:t>
      </w:r>
      <w:r>
        <w:t xml:space="preserve"> highlights </w:t>
      </w:r>
      <w:r w:rsidRPr="002B3467">
        <w:t>the changes</w:t>
      </w:r>
      <w:r>
        <w:t xml:space="preserve"> in ESA values</w:t>
      </w:r>
      <w:r w:rsidRPr="002B3467">
        <w:t xml:space="preserve"> that have occurred </w:t>
      </w:r>
      <w:r>
        <w:t xml:space="preserve">compared </w:t>
      </w:r>
      <w:r w:rsidR="00485614">
        <w:t xml:space="preserve">with </w:t>
      </w:r>
      <w:r>
        <w:t>those estimated in 2013</w:t>
      </w:r>
      <w:r w:rsidRPr="002B3467">
        <w:t xml:space="preserve">. </w:t>
      </w:r>
    </w:p>
    <w:p w14:paraId="45E05A02" w14:textId="7959E39E" w:rsidR="00CD0F5B" w:rsidRDefault="00CD0F5B" w:rsidP="00CD0F5B">
      <w:pPr>
        <w:pStyle w:val="BodyCopy"/>
      </w:pPr>
      <w:r w:rsidRPr="002B3467">
        <w:t xml:space="preserve">The revised national weighed ESA values in </w:t>
      </w:r>
      <w:r w:rsidR="00F206D4">
        <w:t>the table</w:t>
      </w:r>
      <w:r w:rsidRPr="002B3467">
        <w:t xml:space="preserve"> show there have been some significant changes for a number of vehicle classes. The values in red show where reductions have occurred</w:t>
      </w:r>
      <w:r>
        <w:t xml:space="preserve"> including, in particular:</w:t>
      </w:r>
    </w:p>
    <w:p w14:paraId="4AE9D844" w14:textId="77777777" w:rsidR="00CD0F5B" w:rsidRDefault="00CD0F5B" w:rsidP="00CD0F5B">
      <w:pPr>
        <w:pStyle w:val="List-bulletlvl1"/>
      </w:pPr>
      <w:r w:rsidRPr="002B3467">
        <w:t>light commercial vehicles</w:t>
      </w:r>
    </w:p>
    <w:p w14:paraId="081A84DE" w14:textId="77777777" w:rsidR="00CD0F5B" w:rsidRDefault="00CD0F5B" w:rsidP="00CD0F5B">
      <w:pPr>
        <w:pStyle w:val="List-bulletlvl1"/>
      </w:pPr>
      <w:r w:rsidRPr="002B3467">
        <w:t>light rigid trucks</w:t>
      </w:r>
    </w:p>
    <w:p w14:paraId="7C67FC28" w14:textId="77578A22" w:rsidR="00CD0F5B" w:rsidRDefault="00CD0F5B" w:rsidP="00CD0F5B">
      <w:pPr>
        <w:pStyle w:val="List-bulletlvl1"/>
      </w:pPr>
      <w:r w:rsidRPr="002B3467">
        <w:t>2</w:t>
      </w:r>
      <w:r w:rsidR="009E39EE">
        <w:t>-</w:t>
      </w:r>
      <w:r w:rsidRPr="002B3467">
        <w:t>axle rigid trucks ≤ 12 tonnes</w:t>
      </w:r>
    </w:p>
    <w:p w14:paraId="3C417D9F" w14:textId="3561C288" w:rsidR="00CD0F5B" w:rsidRDefault="001C71D0" w:rsidP="001C71D0">
      <w:pPr>
        <w:pStyle w:val="List-bulletlvl1"/>
      </w:pPr>
      <w:r w:rsidRPr="001C71D0">
        <w:t>3</w:t>
      </w:r>
      <w:r w:rsidR="004072B2">
        <w:t>-</w:t>
      </w:r>
      <w:r w:rsidRPr="001C71D0">
        <w:t>axle rigid trucks ≤ 18 tonnes and 4</w:t>
      </w:r>
      <w:r w:rsidR="004072B2">
        <w:t>-</w:t>
      </w:r>
      <w:r w:rsidRPr="001C71D0">
        <w:t>axle rigid trucks ≤ 25 tonnes</w:t>
      </w:r>
    </w:p>
    <w:p w14:paraId="377D169A" w14:textId="1C528CBC" w:rsidR="00CD0F5B" w:rsidRDefault="00CD0F5B" w:rsidP="00CD0F5B">
      <w:pPr>
        <w:pStyle w:val="List-bulletlvl1"/>
      </w:pPr>
      <w:r w:rsidRPr="002B3467">
        <w:t>2</w:t>
      </w:r>
      <w:r w:rsidR="009E39EE">
        <w:t>-</w:t>
      </w:r>
      <w:r w:rsidRPr="002B3467">
        <w:t xml:space="preserve"> and 4</w:t>
      </w:r>
      <w:r w:rsidR="009E39EE">
        <w:t>-</w:t>
      </w:r>
      <w:r w:rsidRPr="002B3467">
        <w:t xml:space="preserve">axle rigid trucks with trailers ≤ 42.5 tonnes </w:t>
      </w:r>
    </w:p>
    <w:p w14:paraId="54D8E39E" w14:textId="7ABD977F" w:rsidR="00CD0F5B" w:rsidRDefault="00CD0F5B" w:rsidP="00CD0F5B">
      <w:pPr>
        <w:pStyle w:val="List-bulletlvl1"/>
      </w:pPr>
      <w:r>
        <w:t>th</w:t>
      </w:r>
      <w:r w:rsidRPr="002B3467">
        <w:t>e smallest of the single</w:t>
      </w:r>
      <w:r w:rsidR="00F206D4">
        <w:t>-</w:t>
      </w:r>
      <w:r w:rsidRPr="002B3467">
        <w:t>trailer articulated truck fleet</w:t>
      </w:r>
    </w:p>
    <w:p w14:paraId="1FA0FDCA" w14:textId="3C6857B3" w:rsidR="00CD0F5B" w:rsidRDefault="00CD0F5B" w:rsidP="00CD0F5B">
      <w:pPr>
        <w:pStyle w:val="List-bulletlvl1"/>
      </w:pPr>
      <w:r w:rsidRPr="002B3467">
        <w:t xml:space="preserve">road trains with </w:t>
      </w:r>
      <w:r w:rsidR="008173BB">
        <w:t>three</w:t>
      </w:r>
      <w:r w:rsidRPr="002B3467">
        <w:t xml:space="preserve"> trailers</w:t>
      </w:r>
    </w:p>
    <w:p w14:paraId="7E34FC9B" w14:textId="13B99AA5" w:rsidR="00CD0F5B" w:rsidRDefault="00CD0F5B" w:rsidP="00CD0F5B">
      <w:pPr>
        <w:pStyle w:val="List-bulletlvl1"/>
      </w:pPr>
      <w:r w:rsidRPr="002B3467">
        <w:t>special (non-freight</w:t>
      </w:r>
      <w:r>
        <w:t>)</w:t>
      </w:r>
      <w:r w:rsidRPr="002B3467">
        <w:t xml:space="preserve"> heavy vehicles</w:t>
      </w:r>
      <w:r w:rsidR="00670F32">
        <w:t>.</w:t>
      </w:r>
    </w:p>
    <w:p w14:paraId="0F6EF9A7" w14:textId="33BC9628" w:rsidR="00CD0F5B" w:rsidRDefault="00CD0F5B" w:rsidP="00CD0F5B">
      <w:pPr>
        <w:pStyle w:val="BodyCopy"/>
      </w:pPr>
      <w:r>
        <w:rPr>
          <w:szCs w:val="22"/>
        </w:rPr>
        <w:t xml:space="preserve">The ESA values for </w:t>
      </w:r>
      <w:r>
        <w:t>a</w:t>
      </w:r>
      <w:r w:rsidRPr="002B3467">
        <w:t xml:space="preserve">ll other vehicle classes in </w:t>
      </w:r>
      <w:r w:rsidR="00A51AFA">
        <w:fldChar w:fldCharType="begin"/>
      </w:r>
      <w:r w:rsidR="00A51AFA">
        <w:instrText xml:space="preserve"> REF _Ref82162807 \r \h </w:instrText>
      </w:r>
      <w:r w:rsidR="00A51AFA">
        <w:fldChar w:fldCharType="separate"/>
      </w:r>
      <w:r w:rsidR="00225EEA">
        <w:t>Table 7</w:t>
      </w:r>
      <w:r w:rsidR="00A51AFA">
        <w:fldChar w:fldCharType="end"/>
      </w:r>
      <w:r w:rsidRPr="002B3467">
        <w:t xml:space="preserve"> have </w:t>
      </w:r>
      <w:r>
        <w:t>increased and</w:t>
      </w:r>
      <w:r w:rsidR="00F206D4">
        <w:t xml:space="preserve"> are</w:t>
      </w:r>
      <w:r w:rsidRPr="002B3467">
        <w:t xml:space="preserve"> in </w:t>
      </w:r>
      <w:r w:rsidR="00F206D4">
        <w:t xml:space="preserve">a </w:t>
      </w:r>
      <w:r w:rsidRPr="002B3467">
        <w:t>green</w:t>
      </w:r>
      <w:r w:rsidR="00F206D4">
        <w:t xml:space="preserve"> font</w:t>
      </w:r>
      <w:r w:rsidR="009E39EE">
        <w:t>.</w:t>
      </w:r>
      <w:r w:rsidRPr="002B3467">
        <w:t xml:space="preserve"> </w:t>
      </w:r>
    </w:p>
    <w:p w14:paraId="2F6C3D28" w14:textId="491C70BE" w:rsidR="00CD0F5B" w:rsidRPr="002B3467" w:rsidRDefault="00CD0F5B" w:rsidP="00CD0F5B">
      <w:pPr>
        <w:pStyle w:val="BodyCopy"/>
      </w:pPr>
      <w:r w:rsidRPr="002B3467">
        <w:t>For the first time</w:t>
      </w:r>
      <w:r>
        <w:t>,</w:t>
      </w:r>
      <w:r w:rsidRPr="002B3467">
        <w:t xml:space="preserve"> passenger vehicles and light buses have had </w:t>
      </w:r>
      <w:r>
        <w:t>an</w:t>
      </w:r>
      <w:r w:rsidRPr="002B3467">
        <w:t xml:space="preserve"> ESA value recorded. In the past the impact of passenger vehicles was considered too insignificant to measure. However, the methodology used in this research established that there is still some impact</w:t>
      </w:r>
      <w:r>
        <w:t>,</w:t>
      </w:r>
      <w:r w:rsidRPr="002B3467">
        <w:t xml:space="preserve"> albeit small.</w:t>
      </w:r>
    </w:p>
    <w:p w14:paraId="50CD94A4" w14:textId="3E09E526" w:rsidR="001C71D0" w:rsidRPr="002B3467" w:rsidRDefault="00B40324" w:rsidP="00CD0F5B">
      <w:pPr>
        <w:pStyle w:val="BodyCopy"/>
      </w:pPr>
      <w:r w:rsidRPr="00B40324">
        <w:t>Some rigid truck classes recorded large increases in their ESAs, in particular the heavier 2-axle trucks with no trailer and the 3</w:t>
      </w:r>
      <w:r w:rsidR="00670F32">
        <w:t>-</w:t>
      </w:r>
      <w:r w:rsidRPr="00B40324">
        <w:t xml:space="preserve"> and 4</w:t>
      </w:r>
      <w:r w:rsidR="00670F32">
        <w:t>-</w:t>
      </w:r>
      <w:r w:rsidRPr="00B40324">
        <w:t>axle rigid trucks with trailers up to 42.5 tonnes. Most articulated trucks and most buses experienced increased ESAs.</w:t>
      </w:r>
    </w:p>
    <w:p w14:paraId="639E3B7A" w14:textId="77777777" w:rsidR="00CD0F5B" w:rsidRDefault="00CD0F5B" w:rsidP="00CD0F5B">
      <w:pPr>
        <w:pStyle w:val="Tabletitle"/>
      </w:pPr>
      <w:bookmarkStart w:id="180" w:name="_Ref82162788"/>
      <w:bookmarkStart w:id="181" w:name="_Ref82162807"/>
      <w:bookmarkStart w:id="182" w:name="_Toc86158546"/>
      <w:r>
        <w:t>Revised national weighted ESA values</w:t>
      </w:r>
      <w:bookmarkEnd w:id="180"/>
      <w:bookmarkEnd w:id="181"/>
      <w:bookmarkEnd w:id="182"/>
    </w:p>
    <w:tbl>
      <w:tblPr>
        <w:tblStyle w:val="NTCtable3"/>
        <w:tblW w:w="8900" w:type="dxa"/>
        <w:tblLook w:val="04A0" w:firstRow="1" w:lastRow="0" w:firstColumn="1" w:lastColumn="0" w:noHBand="0" w:noVBand="1"/>
      </w:tblPr>
      <w:tblGrid>
        <w:gridCol w:w="2977"/>
        <w:gridCol w:w="1750"/>
        <w:gridCol w:w="1741"/>
        <w:gridCol w:w="2432"/>
      </w:tblGrid>
      <w:tr w:rsidR="00CD0F5B" w:rsidRPr="002E1D31" w14:paraId="744FC70F" w14:textId="77777777" w:rsidTr="00877541">
        <w:trPr>
          <w:cnfStyle w:val="100000000000" w:firstRow="1" w:lastRow="0" w:firstColumn="0" w:lastColumn="0" w:oddVBand="0" w:evenVBand="0" w:oddHBand="0" w:evenHBand="0" w:firstRowFirstColumn="0" w:firstRowLastColumn="0" w:lastRowFirstColumn="0" w:lastRowLastColumn="0"/>
          <w:trHeight w:val="290"/>
          <w:tblHeader/>
        </w:trPr>
        <w:tc>
          <w:tcPr>
            <w:tcW w:w="2977" w:type="dxa"/>
            <w:noWrap/>
          </w:tcPr>
          <w:p w14:paraId="485CA53D" w14:textId="78AB34C5" w:rsidR="00CD0F5B" w:rsidRPr="00C4270B" w:rsidRDefault="00CD0F5B" w:rsidP="00AB672A">
            <w:pPr>
              <w:spacing w:before="0" w:after="0"/>
              <w:rPr>
                <w:rFonts w:asciiTheme="minorHAnsi" w:hAnsiTheme="minorHAnsi" w:cstheme="minorHAnsi"/>
                <w:b/>
                <w:sz w:val="20"/>
                <w:szCs w:val="20"/>
                <w:lang w:eastAsia="en-AU"/>
              </w:rPr>
            </w:pPr>
            <w:r w:rsidRPr="00C4270B">
              <w:rPr>
                <w:rFonts w:asciiTheme="minorHAnsi" w:hAnsiTheme="minorHAnsi" w:cstheme="minorHAnsi"/>
                <w:b/>
                <w:sz w:val="20"/>
                <w:szCs w:val="20"/>
                <w:lang w:eastAsia="en-AU"/>
              </w:rPr>
              <w:t xml:space="preserve">PAYGO </w:t>
            </w:r>
            <w:r w:rsidR="00D66039" w:rsidRPr="00C4270B">
              <w:rPr>
                <w:rFonts w:asciiTheme="minorHAnsi" w:hAnsiTheme="minorHAnsi" w:cstheme="minorHAnsi"/>
                <w:b/>
                <w:sz w:val="20"/>
                <w:szCs w:val="20"/>
                <w:lang w:eastAsia="en-AU"/>
              </w:rPr>
              <w:t>v</w:t>
            </w:r>
            <w:r w:rsidRPr="00C4270B">
              <w:rPr>
                <w:rFonts w:asciiTheme="minorHAnsi" w:hAnsiTheme="minorHAnsi" w:cstheme="minorHAnsi"/>
                <w:b/>
                <w:sz w:val="20"/>
                <w:szCs w:val="20"/>
                <w:lang w:eastAsia="en-AU"/>
              </w:rPr>
              <w:t xml:space="preserve">ehicle </w:t>
            </w:r>
            <w:r w:rsidR="00D66039" w:rsidRPr="00C4270B">
              <w:rPr>
                <w:rFonts w:asciiTheme="minorHAnsi" w:hAnsiTheme="minorHAnsi" w:cstheme="minorHAnsi"/>
                <w:b/>
                <w:sz w:val="20"/>
                <w:szCs w:val="20"/>
                <w:lang w:eastAsia="en-AU"/>
              </w:rPr>
              <w:t>c</w:t>
            </w:r>
            <w:r w:rsidRPr="00C4270B">
              <w:rPr>
                <w:rFonts w:asciiTheme="minorHAnsi" w:hAnsiTheme="minorHAnsi" w:cstheme="minorHAnsi"/>
                <w:b/>
                <w:sz w:val="20"/>
                <w:szCs w:val="20"/>
                <w:lang w:eastAsia="en-AU"/>
              </w:rPr>
              <w:t>lass</w:t>
            </w:r>
          </w:p>
        </w:tc>
        <w:tc>
          <w:tcPr>
            <w:tcW w:w="1750" w:type="dxa"/>
            <w:noWrap/>
          </w:tcPr>
          <w:p w14:paraId="253C00E9" w14:textId="382C66DB" w:rsidR="00CD0F5B" w:rsidRPr="00C4270B" w:rsidRDefault="00CD0F5B" w:rsidP="00AB672A">
            <w:pPr>
              <w:spacing w:before="0" w:after="0"/>
              <w:jc w:val="center"/>
              <w:rPr>
                <w:rFonts w:asciiTheme="minorHAnsi" w:hAnsiTheme="minorHAnsi" w:cstheme="minorHAnsi"/>
                <w:b/>
                <w:sz w:val="20"/>
                <w:szCs w:val="20"/>
                <w:lang w:eastAsia="en-AU"/>
              </w:rPr>
            </w:pPr>
            <w:r w:rsidRPr="00C4270B">
              <w:rPr>
                <w:rFonts w:asciiTheme="minorHAnsi" w:hAnsiTheme="minorHAnsi" w:cstheme="minorHAnsi"/>
                <w:b/>
                <w:sz w:val="20"/>
                <w:szCs w:val="20"/>
                <w:lang w:eastAsia="en-AU"/>
              </w:rPr>
              <w:t xml:space="preserve">Current ESA </w:t>
            </w:r>
            <w:r w:rsidR="00D66039" w:rsidRPr="00C4270B">
              <w:rPr>
                <w:rFonts w:asciiTheme="minorHAnsi" w:hAnsiTheme="minorHAnsi" w:cstheme="minorHAnsi"/>
                <w:b/>
                <w:sz w:val="20"/>
                <w:szCs w:val="20"/>
                <w:lang w:eastAsia="en-AU"/>
              </w:rPr>
              <w:t>v</w:t>
            </w:r>
            <w:r w:rsidRPr="00C4270B">
              <w:rPr>
                <w:rFonts w:asciiTheme="minorHAnsi" w:hAnsiTheme="minorHAnsi" w:cstheme="minorHAnsi"/>
                <w:b/>
                <w:sz w:val="20"/>
                <w:szCs w:val="20"/>
                <w:lang w:eastAsia="en-AU"/>
              </w:rPr>
              <w:t>alue</w:t>
            </w:r>
          </w:p>
        </w:tc>
        <w:tc>
          <w:tcPr>
            <w:tcW w:w="0" w:type="dxa"/>
            <w:noWrap/>
          </w:tcPr>
          <w:p w14:paraId="09FBA5C4" w14:textId="08C28B72" w:rsidR="00CD0F5B" w:rsidRPr="00C4270B" w:rsidRDefault="00CD0F5B" w:rsidP="00AB672A">
            <w:pPr>
              <w:spacing w:before="0" w:after="0"/>
              <w:jc w:val="center"/>
              <w:rPr>
                <w:rFonts w:asciiTheme="minorHAnsi" w:hAnsiTheme="minorHAnsi" w:cstheme="minorHAnsi"/>
                <w:b/>
                <w:sz w:val="20"/>
                <w:szCs w:val="20"/>
                <w:lang w:eastAsia="en-AU"/>
              </w:rPr>
            </w:pPr>
            <w:r w:rsidRPr="00C4270B">
              <w:rPr>
                <w:rFonts w:asciiTheme="minorHAnsi" w:hAnsiTheme="minorHAnsi" w:cstheme="minorHAnsi"/>
                <w:b/>
                <w:sz w:val="20"/>
                <w:szCs w:val="20"/>
                <w:lang w:eastAsia="en-AU"/>
              </w:rPr>
              <w:t xml:space="preserve">New ESA </w:t>
            </w:r>
            <w:r w:rsidR="00D66039" w:rsidRPr="00C4270B">
              <w:rPr>
                <w:rFonts w:asciiTheme="minorHAnsi" w:hAnsiTheme="minorHAnsi" w:cstheme="minorHAnsi"/>
                <w:b/>
                <w:sz w:val="20"/>
                <w:szCs w:val="20"/>
                <w:lang w:eastAsia="en-AU"/>
              </w:rPr>
              <w:t>v</w:t>
            </w:r>
            <w:r w:rsidRPr="00C4270B">
              <w:rPr>
                <w:rFonts w:asciiTheme="minorHAnsi" w:hAnsiTheme="minorHAnsi" w:cstheme="minorHAnsi"/>
                <w:b/>
                <w:sz w:val="20"/>
                <w:szCs w:val="20"/>
                <w:lang w:eastAsia="en-AU"/>
              </w:rPr>
              <w:t>alue</w:t>
            </w:r>
          </w:p>
        </w:tc>
        <w:tc>
          <w:tcPr>
            <w:tcW w:w="0" w:type="dxa"/>
            <w:noWrap/>
          </w:tcPr>
          <w:p w14:paraId="16130FBF" w14:textId="1DFFC6D0" w:rsidR="00CD0F5B" w:rsidRPr="00C4270B" w:rsidRDefault="00CD0F5B" w:rsidP="00AB672A">
            <w:pPr>
              <w:spacing w:before="0" w:after="0"/>
              <w:jc w:val="center"/>
              <w:rPr>
                <w:rFonts w:asciiTheme="minorHAnsi" w:hAnsiTheme="minorHAnsi" w:cstheme="minorHAnsi"/>
                <w:b/>
                <w:sz w:val="20"/>
                <w:szCs w:val="20"/>
                <w:lang w:eastAsia="en-AU"/>
              </w:rPr>
            </w:pPr>
            <w:r w:rsidRPr="00C4270B">
              <w:rPr>
                <w:rFonts w:asciiTheme="minorHAnsi" w:hAnsiTheme="minorHAnsi" w:cstheme="minorHAnsi"/>
                <w:b/>
                <w:sz w:val="20"/>
                <w:szCs w:val="20"/>
                <w:lang w:eastAsia="en-AU"/>
              </w:rPr>
              <w:t xml:space="preserve">ESA </w:t>
            </w:r>
            <w:r w:rsidR="00D66039" w:rsidRPr="00C4270B">
              <w:rPr>
                <w:rFonts w:asciiTheme="minorHAnsi" w:hAnsiTheme="minorHAnsi" w:cstheme="minorHAnsi"/>
                <w:b/>
                <w:sz w:val="20"/>
                <w:szCs w:val="20"/>
                <w:lang w:eastAsia="en-AU"/>
              </w:rPr>
              <w:t>d</w:t>
            </w:r>
            <w:r w:rsidRPr="00C4270B">
              <w:rPr>
                <w:rFonts w:asciiTheme="minorHAnsi" w:hAnsiTheme="minorHAnsi" w:cstheme="minorHAnsi"/>
                <w:b/>
                <w:sz w:val="20"/>
                <w:szCs w:val="20"/>
                <w:lang w:eastAsia="en-AU"/>
              </w:rPr>
              <w:t>ifference</w:t>
            </w:r>
          </w:p>
        </w:tc>
      </w:tr>
      <w:tr w:rsidR="00CD0F5B" w:rsidRPr="002E1D31" w14:paraId="46B73D83" w14:textId="77777777" w:rsidTr="00877541">
        <w:trPr>
          <w:trHeight w:val="290"/>
        </w:trPr>
        <w:tc>
          <w:tcPr>
            <w:tcW w:w="2977" w:type="dxa"/>
            <w:noWrap/>
            <w:vAlign w:val="center"/>
            <w:hideMark/>
          </w:tcPr>
          <w:p w14:paraId="33947EE4" w14:textId="77777777"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Passenger cars</w:t>
            </w:r>
          </w:p>
        </w:tc>
        <w:tc>
          <w:tcPr>
            <w:tcW w:w="1750" w:type="dxa"/>
            <w:noWrap/>
            <w:vAlign w:val="center"/>
            <w:hideMark/>
          </w:tcPr>
          <w:p w14:paraId="62D4AECB" w14:textId="77777777" w:rsidR="00CD0F5B" w:rsidRPr="00C4270B" w:rsidRDefault="00CD0F5B" w:rsidP="0061165B">
            <w:pPr>
              <w:spacing w:before="0" w:after="0"/>
              <w:jc w:val="center"/>
              <w:rPr>
                <w:rFonts w:asciiTheme="minorHAnsi" w:hAnsiTheme="minorHAnsi" w:cstheme="minorHAnsi"/>
                <w:sz w:val="20"/>
                <w:szCs w:val="20"/>
                <w:lang w:eastAsia="en-AU"/>
              </w:rPr>
            </w:pPr>
            <w:r w:rsidRPr="00C4270B">
              <w:rPr>
                <w:rFonts w:asciiTheme="minorHAnsi" w:hAnsiTheme="minorHAnsi" w:cstheme="minorHAnsi"/>
                <w:sz w:val="20"/>
                <w:szCs w:val="20"/>
                <w:lang w:eastAsia="en-AU"/>
              </w:rPr>
              <w:t>0</w:t>
            </w:r>
          </w:p>
        </w:tc>
        <w:tc>
          <w:tcPr>
            <w:tcW w:w="0" w:type="dxa"/>
            <w:noWrap/>
            <w:vAlign w:val="center"/>
            <w:hideMark/>
          </w:tcPr>
          <w:p w14:paraId="144283E8" w14:textId="77777777" w:rsidR="00CD0F5B" w:rsidRPr="00C4270B" w:rsidRDefault="00CD0F5B" w:rsidP="0061165B">
            <w:pPr>
              <w:spacing w:before="0" w:after="0"/>
              <w:jc w:val="center"/>
              <w:rPr>
                <w:rFonts w:asciiTheme="minorHAnsi" w:hAnsiTheme="minorHAnsi" w:cstheme="minorHAnsi"/>
                <w:sz w:val="20"/>
                <w:szCs w:val="20"/>
                <w:lang w:eastAsia="en-AU"/>
              </w:rPr>
            </w:pPr>
            <w:r w:rsidRPr="00C4270B">
              <w:rPr>
                <w:rFonts w:asciiTheme="minorHAnsi" w:hAnsiTheme="minorHAnsi" w:cstheme="minorHAnsi"/>
                <w:sz w:val="20"/>
                <w:szCs w:val="20"/>
                <w:lang w:eastAsia="en-AU"/>
              </w:rPr>
              <w:t>0.0010</w:t>
            </w:r>
          </w:p>
        </w:tc>
        <w:tc>
          <w:tcPr>
            <w:tcW w:w="0" w:type="dxa"/>
            <w:noWrap/>
            <w:vAlign w:val="center"/>
            <w:hideMark/>
          </w:tcPr>
          <w:p w14:paraId="56CB0CCF" w14:textId="77777777" w:rsidR="00CD0F5B" w:rsidRPr="001C6A15" w:rsidRDefault="00CD0F5B" w:rsidP="0061165B">
            <w:pPr>
              <w:spacing w:before="0" w:after="0"/>
              <w:jc w:val="center"/>
              <w:rPr>
                <w:rFonts w:asciiTheme="minorHAnsi" w:hAnsiTheme="minorHAnsi" w:cstheme="minorHAnsi"/>
                <w:color w:val="006100"/>
                <w:sz w:val="20"/>
                <w:szCs w:val="20"/>
                <w:lang w:eastAsia="en-AU"/>
              </w:rPr>
            </w:pPr>
            <w:r w:rsidRPr="001C6A15">
              <w:rPr>
                <w:rFonts w:asciiTheme="minorHAnsi" w:hAnsiTheme="minorHAnsi" w:cstheme="minorHAnsi"/>
                <w:color w:val="006100"/>
                <w:sz w:val="20"/>
                <w:szCs w:val="20"/>
                <w:lang w:eastAsia="en-AU"/>
              </w:rPr>
              <w:t>0.0010</w:t>
            </w:r>
          </w:p>
        </w:tc>
      </w:tr>
      <w:tr w:rsidR="00CD0F5B" w:rsidRPr="002E1D31" w14:paraId="40E0691B" w14:textId="77777777" w:rsidTr="00877541">
        <w:trPr>
          <w:trHeight w:val="290"/>
        </w:trPr>
        <w:tc>
          <w:tcPr>
            <w:tcW w:w="2977" w:type="dxa"/>
            <w:noWrap/>
            <w:vAlign w:val="center"/>
            <w:hideMark/>
          </w:tcPr>
          <w:p w14:paraId="7EBF9C09" w14:textId="0D054E7E"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 xml:space="preserve">Passenger vans and </w:t>
            </w:r>
            <w:r w:rsidR="00F206D4">
              <w:rPr>
                <w:rFonts w:asciiTheme="minorHAnsi" w:hAnsiTheme="minorHAnsi" w:cstheme="minorHAnsi"/>
                <w:sz w:val="20"/>
                <w:szCs w:val="20"/>
                <w:lang w:eastAsia="en-AU"/>
              </w:rPr>
              <w:t>l</w:t>
            </w:r>
            <w:r w:rsidRPr="00C4270B">
              <w:rPr>
                <w:rFonts w:asciiTheme="minorHAnsi" w:hAnsiTheme="minorHAnsi" w:cstheme="minorHAnsi"/>
                <w:sz w:val="20"/>
                <w:szCs w:val="20"/>
                <w:lang w:eastAsia="en-AU"/>
              </w:rPr>
              <w:t>ight buses</w:t>
            </w:r>
          </w:p>
        </w:tc>
        <w:tc>
          <w:tcPr>
            <w:tcW w:w="1750" w:type="dxa"/>
            <w:noWrap/>
            <w:vAlign w:val="center"/>
            <w:hideMark/>
          </w:tcPr>
          <w:p w14:paraId="17D1F01F"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w:t>
            </w:r>
          </w:p>
        </w:tc>
        <w:tc>
          <w:tcPr>
            <w:tcW w:w="0" w:type="dxa"/>
            <w:noWrap/>
            <w:vAlign w:val="center"/>
            <w:hideMark/>
          </w:tcPr>
          <w:p w14:paraId="6BF589A2"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0.0029</w:t>
            </w:r>
          </w:p>
        </w:tc>
        <w:tc>
          <w:tcPr>
            <w:tcW w:w="0" w:type="dxa"/>
            <w:noWrap/>
            <w:vAlign w:val="center"/>
            <w:hideMark/>
          </w:tcPr>
          <w:p w14:paraId="45AE0AC8" w14:textId="77777777" w:rsidR="00CD0F5B" w:rsidRPr="001C6A15" w:rsidRDefault="00CD0F5B" w:rsidP="0061165B">
            <w:pPr>
              <w:spacing w:before="0" w:after="0"/>
              <w:jc w:val="center"/>
              <w:rPr>
                <w:rFonts w:asciiTheme="minorHAnsi" w:hAnsiTheme="minorHAnsi" w:cstheme="minorHAnsi"/>
                <w:color w:val="006100"/>
                <w:sz w:val="20"/>
                <w:szCs w:val="20"/>
                <w:lang w:eastAsia="en-AU"/>
              </w:rPr>
            </w:pPr>
            <w:r w:rsidRPr="001C6A15">
              <w:rPr>
                <w:rFonts w:asciiTheme="minorHAnsi" w:hAnsiTheme="minorHAnsi" w:cstheme="minorHAnsi"/>
                <w:color w:val="006100"/>
                <w:sz w:val="20"/>
                <w:szCs w:val="20"/>
                <w:lang w:eastAsia="en-AU"/>
              </w:rPr>
              <w:t>0.0029</w:t>
            </w:r>
          </w:p>
        </w:tc>
      </w:tr>
      <w:tr w:rsidR="00CD0F5B" w:rsidRPr="002E1D31" w14:paraId="2195C2B1" w14:textId="77777777" w:rsidTr="00877541">
        <w:trPr>
          <w:trHeight w:val="290"/>
        </w:trPr>
        <w:tc>
          <w:tcPr>
            <w:tcW w:w="2977" w:type="dxa"/>
            <w:noWrap/>
            <w:vAlign w:val="center"/>
            <w:hideMark/>
          </w:tcPr>
          <w:p w14:paraId="7C2D1176" w14:textId="77777777" w:rsidR="00CD0F5B" w:rsidRPr="00C4270B" w:rsidRDefault="00CD0F5B" w:rsidP="0061165B">
            <w:pPr>
              <w:spacing w:before="0" w:after="0"/>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4WDs: passenger</w:t>
            </w:r>
          </w:p>
        </w:tc>
        <w:tc>
          <w:tcPr>
            <w:tcW w:w="1750" w:type="dxa"/>
            <w:noWrap/>
            <w:vAlign w:val="center"/>
            <w:hideMark/>
          </w:tcPr>
          <w:p w14:paraId="6803E835"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w:t>
            </w:r>
          </w:p>
        </w:tc>
        <w:tc>
          <w:tcPr>
            <w:tcW w:w="0" w:type="dxa"/>
            <w:noWrap/>
            <w:vAlign w:val="center"/>
            <w:hideMark/>
          </w:tcPr>
          <w:p w14:paraId="78F01B55"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0.0046</w:t>
            </w:r>
          </w:p>
        </w:tc>
        <w:tc>
          <w:tcPr>
            <w:tcW w:w="0" w:type="dxa"/>
            <w:noWrap/>
            <w:vAlign w:val="center"/>
            <w:hideMark/>
          </w:tcPr>
          <w:p w14:paraId="2E55832B" w14:textId="77777777" w:rsidR="00CD0F5B" w:rsidRPr="001C6A15" w:rsidRDefault="00CD0F5B" w:rsidP="0061165B">
            <w:pPr>
              <w:spacing w:before="0" w:after="0"/>
              <w:jc w:val="center"/>
              <w:rPr>
                <w:rFonts w:asciiTheme="minorHAnsi" w:hAnsiTheme="minorHAnsi" w:cstheme="minorHAnsi"/>
                <w:color w:val="006100"/>
                <w:sz w:val="20"/>
                <w:szCs w:val="20"/>
                <w:lang w:eastAsia="en-AU"/>
              </w:rPr>
            </w:pPr>
            <w:r w:rsidRPr="001C6A15">
              <w:rPr>
                <w:rFonts w:asciiTheme="minorHAnsi" w:hAnsiTheme="minorHAnsi" w:cstheme="minorHAnsi"/>
                <w:color w:val="006100"/>
                <w:sz w:val="20"/>
                <w:szCs w:val="20"/>
                <w:lang w:eastAsia="en-AU"/>
              </w:rPr>
              <w:t>0.0046</w:t>
            </w:r>
          </w:p>
        </w:tc>
      </w:tr>
      <w:tr w:rsidR="00CD0F5B" w:rsidRPr="002E1D31" w14:paraId="004273EC" w14:textId="77777777" w:rsidTr="00877541">
        <w:trPr>
          <w:trHeight w:val="290"/>
        </w:trPr>
        <w:tc>
          <w:tcPr>
            <w:tcW w:w="2977" w:type="dxa"/>
            <w:noWrap/>
            <w:vAlign w:val="center"/>
            <w:hideMark/>
          </w:tcPr>
          <w:p w14:paraId="095AD160" w14:textId="77777777"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4WDs: light commercial</w:t>
            </w:r>
          </w:p>
        </w:tc>
        <w:tc>
          <w:tcPr>
            <w:tcW w:w="1750" w:type="dxa"/>
            <w:noWrap/>
            <w:vAlign w:val="center"/>
            <w:hideMark/>
          </w:tcPr>
          <w:p w14:paraId="7C1F17E1"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0.0441</w:t>
            </w:r>
          </w:p>
        </w:tc>
        <w:tc>
          <w:tcPr>
            <w:tcW w:w="0" w:type="dxa"/>
            <w:noWrap/>
            <w:vAlign w:val="center"/>
            <w:hideMark/>
          </w:tcPr>
          <w:p w14:paraId="4FE401EE"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0.0062</w:t>
            </w:r>
          </w:p>
        </w:tc>
        <w:tc>
          <w:tcPr>
            <w:tcW w:w="0" w:type="dxa"/>
            <w:noWrap/>
            <w:vAlign w:val="center"/>
            <w:hideMark/>
          </w:tcPr>
          <w:p w14:paraId="792AF694" w14:textId="6C661BCD" w:rsidR="00CD0F5B" w:rsidRPr="001C6A15" w:rsidRDefault="002770EA" w:rsidP="0061165B">
            <w:pPr>
              <w:spacing w:before="0" w:after="0"/>
              <w:jc w:val="center"/>
              <w:rPr>
                <w:rFonts w:asciiTheme="minorHAnsi" w:hAnsiTheme="minorHAnsi" w:cstheme="minorHAnsi"/>
                <w:color w:val="9C0006"/>
                <w:sz w:val="20"/>
                <w:szCs w:val="20"/>
                <w:lang w:eastAsia="en-AU"/>
              </w:rPr>
            </w:pPr>
            <w:r w:rsidRPr="001C6A15">
              <w:rPr>
                <w:rFonts w:asciiTheme="minorHAnsi" w:hAnsiTheme="minorHAnsi" w:cstheme="minorHAnsi"/>
                <w:color w:val="9C0006"/>
                <w:sz w:val="20"/>
                <w:szCs w:val="20"/>
                <w:lang w:eastAsia="en-AU"/>
              </w:rPr>
              <w:t>−</w:t>
            </w:r>
            <w:r w:rsidR="00CD0F5B" w:rsidRPr="001C6A15">
              <w:rPr>
                <w:rFonts w:asciiTheme="minorHAnsi" w:hAnsiTheme="minorHAnsi" w:cstheme="minorHAnsi"/>
                <w:color w:val="9C0006"/>
                <w:sz w:val="20"/>
                <w:szCs w:val="20"/>
                <w:lang w:eastAsia="en-AU"/>
              </w:rPr>
              <w:t>0.0379</w:t>
            </w:r>
          </w:p>
        </w:tc>
      </w:tr>
      <w:tr w:rsidR="00CD0F5B" w:rsidRPr="002E1D31" w14:paraId="7297FBDE" w14:textId="77777777" w:rsidTr="00877541">
        <w:trPr>
          <w:trHeight w:val="290"/>
        </w:trPr>
        <w:tc>
          <w:tcPr>
            <w:tcW w:w="2977" w:type="dxa"/>
            <w:noWrap/>
            <w:vAlign w:val="center"/>
            <w:hideMark/>
          </w:tcPr>
          <w:p w14:paraId="1065C46F" w14:textId="056D65EE" w:rsidR="00CD0F5B" w:rsidRPr="00C4270B" w:rsidRDefault="00CD0F5B" w:rsidP="0061165B">
            <w:pPr>
              <w:spacing w:before="0" w:after="0"/>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 xml:space="preserve">Light commercials </w:t>
            </w:r>
            <w:r w:rsidR="004C6359">
              <w:rPr>
                <w:rFonts w:asciiTheme="minorHAnsi" w:hAnsiTheme="minorHAnsi" w:cstheme="minorHAnsi"/>
                <w:color w:val="000000"/>
                <w:sz w:val="20"/>
                <w:szCs w:val="20"/>
                <w:lang w:eastAsia="en-AU"/>
              </w:rPr>
              <w:t>and</w:t>
            </w:r>
            <w:r w:rsidRPr="00C4270B">
              <w:rPr>
                <w:rFonts w:asciiTheme="minorHAnsi" w:hAnsiTheme="minorHAnsi" w:cstheme="minorHAnsi"/>
                <w:color w:val="000000"/>
                <w:sz w:val="20"/>
                <w:szCs w:val="20"/>
                <w:lang w:eastAsia="en-AU"/>
              </w:rPr>
              <w:t xml:space="preserve"> </w:t>
            </w:r>
            <w:r w:rsidR="009E39EE" w:rsidRPr="00C4270B">
              <w:rPr>
                <w:rFonts w:asciiTheme="minorHAnsi" w:hAnsiTheme="minorHAnsi" w:cstheme="minorHAnsi"/>
                <w:color w:val="000000"/>
                <w:sz w:val="20"/>
                <w:szCs w:val="20"/>
                <w:lang w:eastAsia="en-AU"/>
              </w:rPr>
              <w:t>o</w:t>
            </w:r>
            <w:r w:rsidRPr="00C4270B">
              <w:rPr>
                <w:rFonts w:asciiTheme="minorHAnsi" w:hAnsiTheme="minorHAnsi" w:cstheme="minorHAnsi"/>
                <w:color w:val="000000"/>
                <w:sz w:val="20"/>
                <w:szCs w:val="20"/>
                <w:lang w:eastAsia="en-AU"/>
              </w:rPr>
              <w:t>ther light vehicles</w:t>
            </w:r>
          </w:p>
        </w:tc>
        <w:tc>
          <w:tcPr>
            <w:tcW w:w="1750" w:type="dxa"/>
            <w:noWrap/>
            <w:vAlign w:val="center"/>
            <w:hideMark/>
          </w:tcPr>
          <w:p w14:paraId="2B2D836F"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0.0419</w:t>
            </w:r>
          </w:p>
        </w:tc>
        <w:tc>
          <w:tcPr>
            <w:tcW w:w="0" w:type="dxa"/>
            <w:noWrap/>
            <w:vAlign w:val="center"/>
            <w:hideMark/>
          </w:tcPr>
          <w:p w14:paraId="0C180882" w14:textId="77777777" w:rsidR="00CD0F5B" w:rsidRPr="00C4270B" w:rsidRDefault="00CD0F5B" w:rsidP="0061165B">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0.0039</w:t>
            </w:r>
          </w:p>
        </w:tc>
        <w:tc>
          <w:tcPr>
            <w:tcW w:w="0" w:type="dxa"/>
            <w:noWrap/>
            <w:vAlign w:val="center"/>
            <w:hideMark/>
          </w:tcPr>
          <w:p w14:paraId="110B1E59" w14:textId="275678C1" w:rsidR="00CD0F5B" w:rsidRPr="001C6A15" w:rsidRDefault="009E39EE" w:rsidP="0061165B">
            <w:pPr>
              <w:spacing w:before="0" w:after="0"/>
              <w:jc w:val="center"/>
              <w:rPr>
                <w:rFonts w:asciiTheme="minorHAnsi" w:hAnsiTheme="minorHAnsi" w:cstheme="minorHAnsi"/>
                <w:color w:val="9C0006"/>
                <w:sz w:val="20"/>
                <w:szCs w:val="20"/>
                <w:lang w:eastAsia="en-AU"/>
              </w:rPr>
            </w:pPr>
            <w:r w:rsidRPr="001C6A15">
              <w:rPr>
                <w:rFonts w:asciiTheme="minorHAnsi" w:hAnsiTheme="minorHAnsi" w:cstheme="minorHAnsi"/>
                <w:color w:val="9C0006"/>
                <w:sz w:val="20"/>
                <w:szCs w:val="20"/>
                <w:lang w:eastAsia="en-AU"/>
              </w:rPr>
              <w:t>−</w:t>
            </w:r>
            <w:r w:rsidR="00CD0F5B" w:rsidRPr="001C6A15">
              <w:rPr>
                <w:rFonts w:asciiTheme="minorHAnsi" w:hAnsiTheme="minorHAnsi" w:cstheme="minorHAnsi"/>
                <w:color w:val="9C0006"/>
                <w:sz w:val="20"/>
                <w:szCs w:val="20"/>
                <w:lang w:eastAsia="en-AU"/>
              </w:rPr>
              <w:t>0.0380</w:t>
            </w:r>
          </w:p>
        </w:tc>
      </w:tr>
      <w:tr w:rsidR="00B40324" w:rsidRPr="002E1D31" w14:paraId="216F5FC9" w14:textId="77777777" w:rsidTr="00877541">
        <w:trPr>
          <w:trHeight w:val="290"/>
        </w:trPr>
        <w:tc>
          <w:tcPr>
            <w:tcW w:w="2977" w:type="dxa"/>
            <w:noWrap/>
            <w:vAlign w:val="center"/>
            <w:hideMark/>
          </w:tcPr>
          <w:p w14:paraId="4BA6750D" w14:textId="77777777"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Light rigid trucks</w:t>
            </w:r>
          </w:p>
        </w:tc>
        <w:tc>
          <w:tcPr>
            <w:tcW w:w="1750" w:type="dxa"/>
            <w:noWrap/>
            <w:vAlign w:val="center"/>
            <w:hideMark/>
          </w:tcPr>
          <w:p w14:paraId="4BE541DF" w14:textId="77777777" w:rsidR="00B40324" w:rsidRPr="00C4270B" w:rsidRDefault="00B40324" w:rsidP="00B40324">
            <w:pPr>
              <w:spacing w:before="0" w:after="0"/>
              <w:jc w:val="center"/>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0.0471</w:t>
            </w:r>
          </w:p>
        </w:tc>
        <w:tc>
          <w:tcPr>
            <w:tcW w:w="1741" w:type="dxa"/>
            <w:noWrap/>
            <w:vAlign w:val="center"/>
            <w:hideMark/>
          </w:tcPr>
          <w:p w14:paraId="351CF329" w14:textId="4B72D997" w:rsidR="00B40324" w:rsidRPr="00C4270B" w:rsidRDefault="00B40324" w:rsidP="00C9627D">
            <w:pPr>
              <w:spacing w:before="0" w:after="0"/>
              <w:jc w:val="center"/>
              <w:rPr>
                <w:rFonts w:asciiTheme="minorHAnsi" w:hAnsiTheme="minorHAnsi" w:cstheme="minorHAnsi"/>
                <w:color w:val="000000"/>
                <w:sz w:val="20"/>
                <w:szCs w:val="20"/>
                <w:lang w:eastAsia="en-AU"/>
              </w:rPr>
            </w:pPr>
            <w:r w:rsidRPr="00D344A7">
              <w:rPr>
                <w:rFonts w:asciiTheme="minorHAnsi" w:hAnsiTheme="minorHAnsi" w:cstheme="minorHAnsi"/>
                <w:color w:val="000000"/>
                <w:lang w:eastAsia="en-AU"/>
              </w:rPr>
              <w:t>0.0136</w:t>
            </w:r>
          </w:p>
        </w:tc>
        <w:tc>
          <w:tcPr>
            <w:tcW w:w="2432" w:type="dxa"/>
            <w:noWrap/>
            <w:vAlign w:val="center"/>
            <w:hideMark/>
          </w:tcPr>
          <w:p w14:paraId="32A93BFE" w14:textId="11B6BFE7" w:rsidR="00B40324" w:rsidRPr="001C6A15" w:rsidRDefault="002770EA" w:rsidP="00C9627D">
            <w:pPr>
              <w:spacing w:before="0" w:after="0"/>
              <w:jc w:val="center"/>
              <w:rPr>
                <w:rFonts w:asciiTheme="minorHAnsi" w:hAnsiTheme="minorHAnsi" w:cstheme="minorHAnsi"/>
                <w:color w:val="9C0006"/>
                <w:sz w:val="20"/>
                <w:szCs w:val="20"/>
                <w:lang w:eastAsia="en-AU"/>
              </w:rPr>
            </w:pPr>
            <w:r w:rsidRPr="001C6A15">
              <w:rPr>
                <w:rFonts w:asciiTheme="minorHAnsi" w:hAnsiTheme="minorHAnsi" w:cstheme="minorHAnsi"/>
                <w:color w:val="9C0006"/>
                <w:sz w:val="20"/>
                <w:szCs w:val="20"/>
                <w:lang w:eastAsia="en-AU"/>
              </w:rPr>
              <w:t>−</w:t>
            </w:r>
            <w:r w:rsidR="00B40324" w:rsidRPr="001C6A15">
              <w:rPr>
                <w:rFonts w:asciiTheme="minorHAnsi" w:hAnsiTheme="minorHAnsi" w:cstheme="minorHAnsi"/>
                <w:color w:val="9C0006"/>
                <w:sz w:val="20"/>
                <w:szCs w:val="20"/>
                <w:lang w:eastAsia="en-AU"/>
              </w:rPr>
              <w:t>0.0335</w:t>
            </w:r>
          </w:p>
        </w:tc>
      </w:tr>
      <w:tr w:rsidR="00B40324" w:rsidRPr="002E1D31" w14:paraId="31260387" w14:textId="77777777" w:rsidTr="00877541">
        <w:trPr>
          <w:trHeight w:val="290"/>
        </w:trPr>
        <w:tc>
          <w:tcPr>
            <w:tcW w:w="2977" w:type="dxa"/>
            <w:noWrap/>
            <w:vAlign w:val="center"/>
            <w:hideMark/>
          </w:tcPr>
          <w:p w14:paraId="48BA53B2" w14:textId="236D41EE"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2</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4.5 &lt; GVM ≤ 7.0 t</w:t>
            </w:r>
          </w:p>
        </w:tc>
        <w:tc>
          <w:tcPr>
            <w:tcW w:w="1750" w:type="dxa"/>
            <w:noWrap/>
            <w:vAlign w:val="center"/>
            <w:hideMark/>
          </w:tcPr>
          <w:p w14:paraId="2F29BDEA"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0.1160</w:t>
            </w:r>
          </w:p>
        </w:tc>
        <w:tc>
          <w:tcPr>
            <w:tcW w:w="0" w:type="dxa"/>
            <w:noWrap/>
            <w:vAlign w:val="center"/>
            <w:hideMark/>
          </w:tcPr>
          <w:p w14:paraId="6F678336" w14:textId="4E2633AD"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0.0277</w:t>
            </w:r>
          </w:p>
        </w:tc>
        <w:tc>
          <w:tcPr>
            <w:tcW w:w="0" w:type="dxa"/>
            <w:noWrap/>
            <w:vAlign w:val="center"/>
            <w:hideMark/>
          </w:tcPr>
          <w:p w14:paraId="71219A36" w14:textId="586984C4" w:rsidR="00B40324" w:rsidRPr="001C6A15" w:rsidRDefault="002770EA" w:rsidP="00C9627D">
            <w:pPr>
              <w:spacing w:before="0" w:after="0"/>
              <w:jc w:val="center"/>
              <w:rPr>
                <w:rFonts w:asciiTheme="majorHAnsi" w:hAnsiTheme="majorHAnsi" w:cstheme="majorHAnsi"/>
                <w:color w:val="9C0006"/>
                <w:sz w:val="20"/>
                <w:szCs w:val="20"/>
                <w:lang w:eastAsia="en-AU"/>
              </w:rPr>
            </w:pPr>
            <w:r w:rsidRPr="001C6A15">
              <w:rPr>
                <w:rFonts w:asciiTheme="minorHAnsi" w:hAnsiTheme="minorHAnsi" w:cstheme="minorHAnsi"/>
                <w:color w:val="9C0006"/>
                <w:sz w:val="20"/>
                <w:szCs w:val="20"/>
                <w:lang w:eastAsia="en-AU"/>
              </w:rPr>
              <w:t>−</w:t>
            </w:r>
            <w:r w:rsidR="00B40324" w:rsidRPr="001C6A15">
              <w:rPr>
                <w:rFonts w:asciiTheme="majorHAnsi" w:hAnsiTheme="majorHAnsi" w:cstheme="majorHAnsi"/>
                <w:color w:val="9C0006"/>
                <w:sz w:val="20"/>
                <w:szCs w:val="20"/>
                <w:lang w:eastAsia="en-AU"/>
              </w:rPr>
              <w:t>-0.0883</w:t>
            </w:r>
          </w:p>
        </w:tc>
      </w:tr>
      <w:tr w:rsidR="00B40324" w:rsidRPr="002E1D31" w14:paraId="109827A6" w14:textId="77777777" w:rsidTr="00877541">
        <w:trPr>
          <w:trHeight w:val="290"/>
        </w:trPr>
        <w:tc>
          <w:tcPr>
            <w:tcW w:w="2977" w:type="dxa"/>
            <w:noWrap/>
            <w:vAlign w:val="center"/>
            <w:hideMark/>
          </w:tcPr>
          <w:p w14:paraId="1A6219E7" w14:textId="21A63C0F"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2</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7.0 &lt; GVM ≤ 12.0 t</w:t>
            </w:r>
          </w:p>
        </w:tc>
        <w:tc>
          <w:tcPr>
            <w:tcW w:w="1750" w:type="dxa"/>
            <w:noWrap/>
            <w:vAlign w:val="center"/>
            <w:hideMark/>
          </w:tcPr>
          <w:p w14:paraId="40886DD0"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0.6104</w:t>
            </w:r>
          </w:p>
        </w:tc>
        <w:tc>
          <w:tcPr>
            <w:tcW w:w="0" w:type="dxa"/>
            <w:noWrap/>
            <w:vAlign w:val="center"/>
            <w:hideMark/>
          </w:tcPr>
          <w:p w14:paraId="4CE9958F" w14:textId="3CAC9884"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0.2033</w:t>
            </w:r>
          </w:p>
        </w:tc>
        <w:tc>
          <w:tcPr>
            <w:tcW w:w="0" w:type="dxa"/>
            <w:noWrap/>
            <w:vAlign w:val="center"/>
            <w:hideMark/>
          </w:tcPr>
          <w:p w14:paraId="381B765A" w14:textId="18411E96" w:rsidR="00B40324" w:rsidRPr="001C6A15" w:rsidRDefault="002770EA" w:rsidP="00C9627D">
            <w:pPr>
              <w:spacing w:before="0" w:after="0"/>
              <w:jc w:val="center"/>
              <w:rPr>
                <w:rFonts w:asciiTheme="majorHAnsi" w:hAnsiTheme="majorHAnsi" w:cstheme="majorHAnsi"/>
                <w:color w:val="9C0006"/>
                <w:sz w:val="20"/>
                <w:szCs w:val="20"/>
                <w:lang w:eastAsia="en-AU"/>
              </w:rPr>
            </w:pPr>
            <w:r w:rsidRPr="001C6A15">
              <w:rPr>
                <w:rFonts w:asciiTheme="minorHAnsi" w:hAnsiTheme="minorHAnsi" w:cstheme="minorHAnsi"/>
                <w:color w:val="9C0006"/>
                <w:sz w:val="20"/>
                <w:szCs w:val="20"/>
                <w:lang w:eastAsia="en-AU"/>
              </w:rPr>
              <w:t>−</w:t>
            </w:r>
            <w:r w:rsidR="00B40324" w:rsidRPr="001C6A15">
              <w:rPr>
                <w:rFonts w:asciiTheme="majorHAnsi" w:hAnsiTheme="majorHAnsi" w:cstheme="majorHAnsi"/>
                <w:color w:val="9C0006"/>
                <w:sz w:val="20"/>
                <w:szCs w:val="20"/>
                <w:lang w:eastAsia="en-AU"/>
              </w:rPr>
              <w:t>0.4071</w:t>
            </w:r>
          </w:p>
        </w:tc>
      </w:tr>
      <w:tr w:rsidR="00B40324" w:rsidRPr="002E1D31" w14:paraId="5A423FED" w14:textId="77777777" w:rsidTr="00877541">
        <w:trPr>
          <w:trHeight w:val="290"/>
        </w:trPr>
        <w:tc>
          <w:tcPr>
            <w:tcW w:w="2977" w:type="dxa"/>
            <w:noWrap/>
            <w:vAlign w:val="center"/>
            <w:hideMark/>
          </w:tcPr>
          <w:p w14:paraId="3835D3B0" w14:textId="4636F2EC"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2</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GVM &gt; 12.0 t</w:t>
            </w:r>
          </w:p>
        </w:tc>
        <w:tc>
          <w:tcPr>
            <w:tcW w:w="1750" w:type="dxa"/>
            <w:noWrap/>
            <w:vAlign w:val="center"/>
            <w:hideMark/>
          </w:tcPr>
          <w:p w14:paraId="0406CC40"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1.5624</w:t>
            </w:r>
          </w:p>
        </w:tc>
        <w:tc>
          <w:tcPr>
            <w:tcW w:w="0" w:type="dxa"/>
            <w:noWrap/>
            <w:vAlign w:val="center"/>
            <w:hideMark/>
          </w:tcPr>
          <w:p w14:paraId="13D66767" w14:textId="0B73CDE9"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2.3474</w:t>
            </w:r>
          </w:p>
        </w:tc>
        <w:tc>
          <w:tcPr>
            <w:tcW w:w="0" w:type="dxa"/>
            <w:noWrap/>
            <w:vAlign w:val="center"/>
            <w:hideMark/>
          </w:tcPr>
          <w:p w14:paraId="23499E15" w14:textId="46A4B5A4" w:rsidR="00B40324" w:rsidRPr="001C6A15" w:rsidRDefault="00B40324" w:rsidP="00C9627D">
            <w:pPr>
              <w:spacing w:before="0" w:after="0"/>
              <w:jc w:val="center"/>
              <w:rPr>
                <w:rFonts w:asciiTheme="majorHAnsi" w:hAnsiTheme="majorHAnsi" w:cstheme="majorHAnsi"/>
                <w:sz w:val="20"/>
                <w:szCs w:val="20"/>
              </w:rPr>
            </w:pPr>
            <w:r w:rsidRPr="001C6A15">
              <w:rPr>
                <w:rFonts w:asciiTheme="majorHAnsi" w:hAnsiTheme="majorHAnsi" w:cstheme="majorHAnsi"/>
                <w:sz w:val="20"/>
                <w:szCs w:val="20"/>
              </w:rPr>
              <w:t>0</w:t>
            </w:r>
            <w:r w:rsidRPr="001C6A15">
              <w:rPr>
                <w:rFonts w:asciiTheme="majorHAnsi" w:hAnsiTheme="majorHAnsi" w:cstheme="majorHAnsi"/>
                <w:color w:val="006100"/>
                <w:sz w:val="20"/>
                <w:szCs w:val="20"/>
                <w:lang w:eastAsia="en-AU"/>
              </w:rPr>
              <w:t>.7850</w:t>
            </w:r>
          </w:p>
        </w:tc>
      </w:tr>
      <w:tr w:rsidR="00B40324" w:rsidRPr="002E1D31" w14:paraId="6EC9F4D7" w14:textId="77777777" w:rsidTr="00877541">
        <w:trPr>
          <w:trHeight w:val="290"/>
        </w:trPr>
        <w:tc>
          <w:tcPr>
            <w:tcW w:w="2977" w:type="dxa"/>
            <w:noWrap/>
            <w:vAlign w:val="center"/>
            <w:hideMark/>
          </w:tcPr>
          <w:p w14:paraId="3A9B5F0F" w14:textId="7B9E156D"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2</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with trailer: GCM ≤ 42.5 t</w:t>
            </w:r>
          </w:p>
        </w:tc>
        <w:tc>
          <w:tcPr>
            <w:tcW w:w="1750" w:type="dxa"/>
            <w:noWrap/>
            <w:vAlign w:val="center"/>
            <w:hideMark/>
          </w:tcPr>
          <w:p w14:paraId="759A94DE"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1.1421</w:t>
            </w:r>
          </w:p>
        </w:tc>
        <w:tc>
          <w:tcPr>
            <w:tcW w:w="0" w:type="dxa"/>
            <w:noWrap/>
            <w:vAlign w:val="center"/>
            <w:hideMark/>
          </w:tcPr>
          <w:p w14:paraId="464E015C" w14:textId="75814B77"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0.4286</w:t>
            </w:r>
          </w:p>
        </w:tc>
        <w:tc>
          <w:tcPr>
            <w:tcW w:w="0" w:type="dxa"/>
            <w:noWrap/>
            <w:vAlign w:val="center"/>
            <w:hideMark/>
          </w:tcPr>
          <w:p w14:paraId="3996F1E0" w14:textId="22668A12" w:rsidR="00B40324" w:rsidRPr="001C6A15" w:rsidRDefault="002770EA" w:rsidP="00C9627D">
            <w:pPr>
              <w:spacing w:before="0" w:after="0"/>
              <w:jc w:val="center"/>
              <w:rPr>
                <w:rFonts w:asciiTheme="majorHAnsi" w:hAnsiTheme="majorHAnsi" w:cstheme="majorHAnsi"/>
                <w:color w:val="9C0006"/>
                <w:sz w:val="20"/>
                <w:szCs w:val="20"/>
                <w:lang w:eastAsia="en-AU"/>
              </w:rPr>
            </w:pPr>
            <w:r w:rsidRPr="001C6A15">
              <w:rPr>
                <w:rFonts w:asciiTheme="minorHAnsi" w:hAnsiTheme="minorHAnsi" w:cstheme="minorHAnsi"/>
                <w:color w:val="9C0006"/>
                <w:sz w:val="20"/>
                <w:szCs w:val="20"/>
                <w:lang w:eastAsia="en-AU"/>
              </w:rPr>
              <w:t>−</w:t>
            </w:r>
            <w:r w:rsidR="00B40324" w:rsidRPr="001C6A15">
              <w:rPr>
                <w:rFonts w:asciiTheme="majorHAnsi" w:hAnsiTheme="majorHAnsi" w:cstheme="majorHAnsi"/>
                <w:color w:val="9C0006"/>
                <w:sz w:val="20"/>
                <w:szCs w:val="20"/>
                <w:lang w:eastAsia="en-AU"/>
              </w:rPr>
              <w:t>0.7135</w:t>
            </w:r>
          </w:p>
        </w:tc>
      </w:tr>
      <w:tr w:rsidR="00B40324" w:rsidRPr="002E1D31" w14:paraId="3653B156" w14:textId="77777777" w:rsidTr="00877541">
        <w:trPr>
          <w:trHeight w:val="290"/>
        </w:trPr>
        <w:tc>
          <w:tcPr>
            <w:tcW w:w="2977" w:type="dxa"/>
            <w:noWrap/>
            <w:vAlign w:val="center"/>
            <w:hideMark/>
          </w:tcPr>
          <w:p w14:paraId="54C2CD79" w14:textId="490F356A"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lastRenderedPageBreak/>
              <w:t>Rigid trucks: 3</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4.5 &lt; GVM ≤ 18.0 t</w:t>
            </w:r>
          </w:p>
        </w:tc>
        <w:tc>
          <w:tcPr>
            <w:tcW w:w="1750" w:type="dxa"/>
            <w:noWrap/>
            <w:vAlign w:val="center"/>
            <w:hideMark/>
          </w:tcPr>
          <w:p w14:paraId="50516E0D"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0.9663</w:t>
            </w:r>
          </w:p>
        </w:tc>
        <w:tc>
          <w:tcPr>
            <w:tcW w:w="0" w:type="dxa"/>
            <w:noWrap/>
            <w:vAlign w:val="center"/>
            <w:hideMark/>
          </w:tcPr>
          <w:p w14:paraId="5EF7D36B" w14:textId="2A2C1ADB"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0.1845</w:t>
            </w:r>
          </w:p>
        </w:tc>
        <w:tc>
          <w:tcPr>
            <w:tcW w:w="0" w:type="dxa"/>
            <w:noWrap/>
            <w:vAlign w:val="center"/>
            <w:hideMark/>
          </w:tcPr>
          <w:p w14:paraId="6476A2E2" w14:textId="19D1B7D0" w:rsidR="00B40324" w:rsidRPr="001C6A15" w:rsidRDefault="002770EA" w:rsidP="00C9627D">
            <w:pPr>
              <w:spacing w:before="0" w:after="0"/>
              <w:jc w:val="center"/>
              <w:rPr>
                <w:rFonts w:asciiTheme="majorHAnsi" w:hAnsiTheme="majorHAnsi" w:cstheme="majorHAnsi"/>
                <w:color w:val="9C0006"/>
                <w:sz w:val="20"/>
                <w:szCs w:val="20"/>
                <w:lang w:eastAsia="en-AU"/>
              </w:rPr>
            </w:pPr>
            <w:r w:rsidRPr="001C6A15">
              <w:rPr>
                <w:rFonts w:asciiTheme="minorHAnsi" w:hAnsiTheme="minorHAnsi" w:cstheme="minorHAnsi"/>
                <w:color w:val="9C0006"/>
                <w:sz w:val="20"/>
                <w:szCs w:val="20"/>
                <w:lang w:eastAsia="en-AU"/>
              </w:rPr>
              <w:t>−</w:t>
            </w:r>
            <w:r w:rsidR="00B40324" w:rsidRPr="001C6A15">
              <w:rPr>
                <w:rFonts w:asciiTheme="majorHAnsi" w:hAnsiTheme="majorHAnsi" w:cstheme="majorHAnsi"/>
                <w:color w:val="9C0006"/>
                <w:sz w:val="20"/>
                <w:szCs w:val="20"/>
                <w:lang w:eastAsia="en-AU"/>
              </w:rPr>
              <w:t>0.7818</w:t>
            </w:r>
          </w:p>
        </w:tc>
      </w:tr>
      <w:tr w:rsidR="00B40324" w:rsidRPr="002E1D31" w14:paraId="6A148EEA" w14:textId="77777777" w:rsidTr="00877541">
        <w:trPr>
          <w:trHeight w:val="290"/>
        </w:trPr>
        <w:tc>
          <w:tcPr>
            <w:tcW w:w="2977" w:type="dxa"/>
            <w:noWrap/>
            <w:vAlign w:val="center"/>
            <w:hideMark/>
          </w:tcPr>
          <w:p w14:paraId="43C70609" w14:textId="211F0C48"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3</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GVM &gt; 18.0 t</w:t>
            </w:r>
          </w:p>
        </w:tc>
        <w:tc>
          <w:tcPr>
            <w:tcW w:w="1750" w:type="dxa"/>
            <w:noWrap/>
            <w:vAlign w:val="center"/>
            <w:hideMark/>
          </w:tcPr>
          <w:p w14:paraId="453F6049"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2.0639</w:t>
            </w:r>
          </w:p>
        </w:tc>
        <w:tc>
          <w:tcPr>
            <w:tcW w:w="0" w:type="dxa"/>
            <w:noWrap/>
            <w:vAlign w:val="center"/>
            <w:hideMark/>
          </w:tcPr>
          <w:p w14:paraId="2B5DA245" w14:textId="62A43BE7"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2.0907</w:t>
            </w:r>
          </w:p>
        </w:tc>
        <w:tc>
          <w:tcPr>
            <w:tcW w:w="0" w:type="dxa"/>
            <w:noWrap/>
            <w:vAlign w:val="center"/>
            <w:hideMark/>
          </w:tcPr>
          <w:p w14:paraId="4226EB10" w14:textId="043516B4" w:rsidR="00B40324" w:rsidRPr="001C6A15" w:rsidRDefault="00B40324" w:rsidP="00C9627D">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0.0268</w:t>
            </w:r>
          </w:p>
        </w:tc>
      </w:tr>
      <w:tr w:rsidR="00B40324" w:rsidRPr="002E1D31" w14:paraId="0F949743" w14:textId="77777777" w:rsidTr="00877541">
        <w:trPr>
          <w:trHeight w:val="290"/>
        </w:trPr>
        <w:tc>
          <w:tcPr>
            <w:tcW w:w="2977" w:type="dxa"/>
            <w:noWrap/>
            <w:vAlign w:val="center"/>
            <w:hideMark/>
          </w:tcPr>
          <w:p w14:paraId="31BB9980" w14:textId="110000BC"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3</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with trailer: GCM ≤ 42.5 t</w:t>
            </w:r>
          </w:p>
        </w:tc>
        <w:tc>
          <w:tcPr>
            <w:tcW w:w="1750" w:type="dxa"/>
            <w:noWrap/>
            <w:vAlign w:val="center"/>
            <w:hideMark/>
          </w:tcPr>
          <w:p w14:paraId="04FC8BF6"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1.6659</w:t>
            </w:r>
          </w:p>
        </w:tc>
        <w:tc>
          <w:tcPr>
            <w:tcW w:w="0" w:type="dxa"/>
            <w:noWrap/>
            <w:vAlign w:val="center"/>
            <w:hideMark/>
          </w:tcPr>
          <w:p w14:paraId="67920247" w14:textId="02792812"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2.7245</w:t>
            </w:r>
          </w:p>
        </w:tc>
        <w:tc>
          <w:tcPr>
            <w:tcW w:w="0" w:type="dxa"/>
            <w:noWrap/>
            <w:vAlign w:val="center"/>
            <w:hideMark/>
          </w:tcPr>
          <w:p w14:paraId="676E5A8C" w14:textId="636B3868" w:rsidR="00B40324" w:rsidRPr="001C6A15" w:rsidRDefault="00B40324" w:rsidP="00C9627D">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1.0586</w:t>
            </w:r>
          </w:p>
        </w:tc>
      </w:tr>
      <w:tr w:rsidR="00B40324" w:rsidRPr="002E1D31" w14:paraId="5DB9DF0B" w14:textId="77777777" w:rsidTr="00877541">
        <w:trPr>
          <w:trHeight w:val="290"/>
        </w:trPr>
        <w:tc>
          <w:tcPr>
            <w:tcW w:w="2977" w:type="dxa"/>
            <w:noWrap/>
            <w:vAlign w:val="center"/>
            <w:hideMark/>
          </w:tcPr>
          <w:p w14:paraId="527B961E" w14:textId="6595A1B2"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4</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4.5 &lt; GVM ≤ 25.0 t</w:t>
            </w:r>
          </w:p>
        </w:tc>
        <w:tc>
          <w:tcPr>
            <w:tcW w:w="1750" w:type="dxa"/>
            <w:noWrap/>
            <w:vAlign w:val="center"/>
            <w:hideMark/>
          </w:tcPr>
          <w:p w14:paraId="6A3AE040"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1.1762</w:t>
            </w:r>
          </w:p>
        </w:tc>
        <w:tc>
          <w:tcPr>
            <w:tcW w:w="0" w:type="dxa"/>
            <w:noWrap/>
            <w:vAlign w:val="center"/>
            <w:hideMark/>
          </w:tcPr>
          <w:p w14:paraId="6FB9F1E8" w14:textId="57D5057C"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0.1566</w:t>
            </w:r>
          </w:p>
        </w:tc>
        <w:tc>
          <w:tcPr>
            <w:tcW w:w="0" w:type="dxa"/>
            <w:noWrap/>
            <w:vAlign w:val="center"/>
            <w:hideMark/>
          </w:tcPr>
          <w:p w14:paraId="4B823862" w14:textId="0487F0B6" w:rsidR="00B40324" w:rsidRPr="001C6A15" w:rsidRDefault="002770EA" w:rsidP="00C9627D">
            <w:pPr>
              <w:spacing w:before="0" w:after="0"/>
              <w:jc w:val="center"/>
              <w:rPr>
                <w:rFonts w:asciiTheme="majorHAnsi" w:hAnsiTheme="majorHAnsi" w:cstheme="majorHAnsi"/>
                <w:color w:val="9C0006"/>
                <w:sz w:val="20"/>
                <w:szCs w:val="20"/>
                <w:lang w:eastAsia="en-AU"/>
              </w:rPr>
            </w:pPr>
            <w:r w:rsidRPr="001C6A15">
              <w:rPr>
                <w:rFonts w:asciiTheme="minorHAnsi" w:hAnsiTheme="minorHAnsi" w:cstheme="minorHAnsi"/>
                <w:color w:val="9C0006"/>
                <w:sz w:val="20"/>
                <w:szCs w:val="20"/>
                <w:lang w:eastAsia="en-AU"/>
              </w:rPr>
              <w:t>−</w:t>
            </w:r>
            <w:r w:rsidR="00B40324" w:rsidRPr="001C6A15">
              <w:rPr>
                <w:rFonts w:asciiTheme="majorHAnsi" w:hAnsiTheme="majorHAnsi" w:cstheme="majorHAnsi"/>
                <w:color w:val="9C0006"/>
                <w:sz w:val="20"/>
                <w:szCs w:val="20"/>
                <w:lang w:eastAsia="en-AU"/>
              </w:rPr>
              <w:t>1.0196</w:t>
            </w:r>
          </w:p>
        </w:tc>
      </w:tr>
      <w:tr w:rsidR="00B40324" w:rsidRPr="002E1D31" w14:paraId="0306499E" w14:textId="77777777" w:rsidTr="00877541">
        <w:trPr>
          <w:trHeight w:val="290"/>
        </w:trPr>
        <w:tc>
          <w:tcPr>
            <w:tcW w:w="2977" w:type="dxa"/>
            <w:noWrap/>
            <w:vAlign w:val="center"/>
            <w:hideMark/>
          </w:tcPr>
          <w:p w14:paraId="3EAE81DD" w14:textId="2CCC272E"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4</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r>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 xml:space="preserve"> no trailer: GVM &gt; 25.0 t</w:t>
            </w:r>
          </w:p>
        </w:tc>
        <w:tc>
          <w:tcPr>
            <w:tcW w:w="1750" w:type="dxa"/>
            <w:noWrap/>
            <w:vAlign w:val="center"/>
            <w:hideMark/>
          </w:tcPr>
          <w:p w14:paraId="47B8BF18"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2.4694</w:t>
            </w:r>
          </w:p>
        </w:tc>
        <w:tc>
          <w:tcPr>
            <w:tcW w:w="0" w:type="dxa"/>
            <w:noWrap/>
            <w:vAlign w:val="center"/>
            <w:hideMark/>
          </w:tcPr>
          <w:p w14:paraId="1587E452" w14:textId="0154BC7B"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2.6250</w:t>
            </w:r>
          </w:p>
        </w:tc>
        <w:tc>
          <w:tcPr>
            <w:tcW w:w="0" w:type="dxa"/>
            <w:noWrap/>
            <w:vAlign w:val="center"/>
            <w:hideMark/>
          </w:tcPr>
          <w:p w14:paraId="194EE726" w14:textId="155EE898" w:rsidR="00B40324" w:rsidRPr="001C6A15" w:rsidRDefault="00B40324" w:rsidP="00C9627D">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0.1556</w:t>
            </w:r>
          </w:p>
        </w:tc>
      </w:tr>
      <w:tr w:rsidR="00B40324" w:rsidRPr="002E1D31" w14:paraId="38FCE16C" w14:textId="77777777" w:rsidTr="00877541">
        <w:trPr>
          <w:trHeight w:val="290"/>
        </w:trPr>
        <w:tc>
          <w:tcPr>
            <w:tcW w:w="2977" w:type="dxa"/>
            <w:noWrap/>
            <w:vAlign w:val="center"/>
            <w:hideMark/>
          </w:tcPr>
          <w:p w14:paraId="2342D757" w14:textId="488FAB3D"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4</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 with trailer: GCM ≤ 42.5 t</w:t>
            </w:r>
          </w:p>
        </w:tc>
        <w:tc>
          <w:tcPr>
            <w:tcW w:w="1750" w:type="dxa"/>
            <w:noWrap/>
            <w:vAlign w:val="center"/>
            <w:hideMark/>
          </w:tcPr>
          <w:p w14:paraId="564BED23"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1.8781</w:t>
            </w:r>
          </w:p>
        </w:tc>
        <w:tc>
          <w:tcPr>
            <w:tcW w:w="0" w:type="dxa"/>
            <w:noWrap/>
            <w:vAlign w:val="center"/>
            <w:hideMark/>
          </w:tcPr>
          <w:p w14:paraId="39D541F7" w14:textId="32324A3B"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3.0546</w:t>
            </w:r>
          </w:p>
        </w:tc>
        <w:tc>
          <w:tcPr>
            <w:tcW w:w="0" w:type="dxa"/>
            <w:noWrap/>
            <w:vAlign w:val="center"/>
            <w:hideMark/>
          </w:tcPr>
          <w:p w14:paraId="455069EF" w14:textId="3365DD1B" w:rsidR="00B40324" w:rsidRPr="001C6A15" w:rsidRDefault="00B40324" w:rsidP="00C9627D">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1.1765</w:t>
            </w:r>
          </w:p>
        </w:tc>
      </w:tr>
      <w:tr w:rsidR="00B40324" w:rsidRPr="002E1D31" w14:paraId="1E20FE37" w14:textId="77777777" w:rsidTr="00877541">
        <w:trPr>
          <w:trHeight w:val="290"/>
        </w:trPr>
        <w:tc>
          <w:tcPr>
            <w:tcW w:w="2977" w:type="dxa"/>
            <w:noWrap/>
            <w:vAlign w:val="center"/>
            <w:hideMark/>
          </w:tcPr>
          <w:p w14:paraId="5860BFC7" w14:textId="7F60D72C" w:rsidR="00B40324" w:rsidRPr="00C4270B" w:rsidRDefault="00B40324" w:rsidP="00B40324">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Rigid trucks: 3,</w:t>
            </w:r>
            <w:r w:rsidR="004C6359">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4+ axles with trailer: GCM &gt; 42.5 t</w:t>
            </w:r>
          </w:p>
        </w:tc>
        <w:tc>
          <w:tcPr>
            <w:tcW w:w="1750" w:type="dxa"/>
            <w:noWrap/>
            <w:vAlign w:val="center"/>
            <w:hideMark/>
          </w:tcPr>
          <w:p w14:paraId="12AA2371" w14:textId="77777777" w:rsidR="00B40324" w:rsidRPr="001C6A15" w:rsidRDefault="00B40324" w:rsidP="00B40324">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4.5124</w:t>
            </w:r>
          </w:p>
        </w:tc>
        <w:tc>
          <w:tcPr>
            <w:tcW w:w="0" w:type="dxa"/>
            <w:noWrap/>
            <w:vAlign w:val="center"/>
            <w:hideMark/>
          </w:tcPr>
          <w:p w14:paraId="241E59FA" w14:textId="20F1F8CF" w:rsidR="00B40324" w:rsidRPr="001C6A15" w:rsidRDefault="00B40324" w:rsidP="00C9627D">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4.6552</w:t>
            </w:r>
          </w:p>
        </w:tc>
        <w:tc>
          <w:tcPr>
            <w:tcW w:w="0" w:type="dxa"/>
            <w:noWrap/>
            <w:vAlign w:val="center"/>
            <w:hideMark/>
          </w:tcPr>
          <w:p w14:paraId="3B6EA0F1" w14:textId="59CE0BE0" w:rsidR="00B40324" w:rsidRPr="001C6A15" w:rsidRDefault="00B40324" w:rsidP="00C9627D">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0.1428</w:t>
            </w:r>
          </w:p>
        </w:tc>
      </w:tr>
      <w:tr w:rsidR="00CD0F5B" w:rsidRPr="002E1D31" w14:paraId="4132A5E9" w14:textId="77777777" w:rsidTr="00877541">
        <w:trPr>
          <w:trHeight w:val="290"/>
        </w:trPr>
        <w:tc>
          <w:tcPr>
            <w:tcW w:w="2977" w:type="dxa"/>
            <w:noWrap/>
            <w:vAlign w:val="center"/>
            <w:hideMark/>
          </w:tcPr>
          <w:p w14:paraId="72C55473" w14:textId="1856C101"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single trailer: 3</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1745C321"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1.2617</w:t>
            </w:r>
          </w:p>
        </w:tc>
        <w:tc>
          <w:tcPr>
            <w:tcW w:w="0" w:type="dxa"/>
            <w:noWrap/>
            <w:vAlign w:val="center"/>
            <w:hideMark/>
          </w:tcPr>
          <w:p w14:paraId="6A5B8C7F"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0.9473</w:t>
            </w:r>
          </w:p>
        </w:tc>
        <w:tc>
          <w:tcPr>
            <w:tcW w:w="0" w:type="dxa"/>
            <w:noWrap/>
            <w:vAlign w:val="center"/>
            <w:hideMark/>
          </w:tcPr>
          <w:p w14:paraId="5529D73A" w14:textId="31202392" w:rsidR="00CD0F5B" w:rsidRPr="001C6A15" w:rsidRDefault="009E39EE" w:rsidP="0061165B">
            <w:pPr>
              <w:spacing w:before="0" w:after="0"/>
              <w:jc w:val="center"/>
              <w:rPr>
                <w:rFonts w:asciiTheme="majorHAnsi" w:hAnsiTheme="majorHAnsi" w:cstheme="majorHAnsi"/>
                <w:color w:val="9C0006"/>
                <w:sz w:val="20"/>
                <w:szCs w:val="20"/>
                <w:lang w:eastAsia="en-AU"/>
              </w:rPr>
            </w:pPr>
            <w:r w:rsidRPr="001C6A15">
              <w:rPr>
                <w:rFonts w:asciiTheme="majorHAnsi" w:hAnsiTheme="majorHAnsi" w:cstheme="majorHAnsi"/>
                <w:color w:val="9C0006"/>
                <w:sz w:val="20"/>
                <w:szCs w:val="20"/>
                <w:lang w:eastAsia="en-AU"/>
              </w:rPr>
              <w:t>−</w:t>
            </w:r>
            <w:r w:rsidR="00CD0F5B" w:rsidRPr="001C6A15">
              <w:rPr>
                <w:rFonts w:asciiTheme="majorHAnsi" w:hAnsiTheme="majorHAnsi" w:cstheme="majorHAnsi"/>
                <w:color w:val="9C0006"/>
                <w:sz w:val="20"/>
                <w:szCs w:val="20"/>
                <w:lang w:eastAsia="en-AU"/>
              </w:rPr>
              <w:t>0.3144</w:t>
            </w:r>
          </w:p>
        </w:tc>
      </w:tr>
      <w:tr w:rsidR="00CD0F5B" w:rsidRPr="002E1D31" w14:paraId="5874A9B6" w14:textId="77777777" w:rsidTr="00877541">
        <w:trPr>
          <w:trHeight w:val="290"/>
        </w:trPr>
        <w:tc>
          <w:tcPr>
            <w:tcW w:w="2977" w:type="dxa"/>
            <w:noWrap/>
            <w:vAlign w:val="center"/>
            <w:hideMark/>
          </w:tcPr>
          <w:p w14:paraId="4F13AD51" w14:textId="17AC52E0"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single trailer: 4</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40ECD5D1"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1.4485</w:t>
            </w:r>
          </w:p>
        </w:tc>
        <w:tc>
          <w:tcPr>
            <w:tcW w:w="0" w:type="dxa"/>
            <w:noWrap/>
            <w:vAlign w:val="center"/>
            <w:hideMark/>
          </w:tcPr>
          <w:p w14:paraId="58D38126"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1.9694</w:t>
            </w:r>
          </w:p>
        </w:tc>
        <w:tc>
          <w:tcPr>
            <w:tcW w:w="0" w:type="dxa"/>
            <w:noWrap/>
            <w:vAlign w:val="center"/>
            <w:hideMark/>
          </w:tcPr>
          <w:p w14:paraId="450E80EC"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0.5209</w:t>
            </w:r>
          </w:p>
        </w:tc>
      </w:tr>
      <w:tr w:rsidR="00CD0F5B" w:rsidRPr="002E1D31" w14:paraId="3F3D8267" w14:textId="77777777" w:rsidTr="00877541">
        <w:trPr>
          <w:trHeight w:val="290"/>
        </w:trPr>
        <w:tc>
          <w:tcPr>
            <w:tcW w:w="2977" w:type="dxa"/>
            <w:noWrap/>
            <w:vAlign w:val="center"/>
            <w:hideMark/>
          </w:tcPr>
          <w:p w14:paraId="0E9F8C01" w14:textId="663F39AE"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single 3</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trailer: 5</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19CAB086"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1.5137</w:t>
            </w:r>
          </w:p>
        </w:tc>
        <w:tc>
          <w:tcPr>
            <w:tcW w:w="0" w:type="dxa"/>
            <w:noWrap/>
            <w:vAlign w:val="center"/>
            <w:hideMark/>
          </w:tcPr>
          <w:p w14:paraId="0FE2B3F6"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1.7426</w:t>
            </w:r>
          </w:p>
        </w:tc>
        <w:tc>
          <w:tcPr>
            <w:tcW w:w="0" w:type="dxa"/>
            <w:noWrap/>
            <w:vAlign w:val="center"/>
            <w:hideMark/>
          </w:tcPr>
          <w:p w14:paraId="071EAF73"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0.2289</w:t>
            </w:r>
          </w:p>
        </w:tc>
      </w:tr>
      <w:tr w:rsidR="00CD0F5B" w:rsidRPr="002E1D31" w14:paraId="2EEFCCFF" w14:textId="77777777" w:rsidTr="00877541">
        <w:trPr>
          <w:trHeight w:val="290"/>
        </w:trPr>
        <w:tc>
          <w:tcPr>
            <w:tcW w:w="2977" w:type="dxa"/>
            <w:noWrap/>
            <w:vAlign w:val="center"/>
            <w:hideMark/>
          </w:tcPr>
          <w:p w14:paraId="35C08907" w14:textId="577EB6CD"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single 2</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trailer: 5</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3655A2B1"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1.9876</w:t>
            </w:r>
          </w:p>
        </w:tc>
        <w:tc>
          <w:tcPr>
            <w:tcW w:w="0" w:type="dxa"/>
            <w:noWrap/>
            <w:vAlign w:val="center"/>
            <w:hideMark/>
          </w:tcPr>
          <w:p w14:paraId="0E4F2F47"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2.7853</w:t>
            </w:r>
          </w:p>
        </w:tc>
        <w:tc>
          <w:tcPr>
            <w:tcW w:w="0" w:type="dxa"/>
            <w:noWrap/>
            <w:vAlign w:val="center"/>
            <w:hideMark/>
          </w:tcPr>
          <w:p w14:paraId="0ED57B81"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0.7977</w:t>
            </w:r>
          </w:p>
        </w:tc>
      </w:tr>
      <w:tr w:rsidR="00CD0F5B" w:rsidRPr="002E1D31" w14:paraId="4B801C82" w14:textId="77777777" w:rsidTr="00877541">
        <w:trPr>
          <w:trHeight w:val="290"/>
        </w:trPr>
        <w:tc>
          <w:tcPr>
            <w:tcW w:w="2977" w:type="dxa"/>
            <w:noWrap/>
            <w:vAlign w:val="center"/>
            <w:hideMark/>
          </w:tcPr>
          <w:p w14:paraId="409810E7" w14:textId="1AA9DFAD"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single trailer: 6</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24CD4596"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2.1036</w:t>
            </w:r>
          </w:p>
        </w:tc>
        <w:tc>
          <w:tcPr>
            <w:tcW w:w="0" w:type="dxa"/>
            <w:noWrap/>
            <w:vAlign w:val="center"/>
            <w:hideMark/>
          </w:tcPr>
          <w:p w14:paraId="71F352E5"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2.7071</w:t>
            </w:r>
          </w:p>
        </w:tc>
        <w:tc>
          <w:tcPr>
            <w:tcW w:w="0" w:type="dxa"/>
            <w:noWrap/>
            <w:vAlign w:val="center"/>
            <w:hideMark/>
          </w:tcPr>
          <w:p w14:paraId="1EC01F5E"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0.6035</w:t>
            </w:r>
          </w:p>
        </w:tc>
      </w:tr>
      <w:tr w:rsidR="00CD0F5B" w:rsidRPr="002E1D31" w14:paraId="759C8D5E" w14:textId="77777777" w:rsidTr="00877541">
        <w:trPr>
          <w:trHeight w:val="290"/>
        </w:trPr>
        <w:tc>
          <w:tcPr>
            <w:tcW w:w="2977" w:type="dxa"/>
            <w:noWrap/>
            <w:vAlign w:val="center"/>
            <w:hideMark/>
          </w:tcPr>
          <w:p w14:paraId="0CD28C62" w14:textId="645A6F6F"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 xml:space="preserve">Articulated trucks: B-double: </w:t>
            </w:r>
            <w:r w:rsidR="0086444E">
              <w:rPr>
                <w:rFonts w:asciiTheme="minorHAnsi" w:hAnsiTheme="minorHAnsi" w:cstheme="minorHAnsi"/>
                <w:sz w:val="20"/>
                <w:szCs w:val="20"/>
                <w:lang w:eastAsia="en-AU"/>
              </w:rPr>
              <w:br/>
            </w:r>
            <w:r w:rsidRPr="00C4270B">
              <w:rPr>
                <w:rFonts w:asciiTheme="minorHAnsi" w:hAnsiTheme="minorHAnsi" w:cstheme="minorHAnsi"/>
                <w:sz w:val="20"/>
                <w:szCs w:val="20"/>
                <w:lang w:eastAsia="en-AU"/>
              </w:rPr>
              <w:t>&lt; 9</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04604753"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2.8095</w:t>
            </w:r>
          </w:p>
        </w:tc>
        <w:tc>
          <w:tcPr>
            <w:tcW w:w="0" w:type="dxa"/>
            <w:noWrap/>
            <w:vAlign w:val="center"/>
            <w:hideMark/>
          </w:tcPr>
          <w:p w14:paraId="7C9CE5B5"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3.9369</w:t>
            </w:r>
          </w:p>
        </w:tc>
        <w:tc>
          <w:tcPr>
            <w:tcW w:w="0" w:type="dxa"/>
            <w:noWrap/>
            <w:vAlign w:val="center"/>
            <w:hideMark/>
          </w:tcPr>
          <w:p w14:paraId="2A25578D"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1.1274</w:t>
            </w:r>
          </w:p>
        </w:tc>
      </w:tr>
      <w:tr w:rsidR="00CD0F5B" w:rsidRPr="002E1D31" w14:paraId="04A8F114" w14:textId="77777777" w:rsidTr="00877541">
        <w:trPr>
          <w:trHeight w:val="290"/>
        </w:trPr>
        <w:tc>
          <w:tcPr>
            <w:tcW w:w="2977" w:type="dxa"/>
            <w:noWrap/>
            <w:vAlign w:val="center"/>
            <w:hideMark/>
          </w:tcPr>
          <w:p w14:paraId="11E8447D" w14:textId="25CE96D0"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 xml:space="preserve">Articulated trucks: B-double: </w:t>
            </w:r>
            <w:r w:rsidR="0086444E">
              <w:rPr>
                <w:rFonts w:asciiTheme="minorHAnsi" w:hAnsiTheme="minorHAnsi" w:cstheme="minorHAnsi"/>
                <w:sz w:val="20"/>
                <w:szCs w:val="20"/>
                <w:lang w:eastAsia="en-AU"/>
              </w:rPr>
              <w:br/>
            </w:r>
            <w:r w:rsidRPr="00C4270B">
              <w:rPr>
                <w:rFonts w:asciiTheme="minorHAnsi" w:hAnsiTheme="minorHAnsi" w:cstheme="minorHAnsi"/>
                <w:sz w:val="20"/>
                <w:szCs w:val="20"/>
                <w:lang w:eastAsia="en-AU"/>
              </w:rPr>
              <w:t>≥ 9</w:t>
            </w:r>
            <w:r w:rsidR="00C4270B"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16983446"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2.9454</w:t>
            </w:r>
          </w:p>
        </w:tc>
        <w:tc>
          <w:tcPr>
            <w:tcW w:w="0" w:type="dxa"/>
            <w:noWrap/>
            <w:vAlign w:val="center"/>
            <w:hideMark/>
          </w:tcPr>
          <w:p w14:paraId="681A1222"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4.2018</w:t>
            </w:r>
          </w:p>
        </w:tc>
        <w:tc>
          <w:tcPr>
            <w:tcW w:w="0" w:type="dxa"/>
            <w:noWrap/>
            <w:vAlign w:val="center"/>
            <w:hideMark/>
          </w:tcPr>
          <w:p w14:paraId="4B367EBD"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1.2564</w:t>
            </w:r>
          </w:p>
        </w:tc>
      </w:tr>
      <w:tr w:rsidR="00CD0F5B" w:rsidRPr="002E1D31" w14:paraId="33465E27" w14:textId="77777777" w:rsidTr="00877541">
        <w:trPr>
          <w:trHeight w:val="290"/>
        </w:trPr>
        <w:tc>
          <w:tcPr>
            <w:tcW w:w="2977" w:type="dxa"/>
            <w:noWrap/>
            <w:vAlign w:val="center"/>
            <w:hideMark/>
          </w:tcPr>
          <w:p w14:paraId="60354CA1" w14:textId="77777777"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B-triple</w:t>
            </w:r>
          </w:p>
        </w:tc>
        <w:tc>
          <w:tcPr>
            <w:tcW w:w="1750" w:type="dxa"/>
            <w:noWrap/>
            <w:vAlign w:val="center"/>
            <w:hideMark/>
          </w:tcPr>
          <w:p w14:paraId="77C99773"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3.5240</w:t>
            </w:r>
          </w:p>
        </w:tc>
        <w:tc>
          <w:tcPr>
            <w:tcW w:w="0" w:type="dxa"/>
            <w:noWrap/>
            <w:vAlign w:val="center"/>
            <w:hideMark/>
          </w:tcPr>
          <w:p w14:paraId="0BC40440"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4.4652</w:t>
            </w:r>
          </w:p>
        </w:tc>
        <w:tc>
          <w:tcPr>
            <w:tcW w:w="0" w:type="dxa"/>
            <w:noWrap/>
            <w:vAlign w:val="center"/>
            <w:hideMark/>
          </w:tcPr>
          <w:p w14:paraId="79E3CD42"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0.9412</w:t>
            </w:r>
          </w:p>
        </w:tc>
      </w:tr>
      <w:tr w:rsidR="00CD0F5B" w:rsidRPr="002E1D31" w14:paraId="32636660" w14:textId="77777777" w:rsidTr="00877541">
        <w:trPr>
          <w:trHeight w:val="290"/>
        </w:trPr>
        <w:tc>
          <w:tcPr>
            <w:tcW w:w="2977" w:type="dxa"/>
            <w:noWrap/>
            <w:vAlign w:val="center"/>
            <w:hideMark/>
          </w:tcPr>
          <w:p w14:paraId="2D96DDB4" w14:textId="334688C7"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 xml:space="preserve">Articulated trucks: </w:t>
            </w:r>
            <w:r w:rsidR="009E39EE" w:rsidRPr="00C4270B">
              <w:rPr>
                <w:rFonts w:asciiTheme="minorHAnsi" w:hAnsiTheme="minorHAnsi" w:cstheme="minorHAnsi"/>
                <w:sz w:val="20"/>
                <w:szCs w:val="20"/>
                <w:lang w:eastAsia="en-AU"/>
              </w:rPr>
              <w:t>r</w:t>
            </w:r>
            <w:r w:rsidRPr="00C4270B">
              <w:rPr>
                <w:rFonts w:asciiTheme="minorHAnsi" w:hAnsiTheme="minorHAnsi" w:cstheme="minorHAnsi"/>
                <w:sz w:val="20"/>
                <w:szCs w:val="20"/>
                <w:lang w:eastAsia="en-AU"/>
              </w:rPr>
              <w:t>oad train: 2 trailers</w:t>
            </w:r>
          </w:p>
        </w:tc>
        <w:tc>
          <w:tcPr>
            <w:tcW w:w="1750" w:type="dxa"/>
            <w:noWrap/>
            <w:vAlign w:val="center"/>
            <w:hideMark/>
          </w:tcPr>
          <w:p w14:paraId="0FC40C93"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3.2747</w:t>
            </w:r>
          </w:p>
        </w:tc>
        <w:tc>
          <w:tcPr>
            <w:tcW w:w="0" w:type="dxa"/>
            <w:noWrap/>
            <w:vAlign w:val="center"/>
            <w:hideMark/>
          </w:tcPr>
          <w:p w14:paraId="6F231022"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3.3056</w:t>
            </w:r>
          </w:p>
        </w:tc>
        <w:tc>
          <w:tcPr>
            <w:tcW w:w="0" w:type="dxa"/>
            <w:noWrap/>
            <w:vAlign w:val="center"/>
            <w:hideMark/>
          </w:tcPr>
          <w:p w14:paraId="2F2ED30D"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0.0309</w:t>
            </w:r>
          </w:p>
        </w:tc>
      </w:tr>
      <w:tr w:rsidR="00CD0F5B" w:rsidRPr="002E1D31" w14:paraId="61DDB1C8" w14:textId="77777777" w:rsidTr="00877541">
        <w:trPr>
          <w:trHeight w:val="290"/>
        </w:trPr>
        <w:tc>
          <w:tcPr>
            <w:tcW w:w="2977" w:type="dxa"/>
            <w:noWrap/>
            <w:vAlign w:val="center"/>
            <w:hideMark/>
          </w:tcPr>
          <w:p w14:paraId="2A5B43BF" w14:textId="71511C02"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 xml:space="preserve">Articulated trucks: </w:t>
            </w:r>
            <w:r w:rsidR="009E39EE" w:rsidRPr="00C4270B">
              <w:rPr>
                <w:rFonts w:asciiTheme="minorHAnsi" w:hAnsiTheme="minorHAnsi" w:cstheme="minorHAnsi"/>
                <w:sz w:val="20"/>
                <w:szCs w:val="20"/>
                <w:lang w:eastAsia="en-AU"/>
              </w:rPr>
              <w:t>r</w:t>
            </w:r>
            <w:r w:rsidRPr="00C4270B">
              <w:rPr>
                <w:rFonts w:asciiTheme="minorHAnsi" w:hAnsiTheme="minorHAnsi" w:cstheme="minorHAnsi"/>
                <w:sz w:val="20"/>
                <w:szCs w:val="20"/>
                <w:lang w:eastAsia="en-AU"/>
              </w:rPr>
              <w:t>oad train: 3 trailers</w:t>
            </w:r>
          </w:p>
        </w:tc>
        <w:tc>
          <w:tcPr>
            <w:tcW w:w="1750" w:type="dxa"/>
            <w:noWrap/>
            <w:vAlign w:val="center"/>
            <w:hideMark/>
          </w:tcPr>
          <w:p w14:paraId="0A42CC2F"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4.1204</w:t>
            </w:r>
          </w:p>
        </w:tc>
        <w:tc>
          <w:tcPr>
            <w:tcW w:w="0" w:type="dxa"/>
            <w:noWrap/>
            <w:vAlign w:val="center"/>
            <w:hideMark/>
          </w:tcPr>
          <w:p w14:paraId="3F9FD9BA"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4.0652</w:t>
            </w:r>
          </w:p>
        </w:tc>
        <w:tc>
          <w:tcPr>
            <w:tcW w:w="0" w:type="dxa"/>
            <w:noWrap/>
            <w:vAlign w:val="center"/>
            <w:hideMark/>
          </w:tcPr>
          <w:p w14:paraId="72708650" w14:textId="238C5162" w:rsidR="00CD0F5B" w:rsidRPr="001C6A15" w:rsidRDefault="009E39EE" w:rsidP="0061165B">
            <w:pPr>
              <w:spacing w:before="0" w:after="0"/>
              <w:jc w:val="center"/>
              <w:rPr>
                <w:rFonts w:asciiTheme="majorHAnsi" w:hAnsiTheme="majorHAnsi" w:cstheme="majorHAnsi"/>
                <w:color w:val="9C0006"/>
                <w:sz w:val="20"/>
                <w:szCs w:val="20"/>
                <w:lang w:eastAsia="en-AU"/>
              </w:rPr>
            </w:pPr>
            <w:r w:rsidRPr="001C6A15">
              <w:rPr>
                <w:rFonts w:asciiTheme="majorHAnsi" w:hAnsiTheme="majorHAnsi" w:cstheme="majorHAnsi"/>
                <w:color w:val="9C0006"/>
                <w:sz w:val="20"/>
                <w:szCs w:val="20"/>
                <w:lang w:eastAsia="en-AU"/>
              </w:rPr>
              <w:t>−</w:t>
            </w:r>
            <w:r w:rsidR="00CD0F5B" w:rsidRPr="001C6A15">
              <w:rPr>
                <w:rFonts w:asciiTheme="majorHAnsi" w:hAnsiTheme="majorHAnsi" w:cstheme="majorHAnsi"/>
                <w:color w:val="9C0006"/>
                <w:sz w:val="20"/>
                <w:szCs w:val="20"/>
                <w:lang w:eastAsia="en-AU"/>
              </w:rPr>
              <w:t>0.0552</w:t>
            </w:r>
          </w:p>
        </w:tc>
      </w:tr>
      <w:tr w:rsidR="00CD0F5B" w:rsidRPr="002E1D31" w14:paraId="1593DE8F" w14:textId="77777777" w:rsidTr="00877541">
        <w:trPr>
          <w:trHeight w:val="290"/>
        </w:trPr>
        <w:tc>
          <w:tcPr>
            <w:tcW w:w="2977" w:type="dxa"/>
            <w:noWrap/>
            <w:vAlign w:val="center"/>
            <w:hideMark/>
          </w:tcPr>
          <w:p w14:paraId="10FA3647" w14:textId="623BE6C7"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Articulated trucks: single trailer: &gt; 6</w:t>
            </w:r>
            <w:r w:rsidR="009E39EE" w:rsidRPr="00C4270B">
              <w:rPr>
                <w:rFonts w:asciiTheme="minorHAnsi" w:hAnsiTheme="minorHAnsi" w:cstheme="minorHAnsi"/>
                <w:sz w:val="20"/>
                <w:szCs w:val="20"/>
                <w:lang w:eastAsia="en-AU"/>
              </w:rPr>
              <w:t>-</w:t>
            </w:r>
            <w:r w:rsidRPr="00C4270B">
              <w:rPr>
                <w:rFonts w:asciiTheme="minorHAnsi" w:hAnsiTheme="minorHAnsi" w:cstheme="minorHAnsi"/>
                <w:sz w:val="20"/>
                <w:szCs w:val="20"/>
                <w:lang w:eastAsia="en-AU"/>
              </w:rPr>
              <w:t>axle rig</w:t>
            </w:r>
          </w:p>
        </w:tc>
        <w:tc>
          <w:tcPr>
            <w:tcW w:w="1750" w:type="dxa"/>
            <w:noWrap/>
            <w:vAlign w:val="center"/>
            <w:hideMark/>
          </w:tcPr>
          <w:p w14:paraId="6A00F57E"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2.2993</w:t>
            </w:r>
          </w:p>
        </w:tc>
        <w:tc>
          <w:tcPr>
            <w:tcW w:w="0" w:type="dxa"/>
            <w:noWrap/>
            <w:vAlign w:val="center"/>
            <w:hideMark/>
          </w:tcPr>
          <w:p w14:paraId="41D6C95A"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2.7851</w:t>
            </w:r>
          </w:p>
        </w:tc>
        <w:tc>
          <w:tcPr>
            <w:tcW w:w="0" w:type="dxa"/>
            <w:noWrap/>
            <w:vAlign w:val="center"/>
            <w:hideMark/>
          </w:tcPr>
          <w:p w14:paraId="67F74EB8"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0.4858</w:t>
            </w:r>
          </w:p>
        </w:tc>
      </w:tr>
      <w:tr w:rsidR="00CD0F5B" w:rsidRPr="002E1D31" w14:paraId="50AAEE36" w14:textId="77777777" w:rsidTr="00877541">
        <w:trPr>
          <w:trHeight w:val="290"/>
        </w:trPr>
        <w:tc>
          <w:tcPr>
            <w:tcW w:w="2977" w:type="dxa"/>
            <w:noWrap/>
            <w:vAlign w:val="center"/>
            <w:hideMark/>
          </w:tcPr>
          <w:p w14:paraId="64CDD523" w14:textId="77777777" w:rsidR="00CD0F5B" w:rsidRPr="00C4270B" w:rsidRDefault="00CD0F5B" w:rsidP="0061165B">
            <w:pPr>
              <w:spacing w:before="0" w:after="0"/>
              <w:rPr>
                <w:rFonts w:asciiTheme="minorHAnsi" w:hAnsiTheme="minorHAnsi" w:cstheme="minorHAnsi"/>
                <w:color w:val="000000"/>
                <w:sz w:val="20"/>
                <w:szCs w:val="20"/>
                <w:lang w:eastAsia="en-AU"/>
              </w:rPr>
            </w:pPr>
            <w:r w:rsidRPr="00C4270B">
              <w:rPr>
                <w:rFonts w:asciiTheme="minorHAnsi" w:hAnsiTheme="minorHAnsi" w:cstheme="minorHAnsi"/>
                <w:color w:val="000000"/>
                <w:sz w:val="20"/>
                <w:szCs w:val="20"/>
                <w:lang w:eastAsia="en-AU"/>
              </w:rPr>
              <w:t>Other trucks (non-freight)</w:t>
            </w:r>
          </w:p>
        </w:tc>
        <w:tc>
          <w:tcPr>
            <w:tcW w:w="1750" w:type="dxa"/>
            <w:noWrap/>
            <w:vAlign w:val="center"/>
            <w:hideMark/>
          </w:tcPr>
          <w:p w14:paraId="47767A9A"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1.5458</w:t>
            </w:r>
          </w:p>
        </w:tc>
        <w:tc>
          <w:tcPr>
            <w:tcW w:w="0" w:type="dxa"/>
            <w:noWrap/>
            <w:vAlign w:val="center"/>
            <w:hideMark/>
          </w:tcPr>
          <w:p w14:paraId="274A4C73"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1.5120</w:t>
            </w:r>
          </w:p>
        </w:tc>
        <w:tc>
          <w:tcPr>
            <w:tcW w:w="0" w:type="dxa"/>
            <w:noWrap/>
            <w:vAlign w:val="center"/>
            <w:hideMark/>
          </w:tcPr>
          <w:p w14:paraId="68639DD5" w14:textId="0B4EC4BA" w:rsidR="00CD0F5B" w:rsidRPr="001C6A15" w:rsidRDefault="009E39EE" w:rsidP="0061165B">
            <w:pPr>
              <w:spacing w:before="0" w:after="0"/>
              <w:jc w:val="center"/>
              <w:rPr>
                <w:rFonts w:asciiTheme="majorHAnsi" w:hAnsiTheme="majorHAnsi" w:cstheme="majorHAnsi"/>
                <w:color w:val="9C0006"/>
                <w:sz w:val="20"/>
                <w:szCs w:val="20"/>
                <w:lang w:eastAsia="en-AU"/>
              </w:rPr>
            </w:pPr>
            <w:r w:rsidRPr="001C6A15">
              <w:rPr>
                <w:rFonts w:asciiTheme="majorHAnsi" w:hAnsiTheme="majorHAnsi" w:cstheme="majorHAnsi"/>
                <w:color w:val="9C0006"/>
                <w:sz w:val="20"/>
                <w:szCs w:val="20"/>
                <w:lang w:eastAsia="en-AU"/>
              </w:rPr>
              <w:t>−</w:t>
            </w:r>
            <w:r w:rsidR="00CD0F5B" w:rsidRPr="001C6A15">
              <w:rPr>
                <w:rFonts w:asciiTheme="majorHAnsi" w:hAnsiTheme="majorHAnsi" w:cstheme="majorHAnsi"/>
                <w:color w:val="9C0006"/>
                <w:sz w:val="20"/>
                <w:szCs w:val="20"/>
                <w:lang w:eastAsia="en-AU"/>
              </w:rPr>
              <w:t>0.0338</w:t>
            </w:r>
          </w:p>
        </w:tc>
      </w:tr>
      <w:tr w:rsidR="00CD0F5B" w:rsidRPr="002E1D31" w14:paraId="1F8F980D" w14:textId="77777777" w:rsidTr="00877541">
        <w:trPr>
          <w:trHeight w:val="290"/>
        </w:trPr>
        <w:tc>
          <w:tcPr>
            <w:tcW w:w="2977" w:type="dxa"/>
            <w:noWrap/>
            <w:vAlign w:val="center"/>
            <w:hideMark/>
          </w:tcPr>
          <w:p w14:paraId="488174CB" w14:textId="71E88FE3"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Buses: 2</w:t>
            </w:r>
            <w:r w:rsidR="00F206D4">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 xml:space="preserve">axles: 3.5 &lt; GVM </w:t>
            </w:r>
            <w:r w:rsidR="0086444E">
              <w:rPr>
                <w:rFonts w:asciiTheme="minorHAnsi" w:hAnsiTheme="minorHAnsi" w:cstheme="minorHAnsi"/>
                <w:sz w:val="20"/>
                <w:szCs w:val="20"/>
                <w:lang w:eastAsia="en-AU"/>
              </w:rPr>
              <w:br/>
            </w:r>
            <w:r w:rsidRPr="00C4270B">
              <w:rPr>
                <w:rFonts w:asciiTheme="minorHAnsi" w:hAnsiTheme="minorHAnsi" w:cstheme="minorHAnsi"/>
                <w:sz w:val="20"/>
                <w:szCs w:val="20"/>
                <w:lang w:eastAsia="en-AU"/>
              </w:rPr>
              <w:t>≤ 4.5 t</w:t>
            </w:r>
          </w:p>
        </w:tc>
        <w:tc>
          <w:tcPr>
            <w:tcW w:w="1750" w:type="dxa"/>
            <w:noWrap/>
            <w:vAlign w:val="center"/>
            <w:hideMark/>
          </w:tcPr>
          <w:p w14:paraId="296A6E28"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0.0200</w:t>
            </w:r>
          </w:p>
        </w:tc>
        <w:tc>
          <w:tcPr>
            <w:tcW w:w="0" w:type="dxa"/>
            <w:noWrap/>
            <w:vAlign w:val="center"/>
            <w:hideMark/>
          </w:tcPr>
          <w:p w14:paraId="7310C946"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0.0410</w:t>
            </w:r>
          </w:p>
        </w:tc>
        <w:tc>
          <w:tcPr>
            <w:tcW w:w="0" w:type="dxa"/>
            <w:noWrap/>
            <w:vAlign w:val="center"/>
            <w:hideMark/>
          </w:tcPr>
          <w:p w14:paraId="66066CFA"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0.0210</w:t>
            </w:r>
          </w:p>
        </w:tc>
      </w:tr>
      <w:tr w:rsidR="00CD0F5B" w:rsidRPr="002E1D31" w14:paraId="0123033F" w14:textId="77777777" w:rsidTr="00877541">
        <w:trPr>
          <w:trHeight w:val="290"/>
        </w:trPr>
        <w:tc>
          <w:tcPr>
            <w:tcW w:w="2977" w:type="dxa"/>
            <w:noWrap/>
            <w:vAlign w:val="center"/>
            <w:hideMark/>
          </w:tcPr>
          <w:p w14:paraId="62C8ED68" w14:textId="0DCBF783"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Buses: 2</w:t>
            </w:r>
            <w:r w:rsidR="00F206D4">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 xml:space="preserve">axles: 4.5 &lt; GVM </w:t>
            </w:r>
            <w:r w:rsidR="0086444E">
              <w:rPr>
                <w:rFonts w:asciiTheme="minorHAnsi" w:hAnsiTheme="minorHAnsi" w:cstheme="minorHAnsi"/>
                <w:sz w:val="20"/>
                <w:szCs w:val="20"/>
                <w:lang w:eastAsia="en-AU"/>
              </w:rPr>
              <w:br/>
            </w:r>
            <w:r w:rsidRPr="00C4270B">
              <w:rPr>
                <w:rFonts w:asciiTheme="minorHAnsi" w:hAnsiTheme="minorHAnsi" w:cstheme="minorHAnsi"/>
                <w:sz w:val="20"/>
                <w:szCs w:val="20"/>
                <w:lang w:eastAsia="en-AU"/>
              </w:rPr>
              <w:t>≤ 10.0 t</w:t>
            </w:r>
          </w:p>
        </w:tc>
        <w:tc>
          <w:tcPr>
            <w:tcW w:w="1750" w:type="dxa"/>
            <w:noWrap/>
            <w:vAlign w:val="center"/>
            <w:hideMark/>
          </w:tcPr>
          <w:p w14:paraId="5148A1F2"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0.0500</w:t>
            </w:r>
          </w:p>
        </w:tc>
        <w:tc>
          <w:tcPr>
            <w:tcW w:w="0" w:type="dxa"/>
            <w:noWrap/>
            <w:vAlign w:val="center"/>
            <w:hideMark/>
          </w:tcPr>
          <w:p w14:paraId="6A79A1B8"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0.1150</w:t>
            </w:r>
          </w:p>
        </w:tc>
        <w:tc>
          <w:tcPr>
            <w:tcW w:w="0" w:type="dxa"/>
            <w:noWrap/>
            <w:vAlign w:val="center"/>
            <w:hideMark/>
          </w:tcPr>
          <w:p w14:paraId="573E03C2"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0.0650</w:t>
            </w:r>
          </w:p>
        </w:tc>
      </w:tr>
      <w:tr w:rsidR="00CD0F5B" w:rsidRPr="002E1D31" w14:paraId="12F2895C" w14:textId="77777777" w:rsidTr="00877541">
        <w:trPr>
          <w:trHeight w:val="290"/>
        </w:trPr>
        <w:tc>
          <w:tcPr>
            <w:tcW w:w="2977" w:type="dxa"/>
            <w:noWrap/>
            <w:vAlign w:val="center"/>
            <w:hideMark/>
          </w:tcPr>
          <w:p w14:paraId="37402C3A" w14:textId="632EBF73"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Buses: 2</w:t>
            </w:r>
            <w:r w:rsidR="00F206D4">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 GVM &gt; 10.0 t</w:t>
            </w:r>
          </w:p>
        </w:tc>
        <w:tc>
          <w:tcPr>
            <w:tcW w:w="1750" w:type="dxa"/>
            <w:noWrap/>
            <w:vAlign w:val="center"/>
            <w:hideMark/>
          </w:tcPr>
          <w:p w14:paraId="33ED8A95"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1.0800</w:t>
            </w:r>
          </w:p>
        </w:tc>
        <w:tc>
          <w:tcPr>
            <w:tcW w:w="0" w:type="dxa"/>
            <w:noWrap/>
            <w:vAlign w:val="center"/>
            <w:hideMark/>
          </w:tcPr>
          <w:p w14:paraId="3AEA4F72" w14:textId="77777777" w:rsidR="00CD0F5B" w:rsidRPr="001C6A15" w:rsidRDefault="00CD0F5B" w:rsidP="0061165B">
            <w:pPr>
              <w:spacing w:before="0" w:after="0"/>
              <w:jc w:val="center"/>
              <w:rPr>
                <w:rFonts w:asciiTheme="majorHAnsi" w:hAnsiTheme="majorHAnsi" w:cstheme="majorHAnsi"/>
                <w:color w:val="000000"/>
                <w:sz w:val="20"/>
                <w:szCs w:val="20"/>
                <w:lang w:eastAsia="en-AU"/>
              </w:rPr>
            </w:pPr>
            <w:r w:rsidRPr="001C6A15">
              <w:rPr>
                <w:rFonts w:asciiTheme="majorHAnsi" w:hAnsiTheme="majorHAnsi" w:cstheme="majorHAnsi"/>
                <w:color w:val="000000"/>
                <w:sz w:val="20"/>
                <w:szCs w:val="20"/>
                <w:lang w:eastAsia="en-AU"/>
              </w:rPr>
              <w:t>2.3777</w:t>
            </w:r>
          </w:p>
        </w:tc>
        <w:tc>
          <w:tcPr>
            <w:tcW w:w="0" w:type="dxa"/>
            <w:noWrap/>
            <w:vAlign w:val="center"/>
            <w:hideMark/>
          </w:tcPr>
          <w:p w14:paraId="49F68FAC" w14:textId="77777777" w:rsidR="00CD0F5B" w:rsidRPr="001C6A15" w:rsidRDefault="00CD0F5B" w:rsidP="0061165B">
            <w:pPr>
              <w:spacing w:before="0" w:after="0"/>
              <w:jc w:val="center"/>
              <w:rPr>
                <w:rFonts w:asciiTheme="majorHAnsi" w:hAnsiTheme="majorHAnsi" w:cstheme="majorHAnsi"/>
                <w:color w:val="006100"/>
                <w:sz w:val="20"/>
                <w:szCs w:val="20"/>
                <w:lang w:eastAsia="en-AU"/>
              </w:rPr>
            </w:pPr>
            <w:r w:rsidRPr="001C6A15">
              <w:rPr>
                <w:rFonts w:asciiTheme="majorHAnsi" w:hAnsiTheme="majorHAnsi" w:cstheme="majorHAnsi"/>
                <w:color w:val="006100"/>
                <w:sz w:val="20"/>
                <w:szCs w:val="20"/>
                <w:lang w:eastAsia="en-AU"/>
              </w:rPr>
              <w:t>1.2977</w:t>
            </w:r>
          </w:p>
        </w:tc>
      </w:tr>
      <w:tr w:rsidR="004A62E1" w:rsidRPr="002E1D31" w14:paraId="24688A4A" w14:textId="77777777" w:rsidTr="001C6A15">
        <w:trPr>
          <w:trHeight w:val="290"/>
        </w:trPr>
        <w:tc>
          <w:tcPr>
            <w:tcW w:w="2977" w:type="dxa"/>
            <w:noWrap/>
            <w:vAlign w:val="center"/>
            <w:hideMark/>
          </w:tcPr>
          <w:p w14:paraId="7D8C5A05" w14:textId="764409C3" w:rsidR="004A62E1" w:rsidRPr="00C4270B" w:rsidRDefault="004A62E1" w:rsidP="004A62E1">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Buses: ≥ 3</w:t>
            </w:r>
            <w:r>
              <w:rPr>
                <w:rFonts w:asciiTheme="minorHAnsi" w:hAnsiTheme="minorHAnsi" w:cstheme="minorHAnsi"/>
                <w:sz w:val="20"/>
                <w:szCs w:val="20"/>
                <w:lang w:eastAsia="en-AU"/>
              </w:rPr>
              <w:t xml:space="preserve"> </w:t>
            </w:r>
            <w:r w:rsidRPr="00C4270B">
              <w:rPr>
                <w:rFonts w:asciiTheme="minorHAnsi" w:hAnsiTheme="minorHAnsi" w:cstheme="minorHAnsi"/>
                <w:sz w:val="20"/>
                <w:szCs w:val="20"/>
                <w:lang w:eastAsia="en-AU"/>
              </w:rPr>
              <w:t>axles</w:t>
            </w:r>
          </w:p>
        </w:tc>
        <w:tc>
          <w:tcPr>
            <w:tcW w:w="1750" w:type="dxa"/>
            <w:noWrap/>
            <w:vAlign w:val="center"/>
            <w:hideMark/>
          </w:tcPr>
          <w:p w14:paraId="0C667C96" w14:textId="77777777" w:rsidR="004A62E1" w:rsidRPr="001C6A15" w:rsidRDefault="004A62E1" w:rsidP="001C6A15">
            <w:pPr>
              <w:spacing w:before="0" w:after="0"/>
              <w:jc w:val="center"/>
              <w:rPr>
                <w:rFonts w:asciiTheme="minorHAnsi" w:hAnsiTheme="minorHAnsi" w:cstheme="minorHAnsi"/>
                <w:color w:val="000000"/>
                <w:sz w:val="20"/>
                <w:szCs w:val="20"/>
                <w:lang w:eastAsia="en-AU"/>
              </w:rPr>
            </w:pPr>
            <w:r w:rsidRPr="001C6A15">
              <w:rPr>
                <w:rFonts w:asciiTheme="minorHAnsi" w:hAnsiTheme="minorHAnsi" w:cstheme="minorHAnsi"/>
                <w:color w:val="000000"/>
                <w:sz w:val="20"/>
                <w:szCs w:val="20"/>
                <w:lang w:eastAsia="en-AU"/>
              </w:rPr>
              <w:t>0.9100</w:t>
            </w:r>
          </w:p>
        </w:tc>
        <w:tc>
          <w:tcPr>
            <w:tcW w:w="0" w:type="dxa"/>
            <w:noWrap/>
            <w:vAlign w:val="center"/>
            <w:hideMark/>
          </w:tcPr>
          <w:p w14:paraId="52C64941" w14:textId="6C1CDBF7" w:rsidR="004A62E1" w:rsidRPr="001C6A15" w:rsidRDefault="004A62E1" w:rsidP="001C6A15">
            <w:pPr>
              <w:spacing w:before="0" w:after="0"/>
              <w:jc w:val="center"/>
              <w:rPr>
                <w:rFonts w:asciiTheme="minorHAnsi" w:hAnsiTheme="minorHAnsi" w:cstheme="minorHAnsi"/>
                <w:color w:val="000000"/>
                <w:sz w:val="20"/>
                <w:szCs w:val="20"/>
                <w:lang w:eastAsia="en-AU"/>
              </w:rPr>
            </w:pPr>
            <w:r w:rsidRPr="001C6A15">
              <w:rPr>
                <w:rFonts w:asciiTheme="minorHAnsi" w:hAnsiTheme="minorHAnsi" w:cstheme="minorHAnsi"/>
                <w:color w:val="000000"/>
                <w:sz w:val="20"/>
                <w:szCs w:val="20"/>
                <w:lang w:eastAsia="en-AU"/>
              </w:rPr>
              <w:t>3.8536</w:t>
            </w:r>
          </w:p>
        </w:tc>
        <w:tc>
          <w:tcPr>
            <w:tcW w:w="0" w:type="dxa"/>
            <w:noWrap/>
            <w:vAlign w:val="center"/>
            <w:hideMark/>
          </w:tcPr>
          <w:p w14:paraId="1BF51663" w14:textId="76CAACE3" w:rsidR="004A62E1" w:rsidRPr="001C6A15" w:rsidRDefault="004A62E1" w:rsidP="001C6A15">
            <w:pPr>
              <w:spacing w:before="0" w:after="0"/>
              <w:jc w:val="center"/>
              <w:rPr>
                <w:rFonts w:asciiTheme="minorHAnsi" w:hAnsiTheme="minorHAnsi" w:cstheme="minorHAnsi"/>
                <w:color w:val="006100"/>
                <w:sz w:val="20"/>
                <w:szCs w:val="20"/>
                <w:lang w:eastAsia="en-AU"/>
              </w:rPr>
            </w:pPr>
            <w:r w:rsidRPr="001C6A15">
              <w:rPr>
                <w:rFonts w:asciiTheme="minorHAnsi" w:hAnsiTheme="minorHAnsi" w:cstheme="minorHAnsi"/>
                <w:color w:val="006100"/>
                <w:sz w:val="20"/>
                <w:szCs w:val="20"/>
                <w:lang w:eastAsia="en-AU"/>
              </w:rPr>
              <w:t>2.9436</w:t>
            </w:r>
          </w:p>
        </w:tc>
      </w:tr>
      <w:tr w:rsidR="00CD0F5B" w:rsidRPr="002E1D31" w14:paraId="54944310" w14:textId="77777777" w:rsidTr="001C6A15">
        <w:trPr>
          <w:trHeight w:val="300"/>
        </w:trPr>
        <w:tc>
          <w:tcPr>
            <w:tcW w:w="2977" w:type="dxa"/>
            <w:noWrap/>
            <w:vAlign w:val="center"/>
            <w:hideMark/>
          </w:tcPr>
          <w:p w14:paraId="598E06CF" w14:textId="77777777" w:rsidR="00CD0F5B" w:rsidRPr="00C4270B" w:rsidRDefault="00CD0F5B" w:rsidP="0061165B">
            <w:pPr>
              <w:spacing w:before="0" w:after="0"/>
              <w:rPr>
                <w:rFonts w:asciiTheme="minorHAnsi" w:hAnsiTheme="minorHAnsi" w:cstheme="minorHAnsi"/>
                <w:sz w:val="20"/>
                <w:szCs w:val="20"/>
                <w:lang w:eastAsia="en-AU"/>
              </w:rPr>
            </w:pPr>
            <w:r w:rsidRPr="00C4270B">
              <w:rPr>
                <w:rFonts w:asciiTheme="minorHAnsi" w:hAnsiTheme="minorHAnsi" w:cstheme="minorHAnsi"/>
                <w:sz w:val="20"/>
                <w:szCs w:val="20"/>
                <w:lang w:eastAsia="en-AU"/>
              </w:rPr>
              <w:t>Buses: articulated</w:t>
            </w:r>
          </w:p>
        </w:tc>
        <w:tc>
          <w:tcPr>
            <w:tcW w:w="1750" w:type="dxa"/>
            <w:noWrap/>
            <w:vAlign w:val="center"/>
            <w:hideMark/>
          </w:tcPr>
          <w:p w14:paraId="38A80971" w14:textId="77777777" w:rsidR="00CD0F5B" w:rsidRPr="001C6A15" w:rsidRDefault="00CD0F5B" w:rsidP="001C6A15">
            <w:pPr>
              <w:spacing w:before="0" w:after="0"/>
              <w:jc w:val="center"/>
              <w:rPr>
                <w:rFonts w:asciiTheme="minorHAnsi" w:hAnsiTheme="minorHAnsi" w:cstheme="minorHAnsi"/>
                <w:color w:val="000000"/>
                <w:sz w:val="20"/>
                <w:szCs w:val="20"/>
                <w:lang w:eastAsia="en-AU"/>
              </w:rPr>
            </w:pPr>
            <w:r w:rsidRPr="001C6A15">
              <w:rPr>
                <w:rFonts w:asciiTheme="minorHAnsi" w:hAnsiTheme="minorHAnsi" w:cstheme="minorHAnsi"/>
                <w:color w:val="000000"/>
                <w:sz w:val="20"/>
                <w:szCs w:val="20"/>
                <w:lang w:eastAsia="en-AU"/>
              </w:rPr>
              <w:t>1.3250</w:t>
            </w:r>
          </w:p>
        </w:tc>
        <w:tc>
          <w:tcPr>
            <w:tcW w:w="0" w:type="dxa"/>
            <w:noWrap/>
            <w:vAlign w:val="center"/>
            <w:hideMark/>
          </w:tcPr>
          <w:p w14:paraId="217F1084" w14:textId="5C61A5A7" w:rsidR="00CD0F5B" w:rsidRPr="001C6A15" w:rsidRDefault="00C96370" w:rsidP="001C6A15">
            <w:pPr>
              <w:spacing w:before="0" w:after="0"/>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2.5275</w:t>
            </w:r>
          </w:p>
        </w:tc>
        <w:tc>
          <w:tcPr>
            <w:tcW w:w="0" w:type="dxa"/>
            <w:noWrap/>
            <w:vAlign w:val="center"/>
            <w:hideMark/>
          </w:tcPr>
          <w:p w14:paraId="22A950FA" w14:textId="546FB970" w:rsidR="00CD0F5B" w:rsidRPr="008746CF" w:rsidRDefault="00C96370" w:rsidP="001C6A15">
            <w:pPr>
              <w:spacing w:before="0" w:after="0"/>
              <w:jc w:val="center"/>
              <w:rPr>
                <w:rFonts w:asciiTheme="minorHAnsi" w:hAnsiTheme="minorHAnsi" w:cstheme="minorHAnsi"/>
                <w:color w:val="9C0006"/>
                <w:sz w:val="20"/>
                <w:szCs w:val="20"/>
                <w:lang w:eastAsia="en-AU"/>
              </w:rPr>
            </w:pPr>
            <w:r w:rsidRPr="008746CF">
              <w:rPr>
                <w:rFonts w:asciiTheme="minorHAnsi" w:hAnsiTheme="minorHAnsi" w:cstheme="minorHAnsi"/>
                <w:color w:val="006100"/>
                <w:sz w:val="20"/>
                <w:szCs w:val="20"/>
                <w:lang w:eastAsia="en-AU"/>
              </w:rPr>
              <w:t>1.2025</w:t>
            </w:r>
          </w:p>
        </w:tc>
      </w:tr>
    </w:tbl>
    <w:p w14:paraId="56DD9826" w14:textId="77777777" w:rsidR="00CD0F5B" w:rsidRDefault="00CD0F5B" w:rsidP="00CD0F5B">
      <w:pPr>
        <w:pStyle w:val="Heading3"/>
      </w:pPr>
      <w:bookmarkStart w:id="183" w:name="_Toc86158429"/>
      <w:r>
        <w:t>Results</w:t>
      </w:r>
      <w:bookmarkEnd w:id="183"/>
      <w:r>
        <w:t xml:space="preserve"> </w:t>
      </w:r>
    </w:p>
    <w:p w14:paraId="0E22D3C2" w14:textId="627A95AF" w:rsidR="00CD0F5B" w:rsidRPr="002B3467" w:rsidRDefault="00CD0F5B" w:rsidP="00CD0F5B">
      <w:pPr>
        <w:pStyle w:val="BodyCopy"/>
      </w:pPr>
      <w:r w:rsidRPr="002B3467">
        <w:t xml:space="preserve">The impact of the revised </w:t>
      </w:r>
      <w:r>
        <w:t>ESAs</w:t>
      </w:r>
      <w:r w:rsidRPr="002B3467">
        <w:t xml:space="preserve"> on ESA</w:t>
      </w:r>
      <w:r>
        <w:t>-km</w:t>
      </w:r>
      <w:r w:rsidRPr="002B3467">
        <w:t xml:space="preserve"> cost allocation in the PAYGO model by NTC vehicle class is shown in </w:t>
      </w:r>
      <w:r w:rsidR="00A51AFA">
        <w:fldChar w:fldCharType="begin"/>
      </w:r>
      <w:r w:rsidR="00A51AFA">
        <w:instrText xml:space="preserve"> REF _Ref82162830 \r \h </w:instrText>
      </w:r>
      <w:r w:rsidR="00A51AFA">
        <w:fldChar w:fldCharType="separate"/>
      </w:r>
      <w:r w:rsidR="00225EEA">
        <w:t>Table 8</w:t>
      </w:r>
      <w:r w:rsidR="00A51AFA">
        <w:fldChar w:fldCharType="end"/>
      </w:r>
      <w:r>
        <w:t>.</w:t>
      </w:r>
      <w:r w:rsidRPr="002B3467">
        <w:t xml:space="preserve"> An important aspect of the result</w:t>
      </w:r>
      <w:r w:rsidR="0086444E">
        <w:t>s</w:t>
      </w:r>
      <w:r w:rsidRPr="002B3467">
        <w:t xml:space="preserve"> shown in this table is that the overall amount of cost allocated nationally on an ESA</w:t>
      </w:r>
      <w:r>
        <w:t>-km</w:t>
      </w:r>
      <w:r w:rsidRPr="002B3467">
        <w:t xml:space="preserve"> basis remains unchanged </w:t>
      </w:r>
      <w:r w:rsidRPr="002B3467">
        <w:lastRenderedPageBreak/>
        <w:t xml:space="preserve">when a revision to ESA values by vehicle </w:t>
      </w:r>
      <w:r>
        <w:t>class</w:t>
      </w:r>
      <w:r w:rsidRPr="002B3467">
        <w:t xml:space="preserve"> occurs. What changes is the distribution of that ESA</w:t>
      </w:r>
      <w:r>
        <w:t>-km</w:t>
      </w:r>
      <w:r w:rsidRPr="002B3467">
        <w:t xml:space="preserve"> allocated costs between one vehicle </w:t>
      </w:r>
      <w:r>
        <w:t>class or group</w:t>
      </w:r>
      <w:r w:rsidRPr="002B3467">
        <w:t xml:space="preserve"> and another.</w:t>
      </w:r>
      <w:r w:rsidR="00830D17">
        <w:t xml:space="preserve"> </w:t>
      </w:r>
      <w:r w:rsidRPr="002B3467">
        <w:t xml:space="preserve">As shown in </w:t>
      </w:r>
      <w:r w:rsidR="00F206D4">
        <w:t>the table,</w:t>
      </w:r>
      <w:r w:rsidRPr="002B3467">
        <w:t xml:space="preserve"> the total amount of ESA</w:t>
      </w:r>
      <w:r>
        <w:t>-km</w:t>
      </w:r>
      <w:r w:rsidRPr="002B3467">
        <w:t xml:space="preserve"> allocated cost remains unchanged at $</w:t>
      </w:r>
      <w:r w:rsidR="721A43B3">
        <w:t>2</w:t>
      </w:r>
      <w:r>
        <w:t>,</w:t>
      </w:r>
      <w:r w:rsidR="44700A67">
        <w:t>067</w:t>
      </w:r>
      <w:r w:rsidR="00D66039" w:rsidRPr="00D66039">
        <w:t xml:space="preserve"> </w:t>
      </w:r>
      <w:r w:rsidR="00D66039">
        <w:t>million</w:t>
      </w:r>
      <w:r w:rsidR="00D66039" w:rsidRPr="002B3467" w:rsidDel="00D66039">
        <w:t xml:space="preserve"> </w:t>
      </w:r>
      <w:r w:rsidRPr="002B3467">
        <w:t xml:space="preserve">under both the current </w:t>
      </w:r>
      <w:r>
        <w:t>ESAs</w:t>
      </w:r>
      <w:r w:rsidRPr="002B3467">
        <w:t xml:space="preserve"> and revised </w:t>
      </w:r>
      <w:r>
        <w:t xml:space="preserve">ESAs for the </w:t>
      </w:r>
      <w:r w:rsidR="6C2AC05D">
        <w:t>20</w:t>
      </w:r>
      <w:r w:rsidR="0AE6C68F">
        <w:t>2</w:t>
      </w:r>
      <w:r w:rsidR="172F36B0">
        <w:t>2</w:t>
      </w:r>
      <w:r w:rsidR="1DACF65C">
        <w:t>–</w:t>
      </w:r>
      <w:r w:rsidR="0AE6C68F">
        <w:t>2</w:t>
      </w:r>
      <w:r w:rsidR="465A366E">
        <w:t>3</w:t>
      </w:r>
      <w:r w:rsidRPr="002E7E25">
        <w:t xml:space="preserve"> charges year. However, there are changes in ESA-km allocated cost by vehicle </w:t>
      </w:r>
      <w:r w:rsidR="00696E4E" w:rsidRPr="002E7E25">
        <w:t>subgroup</w:t>
      </w:r>
      <w:r w:rsidRPr="002E7E25">
        <w:t xml:space="preserve">. </w:t>
      </w:r>
      <w:r w:rsidR="00C46660" w:rsidRPr="002E7E25">
        <w:t xml:space="preserve">Note, </w:t>
      </w:r>
      <w:r w:rsidR="00952C68" w:rsidRPr="002E7E25">
        <w:t xml:space="preserve">the revised values in </w:t>
      </w:r>
      <w:r w:rsidR="00A51AFA">
        <w:fldChar w:fldCharType="begin"/>
      </w:r>
      <w:r w:rsidR="00A51AFA">
        <w:instrText xml:space="preserve"> REF _Ref82162857 \r \h </w:instrText>
      </w:r>
      <w:r w:rsidR="00A51AFA">
        <w:fldChar w:fldCharType="separate"/>
      </w:r>
      <w:r w:rsidR="00225EEA">
        <w:t>Table 8</w:t>
      </w:r>
      <w:r w:rsidR="00A51AFA">
        <w:fldChar w:fldCharType="end"/>
      </w:r>
      <w:r w:rsidR="00952C68" w:rsidRPr="002E7E25">
        <w:t xml:space="preserve"> are similar but not the same as occurs in the PAYGO model options referred to later in this report that incorporate other</w:t>
      </w:r>
      <w:r w:rsidR="001C10D3" w:rsidRPr="002E7E25">
        <w:t xml:space="preserve"> model changes as well.</w:t>
      </w:r>
    </w:p>
    <w:p w14:paraId="692266CE" w14:textId="6E6388AA" w:rsidR="00CD0F5B" w:rsidRPr="002B3467" w:rsidRDefault="00CD0F5B" w:rsidP="00CD0F5B">
      <w:pPr>
        <w:pStyle w:val="BodyCopy"/>
      </w:pPr>
      <w:r w:rsidRPr="002B3467">
        <w:t>The new ESA values have resulted in the heavy vehicle sector increasing its share of ESA</w:t>
      </w:r>
      <w:r>
        <w:t>-km</w:t>
      </w:r>
      <w:r w:rsidRPr="002B3467">
        <w:t xml:space="preserve"> attributable cost from 9</w:t>
      </w:r>
      <w:r>
        <w:t>4</w:t>
      </w:r>
      <w:r w:rsidRPr="002B3467">
        <w:t xml:space="preserve"> per cent currently to 9</w:t>
      </w:r>
      <w:r>
        <w:t>9</w:t>
      </w:r>
      <w:r w:rsidRPr="002B3467">
        <w:t xml:space="preserve"> per cent</w:t>
      </w:r>
      <w:r>
        <w:t>. Light</w:t>
      </w:r>
      <w:r w:rsidRPr="002B3467">
        <w:t xml:space="preserve"> vehicles </w:t>
      </w:r>
      <w:r>
        <w:t>in aggregate reduced their</w:t>
      </w:r>
      <w:r w:rsidRPr="002B3467">
        <w:t xml:space="preserve"> share of ESA</w:t>
      </w:r>
      <w:r>
        <w:t>-km</w:t>
      </w:r>
      <w:r w:rsidRPr="002B3467">
        <w:t xml:space="preserve"> allocated cost by $</w:t>
      </w:r>
      <w:r w:rsidR="00C9627D">
        <w:t>9</w:t>
      </w:r>
      <w:r w:rsidR="02180005">
        <w:t>7</w:t>
      </w:r>
      <w:r w:rsidR="00D66039" w:rsidRPr="00D66039">
        <w:t xml:space="preserve"> </w:t>
      </w:r>
      <w:r w:rsidR="00D66039">
        <w:t>million</w:t>
      </w:r>
      <w:r>
        <w:t xml:space="preserve"> (</w:t>
      </w:r>
      <w:r w:rsidRPr="002B3467">
        <w:t>due to reduced ESA values for light commercial and light rigid truc</w:t>
      </w:r>
      <w:r>
        <w:t>ks).</w:t>
      </w:r>
    </w:p>
    <w:p w14:paraId="67CEE8EA" w14:textId="47AEB41C" w:rsidR="00CD0F5B" w:rsidRPr="002B3467" w:rsidRDefault="00CD0F5B" w:rsidP="00CD0F5B">
      <w:pPr>
        <w:pStyle w:val="BodyCopy"/>
      </w:pPr>
      <w:r w:rsidRPr="002B3467">
        <w:t>In contrast the heavy vehicle share of ESA</w:t>
      </w:r>
      <w:r>
        <w:t>-km</w:t>
      </w:r>
      <w:r w:rsidRPr="002B3467">
        <w:t xml:space="preserve"> allocated cost rose by $</w:t>
      </w:r>
      <w:r w:rsidR="00C9627D">
        <w:t>9</w:t>
      </w:r>
      <w:r w:rsidR="7F8696E0">
        <w:t>7</w:t>
      </w:r>
      <w:r w:rsidR="00D66039" w:rsidRPr="00D66039">
        <w:t xml:space="preserve"> </w:t>
      </w:r>
      <w:r w:rsidR="00D66039">
        <w:t>million</w:t>
      </w:r>
      <w:r w:rsidRPr="002B3467">
        <w:t>. Within the heavy vehicle sub</w:t>
      </w:r>
      <w:r>
        <w:t>groups in</w:t>
      </w:r>
      <w:r w:rsidR="00F206D4">
        <w:t xml:space="preserve"> </w:t>
      </w:r>
      <w:r w:rsidR="00F16529">
        <w:fldChar w:fldCharType="begin"/>
      </w:r>
      <w:r w:rsidR="00F16529">
        <w:instrText xml:space="preserve"> REF _Ref82162915 \r \h </w:instrText>
      </w:r>
      <w:r w:rsidR="00F16529">
        <w:fldChar w:fldCharType="separate"/>
      </w:r>
      <w:r w:rsidR="00225EEA">
        <w:t>Table 8</w:t>
      </w:r>
      <w:r w:rsidR="00F16529">
        <w:fldChar w:fldCharType="end"/>
      </w:r>
      <w:r>
        <w:t>,</w:t>
      </w:r>
      <w:r w:rsidRPr="002B3467">
        <w:t xml:space="preserve"> ESA</w:t>
      </w:r>
      <w:r>
        <w:t>-km</w:t>
      </w:r>
      <w:r w:rsidRPr="002B3467">
        <w:t xml:space="preserve"> allocated cost rose by $</w:t>
      </w:r>
      <w:r w:rsidR="00C9627D">
        <w:t>10</w:t>
      </w:r>
      <w:r w:rsidR="7580C315">
        <w:t>0</w:t>
      </w:r>
      <w:r w:rsidR="00D66039" w:rsidRPr="00D66039">
        <w:t xml:space="preserve"> </w:t>
      </w:r>
      <w:r w:rsidR="00D66039">
        <w:t>million</w:t>
      </w:r>
      <w:r w:rsidRPr="002B3467">
        <w:t xml:space="preserve"> </w:t>
      </w:r>
      <w:r>
        <w:t xml:space="preserve">for </w:t>
      </w:r>
      <w:r w:rsidR="00C9627D">
        <w:t xml:space="preserve">articulated </w:t>
      </w:r>
      <w:r>
        <w:t xml:space="preserve">trucks </w:t>
      </w:r>
      <w:r w:rsidRPr="002B3467">
        <w:t xml:space="preserve">and </w:t>
      </w:r>
      <w:r>
        <w:t>by $</w:t>
      </w:r>
      <w:r w:rsidR="00C9627D">
        <w:t>6</w:t>
      </w:r>
      <w:r w:rsidR="35E0B8D9">
        <w:t>9</w:t>
      </w:r>
      <w:r w:rsidR="00D66039">
        <w:t xml:space="preserve"> </w:t>
      </w:r>
      <w:r>
        <w:t>m</w:t>
      </w:r>
      <w:r w:rsidR="00D66039">
        <w:t>illion</w:t>
      </w:r>
      <w:r>
        <w:t xml:space="preserve"> for </w:t>
      </w:r>
      <w:r w:rsidRPr="002B3467">
        <w:t>buse</w:t>
      </w:r>
      <w:r>
        <w:t>s.</w:t>
      </w:r>
      <w:r w:rsidRPr="002B3467">
        <w:t xml:space="preserve"> However, ESA</w:t>
      </w:r>
      <w:r>
        <w:t>-km</w:t>
      </w:r>
      <w:r w:rsidRPr="002B3467">
        <w:t xml:space="preserve"> allocated cost for </w:t>
      </w:r>
      <w:r w:rsidR="00C9627D">
        <w:t xml:space="preserve">rigid </w:t>
      </w:r>
      <w:r w:rsidRPr="002B3467">
        <w:t>trucks overall fell by $</w:t>
      </w:r>
      <w:r w:rsidR="00C9627D">
        <w:t>7</w:t>
      </w:r>
      <w:r w:rsidR="15872309">
        <w:t>1</w:t>
      </w:r>
      <w:r w:rsidR="00D66039">
        <w:t xml:space="preserve"> </w:t>
      </w:r>
      <w:r>
        <w:t>m</w:t>
      </w:r>
      <w:r w:rsidR="00D66039">
        <w:t>illion</w:t>
      </w:r>
      <w:r>
        <w:t xml:space="preserve"> and for </w:t>
      </w:r>
      <w:r w:rsidR="00696E4E">
        <w:t>non-freight</w:t>
      </w:r>
      <w:r>
        <w:t xml:space="preserve"> trucks by $</w:t>
      </w:r>
      <w:r w:rsidR="00C9627D">
        <w:t>1</w:t>
      </w:r>
      <w:r w:rsidR="00D66039">
        <w:t xml:space="preserve"> </w:t>
      </w:r>
      <w:r>
        <w:t>m</w:t>
      </w:r>
      <w:r w:rsidR="00D66039">
        <w:t>illion</w:t>
      </w:r>
      <w:r>
        <w:t>.</w:t>
      </w:r>
    </w:p>
    <w:tbl>
      <w:tblPr>
        <w:tblW w:w="9072" w:type="dxa"/>
        <w:tblLayout w:type="fixed"/>
        <w:tblLook w:val="04A0" w:firstRow="1" w:lastRow="0" w:firstColumn="1" w:lastColumn="0" w:noHBand="0" w:noVBand="1"/>
      </w:tblPr>
      <w:tblGrid>
        <w:gridCol w:w="2520"/>
        <w:gridCol w:w="2184"/>
        <w:gridCol w:w="2184"/>
        <w:gridCol w:w="2184"/>
      </w:tblGrid>
      <w:tr w:rsidR="006A5D68" w:rsidRPr="005F0475" w14:paraId="06D73F48" w14:textId="77777777" w:rsidTr="006A5D68">
        <w:trPr>
          <w:trHeight w:val="300"/>
        </w:trPr>
        <w:tc>
          <w:tcPr>
            <w:tcW w:w="9072" w:type="dxa"/>
            <w:gridSpan w:val="4"/>
            <w:tcBorders>
              <w:top w:val="nil"/>
              <w:left w:val="nil"/>
              <w:right w:val="nil"/>
            </w:tcBorders>
            <w:shd w:val="clear" w:color="auto" w:fill="auto"/>
            <w:noWrap/>
            <w:vAlign w:val="bottom"/>
            <w:hideMark/>
          </w:tcPr>
          <w:p w14:paraId="77A24BBC" w14:textId="7B84FBDF" w:rsidR="006A5D68" w:rsidRPr="005F0475" w:rsidRDefault="006A5D68" w:rsidP="009E39EE">
            <w:pPr>
              <w:pStyle w:val="Tabletitle"/>
              <w:ind w:right="-2214"/>
              <w:rPr>
                <w:lang w:eastAsia="en-AU"/>
              </w:rPr>
            </w:pPr>
            <w:bookmarkStart w:id="184" w:name="_Ref82162830"/>
            <w:bookmarkStart w:id="185" w:name="_Ref82162857"/>
            <w:bookmarkStart w:id="186" w:name="_Ref82162915"/>
            <w:bookmarkStart w:id="187" w:name="_Toc86158547"/>
            <w:r w:rsidRPr="005F0475">
              <w:rPr>
                <w:lang w:eastAsia="en-AU"/>
              </w:rPr>
              <w:t xml:space="preserve">Impact of new ESAs </w:t>
            </w:r>
            <w:r>
              <w:rPr>
                <w:lang w:eastAsia="en-AU"/>
              </w:rPr>
              <w:t xml:space="preserve">on </w:t>
            </w:r>
            <w:r w:rsidRPr="005F0475">
              <w:rPr>
                <w:lang w:eastAsia="en-AU"/>
              </w:rPr>
              <w:t>allocated cost</w:t>
            </w:r>
            <w:bookmarkEnd w:id="184"/>
            <w:bookmarkEnd w:id="185"/>
            <w:bookmarkEnd w:id="186"/>
            <w:bookmarkEnd w:id="187"/>
            <w:r w:rsidRPr="005F0475">
              <w:rPr>
                <w:lang w:eastAsia="en-AU"/>
              </w:rPr>
              <w:t xml:space="preserve"> </w:t>
            </w:r>
          </w:p>
        </w:tc>
      </w:tr>
      <w:tr w:rsidR="00CD0F5B" w:rsidRPr="005F0475" w14:paraId="4E7FA2C1" w14:textId="77777777" w:rsidTr="006A5D68">
        <w:trPr>
          <w:trHeight w:val="830"/>
        </w:trPr>
        <w:tc>
          <w:tcPr>
            <w:tcW w:w="2520" w:type="dxa"/>
            <w:tcBorders>
              <w:bottom w:val="single" w:sz="4" w:space="0" w:color="auto"/>
              <w:right w:val="single" w:sz="4" w:space="0" w:color="auto"/>
            </w:tcBorders>
            <w:shd w:val="clear" w:color="auto" w:fill="D3F3F0" w:themeFill="accent4"/>
            <w:noWrap/>
            <w:hideMark/>
          </w:tcPr>
          <w:p w14:paraId="0AA36F9F" w14:textId="77777777" w:rsidR="00CD0F5B" w:rsidRPr="00C4270B" w:rsidRDefault="00CD0F5B" w:rsidP="00AB672A">
            <w:pPr>
              <w:spacing w:before="0" w:after="0"/>
              <w:rPr>
                <w:rFonts w:asciiTheme="majorHAnsi" w:hAnsiTheme="majorHAnsi" w:cstheme="majorHAnsi"/>
                <w:b/>
                <w:bCs/>
                <w:color w:val="000000"/>
                <w:lang w:eastAsia="en-AU"/>
              </w:rPr>
            </w:pPr>
            <w:r w:rsidRPr="00C4270B">
              <w:rPr>
                <w:rFonts w:asciiTheme="majorHAnsi" w:hAnsiTheme="majorHAnsi" w:cstheme="majorHAnsi"/>
                <w:b/>
                <w:bCs/>
                <w:color w:val="000000"/>
                <w:lang w:eastAsia="en-AU"/>
              </w:rPr>
              <w:t>Vehicle group</w:t>
            </w:r>
          </w:p>
        </w:tc>
        <w:tc>
          <w:tcPr>
            <w:tcW w:w="2184" w:type="dxa"/>
            <w:tcBorders>
              <w:left w:val="single" w:sz="4" w:space="0" w:color="auto"/>
              <w:bottom w:val="single" w:sz="4" w:space="0" w:color="auto"/>
              <w:right w:val="single" w:sz="4" w:space="0" w:color="auto"/>
            </w:tcBorders>
            <w:shd w:val="clear" w:color="auto" w:fill="D3F3F0" w:themeFill="accent4"/>
            <w:hideMark/>
          </w:tcPr>
          <w:p w14:paraId="3AFDDEA9" w14:textId="79C98454" w:rsidR="00CD0F5B" w:rsidRPr="00C4270B" w:rsidRDefault="00CD0F5B" w:rsidP="00AB672A">
            <w:pPr>
              <w:spacing w:before="0" w:after="0"/>
              <w:jc w:val="right"/>
              <w:rPr>
                <w:rFonts w:asciiTheme="majorHAnsi" w:hAnsiTheme="majorHAnsi" w:cstheme="majorHAnsi"/>
                <w:b/>
                <w:bCs/>
                <w:color w:val="000000"/>
                <w:lang w:eastAsia="en-AU"/>
              </w:rPr>
            </w:pPr>
            <w:r w:rsidRPr="00C4270B">
              <w:rPr>
                <w:rFonts w:asciiTheme="majorHAnsi" w:hAnsiTheme="majorHAnsi" w:cstheme="majorHAnsi"/>
                <w:b/>
                <w:bCs/>
                <w:color w:val="000000"/>
                <w:lang w:eastAsia="en-AU"/>
              </w:rPr>
              <w:t xml:space="preserve">Current </w:t>
            </w:r>
            <w:r w:rsidR="00EC4D84" w:rsidRPr="00C4270B">
              <w:rPr>
                <w:rFonts w:asciiTheme="majorHAnsi" w:hAnsiTheme="majorHAnsi" w:cstheme="majorHAnsi"/>
                <w:b/>
                <w:bCs/>
                <w:color w:val="000000"/>
                <w:lang w:eastAsia="en-AU"/>
              </w:rPr>
              <w:t>m</w:t>
            </w:r>
            <w:r w:rsidRPr="00C4270B">
              <w:rPr>
                <w:rFonts w:asciiTheme="majorHAnsi" w:hAnsiTheme="majorHAnsi" w:cstheme="majorHAnsi"/>
                <w:b/>
                <w:bCs/>
                <w:color w:val="000000"/>
                <w:lang w:eastAsia="en-AU"/>
              </w:rPr>
              <w:t>odular ESAs</w:t>
            </w:r>
            <w:r w:rsidR="0086444E" w:rsidRPr="00C4270B">
              <w:rPr>
                <w:rFonts w:asciiTheme="majorHAnsi" w:hAnsiTheme="majorHAnsi" w:cstheme="majorHAnsi"/>
                <w:b/>
                <w:bCs/>
                <w:color w:val="000000"/>
                <w:lang w:eastAsia="en-AU"/>
              </w:rPr>
              <w:t xml:space="preserve"> </w:t>
            </w:r>
            <w:r w:rsidR="0086444E">
              <w:rPr>
                <w:rFonts w:asciiTheme="majorHAnsi" w:hAnsiTheme="majorHAnsi" w:cstheme="majorHAnsi"/>
                <w:b/>
                <w:bCs/>
                <w:color w:val="000000"/>
                <w:lang w:eastAsia="en-AU"/>
              </w:rPr>
              <w:br/>
            </w:r>
            <w:r w:rsidR="0086444E" w:rsidRPr="00C4270B">
              <w:rPr>
                <w:rFonts w:asciiTheme="majorHAnsi" w:hAnsiTheme="majorHAnsi" w:cstheme="majorHAnsi"/>
                <w:b/>
                <w:bCs/>
                <w:color w:val="000000"/>
                <w:lang w:eastAsia="en-AU"/>
              </w:rPr>
              <w:t>ESA allocation $m</w:t>
            </w:r>
          </w:p>
        </w:tc>
        <w:tc>
          <w:tcPr>
            <w:tcW w:w="2184" w:type="dxa"/>
            <w:tcBorders>
              <w:left w:val="single" w:sz="4" w:space="0" w:color="auto"/>
              <w:bottom w:val="single" w:sz="4" w:space="0" w:color="auto"/>
              <w:right w:val="single" w:sz="4" w:space="0" w:color="auto"/>
            </w:tcBorders>
            <w:shd w:val="clear" w:color="auto" w:fill="D3F3F0" w:themeFill="accent4"/>
            <w:hideMark/>
          </w:tcPr>
          <w:p w14:paraId="3853C034" w14:textId="225D10F4" w:rsidR="00CD0F5B" w:rsidRPr="00C4270B" w:rsidRDefault="00CD0F5B" w:rsidP="00AB672A">
            <w:pPr>
              <w:spacing w:before="0" w:after="0"/>
              <w:jc w:val="right"/>
              <w:rPr>
                <w:rFonts w:asciiTheme="majorHAnsi" w:hAnsiTheme="majorHAnsi" w:cstheme="majorHAnsi"/>
                <w:b/>
                <w:bCs/>
                <w:color w:val="000000"/>
                <w:lang w:eastAsia="en-AU"/>
              </w:rPr>
            </w:pPr>
            <w:r w:rsidRPr="00C4270B">
              <w:rPr>
                <w:rFonts w:asciiTheme="majorHAnsi" w:hAnsiTheme="majorHAnsi" w:cstheme="majorHAnsi"/>
                <w:b/>
                <w:bCs/>
                <w:color w:val="000000"/>
                <w:lang w:eastAsia="en-AU"/>
              </w:rPr>
              <w:t xml:space="preserve">Revised </w:t>
            </w:r>
            <w:r w:rsidR="00EC4D84" w:rsidRPr="00C4270B">
              <w:rPr>
                <w:rFonts w:asciiTheme="majorHAnsi" w:hAnsiTheme="majorHAnsi" w:cstheme="majorHAnsi"/>
                <w:b/>
                <w:bCs/>
                <w:color w:val="000000"/>
                <w:lang w:eastAsia="en-AU"/>
              </w:rPr>
              <w:t>m</w:t>
            </w:r>
            <w:r w:rsidRPr="00C4270B">
              <w:rPr>
                <w:rFonts w:asciiTheme="majorHAnsi" w:hAnsiTheme="majorHAnsi" w:cstheme="majorHAnsi"/>
                <w:b/>
                <w:bCs/>
                <w:color w:val="000000"/>
                <w:lang w:eastAsia="en-AU"/>
              </w:rPr>
              <w:t>odular ESAs</w:t>
            </w:r>
            <w:r w:rsidR="0086444E" w:rsidRPr="00C4270B">
              <w:rPr>
                <w:rFonts w:asciiTheme="majorHAnsi" w:hAnsiTheme="majorHAnsi" w:cstheme="majorHAnsi"/>
                <w:b/>
                <w:bCs/>
                <w:color w:val="000000"/>
                <w:lang w:eastAsia="en-AU"/>
              </w:rPr>
              <w:t xml:space="preserve"> </w:t>
            </w:r>
            <w:r w:rsidR="0086444E">
              <w:rPr>
                <w:rFonts w:asciiTheme="majorHAnsi" w:hAnsiTheme="majorHAnsi" w:cstheme="majorHAnsi"/>
                <w:b/>
                <w:bCs/>
                <w:color w:val="000000"/>
                <w:lang w:eastAsia="en-AU"/>
              </w:rPr>
              <w:br/>
            </w:r>
            <w:r w:rsidR="0086444E" w:rsidRPr="00C4270B">
              <w:rPr>
                <w:rFonts w:asciiTheme="majorHAnsi" w:hAnsiTheme="majorHAnsi" w:cstheme="majorHAnsi"/>
                <w:b/>
                <w:bCs/>
                <w:color w:val="000000"/>
                <w:lang w:eastAsia="en-AU"/>
              </w:rPr>
              <w:t>ESA allocation $m</w:t>
            </w:r>
          </w:p>
        </w:tc>
        <w:tc>
          <w:tcPr>
            <w:tcW w:w="2184" w:type="dxa"/>
            <w:tcBorders>
              <w:left w:val="single" w:sz="4" w:space="0" w:color="auto"/>
              <w:bottom w:val="single" w:sz="4" w:space="0" w:color="auto"/>
            </w:tcBorders>
            <w:shd w:val="clear" w:color="auto" w:fill="D3F3F0" w:themeFill="accent4"/>
            <w:hideMark/>
          </w:tcPr>
          <w:p w14:paraId="0D793A3C" w14:textId="77777777" w:rsidR="0086444E" w:rsidRDefault="00CD0F5B" w:rsidP="00AB672A">
            <w:pPr>
              <w:spacing w:before="0" w:after="0"/>
              <w:jc w:val="right"/>
              <w:rPr>
                <w:rFonts w:asciiTheme="majorHAnsi" w:hAnsiTheme="majorHAnsi" w:cstheme="majorHAnsi"/>
                <w:b/>
                <w:bCs/>
                <w:color w:val="000000"/>
                <w:lang w:eastAsia="en-AU"/>
              </w:rPr>
            </w:pPr>
            <w:r w:rsidRPr="00C4270B">
              <w:rPr>
                <w:rFonts w:asciiTheme="majorHAnsi" w:hAnsiTheme="majorHAnsi" w:cstheme="majorHAnsi"/>
                <w:b/>
                <w:bCs/>
                <w:color w:val="000000"/>
                <w:lang w:eastAsia="en-AU"/>
              </w:rPr>
              <w:t>Change in ESA attributable costs</w:t>
            </w:r>
          </w:p>
          <w:p w14:paraId="00015752" w14:textId="53F9C4E8" w:rsidR="00CD0F5B" w:rsidRPr="00C4270B" w:rsidRDefault="0086444E" w:rsidP="00AB672A">
            <w:pPr>
              <w:spacing w:before="0" w:after="0"/>
              <w:jc w:val="right"/>
              <w:rPr>
                <w:rFonts w:asciiTheme="majorHAnsi" w:hAnsiTheme="majorHAnsi" w:cstheme="majorHAnsi"/>
                <w:b/>
                <w:bCs/>
                <w:color w:val="000000"/>
                <w:lang w:eastAsia="en-AU"/>
              </w:rPr>
            </w:pPr>
            <w:r w:rsidRPr="00C4270B">
              <w:rPr>
                <w:rFonts w:asciiTheme="majorHAnsi" w:hAnsiTheme="majorHAnsi" w:cstheme="majorHAnsi"/>
                <w:b/>
                <w:bCs/>
                <w:color w:val="000000"/>
                <w:lang w:eastAsia="en-AU"/>
              </w:rPr>
              <w:t>$m</w:t>
            </w:r>
            <w:r w:rsidR="00CD0F5B" w:rsidRPr="00C4270B">
              <w:rPr>
                <w:rFonts w:asciiTheme="majorHAnsi" w:hAnsiTheme="majorHAnsi" w:cstheme="majorHAnsi"/>
                <w:b/>
                <w:bCs/>
                <w:color w:val="000000"/>
                <w:lang w:eastAsia="en-AU"/>
              </w:rPr>
              <w:t xml:space="preserve"> </w:t>
            </w:r>
          </w:p>
        </w:tc>
      </w:tr>
      <w:tr w:rsidR="00C9627D" w:rsidRPr="005F0475" w14:paraId="42B0A897"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66E8DFC6" w14:textId="77777777" w:rsidR="00C9627D" w:rsidRPr="00881FCC" w:rsidRDefault="00C9627D" w:rsidP="00C9627D">
            <w:pPr>
              <w:spacing w:before="0" w:after="0"/>
              <w:rPr>
                <w:rFonts w:cs="Arial"/>
                <w:color w:val="000000"/>
                <w:lang w:eastAsia="en-AU"/>
              </w:rPr>
            </w:pPr>
            <w:r w:rsidRPr="00881FCC">
              <w:rPr>
                <w:rFonts w:cs="Arial"/>
                <w:color w:val="000000"/>
                <w:lang w:eastAsia="en-AU"/>
              </w:rPr>
              <w:t>Light vehicles</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D9210" w14:textId="653DE72B" w:rsidR="00C9627D" w:rsidRPr="00C4270B" w:rsidRDefault="00C9627D" w:rsidP="001C6A15">
            <w:pPr>
              <w:spacing w:before="0" w:after="0"/>
              <w:jc w:val="right"/>
              <w:rPr>
                <w:rFonts w:asciiTheme="majorHAnsi" w:hAnsiTheme="majorHAnsi" w:cstheme="majorBidi"/>
                <w:color w:val="000000"/>
                <w:lang w:eastAsia="en-AU"/>
              </w:rPr>
            </w:pPr>
            <w:r>
              <w:t>12</w:t>
            </w:r>
            <w:r w:rsidR="6235C8C0">
              <w:t>5</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92F33" w14:textId="12DA442D" w:rsidR="00C9627D" w:rsidRPr="00C4270B" w:rsidRDefault="00C9627D" w:rsidP="001C6A15">
            <w:pPr>
              <w:spacing w:before="0" w:after="0"/>
              <w:jc w:val="right"/>
              <w:rPr>
                <w:rFonts w:asciiTheme="majorHAnsi" w:hAnsiTheme="majorHAnsi" w:cstheme="majorBidi"/>
                <w:color w:val="000000"/>
                <w:lang w:eastAsia="en-AU"/>
              </w:rPr>
            </w:pPr>
            <w:r>
              <w:t>2</w:t>
            </w:r>
            <w:r w:rsidR="5B8639BF">
              <w:t>9</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5DD4AAFE" w14:textId="08B1C1CA" w:rsidR="00C9627D" w:rsidRPr="00C4270B" w:rsidRDefault="00881FCC" w:rsidP="001C6A15">
            <w:pPr>
              <w:spacing w:before="0" w:after="0"/>
              <w:jc w:val="right"/>
              <w:rPr>
                <w:rFonts w:asciiTheme="majorHAnsi" w:hAnsiTheme="majorHAnsi" w:cstheme="majorBidi"/>
                <w:color w:val="000000"/>
                <w:lang w:eastAsia="en-AU"/>
              </w:rPr>
            </w:pPr>
            <w:r>
              <w:t>–</w:t>
            </w:r>
            <w:r w:rsidR="00C9627D">
              <w:t>9</w:t>
            </w:r>
            <w:r w:rsidR="50EF8B86">
              <w:t>7</w:t>
            </w:r>
          </w:p>
        </w:tc>
      </w:tr>
      <w:tr w:rsidR="00C9627D" w:rsidRPr="005F0475" w14:paraId="67404F3F"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0E408C4A" w14:textId="77777777" w:rsidR="00C9627D" w:rsidRPr="00881FCC" w:rsidRDefault="00C9627D" w:rsidP="00C9627D">
            <w:pPr>
              <w:spacing w:before="0" w:after="0"/>
              <w:rPr>
                <w:rFonts w:cs="Arial"/>
                <w:color w:val="000000"/>
                <w:lang w:eastAsia="en-AU"/>
              </w:rPr>
            </w:pPr>
            <w:r w:rsidRPr="00881FCC">
              <w:rPr>
                <w:rFonts w:cs="Arial"/>
                <w:color w:val="000000"/>
                <w:lang w:eastAsia="en-AU"/>
              </w:rPr>
              <w:t>Rigid trucks</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2A7C8" w14:textId="01BE1F85" w:rsidR="00C9627D" w:rsidRPr="00C4270B" w:rsidRDefault="00C9627D" w:rsidP="001C6A15">
            <w:pPr>
              <w:spacing w:before="0" w:after="0"/>
              <w:jc w:val="right"/>
              <w:rPr>
                <w:rFonts w:asciiTheme="majorHAnsi" w:hAnsiTheme="majorHAnsi" w:cstheme="majorBidi"/>
                <w:color w:val="000000"/>
                <w:lang w:eastAsia="en-AU"/>
              </w:rPr>
            </w:pPr>
            <w:r>
              <w:t>6</w:t>
            </w:r>
            <w:r w:rsidR="3120D098">
              <w:t>77</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B86A3" w14:textId="75CBD102" w:rsidR="00C9627D" w:rsidRPr="00C4270B" w:rsidRDefault="3C5CB770" w:rsidP="001C6A15">
            <w:pPr>
              <w:spacing w:before="0" w:after="0"/>
              <w:jc w:val="right"/>
              <w:rPr>
                <w:rFonts w:asciiTheme="majorHAnsi" w:hAnsiTheme="majorHAnsi" w:cstheme="majorBidi"/>
                <w:color w:val="000000"/>
                <w:lang w:eastAsia="en-AU"/>
              </w:rPr>
            </w:pPr>
            <w:r>
              <w:t>606</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3A68F308" w14:textId="5A18E9DC" w:rsidR="00C9627D" w:rsidRPr="00C4270B" w:rsidRDefault="00881FCC" w:rsidP="001C6A15">
            <w:pPr>
              <w:spacing w:before="0" w:after="0"/>
              <w:jc w:val="right"/>
              <w:rPr>
                <w:rFonts w:asciiTheme="majorHAnsi" w:hAnsiTheme="majorHAnsi" w:cstheme="majorBidi"/>
                <w:color w:val="000000"/>
                <w:lang w:eastAsia="en-AU"/>
              </w:rPr>
            </w:pPr>
            <w:r>
              <w:t>–</w:t>
            </w:r>
            <w:r w:rsidR="00C9627D">
              <w:t>7</w:t>
            </w:r>
            <w:r w:rsidR="7A6F88C1">
              <w:t>1</w:t>
            </w:r>
          </w:p>
        </w:tc>
      </w:tr>
      <w:tr w:rsidR="00C9627D" w:rsidRPr="005F0475" w14:paraId="24441272"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292D1FD2" w14:textId="77777777" w:rsidR="00C9627D" w:rsidRPr="00881FCC" w:rsidRDefault="00C9627D" w:rsidP="00C9627D">
            <w:pPr>
              <w:spacing w:before="0" w:after="0"/>
              <w:rPr>
                <w:rFonts w:cs="Arial"/>
                <w:color w:val="000000"/>
                <w:lang w:eastAsia="en-AU"/>
              </w:rPr>
            </w:pPr>
            <w:r w:rsidRPr="00881FCC">
              <w:rPr>
                <w:rFonts w:cs="Arial"/>
                <w:color w:val="000000"/>
                <w:lang w:eastAsia="en-AU"/>
              </w:rPr>
              <w:t xml:space="preserve">Articulated trucks </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7F66" w14:textId="4CACF334" w:rsidR="00C9627D" w:rsidRPr="00C4270B" w:rsidRDefault="00C9627D" w:rsidP="001C6A15">
            <w:pPr>
              <w:spacing w:before="0" w:after="0"/>
              <w:jc w:val="right"/>
              <w:rPr>
                <w:rFonts w:asciiTheme="majorHAnsi" w:hAnsiTheme="majorHAnsi" w:cstheme="majorBidi"/>
                <w:color w:val="000000"/>
                <w:lang w:eastAsia="en-AU"/>
              </w:rPr>
            </w:pPr>
            <w:r w:rsidRPr="000A5F99">
              <w:t>1,</w:t>
            </w:r>
            <w:r>
              <w:t>1</w:t>
            </w:r>
            <w:r w:rsidR="26168BDC">
              <w:t>86</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64A2A" w14:textId="32911257" w:rsidR="00C9627D" w:rsidRPr="00C4270B" w:rsidRDefault="00C9627D" w:rsidP="001C6A15">
            <w:pPr>
              <w:spacing w:before="0" w:after="0"/>
              <w:jc w:val="right"/>
              <w:rPr>
                <w:rFonts w:asciiTheme="majorHAnsi" w:hAnsiTheme="majorHAnsi" w:cstheme="majorBidi"/>
                <w:color w:val="000000"/>
                <w:lang w:eastAsia="en-AU"/>
              </w:rPr>
            </w:pPr>
            <w:r w:rsidRPr="000A5F99">
              <w:t>1,</w:t>
            </w:r>
            <w:r>
              <w:t>2</w:t>
            </w:r>
            <w:r w:rsidR="7F4C60EF">
              <w:t>86</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7F380C7D" w14:textId="02795818" w:rsidR="00C9627D" w:rsidRPr="00C4270B" w:rsidRDefault="00C9627D" w:rsidP="001C6A15">
            <w:pPr>
              <w:spacing w:before="0" w:after="0"/>
              <w:jc w:val="right"/>
              <w:rPr>
                <w:rFonts w:asciiTheme="majorHAnsi" w:hAnsiTheme="majorHAnsi" w:cstheme="majorBidi"/>
                <w:color w:val="000000"/>
                <w:lang w:eastAsia="en-AU"/>
              </w:rPr>
            </w:pPr>
            <w:r>
              <w:t>10</w:t>
            </w:r>
            <w:r w:rsidR="14081E5F">
              <w:t>0</w:t>
            </w:r>
          </w:p>
        </w:tc>
      </w:tr>
      <w:tr w:rsidR="00C9627D" w:rsidRPr="005F0475" w14:paraId="6524C38B"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62845CC7" w14:textId="3252AA4E" w:rsidR="00C9627D" w:rsidRPr="00881FCC" w:rsidRDefault="00C9627D" w:rsidP="00C9627D">
            <w:pPr>
              <w:spacing w:before="0" w:after="0"/>
              <w:rPr>
                <w:rFonts w:cs="Arial"/>
                <w:color w:val="000000"/>
                <w:lang w:eastAsia="en-AU"/>
              </w:rPr>
            </w:pPr>
            <w:r w:rsidRPr="00881FCC">
              <w:rPr>
                <w:rFonts w:cs="Arial"/>
                <w:color w:val="000000"/>
                <w:lang w:eastAsia="en-AU"/>
              </w:rPr>
              <w:t>Other trucks (non-freight)</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8356F" w14:textId="043544F3" w:rsidR="00C9627D" w:rsidRPr="00C4270B" w:rsidRDefault="00C9627D" w:rsidP="001C6A15">
            <w:pPr>
              <w:spacing w:before="0" w:after="0"/>
              <w:jc w:val="right"/>
              <w:rPr>
                <w:rFonts w:asciiTheme="majorHAnsi" w:hAnsiTheme="majorHAnsi" w:cstheme="majorBidi"/>
                <w:color w:val="000000"/>
                <w:lang w:eastAsia="en-AU"/>
              </w:rPr>
            </w:pPr>
            <w:r>
              <w:t>1</w:t>
            </w:r>
            <w:r w:rsidR="30CC1713">
              <w:t>2</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68F76" w14:textId="71BAA7B0" w:rsidR="00C9627D" w:rsidRPr="00C4270B" w:rsidRDefault="00C9627D" w:rsidP="001C6A15">
            <w:pPr>
              <w:spacing w:before="0" w:after="0"/>
              <w:jc w:val="right"/>
              <w:rPr>
                <w:rFonts w:asciiTheme="majorHAnsi" w:hAnsiTheme="majorHAnsi" w:cstheme="majorHAnsi"/>
                <w:color w:val="000000"/>
                <w:lang w:eastAsia="en-AU"/>
              </w:rPr>
            </w:pPr>
            <w:r w:rsidRPr="000A5F99">
              <w:t>10</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58CA54D1" w14:textId="3ED3C0B2" w:rsidR="00C9627D" w:rsidRPr="00C4270B" w:rsidRDefault="00C9627D" w:rsidP="001C6A15">
            <w:pPr>
              <w:spacing w:before="0" w:after="0"/>
              <w:jc w:val="right"/>
              <w:rPr>
                <w:rFonts w:asciiTheme="majorHAnsi" w:hAnsiTheme="majorHAnsi" w:cstheme="majorHAnsi"/>
                <w:color w:val="000000"/>
                <w:lang w:eastAsia="en-AU"/>
              </w:rPr>
            </w:pPr>
            <w:r w:rsidRPr="000A5F99">
              <w:t>−1</w:t>
            </w:r>
          </w:p>
        </w:tc>
      </w:tr>
      <w:tr w:rsidR="00C9627D" w:rsidRPr="005F0475" w14:paraId="56139CD5"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4E6EA1BB" w14:textId="77777777" w:rsidR="00C9627D" w:rsidRPr="00881FCC" w:rsidRDefault="00C9627D" w:rsidP="00C9627D">
            <w:pPr>
              <w:spacing w:before="0" w:after="0"/>
              <w:rPr>
                <w:rFonts w:cs="Arial"/>
                <w:color w:val="000000"/>
                <w:lang w:eastAsia="en-AU"/>
              </w:rPr>
            </w:pPr>
            <w:r w:rsidRPr="00881FCC">
              <w:rPr>
                <w:rFonts w:cs="Arial"/>
                <w:color w:val="000000"/>
                <w:lang w:eastAsia="en-AU"/>
              </w:rPr>
              <w:t>Buses</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74E7" w14:textId="0AA2C28C" w:rsidR="00C9627D" w:rsidRPr="00C4270B" w:rsidRDefault="00C9627D" w:rsidP="001C6A15">
            <w:pPr>
              <w:spacing w:before="0" w:after="0"/>
              <w:jc w:val="right"/>
              <w:rPr>
                <w:rFonts w:asciiTheme="majorHAnsi" w:hAnsiTheme="majorHAnsi" w:cstheme="majorBidi"/>
                <w:color w:val="000000"/>
                <w:lang w:eastAsia="en-AU"/>
              </w:rPr>
            </w:pPr>
            <w:r>
              <w:t>6</w:t>
            </w:r>
            <w:r w:rsidR="107233C4">
              <w:t>7</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7FF5" w14:textId="210E3C09" w:rsidR="00C9627D" w:rsidRPr="00C4270B" w:rsidRDefault="00C9627D" w:rsidP="001C6A15">
            <w:pPr>
              <w:spacing w:before="0" w:after="0"/>
              <w:jc w:val="right"/>
              <w:rPr>
                <w:rFonts w:asciiTheme="majorHAnsi" w:hAnsiTheme="majorHAnsi" w:cstheme="majorBidi"/>
                <w:color w:val="000000"/>
                <w:lang w:eastAsia="en-AU"/>
              </w:rPr>
            </w:pPr>
            <w:r>
              <w:t>13</w:t>
            </w:r>
            <w:r w:rsidR="42B45CA9">
              <w:t>6</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065DC322" w14:textId="3A21DEEB" w:rsidR="00C9627D" w:rsidRPr="00C4270B" w:rsidRDefault="00C9627D" w:rsidP="001C6A15">
            <w:pPr>
              <w:spacing w:before="0" w:after="0"/>
              <w:jc w:val="right"/>
              <w:rPr>
                <w:rFonts w:asciiTheme="majorHAnsi" w:hAnsiTheme="majorHAnsi" w:cstheme="majorBidi"/>
                <w:color w:val="000000"/>
                <w:lang w:eastAsia="en-AU"/>
              </w:rPr>
            </w:pPr>
            <w:r>
              <w:t>6</w:t>
            </w:r>
            <w:r w:rsidR="251E795C">
              <w:t>9</w:t>
            </w:r>
          </w:p>
        </w:tc>
      </w:tr>
      <w:tr w:rsidR="00C9627D" w:rsidRPr="005F0475" w14:paraId="59407AD4"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49747B09" w14:textId="77777777" w:rsidR="00C9627D" w:rsidRPr="00881FCC" w:rsidRDefault="00C9627D" w:rsidP="00C9627D">
            <w:pPr>
              <w:spacing w:before="0" w:after="0"/>
              <w:rPr>
                <w:rFonts w:cs="Arial"/>
                <w:color w:val="000000"/>
                <w:lang w:eastAsia="en-AU"/>
              </w:rPr>
            </w:pPr>
            <w:r w:rsidRPr="00881FCC">
              <w:rPr>
                <w:rFonts w:cs="Arial"/>
                <w:color w:val="000000"/>
                <w:lang w:eastAsia="en-AU"/>
              </w:rPr>
              <w:t>Total all vehicles</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D214" w14:textId="4071B26A" w:rsidR="00C9627D" w:rsidRPr="00C4270B" w:rsidRDefault="4EB5874A" w:rsidP="001C6A15">
            <w:pPr>
              <w:spacing w:before="0" w:after="0"/>
              <w:jc w:val="right"/>
              <w:rPr>
                <w:rFonts w:asciiTheme="majorHAnsi" w:hAnsiTheme="majorHAnsi" w:cstheme="majorBidi"/>
                <w:color w:val="000000"/>
                <w:lang w:eastAsia="en-AU"/>
              </w:rPr>
            </w:pPr>
            <w:r>
              <w:t>2,067</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F984" w14:textId="64D66C90" w:rsidR="00C9627D" w:rsidRPr="00C4270B" w:rsidRDefault="5A2B5C69" w:rsidP="001C6A15">
            <w:pPr>
              <w:spacing w:before="0" w:after="0"/>
              <w:jc w:val="right"/>
              <w:rPr>
                <w:rFonts w:asciiTheme="majorHAnsi" w:hAnsiTheme="majorHAnsi" w:cstheme="majorBidi"/>
                <w:color w:val="000000"/>
                <w:lang w:eastAsia="en-AU"/>
              </w:rPr>
            </w:pPr>
            <w:r>
              <w:t>2,067</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5F1C3C41" w14:textId="1E683469" w:rsidR="00C9627D" w:rsidRPr="00C4270B" w:rsidRDefault="00C9627D" w:rsidP="001C6A15">
            <w:pPr>
              <w:spacing w:before="0" w:after="0"/>
              <w:jc w:val="right"/>
              <w:rPr>
                <w:rFonts w:asciiTheme="majorHAnsi" w:hAnsiTheme="majorHAnsi" w:cstheme="majorHAnsi"/>
                <w:color w:val="000000"/>
                <w:lang w:eastAsia="en-AU"/>
              </w:rPr>
            </w:pPr>
            <w:r w:rsidRPr="000A5F99">
              <w:t>0</w:t>
            </w:r>
          </w:p>
        </w:tc>
      </w:tr>
      <w:tr w:rsidR="00C9627D" w:rsidRPr="005F0475" w14:paraId="107AC235"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19B50277" w14:textId="1FCEC84F" w:rsidR="00C9627D" w:rsidRPr="00881FCC" w:rsidRDefault="00C9627D" w:rsidP="00C9627D">
            <w:pPr>
              <w:spacing w:before="0" w:after="0"/>
              <w:rPr>
                <w:rFonts w:cs="Arial"/>
                <w:color w:val="000000"/>
                <w:lang w:eastAsia="en-AU"/>
              </w:rPr>
            </w:pPr>
            <w:r w:rsidRPr="00881FCC">
              <w:rPr>
                <w:rFonts w:cs="Arial"/>
                <w:color w:val="000000"/>
                <w:lang w:eastAsia="en-AU"/>
              </w:rPr>
              <w:t>Total for heavy vehicles</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C54D7" w14:textId="110FCB46" w:rsidR="00C9627D" w:rsidRPr="00C4270B" w:rsidRDefault="00C9627D" w:rsidP="001C6A15">
            <w:pPr>
              <w:spacing w:before="0" w:after="0"/>
              <w:jc w:val="right"/>
              <w:rPr>
                <w:rFonts w:asciiTheme="majorHAnsi" w:hAnsiTheme="majorHAnsi" w:cstheme="majorBidi"/>
                <w:color w:val="000000"/>
                <w:lang w:eastAsia="en-AU"/>
              </w:rPr>
            </w:pPr>
            <w:r w:rsidRPr="000A5F99">
              <w:t>1,</w:t>
            </w:r>
            <w:r w:rsidR="5FCA45D1">
              <w:t>941</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F8C21" w14:textId="25F5F2AE" w:rsidR="00C9627D" w:rsidRPr="00C4270B" w:rsidRDefault="073A96B0" w:rsidP="001C6A15">
            <w:pPr>
              <w:spacing w:before="0" w:after="0"/>
              <w:jc w:val="right"/>
              <w:rPr>
                <w:rFonts w:asciiTheme="majorHAnsi" w:hAnsiTheme="majorHAnsi" w:cstheme="majorBidi"/>
                <w:color w:val="000000"/>
                <w:lang w:eastAsia="en-AU"/>
              </w:rPr>
            </w:pPr>
            <w:r>
              <w:t>2,038</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026FA788" w14:textId="676BC42A" w:rsidR="00C9627D" w:rsidRPr="00C4270B" w:rsidRDefault="00C9627D" w:rsidP="001C6A15">
            <w:pPr>
              <w:spacing w:before="0" w:after="0"/>
              <w:jc w:val="right"/>
              <w:rPr>
                <w:rFonts w:asciiTheme="majorHAnsi" w:hAnsiTheme="majorHAnsi" w:cstheme="majorBidi"/>
                <w:color w:val="000000"/>
                <w:lang w:eastAsia="en-AU"/>
              </w:rPr>
            </w:pPr>
            <w:r>
              <w:t>9</w:t>
            </w:r>
            <w:r w:rsidR="2D6DA63C">
              <w:t>7</w:t>
            </w:r>
          </w:p>
        </w:tc>
      </w:tr>
      <w:tr w:rsidR="00C9627D" w:rsidRPr="005F0475" w14:paraId="4A6BD994" w14:textId="77777777" w:rsidTr="0021530B">
        <w:trPr>
          <w:trHeight w:val="290"/>
        </w:trPr>
        <w:tc>
          <w:tcPr>
            <w:tcW w:w="2520" w:type="dxa"/>
            <w:tcBorders>
              <w:top w:val="single" w:sz="4" w:space="0" w:color="auto"/>
              <w:bottom w:val="single" w:sz="4" w:space="0" w:color="auto"/>
              <w:right w:val="single" w:sz="4" w:space="0" w:color="auto"/>
            </w:tcBorders>
            <w:shd w:val="clear" w:color="auto" w:fill="auto"/>
            <w:noWrap/>
            <w:vAlign w:val="center"/>
            <w:hideMark/>
          </w:tcPr>
          <w:p w14:paraId="50792EC4" w14:textId="77777777" w:rsidR="00C9627D" w:rsidRPr="00881FCC" w:rsidRDefault="00C9627D" w:rsidP="00C9627D">
            <w:pPr>
              <w:spacing w:before="0" w:after="0"/>
              <w:rPr>
                <w:rFonts w:cs="Arial"/>
                <w:color w:val="000000"/>
                <w:lang w:eastAsia="en-AU"/>
              </w:rPr>
            </w:pPr>
            <w:r w:rsidRPr="00881FCC">
              <w:rPr>
                <w:rFonts w:cs="Arial"/>
                <w:color w:val="000000"/>
                <w:lang w:eastAsia="en-AU"/>
              </w:rPr>
              <w:t>Heavy vehicle share of total costs allocated on the basis of ESA-km</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F8EF" w14:textId="6D1878D0" w:rsidR="00C9627D" w:rsidRPr="00C4270B" w:rsidRDefault="00C9627D" w:rsidP="001C6A15">
            <w:pPr>
              <w:spacing w:before="0" w:after="0"/>
              <w:jc w:val="right"/>
              <w:rPr>
                <w:rFonts w:asciiTheme="majorHAnsi" w:hAnsiTheme="majorHAnsi" w:cstheme="majorHAnsi"/>
                <w:b/>
                <w:bCs/>
                <w:color w:val="000000"/>
                <w:lang w:eastAsia="en-AU"/>
              </w:rPr>
            </w:pPr>
            <w:r w:rsidRPr="000A5F99">
              <w:t>93.9%</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1B999" w14:textId="5925787F" w:rsidR="00C9627D" w:rsidRPr="00C4270B" w:rsidRDefault="00C9627D" w:rsidP="001C6A15">
            <w:pPr>
              <w:spacing w:before="0" w:after="0"/>
              <w:jc w:val="right"/>
              <w:rPr>
                <w:rFonts w:asciiTheme="majorHAnsi" w:hAnsiTheme="majorHAnsi" w:cstheme="majorHAnsi"/>
                <w:b/>
                <w:bCs/>
                <w:color w:val="000000"/>
                <w:lang w:eastAsia="en-AU"/>
              </w:rPr>
            </w:pPr>
            <w:r w:rsidRPr="000A5F99">
              <w:t>98.6%</w:t>
            </w:r>
          </w:p>
        </w:tc>
        <w:tc>
          <w:tcPr>
            <w:tcW w:w="2184" w:type="dxa"/>
            <w:tcBorders>
              <w:top w:val="single" w:sz="4" w:space="0" w:color="auto"/>
              <w:left w:val="single" w:sz="4" w:space="0" w:color="auto"/>
              <w:bottom w:val="single" w:sz="4" w:space="0" w:color="auto"/>
            </w:tcBorders>
            <w:shd w:val="clear" w:color="auto" w:fill="auto"/>
            <w:noWrap/>
            <w:vAlign w:val="center"/>
            <w:hideMark/>
          </w:tcPr>
          <w:p w14:paraId="20E9F515" w14:textId="60269DD1" w:rsidR="00C9627D" w:rsidRPr="00C4270B" w:rsidRDefault="00C9627D" w:rsidP="001C6A15">
            <w:pPr>
              <w:spacing w:before="0" w:after="0"/>
              <w:jc w:val="right"/>
              <w:rPr>
                <w:rFonts w:asciiTheme="majorHAnsi" w:hAnsiTheme="majorHAnsi" w:cstheme="majorHAnsi"/>
                <w:color w:val="000000"/>
                <w:lang w:eastAsia="en-AU"/>
              </w:rPr>
            </w:pPr>
            <w:r w:rsidRPr="000A5F99">
              <w:t xml:space="preserve"> </w:t>
            </w:r>
          </w:p>
        </w:tc>
      </w:tr>
    </w:tbl>
    <w:p w14:paraId="7B1FC8DC" w14:textId="08BD86F1" w:rsidR="00CD0F5B" w:rsidRDefault="6A9A04B0" w:rsidP="00886DA3">
      <w:pPr>
        <w:pStyle w:val="BodyCopy"/>
        <w:rPr>
          <w:lang w:eastAsia="en-AU"/>
        </w:rPr>
      </w:pPr>
      <w:r w:rsidRPr="7E1B1FB2">
        <w:rPr>
          <w:lang w:eastAsia="en-AU"/>
        </w:rPr>
        <w:t xml:space="preserve">The </w:t>
      </w:r>
      <w:r w:rsidR="1C4D45C4" w:rsidRPr="7E1B1FB2">
        <w:rPr>
          <w:lang w:eastAsia="en-AU"/>
        </w:rPr>
        <w:t xml:space="preserve">PTT review of ESA values </w:t>
      </w:r>
      <w:r w:rsidR="419E757C" w:rsidRPr="7E1B1FB2">
        <w:rPr>
          <w:lang w:eastAsia="en-AU"/>
        </w:rPr>
        <w:t xml:space="preserve">also involved updates to </w:t>
      </w:r>
      <w:r w:rsidR="00881FCC">
        <w:rPr>
          <w:lang w:eastAsia="en-AU"/>
        </w:rPr>
        <w:t>AGM</w:t>
      </w:r>
      <w:r w:rsidR="419E757C" w:rsidRPr="7E1B1FB2">
        <w:rPr>
          <w:lang w:eastAsia="en-AU"/>
        </w:rPr>
        <w:t xml:space="preserve"> values by vehicle class</w:t>
      </w:r>
      <w:r w:rsidR="00706F45">
        <w:rPr>
          <w:lang w:eastAsia="en-AU"/>
        </w:rPr>
        <w:t>,</w:t>
      </w:r>
      <w:r w:rsidR="419E757C" w:rsidRPr="7E1B1FB2">
        <w:rPr>
          <w:lang w:eastAsia="en-AU"/>
        </w:rPr>
        <w:t xml:space="preserve"> </w:t>
      </w:r>
      <w:r w:rsidR="53B34E50" w:rsidRPr="63285518">
        <w:rPr>
          <w:lang w:eastAsia="en-AU"/>
        </w:rPr>
        <w:t>with AGM also being a cost allocator in the PAYGO model. T</w:t>
      </w:r>
      <w:r w:rsidR="419E757C" w:rsidRPr="63285518">
        <w:rPr>
          <w:lang w:eastAsia="en-AU"/>
        </w:rPr>
        <w:t>his</w:t>
      </w:r>
      <w:r w:rsidR="419E757C" w:rsidRPr="7E1B1FB2">
        <w:rPr>
          <w:lang w:eastAsia="en-AU"/>
        </w:rPr>
        <w:t xml:space="preserve"> had the opposite </w:t>
      </w:r>
      <w:r w:rsidR="2D0BDC9E" w:rsidRPr="7E1B1FB2">
        <w:rPr>
          <w:lang w:eastAsia="en-AU"/>
        </w:rPr>
        <w:t xml:space="preserve">effect in the allocation of cost </w:t>
      </w:r>
      <w:r w:rsidR="59A18B9B" w:rsidRPr="45D1A606">
        <w:rPr>
          <w:lang w:eastAsia="en-AU"/>
        </w:rPr>
        <w:t>to</w:t>
      </w:r>
      <w:r w:rsidR="2D0BDC9E" w:rsidRPr="7E1B1FB2">
        <w:rPr>
          <w:lang w:eastAsia="en-AU"/>
        </w:rPr>
        <w:t xml:space="preserve"> the </w:t>
      </w:r>
      <w:r w:rsidR="59A18B9B" w:rsidRPr="45D1A606">
        <w:rPr>
          <w:lang w:eastAsia="en-AU"/>
        </w:rPr>
        <w:t xml:space="preserve">heavy vehicle sector with its share of </w:t>
      </w:r>
      <w:r w:rsidR="21C82CDD" w:rsidRPr="03C0B907">
        <w:rPr>
          <w:lang w:eastAsia="en-AU"/>
        </w:rPr>
        <w:t>the</w:t>
      </w:r>
      <w:r w:rsidR="59A18B9B" w:rsidRPr="03C0B907">
        <w:rPr>
          <w:lang w:eastAsia="en-AU"/>
        </w:rPr>
        <w:t xml:space="preserve"> cost base</w:t>
      </w:r>
      <w:r w:rsidR="65980179" w:rsidRPr="03C0B907">
        <w:rPr>
          <w:lang w:eastAsia="en-AU"/>
        </w:rPr>
        <w:t xml:space="preserve"> decreasing </w:t>
      </w:r>
      <w:r w:rsidR="0560CDE8" w:rsidRPr="03C0B907">
        <w:rPr>
          <w:lang w:eastAsia="en-AU"/>
        </w:rPr>
        <w:t>by $</w:t>
      </w:r>
      <w:r w:rsidR="2B0F1FD2" w:rsidRPr="1690C0C0">
        <w:rPr>
          <w:lang w:eastAsia="en-AU"/>
        </w:rPr>
        <w:t>262</w:t>
      </w:r>
      <w:r w:rsidR="00981A51">
        <w:rPr>
          <w:lang w:eastAsia="en-AU"/>
        </w:rPr>
        <w:t xml:space="preserve"> </w:t>
      </w:r>
      <w:r w:rsidR="0560CDE8" w:rsidRPr="1690C0C0">
        <w:rPr>
          <w:lang w:eastAsia="en-AU"/>
        </w:rPr>
        <w:t>m</w:t>
      </w:r>
      <w:r w:rsidR="00981A51">
        <w:rPr>
          <w:lang w:eastAsia="en-AU"/>
        </w:rPr>
        <w:t>illion</w:t>
      </w:r>
      <w:r w:rsidR="00706F45">
        <w:rPr>
          <w:lang w:eastAsia="en-AU"/>
        </w:rPr>
        <w:t>,</w:t>
      </w:r>
      <w:r w:rsidR="0560CDE8" w:rsidRPr="03C0B907">
        <w:rPr>
          <w:lang w:eastAsia="en-AU"/>
        </w:rPr>
        <w:t xml:space="preserve"> which more than </w:t>
      </w:r>
      <w:r w:rsidR="0560CDE8" w:rsidRPr="00357D40">
        <w:t>offset</w:t>
      </w:r>
      <w:r w:rsidR="0560CDE8" w:rsidRPr="03C0B907">
        <w:rPr>
          <w:lang w:eastAsia="en-AU"/>
        </w:rPr>
        <w:t xml:space="preserve"> the increase in all</w:t>
      </w:r>
      <w:r w:rsidR="4C4A885D" w:rsidRPr="03C0B907">
        <w:rPr>
          <w:lang w:eastAsia="en-AU"/>
        </w:rPr>
        <w:t xml:space="preserve">ocated cost </w:t>
      </w:r>
      <w:r w:rsidR="4C4A885D" w:rsidRPr="3F550807">
        <w:rPr>
          <w:lang w:eastAsia="en-AU"/>
        </w:rPr>
        <w:t xml:space="preserve">from the increase in ESA values. </w:t>
      </w:r>
      <w:r w:rsidR="45691F97" w:rsidRPr="54ECDE6B">
        <w:rPr>
          <w:lang w:eastAsia="en-AU"/>
        </w:rPr>
        <w:t>The main</w:t>
      </w:r>
      <w:r w:rsidR="39D3F9D0" w:rsidRPr="54ECDE6B">
        <w:rPr>
          <w:lang w:eastAsia="en-AU"/>
        </w:rPr>
        <w:t xml:space="preserve"> reason for the shift of AGM allocated cost from the heavy vehicle sector to the light vehicle sector was that the PTT researc</w:t>
      </w:r>
      <w:r w:rsidR="5C22A5A4" w:rsidRPr="54ECDE6B">
        <w:rPr>
          <w:lang w:eastAsia="en-AU"/>
        </w:rPr>
        <w:t>h provided AGM values for passenger vehicles and vans</w:t>
      </w:r>
      <w:r w:rsidR="00706F45">
        <w:rPr>
          <w:lang w:eastAsia="en-AU"/>
        </w:rPr>
        <w:t>,</w:t>
      </w:r>
      <w:r w:rsidR="5C22A5A4" w:rsidRPr="54ECDE6B">
        <w:rPr>
          <w:lang w:eastAsia="en-AU"/>
        </w:rPr>
        <w:t xml:space="preserve"> which previously had a zero value in the PAYG</w:t>
      </w:r>
      <w:r w:rsidR="054215E5" w:rsidRPr="54ECDE6B">
        <w:rPr>
          <w:lang w:eastAsia="en-AU"/>
        </w:rPr>
        <w:t>O model.</w:t>
      </w:r>
    </w:p>
    <w:p w14:paraId="102C8C08" w14:textId="0CB3E8AC" w:rsidR="00CD0F5B" w:rsidRDefault="00DA1BDF" w:rsidP="00BD61D2">
      <w:pPr>
        <w:pStyle w:val="Heading3"/>
      </w:pPr>
      <w:bookmarkStart w:id="188" w:name="_Toc86158430"/>
      <w:r w:rsidRPr="00DA1BDF">
        <w:t>Summary of submissions</w:t>
      </w:r>
      <w:bookmarkEnd w:id="188"/>
    </w:p>
    <w:p w14:paraId="1804D8B7" w14:textId="7CBFDE17" w:rsidR="00212450" w:rsidRPr="00212450" w:rsidRDefault="563365BD" w:rsidP="00357D40">
      <w:pPr>
        <w:pStyle w:val="BodyCopy"/>
      </w:pPr>
      <w:r w:rsidRPr="20B58242">
        <w:t xml:space="preserve">There was mixed support for the update of ESA values. </w:t>
      </w:r>
      <w:r w:rsidRPr="0D69E8C5">
        <w:t xml:space="preserve">The </w:t>
      </w:r>
      <w:r w:rsidR="5E2875C4" w:rsidRPr="50120C80">
        <w:t>ATA</w:t>
      </w:r>
      <w:r w:rsidRPr="0D69E8C5">
        <w:t xml:space="preserve"> w</w:t>
      </w:r>
      <w:r w:rsidR="009A7EF5">
        <w:t>as</w:t>
      </w:r>
      <w:r w:rsidRPr="0D69E8C5">
        <w:t xml:space="preserve"> pre</w:t>
      </w:r>
      <w:r w:rsidR="3F9F4472" w:rsidRPr="0D69E8C5">
        <w:t xml:space="preserve">pared to support the update subject to revising the light vehicle ESAs and consideration of Road Friendly </w:t>
      </w:r>
      <w:r w:rsidR="0EF4D740" w:rsidRPr="0D69E8C5">
        <w:t xml:space="preserve">Suspension impacts. </w:t>
      </w:r>
      <w:r w:rsidR="0EF4D740" w:rsidRPr="71C68BBE">
        <w:t>Nat</w:t>
      </w:r>
      <w:r w:rsidR="00C645E0">
        <w:t>R</w:t>
      </w:r>
      <w:r w:rsidR="0EF4D740" w:rsidRPr="71C68BBE">
        <w:t xml:space="preserve">oad rejected the ESA update research </w:t>
      </w:r>
      <w:r w:rsidR="6511CB9E" w:rsidRPr="71C68BBE">
        <w:t>as not reflecting real</w:t>
      </w:r>
      <w:r w:rsidR="00010A2D">
        <w:t>-</w:t>
      </w:r>
      <w:r w:rsidR="6511CB9E" w:rsidRPr="71C68BBE">
        <w:t xml:space="preserve">world experience and preferred that further work be done based on a Queensland </w:t>
      </w:r>
      <w:r w:rsidR="00010A2D">
        <w:t>m</w:t>
      </w:r>
      <w:r w:rsidR="6511CB9E" w:rsidRPr="71C68BBE">
        <w:t>odel</w:t>
      </w:r>
      <w:r w:rsidR="7A156194" w:rsidRPr="71C68BBE">
        <w:t xml:space="preserve"> </w:t>
      </w:r>
      <w:r w:rsidR="00010A2D">
        <w:t xml:space="preserve">that uses </w:t>
      </w:r>
      <w:r w:rsidR="7A156194" w:rsidRPr="71C68BBE">
        <w:t xml:space="preserve">a </w:t>
      </w:r>
      <w:r w:rsidR="00670F32">
        <w:t>s</w:t>
      </w:r>
      <w:r w:rsidR="2B9EBECC" w:rsidRPr="75481105">
        <w:t xml:space="preserve">tandard </w:t>
      </w:r>
      <w:r w:rsidR="00670F32">
        <w:t>a</w:t>
      </w:r>
      <w:r w:rsidR="2B9EBECC" w:rsidRPr="75481105">
        <w:t xml:space="preserve">xle </w:t>
      </w:r>
      <w:r w:rsidR="00670F32">
        <w:t>r</w:t>
      </w:r>
      <w:r w:rsidR="2B9EBECC" w:rsidRPr="75481105">
        <w:t>epetition</w:t>
      </w:r>
      <w:r w:rsidR="7F647FF7" w:rsidRPr="2688C630">
        <w:t xml:space="preserve"> </w:t>
      </w:r>
      <w:r w:rsidR="7A156194" w:rsidRPr="75481105">
        <w:t>approach.</w:t>
      </w:r>
      <w:r w:rsidR="30DE4C37" w:rsidRPr="0A8124B6">
        <w:t xml:space="preserve"> The</w:t>
      </w:r>
      <w:r w:rsidR="009A7EF5">
        <w:t xml:space="preserve"> </w:t>
      </w:r>
      <w:r w:rsidR="63032F18" w:rsidRPr="50120C80">
        <w:t>BIC</w:t>
      </w:r>
      <w:r w:rsidR="30DE4C37" w:rsidRPr="50120C80">
        <w:t xml:space="preserve"> </w:t>
      </w:r>
      <w:r w:rsidR="30DE4C37" w:rsidRPr="0A8124B6">
        <w:t>didn’t object to the updated research but object</w:t>
      </w:r>
      <w:r w:rsidR="2FE15605" w:rsidRPr="0A8124B6">
        <w:t>ed to the use of ESA as a cost allocator</w:t>
      </w:r>
      <w:r w:rsidR="0042320B">
        <w:t xml:space="preserve"> </w:t>
      </w:r>
      <w:r w:rsidR="00146DAD">
        <w:t xml:space="preserve">because </w:t>
      </w:r>
      <w:r w:rsidR="0042320B">
        <w:t xml:space="preserve">it causes a large increase in the costs attributed to buses. </w:t>
      </w:r>
      <w:r w:rsidR="009A7EF5">
        <w:t xml:space="preserve">The </w:t>
      </w:r>
      <w:r w:rsidR="00146DAD" w:rsidRPr="00146DAD">
        <w:t xml:space="preserve">Australian Rail Track Corporation </w:t>
      </w:r>
      <w:r w:rsidR="00146DAD">
        <w:t>(</w:t>
      </w:r>
      <w:r w:rsidR="7A780FFE" w:rsidRPr="50120C80">
        <w:t>ARTC</w:t>
      </w:r>
      <w:r w:rsidR="00146DAD">
        <w:t>)</w:t>
      </w:r>
      <w:r w:rsidR="7A780FFE" w:rsidRPr="50120C80">
        <w:t xml:space="preserve"> supported </w:t>
      </w:r>
      <w:r w:rsidR="00146DAD">
        <w:t>using</w:t>
      </w:r>
      <w:r w:rsidR="7A780FFE" w:rsidRPr="50120C80">
        <w:t xml:space="preserve"> the updated ESA values.</w:t>
      </w:r>
      <w:r w:rsidR="2FE15605" w:rsidRPr="0A8124B6">
        <w:t xml:space="preserve"> </w:t>
      </w:r>
    </w:p>
    <w:p w14:paraId="645EA723" w14:textId="6520347C" w:rsidR="001A5360" w:rsidRPr="001A5360" w:rsidRDefault="1B085762" w:rsidP="00357D40">
      <w:pPr>
        <w:pStyle w:val="BodyCopy"/>
      </w:pPr>
      <w:r w:rsidRPr="30E565E1">
        <w:lastRenderedPageBreak/>
        <w:t>PTT</w:t>
      </w:r>
      <w:r w:rsidR="00C46442">
        <w:t>,</w:t>
      </w:r>
      <w:r w:rsidRPr="30E565E1">
        <w:t xml:space="preserve"> the NTC’s consultant on this ESA project</w:t>
      </w:r>
      <w:r w:rsidR="00C46442">
        <w:t>,</w:t>
      </w:r>
      <w:r w:rsidRPr="30E565E1">
        <w:t xml:space="preserve"> found no public</w:t>
      </w:r>
      <w:r w:rsidR="1E80F729" w:rsidRPr="30E565E1">
        <w:t>ly</w:t>
      </w:r>
      <w:r w:rsidRPr="30E565E1">
        <w:t xml:space="preserve"> </w:t>
      </w:r>
      <w:r w:rsidR="28A1E9BA" w:rsidRPr="30E565E1">
        <w:t xml:space="preserve">available </w:t>
      </w:r>
      <w:r w:rsidRPr="30E565E1">
        <w:t xml:space="preserve">research to </w:t>
      </w:r>
      <w:r w:rsidR="65EDA157" w:rsidRPr="30E565E1">
        <w:t>support the ESA values that the ATA</w:t>
      </w:r>
      <w:r w:rsidR="64C0D23B" w:rsidRPr="30E565E1">
        <w:t xml:space="preserve"> recommended in </w:t>
      </w:r>
      <w:r w:rsidR="00146DAD">
        <w:t>its</w:t>
      </w:r>
      <w:r w:rsidR="00146DAD" w:rsidRPr="30E565E1">
        <w:t xml:space="preserve"> </w:t>
      </w:r>
      <w:r w:rsidR="64C0D23B" w:rsidRPr="30E565E1">
        <w:t>submission</w:t>
      </w:r>
      <w:r w:rsidR="002E5D3C">
        <w:t>,</w:t>
      </w:r>
      <w:r w:rsidR="4A81000C" w:rsidRPr="30E565E1">
        <w:t xml:space="preserve"> which would have increased </w:t>
      </w:r>
      <w:r w:rsidR="4A81000C" w:rsidRPr="69DD2639">
        <w:t>the ESA values for passenger cars and vans</w:t>
      </w:r>
      <w:r w:rsidR="104F3BE3" w:rsidRPr="69DD2639">
        <w:t xml:space="preserve"> to a level inconsistent with other light vehicle categories such as light commercial </w:t>
      </w:r>
      <w:r w:rsidR="104F3BE3" w:rsidRPr="5DB7B9A0">
        <w:t>vehicles, light trucks and buses and the smalle</w:t>
      </w:r>
      <w:r w:rsidR="04EA2F1F" w:rsidRPr="5DB7B9A0">
        <w:t>st heavy vehicle truck class (2</w:t>
      </w:r>
      <w:r w:rsidR="00670F32">
        <w:t>-</w:t>
      </w:r>
      <w:r w:rsidR="04EA2F1F" w:rsidRPr="5DB7B9A0">
        <w:t xml:space="preserve">axle rigid trucks from 4.5 to 7.0 tonnes). However, PTT did recognise that the </w:t>
      </w:r>
      <w:r w:rsidR="00146DAD">
        <w:t>subject</w:t>
      </w:r>
      <w:r w:rsidR="00146DAD" w:rsidRPr="5DB7B9A0">
        <w:t xml:space="preserve"> </w:t>
      </w:r>
      <w:r w:rsidR="04EA2F1F" w:rsidRPr="5DB7B9A0">
        <w:t xml:space="preserve">of light vehicle </w:t>
      </w:r>
      <w:r w:rsidR="3D434EFF" w:rsidRPr="5DB7B9A0">
        <w:t xml:space="preserve">ESAs is an </w:t>
      </w:r>
      <w:r w:rsidR="3D434EFF" w:rsidRPr="32EAA5B5">
        <w:t xml:space="preserve">area requiring further research. </w:t>
      </w:r>
    </w:p>
    <w:p w14:paraId="7C6D231F" w14:textId="7A144D1B" w:rsidR="2774E772" w:rsidRDefault="28DD56BA" w:rsidP="00357D40">
      <w:pPr>
        <w:pStyle w:val="BodyCopy"/>
      </w:pPr>
      <w:r w:rsidRPr="3DE8F8E5">
        <w:t xml:space="preserve">On the issue of adjusting the </w:t>
      </w:r>
      <w:r w:rsidRPr="57EC57A5">
        <w:t>upda</w:t>
      </w:r>
      <w:r w:rsidR="4F11F1F9" w:rsidRPr="57EC57A5">
        <w:t>t</w:t>
      </w:r>
      <w:r w:rsidRPr="57EC57A5">
        <w:t>ed</w:t>
      </w:r>
      <w:r w:rsidRPr="3DE8F8E5">
        <w:t xml:space="preserve"> ESA values based on WIM data for the im</w:t>
      </w:r>
      <w:r w:rsidR="0A73B1E8" w:rsidRPr="3DE8F8E5">
        <w:t>pact of Road Friendly Suspensions</w:t>
      </w:r>
      <w:r w:rsidR="0082491D">
        <w:t>,</w:t>
      </w:r>
      <w:r w:rsidR="0A73B1E8" w:rsidRPr="3DE8F8E5">
        <w:t xml:space="preserve"> PTT found no way of identifying these vehicles from the WIM data to</w:t>
      </w:r>
      <w:r w:rsidR="7EA434A7" w:rsidRPr="3DE8F8E5">
        <w:t xml:space="preserve"> make such an adjustment.</w:t>
      </w:r>
      <w:r w:rsidR="47A73505" w:rsidRPr="2688C630">
        <w:t xml:space="preserve"> </w:t>
      </w:r>
      <w:r w:rsidR="47A73505" w:rsidRPr="57EC57A5">
        <w:t xml:space="preserve">PTT also found that </w:t>
      </w:r>
      <w:r w:rsidR="46A09984" w:rsidRPr="57EC57A5">
        <w:t>the model recommended by Nat</w:t>
      </w:r>
      <w:r w:rsidR="00EC73AB">
        <w:t>R</w:t>
      </w:r>
      <w:r w:rsidR="46A09984" w:rsidRPr="57EC57A5">
        <w:t>oad was not practical to apply to the PAYGO mo</w:t>
      </w:r>
      <w:r w:rsidR="36B92331" w:rsidRPr="57EC57A5">
        <w:t>del in its current form and would require a significant amount of data on road type and condition to be col</w:t>
      </w:r>
      <w:r w:rsidR="79D5BD35" w:rsidRPr="57EC57A5">
        <w:t>lected.</w:t>
      </w:r>
      <w:r w:rsidR="00C0463D">
        <w:t xml:space="preserve"> </w:t>
      </w:r>
      <w:r w:rsidR="00366E5E">
        <w:t xml:space="preserve">The practical choice for this determination is whether to retain the old ESA values or to adopt the new ones developed by PTT. The NTC is confident that the new </w:t>
      </w:r>
      <w:r w:rsidR="0010202B">
        <w:t xml:space="preserve">ESA values represent an improvement over the current ESA values and should therefore be used in the PAYGO model. </w:t>
      </w:r>
      <w:r w:rsidR="00146DAD">
        <w:t xml:space="preserve">If </w:t>
      </w:r>
      <w:r w:rsidR="00C01520">
        <w:t xml:space="preserve">better options become available for </w:t>
      </w:r>
      <w:r w:rsidR="00C53DAE">
        <w:t xml:space="preserve">implementation, </w:t>
      </w:r>
      <w:r w:rsidR="00E045F5">
        <w:t>particularly for light vehicle ESAs,</w:t>
      </w:r>
      <w:r w:rsidR="00C53DAE">
        <w:t xml:space="preserve"> it is recommended that the NTC would investigate these </w:t>
      </w:r>
      <w:r w:rsidR="00D82C12">
        <w:t xml:space="preserve">and report </w:t>
      </w:r>
      <w:r w:rsidR="00146DAD">
        <w:t xml:space="preserve">our </w:t>
      </w:r>
      <w:r w:rsidR="00E045F5">
        <w:t>findings</w:t>
      </w:r>
      <w:r w:rsidR="00D82C12">
        <w:t xml:space="preserve"> to ITMM.</w:t>
      </w:r>
      <w:r w:rsidR="009E61AA">
        <w:t xml:space="preserve"> </w:t>
      </w:r>
    </w:p>
    <w:p w14:paraId="0CFA94BD" w14:textId="328712CB" w:rsidR="00CD0F5B" w:rsidRDefault="005472CF" w:rsidP="00CD0F5B">
      <w:pPr>
        <w:pStyle w:val="Heading3"/>
      </w:pPr>
      <w:bookmarkStart w:id="189" w:name="_Toc86158431"/>
      <w:r>
        <w:t>Conclusion and r</w:t>
      </w:r>
      <w:r w:rsidR="00CD0F5B">
        <w:t>ecommendation</w:t>
      </w:r>
      <w:r>
        <w:t>s</w:t>
      </w:r>
      <w:bookmarkEnd w:id="189"/>
    </w:p>
    <w:p w14:paraId="776F2A34" w14:textId="77777777" w:rsidR="00D14318" w:rsidRDefault="00D14318" w:rsidP="00CD0F5B">
      <w:pPr>
        <w:pStyle w:val="BodyCopy"/>
      </w:pPr>
      <w:r>
        <w:t>The NTC recommends that:</w:t>
      </w:r>
    </w:p>
    <w:p w14:paraId="70D43005" w14:textId="02E8B630" w:rsidR="00F75B5F" w:rsidRDefault="00EF1BB2" w:rsidP="00815816">
      <w:pPr>
        <w:pStyle w:val="List-bulletlvl1"/>
      </w:pPr>
      <w:r>
        <w:t>t</w:t>
      </w:r>
      <w:r w:rsidR="00E2683E">
        <w:t xml:space="preserve">he revised ESA values </w:t>
      </w:r>
      <w:r w:rsidR="004A29A8">
        <w:t>developed by PTT be adopted</w:t>
      </w:r>
      <w:r w:rsidR="00F75B5F">
        <w:t xml:space="preserve"> for use in the PAYGO model</w:t>
      </w:r>
    </w:p>
    <w:p w14:paraId="1397E26A" w14:textId="76EEB1AE" w:rsidR="4E9D8617" w:rsidRDefault="00EF1BB2" w:rsidP="00357D40">
      <w:pPr>
        <w:pStyle w:val="List-bulletlvl1"/>
        <w:rPr>
          <w:szCs w:val="22"/>
        </w:rPr>
      </w:pPr>
      <w:r>
        <w:t>t</w:t>
      </w:r>
      <w:r w:rsidR="0094758C">
        <w:t>he NTC</w:t>
      </w:r>
      <w:r w:rsidR="007F38CF">
        <w:t xml:space="preserve"> </w:t>
      </w:r>
      <w:r w:rsidR="003C46AF">
        <w:t>investigate</w:t>
      </w:r>
      <w:r w:rsidR="00146DAD">
        <w:t>s</w:t>
      </w:r>
      <w:r w:rsidR="003C46AF" w:rsidRPr="00D60B81">
        <w:t xml:space="preserve"> adopting alternative values in the future, should </w:t>
      </w:r>
      <w:r w:rsidR="002C3517" w:rsidRPr="00D60B81">
        <w:t>better options become available</w:t>
      </w:r>
      <w:r w:rsidR="00995328" w:rsidRPr="00D60B81">
        <w:t xml:space="preserve">, and report </w:t>
      </w:r>
      <w:r w:rsidR="00146DAD">
        <w:t>the</w:t>
      </w:r>
      <w:r w:rsidR="00146DAD" w:rsidRPr="00D60B81">
        <w:t xml:space="preserve"> </w:t>
      </w:r>
      <w:r w:rsidR="00995328" w:rsidRPr="00D60B81">
        <w:t>findings to ITMM</w:t>
      </w:r>
      <w:r w:rsidR="00E045F5" w:rsidRPr="00D60B81">
        <w:t>.</w:t>
      </w:r>
      <w:r w:rsidR="009E61AA">
        <w:t xml:space="preserve"> </w:t>
      </w:r>
    </w:p>
    <w:p w14:paraId="3A3EDD5C" w14:textId="3AE8FAA4" w:rsidR="00CD0F5B" w:rsidRDefault="00CD0F5B" w:rsidP="00CD0F5B">
      <w:pPr>
        <w:pStyle w:val="Heading2"/>
      </w:pPr>
      <w:bookmarkStart w:id="190" w:name="_Ref64881044"/>
      <w:bookmarkStart w:id="191" w:name="_Toc86158432"/>
      <w:r>
        <w:t xml:space="preserve">Cost </w:t>
      </w:r>
      <w:r w:rsidR="002F68B0">
        <w:t>a</w:t>
      </w:r>
      <w:r>
        <w:t>llocation</w:t>
      </w:r>
      <w:bookmarkEnd w:id="190"/>
      <w:bookmarkEnd w:id="191"/>
      <w:r>
        <w:t xml:space="preserve"> </w:t>
      </w:r>
    </w:p>
    <w:p w14:paraId="18BEE333" w14:textId="77777777" w:rsidR="00CD0F5B" w:rsidRPr="00454B8A" w:rsidRDefault="00CD0F5B" w:rsidP="00CD0F5B">
      <w:pPr>
        <w:pStyle w:val="Heading3"/>
      </w:pPr>
      <w:bookmarkStart w:id="192" w:name="_Toc86158433"/>
      <w:r>
        <w:t>Background</w:t>
      </w:r>
      <w:bookmarkEnd w:id="192"/>
    </w:p>
    <w:p w14:paraId="6E1EC7A8" w14:textId="1CEB798B" w:rsidR="00CD0F5B" w:rsidRPr="00201B41" w:rsidRDefault="00CD0F5B" w:rsidP="00CD0F5B">
      <w:pPr>
        <w:pStyle w:val="BodyCopy"/>
      </w:pPr>
      <w:bookmarkStart w:id="193" w:name="_Hlk64898597"/>
      <w:r>
        <w:t>PAYGO uses a combination of a cost allocation matrix and usage data to allocate costs to each vehicle class. This process determines the percentage of total costs allocated to heavy vehicles and light vehicles respectively.</w:t>
      </w:r>
      <w:r w:rsidR="00830D17">
        <w:t xml:space="preserve"> </w:t>
      </w:r>
    </w:p>
    <w:p w14:paraId="2DDE77B6" w14:textId="1FAE8595" w:rsidR="00CD0F5B" w:rsidRPr="00BD78A1" w:rsidRDefault="00CD0F5B" w:rsidP="00CD0F5B">
      <w:pPr>
        <w:pStyle w:val="BodyCopy"/>
      </w:pPr>
      <w:r>
        <w:t>The size of the heavy vehicle cost base, and the level of heavy vehicle charges</w:t>
      </w:r>
      <w:r w:rsidR="00E41ADA">
        <w:t>,</w:t>
      </w:r>
      <w:r>
        <w:t xml:space="preserve"> are sensitive to the cost allocation specified in the cost allocation matrix. Government revenue from heavy vehicle charges are also directly affected by the cost allocation process. </w:t>
      </w:r>
    </w:p>
    <w:bookmarkEnd w:id="193"/>
    <w:p w14:paraId="4AA34860" w14:textId="651FFCDD" w:rsidR="00CD0F5B" w:rsidRPr="004D2669" w:rsidRDefault="00CD0F5B" w:rsidP="00CD0F5B">
      <w:pPr>
        <w:pStyle w:val="BodyCopy"/>
      </w:pPr>
      <w:r>
        <w:t xml:space="preserve">The current cost allocation matrix has not been changed since </w:t>
      </w:r>
      <w:r w:rsidR="00F91CF0">
        <w:t>2005.</w:t>
      </w:r>
      <w:r>
        <w:t xml:space="preserve"> We understand that the current cost allocators were developed by an expert panel based on econometric evidence available at the time. We also understand that the expert panel sought to achieve an acceptable compromise, rather than drawing purely on quantitative research. </w:t>
      </w:r>
    </w:p>
    <w:p w14:paraId="751C5ABF" w14:textId="17B74C82" w:rsidR="00CD0F5B" w:rsidRPr="004D2669" w:rsidRDefault="00CD0F5B" w:rsidP="00CD0F5B">
      <w:pPr>
        <w:pStyle w:val="BodyCopy"/>
      </w:pPr>
      <w:r>
        <w:t xml:space="preserve">More recently, there have been some developments </w:t>
      </w:r>
      <w:r w:rsidR="00E41ADA">
        <w:t xml:space="preserve">that </w:t>
      </w:r>
      <w:r>
        <w:t xml:space="preserve">suggest that updating the cost allocation parameters may be desirable. </w:t>
      </w:r>
    </w:p>
    <w:p w14:paraId="5BD2435A" w14:textId="1769DD58" w:rsidR="00CD0F5B" w:rsidRPr="004D2669" w:rsidRDefault="00CD0F5B" w:rsidP="00CD0F5B">
      <w:pPr>
        <w:pStyle w:val="BodyCopy"/>
      </w:pPr>
      <w:r>
        <w:t xml:space="preserve">In 2017 the NTC commissioned HoustonKemp to review the current cost allocators and </w:t>
      </w:r>
      <w:r w:rsidR="00E41ADA">
        <w:t xml:space="preserve">to </w:t>
      </w:r>
      <w:r>
        <w:t>investigate whether there is strong evidence to depart from them. The review concluded that:</w:t>
      </w:r>
    </w:p>
    <w:p w14:paraId="2C6EB82D" w14:textId="0972933B" w:rsidR="00CD0F5B" w:rsidRPr="004D2669" w:rsidRDefault="00CD0F5B" w:rsidP="00A329DF">
      <w:pPr>
        <w:pStyle w:val="Quote"/>
        <w:jc w:val="left"/>
      </w:pPr>
      <w:r>
        <w:lastRenderedPageBreak/>
        <w:t xml:space="preserve">... the current PAYGO framework is consistent with the economic principles of avoidable </w:t>
      </w:r>
      <w:r w:rsidRPr="0021530B">
        <w:t xml:space="preserve">and </w:t>
      </w:r>
      <w:r w:rsidR="00845440">
        <w:t>standalone</w:t>
      </w:r>
      <w:r w:rsidRPr="0021530B">
        <w:t xml:space="preserve"> cost</w:t>
      </w:r>
      <w:r w:rsidR="00D66039" w:rsidRPr="0021530B">
        <w:t>.</w:t>
      </w:r>
      <w:r w:rsidR="00867653" w:rsidRPr="0021530B">
        <w:rPr>
          <w:rStyle w:val="FootnoteReference"/>
        </w:rPr>
        <w:footnoteReference w:id="13"/>
      </w:r>
      <w:r w:rsidRPr="0021530B">
        <w:t xml:space="preserve"> Based on current cost allocators, the approximately $3 billion of revenue collected</w:t>
      </w:r>
      <w:r>
        <w:t xml:space="preserve"> from heavy vehicles in 2015</w:t>
      </w:r>
      <w:r w:rsidR="00D66039">
        <w:t>–</w:t>
      </w:r>
      <w:r>
        <w:t xml:space="preserve">16 through the application of the PAYGO methodology lies between our estimates of the avoidable and </w:t>
      </w:r>
      <w:r w:rsidR="00845440">
        <w:t>standalone</w:t>
      </w:r>
      <w:r w:rsidRPr="0021530B">
        <w:t xml:space="preserve"> cost of providing heavy vehicle road services of $2.3 billion and $7.4 billion in 2015</w:t>
      </w:r>
      <w:r w:rsidR="00D66039">
        <w:t>–</w:t>
      </w:r>
      <w:r>
        <w:t xml:space="preserve">16, respectively </w:t>
      </w:r>
      <w:sdt>
        <w:sdtPr>
          <w:id w:val="-457342358"/>
          <w:citation/>
        </w:sdtPr>
        <w:sdtContent>
          <w:r>
            <w:fldChar w:fldCharType="begin"/>
          </w:r>
          <w:r w:rsidR="00406F3F">
            <w:instrText xml:space="preserve">CITATION Hou17 \p 2 \l 3081 </w:instrText>
          </w:r>
          <w:r>
            <w:fldChar w:fldCharType="separate"/>
          </w:r>
          <w:r w:rsidR="000A4DC7" w:rsidRPr="000A4DC7">
            <w:rPr>
              <w:noProof/>
            </w:rPr>
            <w:t>(HoustonKemp, 2017, p. 2)</w:t>
          </w:r>
          <w:r>
            <w:fldChar w:fldCharType="end"/>
          </w:r>
        </w:sdtContent>
      </w:sdt>
      <w:r w:rsidR="00E41ADA">
        <w:t>.</w:t>
      </w:r>
    </w:p>
    <w:p w14:paraId="2E9C6014" w14:textId="7DF1E819" w:rsidR="00CD0F5B" w:rsidRDefault="00CD0F5B" w:rsidP="00CD0F5B">
      <w:pPr>
        <w:pStyle w:val="BodyCopy"/>
      </w:pPr>
      <w:r>
        <w:t xml:space="preserve">It further concluded: </w:t>
      </w:r>
      <w:r w:rsidR="00D66039">
        <w:t>‘</w:t>
      </w:r>
      <w:r>
        <w:t>We found that new research on the relationship between heavy vehicle road use and road costs since the last NTC review was insufficient, in and of itself, to support a departure from the current PAYGO allocators</w:t>
      </w:r>
      <w:r w:rsidR="00D66039">
        <w:t>’</w:t>
      </w:r>
      <w:r>
        <w:t xml:space="preserve"> </w:t>
      </w:r>
      <w:sdt>
        <w:sdtPr>
          <w:id w:val="-802381212"/>
          <w:citation/>
        </w:sdtPr>
        <w:sdtContent>
          <w:r>
            <w:fldChar w:fldCharType="begin"/>
          </w:r>
          <w:r w:rsidR="00406F3F">
            <w:instrText xml:space="preserve">CITATION Hou17 \p 3 \l 3081 </w:instrText>
          </w:r>
          <w:r>
            <w:fldChar w:fldCharType="separate"/>
          </w:r>
          <w:r w:rsidR="000A4DC7" w:rsidRPr="000A4DC7">
            <w:rPr>
              <w:noProof/>
            </w:rPr>
            <w:t>(HoustonKemp, 2017, p. 3)</w:t>
          </w:r>
          <w:r>
            <w:fldChar w:fldCharType="end"/>
          </w:r>
        </w:sdtContent>
      </w:sdt>
      <w:r>
        <w:t>.</w:t>
      </w:r>
      <w:r w:rsidR="00830D17">
        <w:t xml:space="preserve"> </w:t>
      </w:r>
    </w:p>
    <w:p w14:paraId="401EAEEA" w14:textId="048C51FE" w:rsidR="00CD0F5B" w:rsidRDefault="00CD0F5B" w:rsidP="00CD0F5B">
      <w:pPr>
        <w:pStyle w:val="BodyCopy"/>
      </w:pPr>
      <w:r>
        <w:t xml:space="preserve">The HoustonKemp report is not definitive about the preferred allocator(s) for category B2 </w:t>
      </w:r>
      <w:r w:rsidR="00E41ADA">
        <w:t xml:space="preserve">(refer to </w:t>
      </w:r>
      <w:r w:rsidR="005E0228">
        <w:fldChar w:fldCharType="begin"/>
      </w:r>
      <w:r w:rsidR="005E0228">
        <w:instrText xml:space="preserve"> REF _Ref82078811 \r \h </w:instrText>
      </w:r>
      <w:r w:rsidR="005E0228">
        <w:fldChar w:fldCharType="separate"/>
      </w:r>
      <w:r w:rsidR="00225EEA">
        <w:t>Table 9</w:t>
      </w:r>
      <w:r w:rsidR="005E0228">
        <w:fldChar w:fldCharType="end"/>
      </w:r>
      <w:r w:rsidR="00E41ADA">
        <w:t xml:space="preserve">) </w:t>
      </w:r>
      <w:r>
        <w:t xml:space="preserve">but does suggest that 70 per cent attributable costs is reasonable and </w:t>
      </w:r>
      <w:r w:rsidR="00E41ADA" w:rsidRPr="00E41ADA">
        <w:t>passenger car unit</w:t>
      </w:r>
      <w:r w:rsidR="00E41ADA" w:rsidRPr="00E41ADA" w:rsidDel="00E41ADA">
        <w:t xml:space="preserve"> </w:t>
      </w:r>
      <w:r w:rsidR="00E41ADA">
        <w:t xml:space="preserve">(PCU) per kilometre </w:t>
      </w:r>
      <w:r>
        <w:t>has no theoretical basis. From this perspective, it is reasonable to interpret this statement as supporting the allocation of 70 per cent of attributable costs based on ESA-km as an improvement over the current cost allocation approach.</w:t>
      </w:r>
      <w:r w:rsidR="00830D17">
        <w:t xml:space="preserve"> </w:t>
      </w:r>
    </w:p>
    <w:p w14:paraId="4D5CCB68" w14:textId="0701C765" w:rsidR="0061165B" w:rsidRDefault="00CD0F5B" w:rsidP="00CD0F5B">
      <w:pPr>
        <w:pStyle w:val="BodyCopy"/>
      </w:pPr>
      <w:r>
        <w:t>More recently, the Victorian Department of Treasury and Finance (VIC DTF) and the Victorian Department of Transport (VIC DOT) commissioned consultants to develop a suite of alternative cost allocators that could be used in an alternative design of a</w:t>
      </w:r>
      <w:r w:rsidR="00E41ADA">
        <w:t>n</w:t>
      </w:r>
      <w:r>
        <w:t xml:space="preserve"> </w:t>
      </w:r>
      <w:r w:rsidR="007B3FE6">
        <w:t>FLCB</w:t>
      </w:r>
      <w:r w:rsidR="00E41ADA">
        <w:t xml:space="preserve"> (A</w:t>
      </w:r>
      <w:r w:rsidR="004451CE">
        <w:t>R</w:t>
      </w:r>
      <w:r w:rsidR="00E41ADA">
        <w:t>RB, 2017a; 2017b; 2019).</w:t>
      </w:r>
      <w:r w:rsidR="009E61AA">
        <w:t xml:space="preserve"> </w:t>
      </w:r>
    </w:p>
    <w:p w14:paraId="74292411" w14:textId="1F063CF2" w:rsidR="00CD0F5B" w:rsidRDefault="00CD0F5B" w:rsidP="00CD0F5B">
      <w:pPr>
        <w:pStyle w:val="BodyCopy"/>
      </w:pPr>
      <w:r>
        <w:t xml:space="preserve">The consultants developed a range of recommended cost allocators on an engineering basis, using Victorian data and a new roads classification system. These cost allocators are not in a format that could be directly used in PAYGO, although it would be possible to develop an approximation of those cost allocators that could be used in PAYGO. </w:t>
      </w:r>
    </w:p>
    <w:p w14:paraId="695990F1" w14:textId="12EF610C" w:rsidR="00CD0F5B" w:rsidRDefault="00CD0F5B" w:rsidP="00CD0F5B">
      <w:pPr>
        <w:pStyle w:val="Heading3"/>
      </w:pPr>
      <w:bookmarkStart w:id="194" w:name="_Toc86158434"/>
      <w:r>
        <w:t xml:space="preserve">Key </w:t>
      </w:r>
      <w:r w:rsidR="002F68B0">
        <w:t>q</w:t>
      </w:r>
      <w:r>
        <w:t>uestion for the determination</w:t>
      </w:r>
      <w:bookmarkEnd w:id="194"/>
    </w:p>
    <w:p w14:paraId="2C1A55A1" w14:textId="3F5CEE0D" w:rsidR="00CD0F5B" w:rsidRDefault="00CD0F5B" w:rsidP="00CD0F5B">
      <w:pPr>
        <w:pStyle w:val="BodyCopy"/>
      </w:pPr>
      <w:r>
        <w:t>The key question for this determination is whether the current cost allocators should be changed.</w:t>
      </w:r>
      <w:r w:rsidR="00830D17">
        <w:t xml:space="preserve"> </w:t>
      </w:r>
      <w:r>
        <w:t>If so, how should they be changed, and on what basis?</w:t>
      </w:r>
    </w:p>
    <w:p w14:paraId="0953C06F" w14:textId="3A1ED191" w:rsidR="00CD0F5B" w:rsidRDefault="00CD0F5B" w:rsidP="00CD0F5B">
      <w:pPr>
        <w:pStyle w:val="Heading3"/>
        <w:rPr>
          <w:rFonts w:eastAsia="Arial" w:cs="Arial"/>
        </w:rPr>
      </w:pPr>
      <w:bookmarkStart w:id="195" w:name="_Ref66366790"/>
      <w:bookmarkStart w:id="196" w:name="_Toc86158435"/>
      <w:r>
        <w:t xml:space="preserve">Cost </w:t>
      </w:r>
      <w:r w:rsidR="002F68B0">
        <w:t>a</w:t>
      </w:r>
      <w:r>
        <w:t xml:space="preserve">llocation </w:t>
      </w:r>
      <w:r w:rsidR="002F68B0">
        <w:t>o</w:t>
      </w:r>
      <w:r>
        <w:t>ptions</w:t>
      </w:r>
      <w:bookmarkEnd w:id="195"/>
      <w:bookmarkEnd w:id="196"/>
    </w:p>
    <w:p w14:paraId="6D0A059D" w14:textId="12470706" w:rsidR="00CD0F5B" w:rsidRDefault="00CD0F5B" w:rsidP="00CD0F5B">
      <w:pPr>
        <w:pStyle w:val="BodyCopy"/>
      </w:pPr>
      <w:r>
        <w:t>Developing a new set of cost allocators from a zero basis would require considerable primary research to be carried out. Even if this research were carried out, it is still not certain that it would produce conclusive results.</w:t>
      </w:r>
      <w:r w:rsidRPr="4C5A85FC">
        <w:rPr>
          <w:rStyle w:val="FootnoteReference"/>
        </w:rPr>
        <w:footnoteReference w:id="14"/>
      </w:r>
      <w:r>
        <w:t xml:space="preserve"> This type of research is time consuming and costly and could not easily be completed within the timeframe available for this determination.</w:t>
      </w:r>
    </w:p>
    <w:p w14:paraId="34864714" w14:textId="7DD66E30" w:rsidR="00CD0F5B" w:rsidRDefault="00CD0F5B" w:rsidP="00CD0F5B">
      <w:pPr>
        <w:pStyle w:val="BodyCopy"/>
      </w:pPr>
      <w:r>
        <w:t xml:space="preserve">Notwithstanding this, the NTC has considered the merits of three approaches, all of which can be modelled and tested relatively easily and do not require significant work to develop. </w:t>
      </w:r>
    </w:p>
    <w:p w14:paraId="264E173B" w14:textId="085F5C92" w:rsidR="002A61B5" w:rsidRDefault="002A61B5" w:rsidP="00CD0F5B">
      <w:pPr>
        <w:pStyle w:val="BodyCopy"/>
      </w:pPr>
    </w:p>
    <w:p w14:paraId="4D6F0E4D" w14:textId="77777777" w:rsidR="002A61B5" w:rsidRDefault="002A61B5" w:rsidP="00CD0F5B">
      <w:pPr>
        <w:pStyle w:val="BodyCopy"/>
      </w:pPr>
    </w:p>
    <w:p w14:paraId="1E61AB9A" w14:textId="6E4EC892" w:rsidR="00CD0F5B" w:rsidRDefault="00CD0F5B" w:rsidP="00CD0F5B">
      <w:pPr>
        <w:pStyle w:val="BodyCopy"/>
      </w:pPr>
      <w:r>
        <w:lastRenderedPageBreak/>
        <w:t>These approaches are</w:t>
      </w:r>
      <w:r w:rsidR="00280C24">
        <w:t xml:space="preserve"> as follows</w:t>
      </w:r>
      <w:r>
        <w:t>:</w:t>
      </w:r>
    </w:p>
    <w:p w14:paraId="2400E48D" w14:textId="174DFEB0" w:rsidR="00CD0F5B" w:rsidRPr="00B825C3" w:rsidRDefault="00CD0F5B" w:rsidP="00CD0F5B">
      <w:pPr>
        <w:pStyle w:val="List-number"/>
        <w:numPr>
          <w:ilvl w:val="0"/>
          <w:numId w:val="70"/>
        </w:numPr>
        <w:rPr>
          <w:rFonts w:eastAsia="Arial" w:cs="Arial"/>
        </w:rPr>
      </w:pPr>
      <w:r>
        <w:t>Retain the current cost allocation matrix – ‘</w:t>
      </w:r>
      <w:r w:rsidR="00EC4D84">
        <w:t>c</w:t>
      </w:r>
      <w:r>
        <w:t>urrent’</w:t>
      </w:r>
      <w:r w:rsidR="00E41ADA">
        <w:t>.</w:t>
      </w:r>
    </w:p>
    <w:p w14:paraId="514CB223" w14:textId="200BF5D6" w:rsidR="00CD0F5B" w:rsidRDefault="00CD0F5B" w:rsidP="00CD0F5B">
      <w:pPr>
        <w:pStyle w:val="List-number"/>
      </w:pPr>
      <w:r>
        <w:t>Modify the current cost allocation matrix to allocate 70</w:t>
      </w:r>
      <w:r w:rsidR="00272BD6">
        <w:t xml:space="preserve"> per cent</w:t>
      </w:r>
      <w:r>
        <w:t xml:space="preserve"> of costs in expenditure category B2 </w:t>
      </w:r>
      <w:r w:rsidR="00E41ADA">
        <w:t xml:space="preserve">(refer to </w:t>
      </w:r>
      <w:r w:rsidR="005C296C">
        <w:fldChar w:fldCharType="begin"/>
      </w:r>
      <w:r w:rsidR="005C296C">
        <w:instrText xml:space="preserve"> REF _Ref82162993 \r \h </w:instrText>
      </w:r>
      <w:r w:rsidR="005C296C">
        <w:fldChar w:fldCharType="separate"/>
      </w:r>
      <w:r w:rsidR="00225EEA">
        <w:t>Table 10</w:t>
      </w:r>
      <w:r w:rsidR="005C296C">
        <w:fldChar w:fldCharType="end"/>
      </w:r>
      <w:r w:rsidR="00E41ADA">
        <w:t xml:space="preserve">) </w:t>
      </w:r>
      <w:r>
        <w:t>using ESA-km, as proposed in the HoustonKemp report – ‘</w:t>
      </w:r>
      <w:r w:rsidR="00EC4D84">
        <w:t>m</w:t>
      </w:r>
      <w:r>
        <w:t xml:space="preserve">odified </w:t>
      </w:r>
      <w:r w:rsidR="00EC4D84">
        <w:t>c</w:t>
      </w:r>
      <w:r>
        <w:t>urrent’</w:t>
      </w:r>
      <w:r w:rsidR="00E41ADA">
        <w:t>.</w:t>
      </w:r>
    </w:p>
    <w:p w14:paraId="065ADC68" w14:textId="3731D719" w:rsidR="00CD0F5B" w:rsidRDefault="00CD0F5B" w:rsidP="00CD0F5B">
      <w:pPr>
        <w:pStyle w:val="List-number"/>
      </w:pPr>
      <w:r>
        <w:t xml:space="preserve">Use the work commissioned by VIC DTF and VIC DOT to develop alternative cost allocators </w:t>
      </w:r>
      <w:r w:rsidR="00E41ADA">
        <w:t xml:space="preserve">that </w:t>
      </w:r>
      <w:r>
        <w:t xml:space="preserve">broadly reflect the cost allocators recommended by ARRB in its report </w:t>
      </w:r>
      <w:sdt>
        <w:sdtPr>
          <w:id w:val="1284465032"/>
          <w:citation/>
        </w:sdtPr>
        <w:sdtContent>
          <w:r>
            <w:fldChar w:fldCharType="begin"/>
          </w:r>
          <w:r w:rsidR="00406F3F">
            <w:instrText xml:space="preserve">CITATION ARR19 \l 3081 </w:instrText>
          </w:r>
          <w:r>
            <w:fldChar w:fldCharType="separate"/>
          </w:r>
          <w:r w:rsidR="000A4DC7" w:rsidRPr="000A4DC7">
            <w:rPr>
              <w:noProof/>
            </w:rPr>
            <w:t>(ARRB, 2019)</w:t>
          </w:r>
          <w:r>
            <w:fldChar w:fldCharType="end"/>
          </w:r>
        </w:sdtContent>
      </w:sdt>
      <w:r>
        <w:t xml:space="preserve"> – </w:t>
      </w:r>
      <w:r w:rsidR="00EC4D84">
        <w:t>‘</w:t>
      </w:r>
      <w:r>
        <w:t>VIC DTF/DOT</w:t>
      </w:r>
      <w:r w:rsidR="00EC4D84">
        <w:t>’</w:t>
      </w:r>
      <w:r w:rsidR="00E41ADA">
        <w:t>.</w:t>
      </w:r>
      <w:r w:rsidR="009627A1">
        <w:rPr>
          <w:rStyle w:val="FootnoteReference"/>
        </w:rPr>
        <w:footnoteReference w:id="15"/>
      </w:r>
    </w:p>
    <w:p w14:paraId="66C646A3" w14:textId="1D5C967A" w:rsidR="00CD0F5B" w:rsidRDefault="00CD0F5B" w:rsidP="00CD0F5B">
      <w:pPr>
        <w:pStyle w:val="BodyCopy"/>
      </w:pPr>
      <w:r>
        <w:t xml:space="preserve">We have used our best endeavours to translate the work undertaken by VIC DTF and </w:t>
      </w:r>
      <w:r w:rsidR="00E41ADA">
        <w:t xml:space="preserve">VIC </w:t>
      </w:r>
      <w:r>
        <w:t xml:space="preserve">DOT into a set of cost allocators that can be applied in the PAYGO model. </w:t>
      </w:r>
    </w:p>
    <w:p w14:paraId="5F90D8A5" w14:textId="29730A71" w:rsidR="00CD0F5B" w:rsidRDefault="00CD0F5B" w:rsidP="00CD0F5B">
      <w:pPr>
        <w:pStyle w:val="BodyCopy"/>
      </w:pPr>
      <w:bookmarkStart w:id="197" w:name="_Hlk64898212"/>
      <w:r>
        <w:t>The cost allocation matrices that represent the three options are shown in</w:t>
      </w:r>
      <w:r w:rsidR="004D71D0">
        <w:t xml:space="preserve"> </w:t>
      </w:r>
      <w:r w:rsidR="004D71D0">
        <w:fldChar w:fldCharType="begin"/>
      </w:r>
      <w:r w:rsidR="004D71D0">
        <w:instrText xml:space="preserve"> REF _Ref82163009 \r \h </w:instrText>
      </w:r>
      <w:r w:rsidR="004D71D0">
        <w:fldChar w:fldCharType="separate"/>
      </w:r>
      <w:r w:rsidR="00225EEA">
        <w:t>Table 9</w:t>
      </w:r>
      <w:r w:rsidR="004D71D0">
        <w:fldChar w:fldCharType="end"/>
      </w:r>
      <w:r w:rsidR="004D71D0">
        <w:t xml:space="preserve">, </w:t>
      </w:r>
      <w:r w:rsidR="004D71D0">
        <w:fldChar w:fldCharType="begin"/>
      </w:r>
      <w:r w:rsidR="004D71D0">
        <w:instrText xml:space="preserve"> REF _Ref82163020 \r \h </w:instrText>
      </w:r>
      <w:r w:rsidR="004D71D0">
        <w:fldChar w:fldCharType="separate"/>
      </w:r>
      <w:r w:rsidR="00225EEA">
        <w:t>Table 10</w:t>
      </w:r>
      <w:r w:rsidR="004D71D0">
        <w:fldChar w:fldCharType="end"/>
      </w:r>
      <w:r w:rsidR="004D71D0">
        <w:t xml:space="preserve"> and </w:t>
      </w:r>
      <w:r w:rsidR="004D71D0">
        <w:fldChar w:fldCharType="begin"/>
      </w:r>
      <w:r w:rsidR="004D71D0">
        <w:instrText xml:space="preserve"> REF _Ref82163038 \r \h </w:instrText>
      </w:r>
      <w:r w:rsidR="004D71D0">
        <w:fldChar w:fldCharType="separate"/>
      </w:r>
      <w:r w:rsidR="00225EEA">
        <w:t>Table 11</w:t>
      </w:r>
      <w:r w:rsidR="004D71D0">
        <w:fldChar w:fldCharType="end"/>
      </w:r>
      <w:r w:rsidR="00E41ADA">
        <w:t>.</w:t>
      </w:r>
    </w:p>
    <w:p w14:paraId="52D40E54" w14:textId="77777777" w:rsidR="00CD0F5B" w:rsidRPr="003B0524" w:rsidRDefault="00CD0F5B" w:rsidP="00CD0F5B">
      <w:pPr>
        <w:pStyle w:val="Tabletitle"/>
        <w:rPr>
          <w:rFonts w:eastAsia="Arial"/>
        </w:rPr>
      </w:pPr>
      <w:bookmarkStart w:id="198" w:name="_Ref82078811"/>
      <w:bookmarkStart w:id="199" w:name="_Ref82163009"/>
      <w:bookmarkStart w:id="200" w:name="_Toc86158548"/>
      <w:bookmarkStart w:id="201" w:name="_Hlk64898317"/>
      <w:bookmarkEnd w:id="197"/>
      <w:r>
        <w:rPr>
          <w:rFonts w:eastAsia="Arial"/>
        </w:rPr>
        <w:t>Current cost allocators</w:t>
      </w:r>
      <w:bookmarkEnd w:id="198"/>
      <w:bookmarkEnd w:id="199"/>
      <w:bookmarkEnd w:id="200"/>
    </w:p>
    <w:tbl>
      <w:tblPr>
        <w:tblStyle w:val="NTCtable3"/>
        <w:tblW w:w="9072" w:type="dxa"/>
        <w:tblLayout w:type="fixed"/>
        <w:tblLook w:val="06A0" w:firstRow="1" w:lastRow="0" w:firstColumn="1" w:lastColumn="0" w:noHBand="1" w:noVBand="1"/>
      </w:tblPr>
      <w:tblGrid>
        <w:gridCol w:w="709"/>
        <w:gridCol w:w="2693"/>
        <w:gridCol w:w="810"/>
        <w:gridCol w:w="810"/>
        <w:gridCol w:w="810"/>
        <w:gridCol w:w="810"/>
        <w:gridCol w:w="810"/>
        <w:gridCol w:w="810"/>
        <w:gridCol w:w="810"/>
      </w:tblGrid>
      <w:tr w:rsidR="00A621B8" w14:paraId="485FAA06"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709" w:type="dxa"/>
          </w:tcPr>
          <w:p w14:paraId="2C3684EF" w14:textId="77777777" w:rsidR="00CD0F5B" w:rsidRPr="00C4270B" w:rsidRDefault="00CD0F5B" w:rsidP="00AB672A">
            <w:pPr>
              <w:rPr>
                <w:rFonts w:asciiTheme="majorHAnsi" w:hAnsiTheme="majorHAnsi" w:cstheme="majorHAnsi"/>
                <w:sz w:val="20"/>
                <w:szCs w:val="20"/>
              </w:rPr>
            </w:pPr>
          </w:p>
        </w:tc>
        <w:tc>
          <w:tcPr>
            <w:tcW w:w="2693" w:type="dxa"/>
          </w:tcPr>
          <w:p w14:paraId="42968530" w14:textId="77777777" w:rsidR="00CD0F5B" w:rsidRPr="00C4270B" w:rsidRDefault="00CD0F5B" w:rsidP="00AB672A">
            <w:pPr>
              <w:rPr>
                <w:rFonts w:asciiTheme="majorHAnsi" w:hAnsiTheme="majorHAnsi" w:cstheme="majorHAnsi"/>
                <w:sz w:val="20"/>
                <w:szCs w:val="20"/>
              </w:rPr>
            </w:pPr>
          </w:p>
        </w:tc>
        <w:tc>
          <w:tcPr>
            <w:tcW w:w="810" w:type="dxa"/>
          </w:tcPr>
          <w:p w14:paraId="23805D67"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VKT</w:t>
            </w:r>
          </w:p>
        </w:tc>
        <w:tc>
          <w:tcPr>
            <w:tcW w:w="810" w:type="dxa"/>
          </w:tcPr>
          <w:p w14:paraId="0E8BFF87"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PCU-km</w:t>
            </w:r>
          </w:p>
        </w:tc>
        <w:tc>
          <w:tcPr>
            <w:tcW w:w="810" w:type="dxa"/>
          </w:tcPr>
          <w:p w14:paraId="2BD69FFB"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ESA-km</w:t>
            </w:r>
          </w:p>
        </w:tc>
        <w:tc>
          <w:tcPr>
            <w:tcW w:w="810" w:type="dxa"/>
          </w:tcPr>
          <w:p w14:paraId="63C43407"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AGM-km</w:t>
            </w:r>
          </w:p>
        </w:tc>
        <w:tc>
          <w:tcPr>
            <w:tcW w:w="810" w:type="dxa"/>
          </w:tcPr>
          <w:p w14:paraId="790CD432"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HV- VKT</w:t>
            </w:r>
          </w:p>
        </w:tc>
        <w:tc>
          <w:tcPr>
            <w:tcW w:w="810" w:type="dxa"/>
          </w:tcPr>
          <w:p w14:paraId="7C357254"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Non-attributable</w:t>
            </w:r>
          </w:p>
        </w:tc>
        <w:tc>
          <w:tcPr>
            <w:tcW w:w="810" w:type="dxa"/>
          </w:tcPr>
          <w:p w14:paraId="296FFD93"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Total</w:t>
            </w:r>
          </w:p>
        </w:tc>
      </w:tr>
      <w:tr w:rsidR="00CD0F5B" w14:paraId="077697A1" w14:textId="77777777" w:rsidTr="00A621B8">
        <w:trPr>
          <w:trHeight w:val="737"/>
        </w:trPr>
        <w:tc>
          <w:tcPr>
            <w:tcW w:w="709" w:type="dxa"/>
          </w:tcPr>
          <w:p w14:paraId="190A75CF"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A</w:t>
            </w:r>
          </w:p>
        </w:tc>
        <w:tc>
          <w:tcPr>
            <w:tcW w:w="2693" w:type="dxa"/>
          </w:tcPr>
          <w:p w14:paraId="41564092"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Servicing and operating expenses</w:t>
            </w:r>
          </w:p>
        </w:tc>
        <w:tc>
          <w:tcPr>
            <w:tcW w:w="810" w:type="dxa"/>
          </w:tcPr>
          <w:p w14:paraId="24F7E7A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c>
          <w:tcPr>
            <w:tcW w:w="810" w:type="dxa"/>
          </w:tcPr>
          <w:p w14:paraId="557D9CA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4EEF56A2"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4EDB65E2"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51E0718E"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A71485A"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56F17086"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3DFB5AE5" w14:textId="77777777" w:rsidTr="00A621B8">
        <w:tc>
          <w:tcPr>
            <w:tcW w:w="709" w:type="dxa"/>
          </w:tcPr>
          <w:p w14:paraId="6BA3B1E2"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B1</w:t>
            </w:r>
          </w:p>
        </w:tc>
        <w:tc>
          <w:tcPr>
            <w:tcW w:w="2693" w:type="dxa"/>
          </w:tcPr>
          <w:p w14:paraId="01EC265D"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Routine maintenance</w:t>
            </w:r>
          </w:p>
        </w:tc>
        <w:tc>
          <w:tcPr>
            <w:tcW w:w="810" w:type="dxa"/>
          </w:tcPr>
          <w:p w14:paraId="5B88699E"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1B48B63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38%</w:t>
            </w:r>
          </w:p>
        </w:tc>
        <w:tc>
          <w:tcPr>
            <w:tcW w:w="810" w:type="dxa"/>
          </w:tcPr>
          <w:p w14:paraId="4F82D7A2"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9974D8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38%</w:t>
            </w:r>
          </w:p>
        </w:tc>
        <w:tc>
          <w:tcPr>
            <w:tcW w:w="810" w:type="dxa"/>
          </w:tcPr>
          <w:p w14:paraId="6C85E831"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82989D2"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24%</w:t>
            </w:r>
          </w:p>
        </w:tc>
        <w:tc>
          <w:tcPr>
            <w:tcW w:w="810" w:type="dxa"/>
          </w:tcPr>
          <w:p w14:paraId="1C993E65"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2BA14A22" w14:textId="77777777" w:rsidTr="00A621B8">
        <w:tc>
          <w:tcPr>
            <w:tcW w:w="709" w:type="dxa"/>
          </w:tcPr>
          <w:p w14:paraId="6EDAD17D"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B2</w:t>
            </w:r>
          </w:p>
        </w:tc>
        <w:tc>
          <w:tcPr>
            <w:tcW w:w="2693" w:type="dxa"/>
          </w:tcPr>
          <w:p w14:paraId="5BA3A17E"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Periodic surface maintenance of sealed roads</w:t>
            </w:r>
          </w:p>
        </w:tc>
        <w:tc>
          <w:tcPr>
            <w:tcW w:w="810" w:type="dxa"/>
          </w:tcPr>
          <w:p w14:paraId="2F774CFF"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0ED18D89"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w:t>
            </w:r>
          </w:p>
        </w:tc>
        <w:tc>
          <w:tcPr>
            <w:tcW w:w="810" w:type="dxa"/>
          </w:tcPr>
          <w:p w14:paraId="182F6B68"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E3835D1"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60%</w:t>
            </w:r>
          </w:p>
        </w:tc>
        <w:tc>
          <w:tcPr>
            <w:tcW w:w="810" w:type="dxa"/>
          </w:tcPr>
          <w:p w14:paraId="7D75863D"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0ABC0FB"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30%</w:t>
            </w:r>
          </w:p>
        </w:tc>
        <w:tc>
          <w:tcPr>
            <w:tcW w:w="810" w:type="dxa"/>
          </w:tcPr>
          <w:p w14:paraId="78172988"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42944523" w14:textId="77777777" w:rsidTr="00A621B8">
        <w:tc>
          <w:tcPr>
            <w:tcW w:w="709" w:type="dxa"/>
          </w:tcPr>
          <w:p w14:paraId="65A5BA6A"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C</w:t>
            </w:r>
          </w:p>
        </w:tc>
        <w:tc>
          <w:tcPr>
            <w:tcW w:w="2693" w:type="dxa"/>
          </w:tcPr>
          <w:p w14:paraId="21ED59F6" w14:textId="52BC26E2"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 xml:space="preserve">Bridge maintenance </w:t>
            </w:r>
            <w:r w:rsidR="0086444E">
              <w:rPr>
                <w:rFonts w:asciiTheme="majorHAnsi" w:eastAsia="Calibri" w:hAnsiTheme="majorHAnsi" w:cstheme="majorHAnsi"/>
                <w:color w:val="000000"/>
                <w:sz w:val="20"/>
                <w:szCs w:val="20"/>
              </w:rPr>
              <w:t>and</w:t>
            </w:r>
            <w:r w:rsidRPr="00C4270B">
              <w:rPr>
                <w:rFonts w:asciiTheme="majorHAnsi" w:eastAsia="Calibri" w:hAnsiTheme="majorHAnsi" w:cstheme="majorHAnsi"/>
                <w:color w:val="000000"/>
                <w:sz w:val="20"/>
                <w:szCs w:val="20"/>
              </w:rPr>
              <w:t xml:space="preserve"> rehabilitation</w:t>
            </w:r>
          </w:p>
        </w:tc>
        <w:tc>
          <w:tcPr>
            <w:tcW w:w="810" w:type="dxa"/>
          </w:tcPr>
          <w:p w14:paraId="29A109F6"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207E2CF"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394DAC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0997A8E"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33%</w:t>
            </w:r>
          </w:p>
        </w:tc>
        <w:tc>
          <w:tcPr>
            <w:tcW w:w="810" w:type="dxa"/>
          </w:tcPr>
          <w:p w14:paraId="3AFF5BE6"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17556E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67%</w:t>
            </w:r>
          </w:p>
        </w:tc>
        <w:tc>
          <w:tcPr>
            <w:tcW w:w="810" w:type="dxa"/>
          </w:tcPr>
          <w:p w14:paraId="3D92C4CA"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559B2B0F" w14:textId="77777777" w:rsidTr="00A621B8">
        <w:tc>
          <w:tcPr>
            <w:tcW w:w="709" w:type="dxa"/>
          </w:tcPr>
          <w:p w14:paraId="4D2D1BB1"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D</w:t>
            </w:r>
          </w:p>
        </w:tc>
        <w:tc>
          <w:tcPr>
            <w:tcW w:w="2693" w:type="dxa"/>
          </w:tcPr>
          <w:p w14:paraId="568C362F"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Road rehabilitation</w:t>
            </w:r>
          </w:p>
        </w:tc>
        <w:tc>
          <w:tcPr>
            <w:tcW w:w="810" w:type="dxa"/>
          </w:tcPr>
          <w:p w14:paraId="5C077D98"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66A05DD"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4C6FBA5D"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45%</w:t>
            </w:r>
          </w:p>
        </w:tc>
        <w:tc>
          <w:tcPr>
            <w:tcW w:w="810" w:type="dxa"/>
          </w:tcPr>
          <w:p w14:paraId="754D5BC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33C69A8A"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5237147"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55%</w:t>
            </w:r>
          </w:p>
        </w:tc>
        <w:tc>
          <w:tcPr>
            <w:tcW w:w="810" w:type="dxa"/>
          </w:tcPr>
          <w:p w14:paraId="1BBDA622"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3E59D04C" w14:textId="77777777" w:rsidTr="00A621B8">
        <w:tc>
          <w:tcPr>
            <w:tcW w:w="709" w:type="dxa"/>
          </w:tcPr>
          <w:p w14:paraId="3CCFCDF1"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E</w:t>
            </w:r>
          </w:p>
        </w:tc>
        <w:tc>
          <w:tcPr>
            <w:tcW w:w="2693" w:type="dxa"/>
          </w:tcPr>
          <w:p w14:paraId="0B1C7B2F" w14:textId="508B07C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 xml:space="preserve">Low-cost safety </w:t>
            </w:r>
            <w:r w:rsidR="0086444E">
              <w:rPr>
                <w:rFonts w:asciiTheme="majorHAnsi" w:eastAsia="Calibri" w:hAnsiTheme="majorHAnsi" w:cstheme="majorHAnsi"/>
                <w:color w:val="000000"/>
                <w:sz w:val="20"/>
                <w:szCs w:val="20"/>
              </w:rPr>
              <w:t>and</w:t>
            </w:r>
            <w:r w:rsidRPr="00C4270B">
              <w:rPr>
                <w:rFonts w:asciiTheme="majorHAnsi" w:eastAsia="Calibri" w:hAnsiTheme="majorHAnsi" w:cstheme="majorHAnsi"/>
                <w:color w:val="000000"/>
                <w:sz w:val="20"/>
                <w:szCs w:val="20"/>
              </w:rPr>
              <w:t xml:space="preserve"> traffic improvements</w:t>
            </w:r>
          </w:p>
        </w:tc>
        <w:tc>
          <w:tcPr>
            <w:tcW w:w="810" w:type="dxa"/>
          </w:tcPr>
          <w:p w14:paraId="5EAE6B6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80%</w:t>
            </w:r>
          </w:p>
        </w:tc>
        <w:tc>
          <w:tcPr>
            <w:tcW w:w="810" w:type="dxa"/>
          </w:tcPr>
          <w:p w14:paraId="645A2FA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20%</w:t>
            </w:r>
          </w:p>
        </w:tc>
        <w:tc>
          <w:tcPr>
            <w:tcW w:w="810" w:type="dxa"/>
          </w:tcPr>
          <w:p w14:paraId="72E2AAC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CBD7178"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0AB7143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C8E3833"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70ED04C"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6EF3B187" w14:textId="77777777" w:rsidTr="00A621B8">
        <w:tc>
          <w:tcPr>
            <w:tcW w:w="709" w:type="dxa"/>
          </w:tcPr>
          <w:p w14:paraId="1698C18A"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F1</w:t>
            </w:r>
          </w:p>
        </w:tc>
        <w:tc>
          <w:tcPr>
            <w:tcW w:w="2693" w:type="dxa"/>
          </w:tcPr>
          <w:p w14:paraId="7D457B02"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Pavement improvements</w:t>
            </w:r>
          </w:p>
        </w:tc>
        <w:tc>
          <w:tcPr>
            <w:tcW w:w="810" w:type="dxa"/>
          </w:tcPr>
          <w:p w14:paraId="6D8CFE8D"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550E46C1"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1FBD4ABC"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45%</w:t>
            </w:r>
          </w:p>
        </w:tc>
        <w:tc>
          <w:tcPr>
            <w:tcW w:w="810" w:type="dxa"/>
          </w:tcPr>
          <w:p w14:paraId="3BE8C1FF"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B673A36"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2311D01"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55%</w:t>
            </w:r>
          </w:p>
        </w:tc>
        <w:tc>
          <w:tcPr>
            <w:tcW w:w="810" w:type="dxa"/>
          </w:tcPr>
          <w:p w14:paraId="6132A513"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762400CA" w14:textId="77777777" w:rsidTr="00A621B8">
        <w:tc>
          <w:tcPr>
            <w:tcW w:w="709" w:type="dxa"/>
          </w:tcPr>
          <w:p w14:paraId="15EE69E7"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F2</w:t>
            </w:r>
          </w:p>
        </w:tc>
        <w:tc>
          <w:tcPr>
            <w:tcW w:w="2693" w:type="dxa"/>
          </w:tcPr>
          <w:p w14:paraId="76617F15"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Bridge improvements</w:t>
            </w:r>
          </w:p>
        </w:tc>
        <w:tc>
          <w:tcPr>
            <w:tcW w:w="810" w:type="dxa"/>
          </w:tcPr>
          <w:p w14:paraId="1555435D"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03060EA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15%</w:t>
            </w:r>
          </w:p>
        </w:tc>
        <w:tc>
          <w:tcPr>
            <w:tcW w:w="810" w:type="dxa"/>
          </w:tcPr>
          <w:p w14:paraId="1A6C8AD6"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511704BE"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B1DC51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401DE11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85%</w:t>
            </w:r>
          </w:p>
        </w:tc>
        <w:tc>
          <w:tcPr>
            <w:tcW w:w="810" w:type="dxa"/>
          </w:tcPr>
          <w:p w14:paraId="554FEC2B"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5156DF18" w14:textId="77777777" w:rsidTr="00A621B8">
        <w:tc>
          <w:tcPr>
            <w:tcW w:w="709" w:type="dxa"/>
          </w:tcPr>
          <w:p w14:paraId="5E3F370C"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F3</w:t>
            </w:r>
          </w:p>
        </w:tc>
        <w:tc>
          <w:tcPr>
            <w:tcW w:w="2693" w:type="dxa"/>
          </w:tcPr>
          <w:p w14:paraId="3A2FB654" w14:textId="004D20C8"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Land acquisition, earthworks, other extensions/improvement expenditure</w:t>
            </w:r>
          </w:p>
        </w:tc>
        <w:tc>
          <w:tcPr>
            <w:tcW w:w="810" w:type="dxa"/>
          </w:tcPr>
          <w:p w14:paraId="53728EBA"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CDA6A15"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w:t>
            </w:r>
          </w:p>
        </w:tc>
        <w:tc>
          <w:tcPr>
            <w:tcW w:w="810" w:type="dxa"/>
          </w:tcPr>
          <w:p w14:paraId="122492C8"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01FAC8B"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A2B1893"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25AB590"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90%</w:t>
            </w:r>
          </w:p>
        </w:tc>
        <w:tc>
          <w:tcPr>
            <w:tcW w:w="810" w:type="dxa"/>
          </w:tcPr>
          <w:p w14:paraId="4CF44062"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44227F54" w14:textId="77777777" w:rsidTr="00A621B8">
        <w:tc>
          <w:tcPr>
            <w:tcW w:w="709" w:type="dxa"/>
          </w:tcPr>
          <w:p w14:paraId="0CB9805A"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t>G1</w:t>
            </w:r>
          </w:p>
        </w:tc>
        <w:tc>
          <w:tcPr>
            <w:tcW w:w="2693" w:type="dxa"/>
          </w:tcPr>
          <w:p w14:paraId="437DAE00"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Corporate services</w:t>
            </w:r>
          </w:p>
        </w:tc>
        <w:tc>
          <w:tcPr>
            <w:tcW w:w="810" w:type="dxa"/>
          </w:tcPr>
          <w:p w14:paraId="4788FD68"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D6E5C97"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3DE2F694"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471A70FE"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5C6DA952"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605A1F3"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c>
          <w:tcPr>
            <w:tcW w:w="810" w:type="dxa"/>
          </w:tcPr>
          <w:p w14:paraId="5122EE72"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r w:rsidR="00CD0F5B" w14:paraId="76F1C47D" w14:textId="77777777" w:rsidTr="00A621B8">
        <w:tc>
          <w:tcPr>
            <w:tcW w:w="709" w:type="dxa"/>
          </w:tcPr>
          <w:p w14:paraId="7A7B9347" w14:textId="77777777" w:rsidR="00CD0F5B" w:rsidRPr="00C4270B" w:rsidRDefault="00CD0F5B" w:rsidP="00AB672A">
            <w:pPr>
              <w:jc w:val="center"/>
              <w:rPr>
                <w:rFonts w:asciiTheme="majorHAnsi" w:hAnsiTheme="majorHAnsi" w:cstheme="majorHAnsi"/>
                <w:b/>
                <w:bCs/>
                <w:sz w:val="20"/>
                <w:szCs w:val="20"/>
              </w:rPr>
            </w:pPr>
            <w:r w:rsidRPr="00C4270B">
              <w:rPr>
                <w:rFonts w:asciiTheme="majorHAnsi" w:eastAsia="Calibri" w:hAnsiTheme="majorHAnsi" w:cstheme="majorHAnsi"/>
                <w:b/>
                <w:bCs/>
                <w:color w:val="000000"/>
                <w:sz w:val="20"/>
                <w:szCs w:val="20"/>
              </w:rPr>
              <w:lastRenderedPageBreak/>
              <w:t>G2</w:t>
            </w:r>
          </w:p>
        </w:tc>
        <w:tc>
          <w:tcPr>
            <w:tcW w:w="2693" w:type="dxa"/>
          </w:tcPr>
          <w:p w14:paraId="71CDFBDB" w14:textId="77777777" w:rsidR="00CD0F5B" w:rsidRPr="00C4270B" w:rsidRDefault="00CD0F5B" w:rsidP="00A621B8">
            <w:pPr>
              <w:rPr>
                <w:rFonts w:asciiTheme="majorHAnsi" w:hAnsiTheme="majorHAnsi" w:cstheme="majorHAnsi"/>
                <w:sz w:val="20"/>
                <w:szCs w:val="20"/>
              </w:rPr>
            </w:pPr>
            <w:r w:rsidRPr="00C4270B">
              <w:rPr>
                <w:rFonts w:asciiTheme="majorHAnsi" w:eastAsia="Calibri" w:hAnsiTheme="majorHAnsi" w:cstheme="majorHAnsi"/>
                <w:color w:val="000000"/>
                <w:sz w:val="20"/>
                <w:szCs w:val="20"/>
              </w:rPr>
              <w:t>Heavy vehicle regulatory costs</w:t>
            </w:r>
          </w:p>
        </w:tc>
        <w:tc>
          <w:tcPr>
            <w:tcW w:w="810" w:type="dxa"/>
          </w:tcPr>
          <w:p w14:paraId="06440483"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7A6DC41E"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009AB62"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6E00AB6F"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ABDC38D"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c>
          <w:tcPr>
            <w:tcW w:w="810" w:type="dxa"/>
          </w:tcPr>
          <w:p w14:paraId="4D03C65F" w14:textId="77777777" w:rsidR="00CD0F5B" w:rsidRPr="00C4270B" w:rsidRDefault="00CD0F5B" w:rsidP="0061165B">
            <w:pPr>
              <w:jc w:val="center"/>
              <w:rPr>
                <w:rFonts w:asciiTheme="majorHAns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0%</w:t>
            </w:r>
          </w:p>
        </w:tc>
        <w:tc>
          <w:tcPr>
            <w:tcW w:w="810" w:type="dxa"/>
          </w:tcPr>
          <w:p w14:paraId="24DE15A9" w14:textId="77777777" w:rsidR="00CD0F5B" w:rsidRPr="00C4270B" w:rsidRDefault="00CD0F5B" w:rsidP="0061165B">
            <w:pPr>
              <w:jc w:val="center"/>
              <w:rPr>
                <w:rFonts w:asciiTheme="majorHAnsi" w:eastAsia="Calibri" w:hAnsiTheme="majorHAnsi" w:cstheme="majorHAnsi"/>
                <w:color w:val="24272A" w:themeColor="text1"/>
                <w:sz w:val="20"/>
                <w:szCs w:val="20"/>
              </w:rPr>
            </w:pPr>
            <w:r w:rsidRPr="00C4270B">
              <w:rPr>
                <w:rFonts w:asciiTheme="majorHAnsi" w:eastAsia="Calibri" w:hAnsiTheme="majorHAnsi" w:cstheme="majorHAnsi"/>
                <w:color w:val="24272A" w:themeColor="text1"/>
                <w:sz w:val="20"/>
                <w:szCs w:val="20"/>
              </w:rPr>
              <w:t>100%</w:t>
            </w:r>
          </w:p>
        </w:tc>
      </w:tr>
    </w:tbl>
    <w:p w14:paraId="340BF648" w14:textId="77777777" w:rsidR="00CD0F5B" w:rsidRDefault="00CD0F5B" w:rsidP="00CD0F5B">
      <w:pPr>
        <w:pStyle w:val="Tabletitle"/>
      </w:pPr>
      <w:bookmarkStart w:id="202" w:name="_Ref82162993"/>
      <w:bookmarkStart w:id="203" w:name="_Ref82163020"/>
      <w:bookmarkStart w:id="204" w:name="_Toc86158549"/>
      <w:r>
        <w:t>Modified current cost allocators</w:t>
      </w:r>
      <w:bookmarkEnd w:id="202"/>
      <w:bookmarkEnd w:id="203"/>
      <w:bookmarkEnd w:id="204"/>
    </w:p>
    <w:tbl>
      <w:tblPr>
        <w:tblStyle w:val="NTCtable2"/>
        <w:tblW w:w="9072" w:type="dxa"/>
        <w:tblLayout w:type="fixed"/>
        <w:tblLook w:val="06A0" w:firstRow="1" w:lastRow="0" w:firstColumn="1" w:lastColumn="0" w:noHBand="1" w:noVBand="1"/>
      </w:tblPr>
      <w:tblGrid>
        <w:gridCol w:w="709"/>
        <w:gridCol w:w="2693"/>
        <w:gridCol w:w="810"/>
        <w:gridCol w:w="810"/>
        <w:gridCol w:w="810"/>
        <w:gridCol w:w="810"/>
        <w:gridCol w:w="810"/>
        <w:gridCol w:w="810"/>
        <w:gridCol w:w="810"/>
      </w:tblGrid>
      <w:tr w:rsidR="00CD0F5B" w:rsidRPr="00F73DA3" w14:paraId="2B0C8AC7"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709" w:type="dxa"/>
          </w:tcPr>
          <w:p w14:paraId="49F40032" w14:textId="77777777" w:rsidR="00CD0F5B" w:rsidRPr="00C4270B" w:rsidRDefault="00CD0F5B" w:rsidP="00AB672A">
            <w:pPr>
              <w:rPr>
                <w:rFonts w:asciiTheme="minorHAnsi" w:hAnsiTheme="minorHAnsi" w:cstheme="minorHAnsi"/>
                <w:sz w:val="20"/>
                <w:szCs w:val="20"/>
              </w:rPr>
            </w:pPr>
          </w:p>
        </w:tc>
        <w:tc>
          <w:tcPr>
            <w:tcW w:w="2693" w:type="dxa"/>
          </w:tcPr>
          <w:p w14:paraId="30B8686A" w14:textId="77777777" w:rsidR="00CD0F5B" w:rsidRPr="00C4270B" w:rsidRDefault="00CD0F5B" w:rsidP="00AB672A">
            <w:pPr>
              <w:rPr>
                <w:rFonts w:asciiTheme="minorHAnsi" w:hAnsiTheme="minorHAnsi" w:cstheme="minorHAnsi"/>
                <w:sz w:val="20"/>
                <w:szCs w:val="20"/>
              </w:rPr>
            </w:pPr>
          </w:p>
        </w:tc>
        <w:tc>
          <w:tcPr>
            <w:tcW w:w="810" w:type="dxa"/>
          </w:tcPr>
          <w:p w14:paraId="2D8A73B7"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VKT</w:t>
            </w:r>
          </w:p>
        </w:tc>
        <w:tc>
          <w:tcPr>
            <w:tcW w:w="810" w:type="dxa"/>
          </w:tcPr>
          <w:p w14:paraId="3385F8B7"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PCU-km</w:t>
            </w:r>
          </w:p>
        </w:tc>
        <w:tc>
          <w:tcPr>
            <w:tcW w:w="810" w:type="dxa"/>
          </w:tcPr>
          <w:p w14:paraId="35A35807"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ESA-km</w:t>
            </w:r>
          </w:p>
        </w:tc>
        <w:tc>
          <w:tcPr>
            <w:tcW w:w="810" w:type="dxa"/>
          </w:tcPr>
          <w:p w14:paraId="5674CC53"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AGM-km</w:t>
            </w:r>
          </w:p>
        </w:tc>
        <w:tc>
          <w:tcPr>
            <w:tcW w:w="810" w:type="dxa"/>
          </w:tcPr>
          <w:p w14:paraId="59CF6671"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HV- VKT</w:t>
            </w:r>
          </w:p>
        </w:tc>
        <w:tc>
          <w:tcPr>
            <w:tcW w:w="810" w:type="dxa"/>
          </w:tcPr>
          <w:p w14:paraId="0499D22C"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Non-attributable</w:t>
            </w:r>
          </w:p>
        </w:tc>
        <w:tc>
          <w:tcPr>
            <w:tcW w:w="810" w:type="dxa"/>
          </w:tcPr>
          <w:p w14:paraId="1C20A2A6"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Total</w:t>
            </w:r>
          </w:p>
        </w:tc>
      </w:tr>
      <w:tr w:rsidR="00CD0F5B" w:rsidRPr="00F73DA3" w14:paraId="28972123" w14:textId="77777777" w:rsidTr="00A621B8">
        <w:trPr>
          <w:trHeight w:val="737"/>
        </w:trPr>
        <w:tc>
          <w:tcPr>
            <w:tcW w:w="709" w:type="dxa"/>
          </w:tcPr>
          <w:p w14:paraId="1B34D148"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A</w:t>
            </w:r>
          </w:p>
        </w:tc>
        <w:tc>
          <w:tcPr>
            <w:tcW w:w="2693" w:type="dxa"/>
            <w:vAlign w:val="center"/>
          </w:tcPr>
          <w:p w14:paraId="544D7A97"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Servicing and operating expenses</w:t>
            </w:r>
          </w:p>
        </w:tc>
        <w:tc>
          <w:tcPr>
            <w:tcW w:w="810" w:type="dxa"/>
            <w:vAlign w:val="center"/>
          </w:tcPr>
          <w:p w14:paraId="3B64DEF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c>
          <w:tcPr>
            <w:tcW w:w="810" w:type="dxa"/>
            <w:vAlign w:val="center"/>
          </w:tcPr>
          <w:p w14:paraId="27CAFAC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1039BF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282BC8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1C88500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473F30B"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5F3FAB2F"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25108B3C" w14:textId="77777777" w:rsidTr="00A621B8">
        <w:tc>
          <w:tcPr>
            <w:tcW w:w="709" w:type="dxa"/>
          </w:tcPr>
          <w:p w14:paraId="48DF073E"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B1</w:t>
            </w:r>
          </w:p>
        </w:tc>
        <w:tc>
          <w:tcPr>
            <w:tcW w:w="2693" w:type="dxa"/>
            <w:vAlign w:val="center"/>
          </w:tcPr>
          <w:p w14:paraId="2F25B2F6"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Routine maintenance</w:t>
            </w:r>
          </w:p>
        </w:tc>
        <w:tc>
          <w:tcPr>
            <w:tcW w:w="810" w:type="dxa"/>
            <w:vAlign w:val="center"/>
          </w:tcPr>
          <w:p w14:paraId="544F4E40"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0179C0A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38%</w:t>
            </w:r>
          </w:p>
        </w:tc>
        <w:tc>
          <w:tcPr>
            <w:tcW w:w="810" w:type="dxa"/>
            <w:vAlign w:val="center"/>
          </w:tcPr>
          <w:p w14:paraId="36E05A2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57EF465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38%</w:t>
            </w:r>
          </w:p>
        </w:tc>
        <w:tc>
          <w:tcPr>
            <w:tcW w:w="810" w:type="dxa"/>
            <w:vAlign w:val="center"/>
          </w:tcPr>
          <w:p w14:paraId="116A311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1E98BF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24%</w:t>
            </w:r>
          </w:p>
        </w:tc>
        <w:tc>
          <w:tcPr>
            <w:tcW w:w="810" w:type="dxa"/>
            <w:vAlign w:val="center"/>
          </w:tcPr>
          <w:p w14:paraId="67AAF89D"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1C45AD38" w14:textId="77777777" w:rsidTr="00A621B8">
        <w:tc>
          <w:tcPr>
            <w:tcW w:w="709" w:type="dxa"/>
          </w:tcPr>
          <w:p w14:paraId="06BA3B5E"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B2</w:t>
            </w:r>
          </w:p>
        </w:tc>
        <w:tc>
          <w:tcPr>
            <w:tcW w:w="2693" w:type="dxa"/>
            <w:vAlign w:val="center"/>
          </w:tcPr>
          <w:p w14:paraId="31842BF6"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Periodic surface maintenance of sealed roads</w:t>
            </w:r>
          </w:p>
        </w:tc>
        <w:tc>
          <w:tcPr>
            <w:tcW w:w="810" w:type="dxa"/>
            <w:vAlign w:val="center"/>
          </w:tcPr>
          <w:p w14:paraId="369759A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7573AF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187E647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70%</w:t>
            </w:r>
          </w:p>
        </w:tc>
        <w:tc>
          <w:tcPr>
            <w:tcW w:w="810" w:type="dxa"/>
            <w:vAlign w:val="center"/>
          </w:tcPr>
          <w:p w14:paraId="43E0BBF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1F97B5F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1A2BB5C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30%</w:t>
            </w:r>
          </w:p>
        </w:tc>
        <w:tc>
          <w:tcPr>
            <w:tcW w:w="810" w:type="dxa"/>
            <w:vAlign w:val="center"/>
          </w:tcPr>
          <w:p w14:paraId="19E90A87"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0529B97C" w14:textId="77777777" w:rsidTr="00A621B8">
        <w:tc>
          <w:tcPr>
            <w:tcW w:w="709" w:type="dxa"/>
          </w:tcPr>
          <w:p w14:paraId="3812FE75"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C</w:t>
            </w:r>
          </w:p>
        </w:tc>
        <w:tc>
          <w:tcPr>
            <w:tcW w:w="2693" w:type="dxa"/>
            <w:vAlign w:val="center"/>
          </w:tcPr>
          <w:p w14:paraId="4BB8A26C" w14:textId="79137D90"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 xml:space="preserve">Bridge maintenance </w:t>
            </w:r>
            <w:r w:rsidR="0086444E">
              <w:rPr>
                <w:rFonts w:asciiTheme="minorHAnsi" w:eastAsia="Calibri" w:hAnsiTheme="minorHAnsi" w:cstheme="minorHAnsi"/>
                <w:color w:val="000000"/>
                <w:sz w:val="20"/>
                <w:szCs w:val="20"/>
              </w:rPr>
              <w:t>and</w:t>
            </w:r>
            <w:r w:rsidRPr="00C4270B">
              <w:rPr>
                <w:rFonts w:asciiTheme="minorHAnsi" w:eastAsia="Calibri" w:hAnsiTheme="minorHAnsi" w:cstheme="minorHAnsi"/>
                <w:color w:val="000000"/>
                <w:sz w:val="20"/>
                <w:szCs w:val="20"/>
              </w:rPr>
              <w:t xml:space="preserve"> rehabilitation</w:t>
            </w:r>
          </w:p>
        </w:tc>
        <w:tc>
          <w:tcPr>
            <w:tcW w:w="810" w:type="dxa"/>
            <w:vAlign w:val="center"/>
          </w:tcPr>
          <w:p w14:paraId="053BF3D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807049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048854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292EB06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33%</w:t>
            </w:r>
          </w:p>
        </w:tc>
        <w:tc>
          <w:tcPr>
            <w:tcW w:w="810" w:type="dxa"/>
            <w:vAlign w:val="center"/>
          </w:tcPr>
          <w:p w14:paraId="7F31C8D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3F3ACA3"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67%</w:t>
            </w:r>
          </w:p>
        </w:tc>
        <w:tc>
          <w:tcPr>
            <w:tcW w:w="810" w:type="dxa"/>
            <w:vAlign w:val="center"/>
          </w:tcPr>
          <w:p w14:paraId="2632C7DA"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034F42D6" w14:textId="77777777" w:rsidTr="00A621B8">
        <w:tc>
          <w:tcPr>
            <w:tcW w:w="709" w:type="dxa"/>
          </w:tcPr>
          <w:p w14:paraId="2CBD81DF"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D</w:t>
            </w:r>
          </w:p>
        </w:tc>
        <w:tc>
          <w:tcPr>
            <w:tcW w:w="2693" w:type="dxa"/>
            <w:vAlign w:val="center"/>
          </w:tcPr>
          <w:p w14:paraId="7D2C07D9"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Road rehabilitation</w:t>
            </w:r>
          </w:p>
        </w:tc>
        <w:tc>
          <w:tcPr>
            <w:tcW w:w="810" w:type="dxa"/>
            <w:vAlign w:val="center"/>
          </w:tcPr>
          <w:p w14:paraId="1D3606B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CAD8B0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8BC5E5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45%</w:t>
            </w:r>
          </w:p>
        </w:tc>
        <w:tc>
          <w:tcPr>
            <w:tcW w:w="810" w:type="dxa"/>
            <w:vAlign w:val="center"/>
          </w:tcPr>
          <w:p w14:paraId="1D7D248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4EF037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4065D84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55%</w:t>
            </w:r>
          </w:p>
        </w:tc>
        <w:tc>
          <w:tcPr>
            <w:tcW w:w="810" w:type="dxa"/>
            <w:vAlign w:val="center"/>
          </w:tcPr>
          <w:p w14:paraId="1E2818E1"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2DB3C989" w14:textId="77777777" w:rsidTr="00A621B8">
        <w:tc>
          <w:tcPr>
            <w:tcW w:w="709" w:type="dxa"/>
          </w:tcPr>
          <w:p w14:paraId="12C3D014"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E</w:t>
            </w:r>
          </w:p>
        </w:tc>
        <w:tc>
          <w:tcPr>
            <w:tcW w:w="2693" w:type="dxa"/>
            <w:vAlign w:val="center"/>
          </w:tcPr>
          <w:p w14:paraId="7D125BEB" w14:textId="17A037BF"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 xml:space="preserve">Low-cost safety </w:t>
            </w:r>
            <w:r w:rsidR="0086444E">
              <w:rPr>
                <w:rFonts w:asciiTheme="minorHAnsi" w:eastAsia="Calibri" w:hAnsiTheme="minorHAnsi" w:cstheme="minorHAnsi"/>
                <w:color w:val="000000"/>
                <w:sz w:val="20"/>
                <w:szCs w:val="20"/>
              </w:rPr>
              <w:t>and</w:t>
            </w:r>
            <w:r w:rsidRPr="00C4270B">
              <w:rPr>
                <w:rFonts w:asciiTheme="minorHAnsi" w:eastAsia="Calibri" w:hAnsiTheme="minorHAnsi" w:cstheme="minorHAnsi"/>
                <w:color w:val="000000"/>
                <w:sz w:val="20"/>
                <w:szCs w:val="20"/>
              </w:rPr>
              <w:t xml:space="preserve"> traffic improvements</w:t>
            </w:r>
          </w:p>
        </w:tc>
        <w:tc>
          <w:tcPr>
            <w:tcW w:w="810" w:type="dxa"/>
            <w:vAlign w:val="center"/>
          </w:tcPr>
          <w:p w14:paraId="445D303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80%</w:t>
            </w:r>
          </w:p>
        </w:tc>
        <w:tc>
          <w:tcPr>
            <w:tcW w:w="810" w:type="dxa"/>
            <w:vAlign w:val="center"/>
          </w:tcPr>
          <w:p w14:paraId="4610ADB0"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20%</w:t>
            </w:r>
          </w:p>
        </w:tc>
        <w:tc>
          <w:tcPr>
            <w:tcW w:w="810" w:type="dxa"/>
            <w:vAlign w:val="center"/>
          </w:tcPr>
          <w:p w14:paraId="08E419C0"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1BC81F0"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27D1ADF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20B345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2E3F17A"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7F7CFC71" w14:textId="77777777" w:rsidTr="00A621B8">
        <w:tc>
          <w:tcPr>
            <w:tcW w:w="709" w:type="dxa"/>
          </w:tcPr>
          <w:p w14:paraId="65475C1E"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F1</w:t>
            </w:r>
          </w:p>
        </w:tc>
        <w:tc>
          <w:tcPr>
            <w:tcW w:w="2693" w:type="dxa"/>
            <w:vAlign w:val="center"/>
          </w:tcPr>
          <w:p w14:paraId="7DA5D272"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Pavement improvements</w:t>
            </w:r>
          </w:p>
        </w:tc>
        <w:tc>
          <w:tcPr>
            <w:tcW w:w="810" w:type="dxa"/>
            <w:vAlign w:val="center"/>
          </w:tcPr>
          <w:p w14:paraId="5D8760A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2D94405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2B74F04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45%</w:t>
            </w:r>
          </w:p>
        </w:tc>
        <w:tc>
          <w:tcPr>
            <w:tcW w:w="810" w:type="dxa"/>
            <w:vAlign w:val="center"/>
          </w:tcPr>
          <w:p w14:paraId="4032566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62A080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584025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55%</w:t>
            </w:r>
          </w:p>
        </w:tc>
        <w:tc>
          <w:tcPr>
            <w:tcW w:w="810" w:type="dxa"/>
            <w:vAlign w:val="center"/>
          </w:tcPr>
          <w:p w14:paraId="645A83BE"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04A16F45" w14:textId="77777777" w:rsidTr="00A621B8">
        <w:tc>
          <w:tcPr>
            <w:tcW w:w="709" w:type="dxa"/>
          </w:tcPr>
          <w:p w14:paraId="78ED74E2"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F2</w:t>
            </w:r>
          </w:p>
        </w:tc>
        <w:tc>
          <w:tcPr>
            <w:tcW w:w="2693" w:type="dxa"/>
            <w:vAlign w:val="center"/>
          </w:tcPr>
          <w:p w14:paraId="48A9E96D"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Bridge improvements</w:t>
            </w:r>
          </w:p>
        </w:tc>
        <w:tc>
          <w:tcPr>
            <w:tcW w:w="810" w:type="dxa"/>
            <w:vAlign w:val="center"/>
          </w:tcPr>
          <w:p w14:paraId="396CE70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21E77E4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15%</w:t>
            </w:r>
          </w:p>
        </w:tc>
        <w:tc>
          <w:tcPr>
            <w:tcW w:w="810" w:type="dxa"/>
            <w:vAlign w:val="center"/>
          </w:tcPr>
          <w:p w14:paraId="48E49DB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0582941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D7771A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A4FB17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85%</w:t>
            </w:r>
          </w:p>
        </w:tc>
        <w:tc>
          <w:tcPr>
            <w:tcW w:w="810" w:type="dxa"/>
            <w:vAlign w:val="center"/>
          </w:tcPr>
          <w:p w14:paraId="0E58EDA4"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5B246941" w14:textId="77777777" w:rsidTr="00A621B8">
        <w:tc>
          <w:tcPr>
            <w:tcW w:w="709" w:type="dxa"/>
          </w:tcPr>
          <w:p w14:paraId="40365081"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F3</w:t>
            </w:r>
          </w:p>
        </w:tc>
        <w:tc>
          <w:tcPr>
            <w:tcW w:w="2693" w:type="dxa"/>
            <w:vAlign w:val="center"/>
          </w:tcPr>
          <w:p w14:paraId="7EBB45AB" w14:textId="0230EEAB"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Land acquisition, earthworks, other extensions/improvement expenditure</w:t>
            </w:r>
          </w:p>
        </w:tc>
        <w:tc>
          <w:tcPr>
            <w:tcW w:w="810" w:type="dxa"/>
            <w:vAlign w:val="center"/>
          </w:tcPr>
          <w:p w14:paraId="716CA50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004241B"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w:t>
            </w:r>
          </w:p>
        </w:tc>
        <w:tc>
          <w:tcPr>
            <w:tcW w:w="810" w:type="dxa"/>
            <w:vAlign w:val="center"/>
          </w:tcPr>
          <w:p w14:paraId="69EA17EB"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54A472C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43D519E9"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14FC7A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90%</w:t>
            </w:r>
          </w:p>
        </w:tc>
        <w:tc>
          <w:tcPr>
            <w:tcW w:w="810" w:type="dxa"/>
            <w:vAlign w:val="center"/>
          </w:tcPr>
          <w:p w14:paraId="4CAB1A7F"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33754AA4" w14:textId="77777777" w:rsidTr="00A621B8">
        <w:tc>
          <w:tcPr>
            <w:tcW w:w="709" w:type="dxa"/>
          </w:tcPr>
          <w:p w14:paraId="1EE6CAC4"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G1</w:t>
            </w:r>
          </w:p>
        </w:tc>
        <w:tc>
          <w:tcPr>
            <w:tcW w:w="2693" w:type="dxa"/>
            <w:vAlign w:val="center"/>
          </w:tcPr>
          <w:p w14:paraId="16FD871D"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Corporate services</w:t>
            </w:r>
          </w:p>
        </w:tc>
        <w:tc>
          <w:tcPr>
            <w:tcW w:w="810" w:type="dxa"/>
            <w:vAlign w:val="center"/>
          </w:tcPr>
          <w:p w14:paraId="1735291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6D75609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4B0784E1"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A8187A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563ECCD1"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4244472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c>
          <w:tcPr>
            <w:tcW w:w="810" w:type="dxa"/>
            <w:vAlign w:val="center"/>
          </w:tcPr>
          <w:p w14:paraId="506AFCE9"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r w:rsidR="00CD0F5B" w:rsidRPr="00F73DA3" w14:paraId="4F21EEAE" w14:textId="77777777" w:rsidTr="00A621B8">
        <w:tc>
          <w:tcPr>
            <w:tcW w:w="709" w:type="dxa"/>
          </w:tcPr>
          <w:p w14:paraId="35BD40CF"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G2</w:t>
            </w:r>
          </w:p>
        </w:tc>
        <w:tc>
          <w:tcPr>
            <w:tcW w:w="2693" w:type="dxa"/>
            <w:vAlign w:val="center"/>
          </w:tcPr>
          <w:p w14:paraId="386C06C3"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Heavy vehicle regulatory costs</w:t>
            </w:r>
          </w:p>
        </w:tc>
        <w:tc>
          <w:tcPr>
            <w:tcW w:w="810" w:type="dxa"/>
            <w:vAlign w:val="center"/>
          </w:tcPr>
          <w:p w14:paraId="234C3E3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3EFB492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49322519"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23C6184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019F5B9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c>
          <w:tcPr>
            <w:tcW w:w="810" w:type="dxa"/>
            <w:vAlign w:val="center"/>
          </w:tcPr>
          <w:p w14:paraId="5988FE2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0%</w:t>
            </w:r>
          </w:p>
        </w:tc>
        <w:tc>
          <w:tcPr>
            <w:tcW w:w="810" w:type="dxa"/>
            <w:vAlign w:val="center"/>
          </w:tcPr>
          <w:p w14:paraId="778BF424"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eastAsia="Calibri" w:hAnsiTheme="minorHAnsi" w:cstheme="minorHAnsi"/>
                <w:color w:val="24272A" w:themeColor="text1"/>
                <w:sz w:val="20"/>
                <w:szCs w:val="20"/>
              </w:rPr>
              <w:t>100%</w:t>
            </w:r>
          </w:p>
        </w:tc>
      </w:tr>
    </w:tbl>
    <w:p w14:paraId="63CE6EBD" w14:textId="77777777" w:rsidR="00CD0F5B" w:rsidRDefault="00CD0F5B" w:rsidP="00CD0F5B">
      <w:pPr>
        <w:pStyle w:val="Tabletitle"/>
      </w:pPr>
      <w:bookmarkStart w:id="205" w:name="_Ref82163038"/>
      <w:bookmarkStart w:id="206" w:name="_Toc86158550"/>
      <w:r>
        <w:t>VIC DTF/DOT cost allocators</w:t>
      </w:r>
      <w:bookmarkEnd w:id="205"/>
      <w:bookmarkEnd w:id="206"/>
    </w:p>
    <w:tbl>
      <w:tblPr>
        <w:tblStyle w:val="NTCtable2"/>
        <w:tblW w:w="9072" w:type="dxa"/>
        <w:tblLayout w:type="fixed"/>
        <w:tblLook w:val="06A0" w:firstRow="1" w:lastRow="0" w:firstColumn="1" w:lastColumn="0" w:noHBand="1" w:noVBand="1"/>
      </w:tblPr>
      <w:tblGrid>
        <w:gridCol w:w="709"/>
        <w:gridCol w:w="2693"/>
        <w:gridCol w:w="810"/>
        <w:gridCol w:w="810"/>
        <w:gridCol w:w="810"/>
        <w:gridCol w:w="810"/>
        <w:gridCol w:w="810"/>
        <w:gridCol w:w="810"/>
        <w:gridCol w:w="810"/>
      </w:tblGrid>
      <w:tr w:rsidR="00A621B8" w:rsidRPr="00F73DA3" w14:paraId="3CCD16EA"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709" w:type="dxa"/>
          </w:tcPr>
          <w:p w14:paraId="017B2739" w14:textId="77777777" w:rsidR="00CD0F5B" w:rsidRPr="00C4270B" w:rsidRDefault="00CD0F5B" w:rsidP="00AB672A">
            <w:pPr>
              <w:rPr>
                <w:rFonts w:asciiTheme="minorHAnsi" w:hAnsiTheme="minorHAnsi" w:cstheme="minorHAnsi"/>
                <w:sz w:val="20"/>
                <w:szCs w:val="20"/>
              </w:rPr>
            </w:pPr>
          </w:p>
        </w:tc>
        <w:tc>
          <w:tcPr>
            <w:tcW w:w="2693" w:type="dxa"/>
          </w:tcPr>
          <w:p w14:paraId="6C9C7206" w14:textId="77777777" w:rsidR="00CD0F5B" w:rsidRPr="00C4270B" w:rsidRDefault="00CD0F5B" w:rsidP="00AB672A">
            <w:pPr>
              <w:rPr>
                <w:rFonts w:asciiTheme="minorHAnsi" w:hAnsiTheme="minorHAnsi" w:cstheme="minorHAnsi"/>
                <w:sz w:val="20"/>
                <w:szCs w:val="20"/>
              </w:rPr>
            </w:pPr>
          </w:p>
        </w:tc>
        <w:tc>
          <w:tcPr>
            <w:tcW w:w="810" w:type="dxa"/>
          </w:tcPr>
          <w:p w14:paraId="48CF327D"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VKT</w:t>
            </w:r>
          </w:p>
        </w:tc>
        <w:tc>
          <w:tcPr>
            <w:tcW w:w="810" w:type="dxa"/>
          </w:tcPr>
          <w:p w14:paraId="4FD0B06A"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PCU-km</w:t>
            </w:r>
          </w:p>
        </w:tc>
        <w:tc>
          <w:tcPr>
            <w:tcW w:w="810" w:type="dxa"/>
          </w:tcPr>
          <w:p w14:paraId="140CA588"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ESA-km</w:t>
            </w:r>
          </w:p>
        </w:tc>
        <w:tc>
          <w:tcPr>
            <w:tcW w:w="810" w:type="dxa"/>
          </w:tcPr>
          <w:p w14:paraId="44370FC6"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AGM-km</w:t>
            </w:r>
          </w:p>
        </w:tc>
        <w:tc>
          <w:tcPr>
            <w:tcW w:w="810" w:type="dxa"/>
          </w:tcPr>
          <w:p w14:paraId="0F64EFB5"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HV- VKT</w:t>
            </w:r>
          </w:p>
        </w:tc>
        <w:tc>
          <w:tcPr>
            <w:tcW w:w="810" w:type="dxa"/>
          </w:tcPr>
          <w:p w14:paraId="2E4C9EE3"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Non-attributable</w:t>
            </w:r>
          </w:p>
        </w:tc>
        <w:tc>
          <w:tcPr>
            <w:tcW w:w="810" w:type="dxa"/>
          </w:tcPr>
          <w:p w14:paraId="4C7843C7"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Total</w:t>
            </w:r>
          </w:p>
        </w:tc>
      </w:tr>
      <w:tr w:rsidR="00CD0F5B" w:rsidRPr="00F73DA3" w14:paraId="7DD6A38D" w14:textId="77777777" w:rsidTr="00A621B8">
        <w:trPr>
          <w:trHeight w:val="737"/>
        </w:trPr>
        <w:tc>
          <w:tcPr>
            <w:tcW w:w="709" w:type="dxa"/>
          </w:tcPr>
          <w:p w14:paraId="22F4DEE2"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A</w:t>
            </w:r>
          </w:p>
        </w:tc>
        <w:tc>
          <w:tcPr>
            <w:tcW w:w="2693" w:type="dxa"/>
            <w:vAlign w:val="center"/>
          </w:tcPr>
          <w:p w14:paraId="27174FB5"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Servicing and operating expenses</w:t>
            </w:r>
          </w:p>
        </w:tc>
        <w:tc>
          <w:tcPr>
            <w:tcW w:w="810" w:type="dxa"/>
            <w:vAlign w:val="center"/>
          </w:tcPr>
          <w:p w14:paraId="445990CB"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c>
          <w:tcPr>
            <w:tcW w:w="810" w:type="dxa"/>
            <w:vAlign w:val="center"/>
          </w:tcPr>
          <w:p w14:paraId="3B14A4D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205D2C9"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54741F5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05E340E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7A3D676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0B5E9CA"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041A1623" w14:textId="77777777" w:rsidTr="00A621B8">
        <w:tc>
          <w:tcPr>
            <w:tcW w:w="709" w:type="dxa"/>
          </w:tcPr>
          <w:p w14:paraId="2E4D48C4"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B1</w:t>
            </w:r>
          </w:p>
        </w:tc>
        <w:tc>
          <w:tcPr>
            <w:tcW w:w="2693" w:type="dxa"/>
            <w:vAlign w:val="center"/>
          </w:tcPr>
          <w:p w14:paraId="65ED5A72"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Routine maintenance</w:t>
            </w:r>
          </w:p>
        </w:tc>
        <w:tc>
          <w:tcPr>
            <w:tcW w:w="810" w:type="dxa"/>
            <w:vAlign w:val="center"/>
          </w:tcPr>
          <w:p w14:paraId="5DB3C00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53DB772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10%</w:t>
            </w:r>
          </w:p>
        </w:tc>
        <w:tc>
          <w:tcPr>
            <w:tcW w:w="810" w:type="dxa"/>
            <w:vAlign w:val="center"/>
          </w:tcPr>
          <w:p w14:paraId="257626F9"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40C1ED35"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6AB5E06B"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5E6F64B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90%</w:t>
            </w:r>
          </w:p>
        </w:tc>
        <w:tc>
          <w:tcPr>
            <w:tcW w:w="810" w:type="dxa"/>
            <w:vAlign w:val="center"/>
          </w:tcPr>
          <w:p w14:paraId="72781713"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6519728F" w14:textId="77777777" w:rsidTr="00A621B8">
        <w:tc>
          <w:tcPr>
            <w:tcW w:w="709" w:type="dxa"/>
          </w:tcPr>
          <w:p w14:paraId="77CFF548"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lastRenderedPageBreak/>
              <w:t>B2</w:t>
            </w:r>
          </w:p>
        </w:tc>
        <w:tc>
          <w:tcPr>
            <w:tcW w:w="2693" w:type="dxa"/>
            <w:vAlign w:val="center"/>
          </w:tcPr>
          <w:p w14:paraId="0001D0AF"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Periodic surface maintenance of sealed roads</w:t>
            </w:r>
          </w:p>
        </w:tc>
        <w:tc>
          <w:tcPr>
            <w:tcW w:w="810" w:type="dxa"/>
            <w:vAlign w:val="center"/>
          </w:tcPr>
          <w:p w14:paraId="60AF710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4591421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70A1346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56%</w:t>
            </w:r>
          </w:p>
        </w:tc>
        <w:tc>
          <w:tcPr>
            <w:tcW w:w="810" w:type="dxa"/>
            <w:vAlign w:val="center"/>
          </w:tcPr>
          <w:p w14:paraId="73657C7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17658C1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DBD4A7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44%</w:t>
            </w:r>
          </w:p>
        </w:tc>
        <w:tc>
          <w:tcPr>
            <w:tcW w:w="810" w:type="dxa"/>
            <w:vAlign w:val="center"/>
          </w:tcPr>
          <w:p w14:paraId="51DEA2D4"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6A1D40AD" w14:textId="77777777" w:rsidTr="00A621B8">
        <w:tc>
          <w:tcPr>
            <w:tcW w:w="709" w:type="dxa"/>
          </w:tcPr>
          <w:p w14:paraId="1C4CC619"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C</w:t>
            </w:r>
          </w:p>
        </w:tc>
        <w:tc>
          <w:tcPr>
            <w:tcW w:w="2693" w:type="dxa"/>
            <w:vAlign w:val="center"/>
          </w:tcPr>
          <w:p w14:paraId="48586102" w14:textId="2515543A"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 xml:space="preserve">Bridge maintenance </w:t>
            </w:r>
            <w:r w:rsidR="0086444E">
              <w:rPr>
                <w:rFonts w:asciiTheme="minorHAnsi" w:eastAsia="Calibri" w:hAnsiTheme="minorHAnsi" w:cstheme="minorHAnsi"/>
                <w:color w:val="000000"/>
                <w:sz w:val="20"/>
                <w:szCs w:val="20"/>
              </w:rPr>
              <w:t>and</w:t>
            </w:r>
            <w:r w:rsidRPr="00C4270B">
              <w:rPr>
                <w:rFonts w:asciiTheme="minorHAnsi" w:eastAsia="Calibri" w:hAnsiTheme="minorHAnsi" w:cstheme="minorHAnsi"/>
                <w:color w:val="000000"/>
                <w:sz w:val="20"/>
                <w:szCs w:val="20"/>
              </w:rPr>
              <w:t xml:space="preserve"> rehabilitation</w:t>
            </w:r>
          </w:p>
        </w:tc>
        <w:tc>
          <w:tcPr>
            <w:tcW w:w="810" w:type="dxa"/>
            <w:vAlign w:val="center"/>
          </w:tcPr>
          <w:p w14:paraId="018E5ED9"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4DD96B7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11%</w:t>
            </w:r>
          </w:p>
        </w:tc>
        <w:tc>
          <w:tcPr>
            <w:tcW w:w="810" w:type="dxa"/>
            <w:vAlign w:val="center"/>
          </w:tcPr>
          <w:p w14:paraId="28FDB79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879C420"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4%</w:t>
            </w:r>
          </w:p>
        </w:tc>
        <w:tc>
          <w:tcPr>
            <w:tcW w:w="810" w:type="dxa"/>
            <w:vAlign w:val="center"/>
          </w:tcPr>
          <w:p w14:paraId="6265BB0B"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73C5706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85%</w:t>
            </w:r>
          </w:p>
        </w:tc>
        <w:tc>
          <w:tcPr>
            <w:tcW w:w="810" w:type="dxa"/>
            <w:vAlign w:val="center"/>
          </w:tcPr>
          <w:p w14:paraId="787636B2"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3D3B9761" w14:textId="77777777" w:rsidTr="00A621B8">
        <w:tc>
          <w:tcPr>
            <w:tcW w:w="709" w:type="dxa"/>
          </w:tcPr>
          <w:p w14:paraId="7F4709FB"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D</w:t>
            </w:r>
          </w:p>
        </w:tc>
        <w:tc>
          <w:tcPr>
            <w:tcW w:w="2693" w:type="dxa"/>
            <w:vAlign w:val="center"/>
          </w:tcPr>
          <w:p w14:paraId="6356D9EB"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Road rehabilitation</w:t>
            </w:r>
          </w:p>
        </w:tc>
        <w:tc>
          <w:tcPr>
            <w:tcW w:w="810" w:type="dxa"/>
            <w:vAlign w:val="center"/>
          </w:tcPr>
          <w:p w14:paraId="15F2F06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3FD65B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4B336C6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56%</w:t>
            </w:r>
          </w:p>
        </w:tc>
        <w:tc>
          <w:tcPr>
            <w:tcW w:w="810" w:type="dxa"/>
            <w:vAlign w:val="center"/>
          </w:tcPr>
          <w:p w14:paraId="0ED2863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3D7464F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3552484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44%</w:t>
            </w:r>
          </w:p>
        </w:tc>
        <w:tc>
          <w:tcPr>
            <w:tcW w:w="810" w:type="dxa"/>
            <w:vAlign w:val="center"/>
          </w:tcPr>
          <w:p w14:paraId="30AB7887"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6777C823" w14:textId="77777777" w:rsidTr="00A621B8">
        <w:tc>
          <w:tcPr>
            <w:tcW w:w="709" w:type="dxa"/>
          </w:tcPr>
          <w:p w14:paraId="322B30E4"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E</w:t>
            </w:r>
          </w:p>
        </w:tc>
        <w:tc>
          <w:tcPr>
            <w:tcW w:w="2693" w:type="dxa"/>
            <w:vAlign w:val="center"/>
          </w:tcPr>
          <w:p w14:paraId="3DFF6DB3" w14:textId="6C49D002"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 xml:space="preserve">Low-cost safety </w:t>
            </w:r>
            <w:r w:rsidR="0086444E">
              <w:rPr>
                <w:rFonts w:asciiTheme="minorHAnsi" w:eastAsia="Calibri" w:hAnsiTheme="minorHAnsi" w:cstheme="minorHAnsi"/>
                <w:color w:val="000000"/>
                <w:sz w:val="20"/>
                <w:szCs w:val="20"/>
              </w:rPr>
              <w:t>and</w:t>
            </w:r>
            <w:r w:rsidRPr="00C4270B">
              <w:rPr>
                <w:rFonts w:asciiTheme="minorHAnsi" w:eastAsia="Calibri" w:hAnsiTheme="minorHAnsi" w:cstheme="minorHAnsi"/>
                <w:color w:val="000000"/>
                <w:sz w:val="20"/>
                <w:szCs w:val="20"/>
              </w:rPr>
              <w:t xml:space="preserve"> traffic improvements</w:t>
            </w:r>
          </w:p>
        </w:tc>
        <w:tc>
          <w:tcPr>
            <w:tcW w:w="810" w:type="dxa"/>
            <w:vAlign w:val="center"/>
          </w:tcPr>
          <w:p w14:paraId="0B2041D3"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95%</w:t>
            </w:r>
          </w:p>
        </w:tc>
        <w:tc>
          <w:tcPr>
            <w:tcW w:w="810" w:type="dxa"/>
            <w:vAlign w:val="center"/>
          </w:tcPr>
          <w:p w14:paraId="6F89EE4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5%</w:t>
            </w:r>
          </w:p>
        </w:tc>
        <w:tc>
          <w:tcPr>
            <w:tcW w:w="810" w:type="dxa"/>
            <w:vAlign w:val="center"/>
          </w:tcPr>
          <w:p w14:paraId="1987F816"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10451E11"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469F1CE3"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6123F87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3C0002CA"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2A28E5BD" w14:textId="77777777" w:rsidTr="00A621B8">
        <w:tc>
          <w:tcPr>
            <w:tcW w:w="709" w:type="dxa"/>
          </w:tcPr>
          <w:p w14:paraId="7945CEDD"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F1</w:t>
            </w:r>
          </w:p>
        </w:tc>
        <w:tc>
          <w:tcPr>
            <w:tcW w:w="2693" w:type="dxa"/>
            <w:vAlign w:val="center"/>
          </w:tcPr>
          <w:p w14:paraId="061DE08F"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Pavement improvements</w:t>
            </w:r>
          </w:p>
        </w:tc>
        <w:tc>
          <w:tcPr>
            <w:tcW w:w="810" w:type="dxa"/>
            <w:vAlign w:val="center"/>
          </w:tcPr>
          <w:p w14:paraId="433C938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05F5A4F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3BC6BDFF"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68%</w:t>
            </w:r>
          </w:p>
        </w:tc>
        <w:tc>
          <w:tcPr>
            <w:tcW w:w="810" w:type="dxa"/>
            <w:vAlign w:val="center"/>
          </w:tcPr>
          <w:p w14:paraId="5273BBC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3CF86AF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12D124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32%</w:t>
            </w:r>
          </w:p>
        </w:tc>
        <w:tc>
          <w:tcPr>
            <w:tcW w:w="810" w:type="dxa"/>
            <w:vAlign w:val="center"/>
          </w:tcPr>
          <w:p w14:paraId="5922E144"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6A233152" w14:textId="77777777" w:rsidTr="00A621B8">
        <w:tc>
          <w:tcPr>
            <w:tcW w:w="709" w:type="dxa"/>
          </w:tcPr>
          <w:p w14:paraId="7E025D0C"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F2</w:t>
            </w:r>
          </w:p>
        </w:tc>
        <w:tc>
          <w:tcPr>
            <w:tcW w:w="2693" w:type="dxa"/>
            <w:vAlign w:val="center"/>
          </w:tcPr>
          <w:p w14:paraId="3BB889F3"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Bridge improvements</w:t>
            </w:r>
          </w:p>
        </w:tc>
        <w:tc>
          <w:tcPr>
            <w:tcW w:w="810" w:type="dxa"/>
            <w:vAlign w:val="center"/>
          </w:tcPr>
          <w:p w14:paraId="3190FB0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1FB2DE3"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8%</w:t>
            </w:r>
          </w:p>
        </w:tc>
        <w:tc>
          <w:tcPr>
            <w:tcW w:w="810" w:type="dxa"/>
            <w:vAlign w:val="center"/>
          </w:tcPr>
          <w:p w14:paraId="3C1C17F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1CD0F31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8%</w:t>
            </w:r>
          </w:p>
        </w:tc>
        <w:tc>
          <w:tcPr>
            <w:tcW w:w="810" w:type="dxa"/>
            <w:vAlign w:val="center"/>
          </w:tcPr>
          <w:p w14:paraId="1709A8D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689E4B5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85%</w:t>
            </w:r>
          </w:p>
        </w:tc>
        <w:tc>
          <w:tcPr>
            <w:tcW w:w="810" w:type="dxa"/>
            <w:vAlign w:val="center"/>
          </w:tcPr>
          <w:p w14:paraId="1BBE2F24"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76CAA5FF" w14:textId="77777777" w:rsidTr="00A621B8">
        <w:tc>
          <w:tcPr>
            <w:tcW w:w="709" w:type="dxa"/>
          </w:tcPr>
          <w:p w14:paraId="63280E4C"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F3</w:t>
            </w:r>
          </w:p>
        </w:tc>
        <w:tc>
          <w:tcPr>
            <w:tcW w:w="2693" w:type="dxa"/>
            <w:vAlign w:val="center"/>
          </w:tcPr>
          <w:p w14:paraId="12B96EF3" w14:textId="2D09121D"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Land acquisition, earthworks, other extensions/improvement expenditure</w:t>
            </w:r>
          </w:p>
        </w:tc>
        <w:tc>
          <w:tcPr>
            <w:tcW w:w="810" w:type="dxa"/>
            <w:vAlign w:val="center"/>
          </w:tcPr>
          <w:p w14:paraId="6EE224FC"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74B1C70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5%</w:t>
            </w:r>
          </w:p>
        </w:tc>
        <w:tc>
          <w:tcPr>
            <w:tcW w:w="810" w:type="dxa"/>
            <w:vAlign w:val="center"/>
          </w:tcPr>
          <w:p w14:paraId="632DAF4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6AA97514"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01FD7502"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737E810D"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95%</w:t>
            </w:r>
          </w:p>
        </w:tc>
        <w:tc>
          <w:tcPr>
            <w:tcW w:w="810" w:type="dxa"/>
            <w:vAlign w:val="center"/>
          </w:tcPr>
          <w:p w14:paraId="5729B9D3"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4A7AE847" w14:textId="77777777" w:rsidTr="00A621B8">
        <w:tc>
          <w:tcPr>
            <w:tcW w:w="709" w:type="dxa"/>
          </w:tcPr>
          <w:p w14:paraId="574F1960"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G1</w:t>
            </w:r>
          </w:p>
        </w:tc>
        <w:tc>
          <w:tcPr>
            <w:tcW w:w="2693" w:type="dxa"/>
            <w:vAlign w:val="center"/>
          </w:tcPr>
          <w:p w14:paraId="108D6DE4" w14:textId="77777777" w:rsidR="00CD0F5B" w:rsidRPr="00C4270B" w:rsidRDefault="00CD0F5B" w:rsidP="00A621B8">
            <w:pPr>
              <w:rPr>
                <w:rFonts w:asciiTheme="minorHAnsi" w:hAnsiTheme="minorHAnsi" w:cstheme="minorHAnsi"/>
                <w:sz w:val="20"/>
                <w:szCs w:val="20"/>
              </w:rPr>
            </w:pPr>
            <w:r w:rsidRPr="00C4270B">
              <w:rPr>
                <w:rFonts w:asciiTheme="minorHAnsi" w:eastAsia="Calibri" w:hAnsiTheme="minorHAnsi" w:cstheme="minorHAnsi"/>
                <w:color w:val="000000"/>
                <w:sz w:val="20"/>
                <w:szCs w:val="20"/>
              </w:rPr>
              <w:t>Corporate services</w:t>
            </w:r>
          </w:p>
        </w:tc>
        <w:tc>
          <w:tcPr>
            <w:tcW w:w="810" w:type="dxa"/>
            <w:vAlign w:val="center"/>
          </w:tcPr>
          <w:p w14:paraId="1CBD7A8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C125773"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56B1986A"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7630F8D7"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4FC7443E"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0%</w:t>
            </w:r>
          </w:p>
        </w:tc>
        <w:tc>
          <w:tcPr>
            <w:tcW w:w="810" w:type="dxa"/>
            <w:vAlign w:val="center"/>
          </w:tcPr>
          <w:p w14:paraId="2A91ED58" w14:textId="77777777" w:rsidR="00CD0F5B" w:rsidRPr="00C4270B" w:rsidRDefault="00CD0F5B" w:rsidP="00F73DA3">
            <w:pPr>
              <w:jc w:val="center"/>
              <w:rPr>
                <w:rFonts w:asciiTheme="minorHAns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c>
          <w:tcPr>
            <w:tcW w:w="810" w:type="dxa"/>
            <w:vAlign w:val="center"/>
          </w:tcPr>
          <w:p w14:paraId="3B4B153F" w14:textId="77777777" w:rsidR="00CD0F5B" w:rsidRPr="00C4270B" w:rsidRDefault="00CD0F5B" w:rsidP="00F73DA3">
            <w:pPr>
              <w:jc w:val="center"/>
              <w:rPr>
                <w:rFonts w:asciiTheme="minorHAnsi" w:eastAsia="Calibri" w:hAnsiTheme="minorHAnsi" w:cstheme="minorHAnsi"/>
                <w:color w:val="24272A" w:themeColor="text1"/>
                <w:sz w:val="20"/>
                <w:szCs w:val="20"/>
              </w:rPr>
            </w:pPr>
            <w:r w:rsidRPr="00C4270B">
              <w:rPr>
                <w:rFonts w:asciiTheme="minorHAnsi" w:hAnsiTheme="minorHAnsi" w:cstheme="minorHAnsi"/>
                <w:color w:val="24272A" w:themeColor="text1"/>
                <w:sz w:val="20"/>
                <w:szCs w:val="20"/>
              </w:rPr>
              <w:t>100%</w:t>
            </w:r>
          </w:p>
        </w:tc>
      </w:tr>
      <w:tr w:rsidR="00CD0F5B" w:rsidRPr="00F73DA3" w14:paraId="780589D7" w14:textId="77777777" w:rsidTr="00A621B8">
        <w:tc>
          <w:tcPr>
            <w:tcW w:w="709" w:type="dxa"/>
          </w:tcPr>
          <w:p w14:paraId="682DD630" w14:textId="77777777" w:rsidR="00CD0F5B" w:rsidRPr="00C4270B" w:rsidRDefault="00CD0F5B" w:rsidP="00AB672A">
            <w:pPr>
              <w:jc w:val="center"/>
              <w:rPr>
                <w:rFonts w:asciiTheme="minorHAnsi" w:hAnsiTheme="minorHAnsi" w:cstheme="minorHAnsi"/>
                <w:b/>
                <w:bCs/>
                <w:sz w:val="20"/>
                <w:szCs w:val="20"/>
              </w:rPr>
            </w:pPr>
            <w:r w:rsidRPr="00C4270B">
              <w:rPr>
                <w:rFonts w:asciiTheme="minorHAnsi" w:eastAsia="Calibri" w:hAnsiTheme="minorHAnsi" w:cstheme="minorHAnsi"/>
                <w:b/>
                <w:bCs/>
                <w:color w:val="000000"/>
                <w:sz w:val="20"/>
                <w:szCs w:val="20"/>
              </w:rPr>
              <w:t>G2</w:t>
            </w:r>
          </w:p>
        </w:tc>
        <w:tc>
          <w:tcPr>
            <w:tcW w:w="2693" w:type="dxa"/>
          </w:tcPr>
          <w:p w14:paraId="417EECF1" w14:textId="77777777" w:rsidR="00CD0F5B" w:rsidRPr="00C4270B" w:rsidRDefault="00CD0F5B" w:rsidP="00A329DF">
            <w:pPr>
              <w:rPr>
                <w:rFonts w:asciiTheme="minorHAnsi" w:hAnsiTheme="minorHAnsi" w:cstheme="minorHAnsi"/>
                <w:sz w:val="20"/>
                <w:szCs w:val="20"/>
              </w:rPr>
            </w:pPr>
            <w:r w:rsidRPr="00C4270B">
              <w:rPr>
                <w:rFonts w:asciiTheme="minorHAnsi" w:eastAsia="Calibri" w:hAnsiTheme="minorHAnsi" w:cstheme="minorHAnsi"/>
                <w:color w:val="000000"/>
                <w:sz w:val="20"/>
                <w:szCs w:val="20"/>
              </w:rPr>
              <w:t>Heavy vehicle regulatory costs</w:t>
            </w:r>
          </w:p>
        </w:tc>
        <w:tc>
          <w:tcPr>
            <w:tcW w:w="810" w:type="dxa"/>
          </w:tcPr>
          <w:p w14:paraId="3D54BCE8" w14:textId="77777777" w:rsidR="00CD0F5B" w:rsidRPr="00C4270B" w:rsidRDefault="00CD0F5B" w:rsidP="00AB672A">
            <w:pPr>
              <w:jc w:val="center"/>
              <w:rPr>
                <w:rFonts w:asciiTheme="minorHAnsi" w:hAnsiTheme="minorHAnsi" w:cstheme="minorHAnsi"/>
                <w:sz w:val="20"/>
                <w:szCs w:val="20"/>
              </w:rPr>
            </w:pPr>
            <w:r w:rsidRPr="00C4270B">
              <w:rPr>
                <w:rFonts w:asciiTheme="minorHAnsi" w:eastAsia="Calibri" w:hAnsiTheme="minorHAnsi" w:cstheme="minorHAnsi"/>
                <w:color w:val="3F3F76"/>
                <w:sz w:val="20"/>
                <w:szCs w:val="20"/>
              </w:rPr>
              <w:t>0%</w:t>
            </w:r>
          </w:p>
        </w:tc>
        <w:tc>
          <w:tcPr>
            <w:tcW w:w="810" w:type="dxa"/>
          </w:tcPr>
          <w:p w14:paraId="76DFE493" w14:textId="77777777" w:rsidR="00CD0F5B" w:rsidRPr="00C4270B" w:rsidRDefault="00CD0F5B" w:rsidP="00AB672A">
            <w:pPr>
              <w:jc w:val="center"/>
              <w:rPr>
                <w:rFonts w:asciiTheme="minorHAnsi" w:hAnsiTheme="minorHAnsi" w:cstheme="minorHAnsi"/>
                <w:sz w:val="20"/>
                <w:szCs w:val="20"/>
              </w:rPr>
            </w:pPr>
            <w:r w:rsidRPr="00C4270B">
              <w:rPr>
                <w:rFonts w:asciiTheme="minorHAnsi" w:eastAsia="Calibri" w:hAnsiTheme="minorHAnsi" w:cstheme="minorHAnsi"/>
                <w:color w:val="3F3F76"/>
                <w:sz w:val="20"/>
                <w:szCs w:val="20"/>
              </w:rPr>
              <w:t>0%</w:t>
            </w:r>
          </w:p>
        </w:tc>
        <w:tc>
          <w:tcPr>
            <w:tcW w:w="810" w:type="dxa"/>
          </w:tcPr>
          <w:p w14:paraId="0650C282" w14:textId="77777777" w:rsidR="00CD0F5B" w:rsidRPr="00C4270B" w:rsidRDefault="00CD0F5B" w:rsidP="00AB672A">
            <w:pPr>
              <w:jc w:val="center"/>
              <w:rPr>
                <w:rFonts w:asciiTheme="minorHAnsi" w:hAnsiTheme="minorHAnsi" w:cstheme="minorHAnsi"/>
                <w:sz w:val="20"/>
                <w:szCs w:val="20"/>
              </w:rPr>
            </w:pPr>
            <w:r w:rsidRPr="00C4270B">
              <w:rPr>
                <w:rFonts w:asciiTheme="minorHAnsi" w:eastAsia="Calibri" w:hAnsiTheme="minorHAnsi" w:cstheme="minorHAnsi"/>
                <w:color w:val="3F3F76"/>
                <w:sz w:val="20"/>
                <w:szCs w:val="20"/>
              </w:rPr>
              <w:t>0%</w:t>
            </w:r>
          </w:p>
        </w:tc>
        <w:tc>
          <w:tcPr>
            <w:tcW w:w="810" w:type="dxa"/>
          </w:tcPr>
          <w:p w14:paraId="6342A64E" w14:textId="77777777" w:rsidR="00CD0F5B" w:rsidRPr="00C4270B" w:rsidRDefault="00CD0F5B" w:rsidP="00AB672A">
            <w:pPr>
              <w:jc w:val="center"/>
              <w:rPr>
                <w:rFonts w:asciiTheme="minorHAnsi" w:hAnsiTheme="minorHAnsi" w:cstheme="minorHAnsi"/>
                <w:sz w:val="20"/>
                <w:szCs w:val="20"/>
              </w:rPr>
            </w:pPr>
            <w:r w:rsidRPr="00C4270B">
              <w:rPr>
                <w:rFonts w:asciiTheme="minorHAnsi" w:eastAsia="Calibri" w:hAnsiTheme="minorHAnsi" w:cstheme="minorHAnsi"/>
                <w:color w:val="3F3F76"/>
                <w:sz w:val="20"/>
                <w:szCs w:val="20"/>
              </w:rPr>
              <w:t>0%</w:t>
            </w:r>
          </w:p>
        </w:tc>
        <w:tc>
          <w:tcPr>
            <w:tcW w:w="810" w:type="dxa"/>
          </w:tcPr>
          <w:p w14:paraId="0EF2D734" w14:textId="77777777" w:rsidR="00CD0F5B" w:rsidRPr="00C4270B" w:rsidRDefault="00CD0F5B" w:rsidP="00AB672A">
            <w:pPr>
              <w:jc w:val="center"/>
              <w:rPr>
                <w:rFonts w:asciiTheme="minorHAnsi" w:hAnsiTheme="minorHAnsi" w:cstheme="minorHAnsi"/>
                <w:sz w:val="20"/>
                <w:szCs w:val="20"/>
              </w:rPr>
            </w:pPr>
            <w:r w:rsidRPr="00C4270B">
              <w:rPr>
                <w:rFonts w:asciiTheme="minorHAnsi" w:eastAsia="Calibri" w:hAnsiTheme="minorHAnsi" w:cstheme="minorHAnsi"/>
                <w:color w:val="3F3F76"/>
                <w:sz w:val="20"/>
                <w:szCs w:val="20"/>
              </w:rPr>
              <w:t>100%</w:t>
            </w:r>
          </w:p>
        </w:tc>
        <w:tc>
          <w:tcPr>
            <w:tcW w:w="810" w:type="dxa"/>
          </w:tcPr>
          <w:p w14:paraId="1536A9B4" w14:textId="77777777" w:rsidR="00CD0F5B" w:rsidRPr="00C4270B" w:rsidRDefault="00CD0F5B" w:rsidP="00AB672A">
            <w:pPr>
              <w:jc w:val="center"/>
              <w:rPr>
                <w:rFonts w:asciiTheme="minorHAnsi" w:hAnsiTheme="minorHAnsi" w:cstheme="minorHAnsi"/>
                <w:sz w:val="20"/>
                <w:szCs w:val="20"/>
              </w:rPr>
            </w:pPr>
            <w:r w:rsidRPr="00C4270B">
              <w:rPr>
                <w:rFonts w:asciiTheme="minorHAnsi" w:eastAsia="Calibri" w:hAnsiTheme="minorHAnsi" w:cstheme="minorHAnsi"/>
                <w:color w:val="3F3F76"/>
                <w:sz w:val="20"/>
                <w:szCs w:val="20"/>
              </w:rPr>
              <w:t>0%</w:t>
            </w:r>
          </w:p>
        </w:tc>
        <w:tc>
          <w:tcPr>
            <w:tcW w:w="810" w:type="dxa"/>
          </w:tcPr>
          <w:p w14:paraId="6D1920A0" w14:textId="77777777" w:rsidR="00CD0F5B" w:rsidRPr="00C4270B" w:rsidRDefault="00CD0F5B" w:rsidP="00AB672A">
            <w:pPr>
              <w:jc w:val="center"/>
              <w:rPr>
                <w:rFonts w:asciiTheme="minorHAnsi" w:eastAsia="Calibri" w:hAnsiTheme="minorHAnsi" w:cstheme="minorHAnsi"/>
                <w:color w:val="3F3F76"/>
                <w:sz w:val="20"/>
                <w:szCs w:val="20"/>
              </w:rPr>
            </w:pPr>
            <w:r w:rsidRPr="00C4270B">
              <w:rPr>
                <w:rFonts w:asciiTheme="minorHAnsi" w:eastAsia="Calibri" w:hAnsiTheme="minorHAnsi" w:cstheme="minorHAnsi"/>
                <w:color w:val="3F3F76"/>
                <w:sz w:val="20"/>
                <w:szCs w:val="20"/>
              </w:rPr>
              <w:t>100%</w:t>
            </w:r>
          </w:p>
        </w:tc>
      </w:tr>
    </w:tbl>
    <w:p w14:paraId="0785F6B8" w14:textId="00AD6B3B" w:rsidR="00CD0F5B" w:rsidRDefault="00CD0F5B" w:rsidP="00CD0F5B">
      <w:pPr>
        <w:pStyle w:val="Heading3"/>
      </w:pPr>
      <w:bookmarkStart w:id="207" w:name="_Toc86158436"/>
      <w:bookmarkEnd w:id="201"/>
      <w:r>
        <w:t xml:space="preserve">Impact of </w:t>
      </w:r>
      <w:r w:rsidR="002F68B0">
        <w:t>o</w:t>
      </w:r>
      <w:r>
        <w:t>ptions</w:t>
      </w:r>
      <w:bookmarkEnd w:id="207"/>
    </w:p>
    <w:p w14:paraId="39569CD4" w14:textId="4D2F637D" w:rsidR="00CD0F5B" w:rsidRDefault="00CD0F5B" w:rsidP="00CD0F5B">
      <w:pPr>
        <w:pStyle w:val="BodyCopy"/>
      </w:pPr>
      <w:r>
        <w:t xml:space="preserve">Compared </w:t>
      </w:r>
      <w:r w:rsidR="00485614">
        <w:t xml:space="preserve">with </w:t>
      </w:r>
      <w:r>
        <w:t xml:space="preserve">the current approach, adopting either the </w:t>
      </w:r>
      <w:r w:rsidR="00EC4D84">
        <w:t>m</w:t>
      </w:r>
      <w:r>
        <w:t xml:space="preserve">odified </w:t>
      </w:r>
      <w:r w:rsidR="00EC4D84">
        <w:t>c</w:t>
      </w:r>
      <w:r>
        <w:t>urrent and VIC DTF/DOT options would have the effect of increasing total costs allocated to the heavy vehicle fleet</w:t>
      </w:r>
      <w:r w:rsidR="00E41ADA">
        <w:t xml:space="preserve"> (</w:t>
      </w:r>
      <w:r w:rsidR="00BC560E">
        <w:fldChar w:fldCharType="begin"/>
      </w:r>
      <w:r w:rsidR="00BC560E">
        <w:instrText xml:space="preserve"> REF _Ref82005343 \r \h </w:instrText>
      </w:r>
      <w:r w:rsidR="00BC560E">
        <w:fldChar w:fldCharType="separate"/>
      </w:r>
      <w:r w:rsidR="00225EEA">
        <w:t>Table 12</w:t>
      </w:r>
      <w:r w:rsidR="00BC560E">
        <w:fldChar w:fldCharType="end"/>
      </w:r>
      <w:r w:rsidR="00E41ADA">
        <w:t>)</w:t>
      </w:r>
      <w:r>
        <w:t xml:space="preserve">. The </w:t>
      </w:r>
      <w:r w:rsidR="00EC4D84">
        <w:t>m</w:t>
      </w:r>
      <w:r>
        <w:t xml:space="preserve">odified </w:t>
      </w:r>
      <w:r w:rsidR="00EC4D84">
        <w:t>c</w:t>
      </w:r>
      <w:r>
        <w:t>urrent option adds approximately 3</w:t>
      </w:r>
      <w:r w:rsidR="00272BD6">
        <w:t xml:space="preserve"> per cent</w:t>
      </w:r>
      <w:r>
        <w:t xml:space="preserve"> to the heavy vehicle cost base</w:t>
      </w:r>
      <w:r w:rsidR="00E41ADA">
        <w:t>,</w:t>
      </w:r>
      <w:r>
        <w:t xml:space="preserve"> whereas the VIC DTF/DOT option adds close to 10</w:t>
      </w:r>
      <w:r w:rsidR="00272BD6">
        <w:t xml:space="preserve"> per cent</w:t>
      </w:r>
      <w:r>
        <w:t xml:space="preserve"> to the heavy vehicle cost base in recent years.</w:t>
      </w:r>
      <w:r w:rsidR="00830D17">
        <w:t xml:space="preserve"> </w:t>
      </w:r>
    </w:p>
    <w:p w14:paraId="31A52713" w14:textId="7AA61E19" w:rsidR="009B3130" w:rsidRDefault="009B3130" w:rsidP="00CD0F5B">
      <w:pPr>
        <w:pStyle w:val="BodyCopy"/>
      </w:pPr>
      <w:r>
        <w:t xml:space="preserve">The information presented in </w:t>
      </w:r>
      <w:r w:rsidR="00EB0EE2">
        <w:fldChar w:fldCharType="begin"/>
      </w:r>
      <w:r w:rsidR="00EB0EE2">
        <w:instrText xml:space="preserve"> REF _Ref82082611 \r </w:instrText>
      </w:r>
      <w:r w:rsidR="00EB0EE2">
        <w:fldChar w:fldCharType="separate"/>
      </w:r>
      <w:r w:rsidR="00225EEA">
        <w:t>Table 12</w:t>
      </w:r>
      <w:r w:rsidR="00EB0EE2">
        <w:fldChar w:fldCharType="end"/>
      </w:r>
      <w:r w:rsidR="00E30B83">
        <w:t xml:space="preserve"> and </w:t>
      </w:r>
      <w:r w:rsidR="00E30B83">
        <w:fldChar w:fldCharType="begin"/>
      </w:r>
      <w:r w:rsidR="00E30B83">
        <w:instrText xml:space="preserve"> REF _Ref75784540 \r \h </w:instrText>
      </w:r>
      <w:r w:rsidR="00E30B83">
        <w:fldChar w:fldCharType="separate"/>
      </w:r>
      <w:r w:rsidR="00225EEA">
        <w:t>Figure 5</w:t>
      </w:r>
      <w:r w:rsidR="00E30B83">
        <w:fldChar w:fldCharType="end"/>
      </w:r>
      <w:r w:rsidR="00E71257">
        <w:t xml:space="preserve"> was prepared for the C-RIS and shows the impact of </w:t>
      </w:r>
      <w:r w:rsidR="0098118B">
        <w:t>changing the cost allocation approach only</w:t>
      </w:r>
      <w:r w:rsidR="00280C24">
        <w:t>.</w:t>
      </w:r>
      <w:r w:rsidR="0098118B">
        <w:t xml:space="preserve"> </w:t>
      </w:r>
      <w:r w:rsidR="00280C24">
        <w:t>It</w:t>
      </w:r>
      <w:r w:rsidR="0098118B">
        <w:t xml:space="preserve"> does not reflect any of the other recommended technical changes discussed in </w:t>
      </w:r>
      <w:r w:rsidR="00280C24">
        <w:t>c</w:t>
      </w:r>
      <w:r w:rsidR="001A0318">
        <w:t xml:space="preserve">hapter </w:t>
      </w:r>
      <w:r w:rsidR="00EB0EE2">
        <w:fldChar w:fldCharType="begin"/>
      </w:r>
      <w:r w:rsidR="00EB0EE2">
        <w:instrText xml:space="preserve"> REF _Ref59548332 \r </w:instrText>
      </w:r>
      <w:r w:rsidR="00EB0EE2">
        <w:fldChar w:fldCharType="separate"/>
      </w:r>
      <w:r w:rsidR="00225EEA">
        <w:t>4</w:t>
      </w:r>
      <w:r w:rsidR="00EB0EE2">
        <w:fldChar w:fldCharType="end"/>
      </w:r>
      <w:r w:rsidR="00756765">
        <w:t>.</w:t>
      </w:r>
    </w:p>
    <w:p w14:paraId="4ACB3C65" w14:textId="77777777" w:rsidR="00CD0F5B" w:rsidRPr="003342AD" w:rsidRDefault="00CD0F5B" w:rsidP="00CD0F5B">
      <w:pPr>
        <w:pStyle w:val="Tabletitle"/>
      </w:pPr>
      <w:bookmarkStart w:id="208" w:name="_Ref82005343"/>
      <w:bookmarkStart w:id="209" w:name="_Ref82082587"/>
      <w:bookmarkStart w:id="210" w:name="_Ref82082595"/>
      <w:bookmarkStart w:id="211" w:name="_Ref82082611"/>
      <w:bookmarkStart w:id="212" w:name="_Toc86158551"/>
      <w:r>
        <w:t>Effect</w:t>
      </w:r>
      <w:r w:rsidRPr="003342AD">
        <w:t xml:space="preserve"> on heavy vehicle cost base over time</w:t>
      </w:r>
      <w:r>
        <w:t xml:space="preserve"> under different cost allocators</w:t>
      </w:r>
      <w:bookmarkEnd w:id="208"/>
      <w:bookmarkEnd w:id="209"/>
      <w:bookmarkEnd w:id="210"/>
      <w:bookmarkEnd w:id="211"/>
      <w:bookmarkEnd w:id="212"/>
    </w:p>
    <w:tbl>
      <w:tblPr>
        <w:tblStyle w:val="NTCtable"/>
        <w:tblW w:w="0" w:type="auto"/>
        <w:tblLayout w:type="fixed"/>
        <w:tblLook w:val="04A0" w:firstRow="1" w:lastRow="0" w:firstColumn="1" w:lastColumn="0" w:noHBand="0" w:noVBand="1"/>
      </w:tblPr>
      <w:tblGrid>
        <w:gridCol w:w="1202"/>
        <w:gridCol w:w="978"/>
        <w:gridCol w:w="978"/>
        <w:gridCol w:w="978"/>
        <w:gridCol w:w="978"/>
        <w:gridCol w:w="978"/>
        <w:gridCol w:w="978"/>
        <w:gridCol w:w="978"/>
        <w:gridCol w:w="979"/>
      </w:tblGrid>
      <w:tr w:rsidR="00CD0F5B" w:rsidRPr="008B5EBB" w14:paraId="7364C579" w14:textId="77777777" w:rsidTr="00C4270B">
        <w:trPr>
          <w:cnfStyle w:val="100000000000" w:firstRow="1" w:lastRow="0" w:firstColumn="0" w:lastColumn="0" w:oddVBand="0" w:evenVBand="0" w:oddHBand="0" w:evenHBand="0" w:firstRowFirstColumn="0" w:firstRowLastColumn="0" w:lastRowFirstColumn="0" w:lastRowLastColumn="0"/>
          <w:trHeight w:val="288"/>
          <w:tblHeader/>
        </w:trPr>
        <w:tc>
          <w:tcPr>
            <w:tcW w:w="1202" w:type="dxa"/>
            <w:noWrap/>
            <w:hideMark/>
          </w:tcPr>
          <w:p w14:paraId="71D8BE30" w14:textId="7EE4C65C" w:rsidR="00CD0F5B" w:rsidRPr="00A329DF" w:rsidRDefault="00EC4D84" w:rsidP="00AB672A">
            <w:pPr>
              <w:pStyle w:val="BodyCopy"/>
              <w:rPr>
                <w:b/>
                <w:bCs/>
                <w:sz w:val="20"/>
                <w:szCs w:val="22"/>
              </w:rPr>
            </w:pPr>
            <w:r w:rsidRPr="00A329DF">
              <w:rPr>
                <w:b/>
                <w:bCs/>
                <w:sz w:val="20"/>
                <w:szCs w:val="22"/>
              </w:rPr>
              <w:t>Option</w:t>
            </w:r>
          </w:p>
        </w:tc>
        <w:tc>
          <w:tcPr>
            <w:tcW w:w="978" w:type="dxa"/>
            <w:noWrap/>
            <w:hideMark/>
          </w:tcPr>
          <w:p w14:paraId="23052CED" w14:textId="7D1045A0"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2014</w:t>
            </w:r>
            <w:r w:rsidR="002F68B0" w:rsidRPr="00A329DF">
              <w:rPr>
                <w:rFonts w:ascii="Arial Bold" w:hAnsi="Arial Bold"/>
                <w:b/>
                <w:bCs/>
                <w:spacing w:val="-6"/>
                <w:sz w:val="20"/>
                <w:szCs w:val="22"/>
              </w:rPr>
              <w:t>–</w:t>
            </w:r>
            <w:r w:rsidRPr="00A329DF">
              <w:rPr>
                <w:rFonts w:ascii="Arial Bold" w:hAnsi="Arial Bold"/>
                <w:b/>
                <w:bCs/>
                <w:spacing w:val="-6"/>
                <w:sz w:val="20"/>
                <w:szCs w:val="22"/>
              </w:rPr>
              <w:t>15</w:t>
            </w:r>
          </w:p>
        </w:tc>
        <w:tc>
          <w:tcPr>
            <w:tcW w:w="978" w:type="dxa"/>
            <w:noWrap/>
            <w:hideMark/>
          </w:tcPr>
          <w:p w14:paraId="189952BF" w14:textId="2502F8B3"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2015</w:t>
            </w:r>
            <w:r w:rsidR="002F68B0" w:rsidRPr="00A329DF">
              <w:rPr>
                <w:rFonts w:ascii="Arial Bold" w:hAnsi="Arial Bold"/>
                <w:b/>
                <w:bCs/>
                <w:spacing w:val="-6"/>
                <w:sz w:val="20"/>
                <w:szCs w:val="22"/>
              </w:rPr>
              <w:t>–</w:t>
            </w:r>
            <w:r w:rsidRPr="00A329DF">
              <w:rPr>
                <w:rFonts w:ascii="Arial Bold" w:hAnsi="Arial Bold"/>
                <w:b/>
                <w:bCs/>
                <w:spacing w:val="-6"/>
                <w:sz w:val="20"/>
                <w:szCs w:val="22"/>
              </w:rPr>
              <w:t>16</w:t>
            </w:r>
          </w:p>
        </w:tc>
        <w:tc>
          <w:tcPr>
            <w:tcW w:w="978" w:type="dxa"/>
            <w:noWrap/>
            <w:hideMark/>
          </w:tcPr>
          <w:p w14:paraId="4D082A46" w14:textId="5F4067E9"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2016</w:t>
            </w:r>
            <w:r w:rsidR="002F68B0" w:rsidRPr="00A329DF">
              <w:rPr>
                <w:rFonts w:ascii="Arial Bold" w:hAnsi="Arial Bold"/>
                <w:b/>
                <w:bCs/>
                <w:spacing w:val="-6"/>
                <w:sz w:val="20"/>
                <w:szCs w:val="22"/>
              </w:rPr>
              <w:t>–</w:t>
            </w:r>
            <w:r w:rsidRPr="00A329DF">
              <w:rPr>
                <w:rFonts w:ascii="Arial Bold" w:hAnsi="Arial Bold"/>
                <w:b/>
                <w:bCs/>
                <w:spacing w:val="-6"/>
                <w:sz w:val="20"/>
                <w:szCs w:val="22"/>
              </w:rPr>
              <w:t>17</w:t>
            </w:r>
          </w:p>
        </w:tc>
        <w:tc>
          <w:tcPr>
            <w:tcW w:w="978" w:type="dxa"/>
            <w:noWrap/>
            <w:hideMark/>
          </w:tcPr>
          <w:p w14:paraId="4D4AA4CF" w14:textId="3A1D0DC9"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2017</w:t>
            </w:r>
            <w:r w:rsidR="002F68B0" w:rsidRPr="00A329DF">
              <w:rPr>
                <w:rFonts w:ascii="Arial Bold" w:hAnsi="Arial Bold"/>
                <w:b/>
                <w:bCs/>
                <w:spacing w:val="-6"/>
                <w:sz w:val="20"/>
                <w:szCs w:val="22"/>
              </w:rPr>
              <w:t>–</w:t>
            </w:r>
            <w:r w:rsidRPr="00A329DF">
              <w:rPr>
                <w:rFonts w:ascii="Arial Bold" w:hAnsi="Arial Bold"/>
                <w:b/>
                <w:bCs/>
                <w:spacing w:val="-6"/>
                <w:sz w:val="20"/>
                <w:szCs w:val="22"/>
              </w:rPr>
              <w:t>18</w:t>
            </w:r>
          </w:p>
        </w:tc>
        <w:tc>
          <w:tcPr>
            <w:tcW w:w="978" w:type="dxa"/>
            <w:noWrap/>
            <w:hideMark/>
          </w:tcPr>
          <w:p w14:paraId="43A169D2" w14:textId="5907718B"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2018</w:t>
            </w:r>
            <w:r w:rsidR="002F68B0" w:rsidRPr="00A329DF">
              <w:rPr>
                <w:rFonts w:ascii="Arial Bold" w:hAnsi="Arial Bold"/>
                <w:b/>
                <w:bCs/>
                <w:spacing w:val="-6"/>
                <w:sz w:val="20"/>
                <w:szCs w:val="22"/>
              </w:rPr>
              <w:t>–</w:t>
            </w:r>
            <w:r w:rsidRPr="00A329DF">
              <w:rPr>
                <w:rFonts w:ascii="Arial Bold" w:hAnsi="Arial Bold"/>
                <w:b/>
                <w:bCs/>
                <w:spacing w:val="-6"/>
                <w:sz w:val="20"/>
                <w:szCs w:val="22"/>
              </w:rPr>
              <w:t>19</w:t>
            </w:r>
          </w:p>
        </w:tc>
        <w:tc>
          <w:tcPr>
            <w:tcW w:w="978" w:type="dxa"/>
            <w:noWrap/>
            <w:hideMark/>
          </w:tcPr>
          <w:p w14:paraId="22658837" w14:textId="0FC5DAAD"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2019</w:t>
            </w:r>
            <w:r w:rsidR="002F68B0" w:rsidRPr="00A329DF">
              <w:rPr>
                <w:rFonts w:ascii="Arial Bold" w:hAnsi="Arial Bold"/>
                <w:b/>
                <w:bCs/>
                <w:spacing w:val="-6"/>
                <w:sz w:val="20"/>
                <w:szCs w:val="22"/>
              </w:rPr>
              <w:t>–</w:t>
            </w:r>
            <w:r w:rsidRPr="00A329DF">
              <w:rPr>
                <w:rFonts w:ascii="Arial Bold" w:hAnsi="Arial Bold"/>
                <w:b/>
                <w:bCs/>
                <w:spacing w:val="-6"/>
                <w:sz w:val="20"/>
                <w:szCs w:val="22"/>
              </w:rPr>
              <w:t>20</w:t>
            </w:r>
          </w:p>
        </w:tc>
        <w:tc>
          <w:tcPr>
            <w:tcW w:w="978" w:type="dxa"/>
            <w:noWrap/>
            <w:hideMark/>
          </w:tcPr>
          <w:p w14:paraId="2C27612D" w14:textId="45B75269"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2020</w:t>
            </w:r>
            <w:r w:rsidR="002F68B0" w:rsidRPr="00A329DF">
              <w:rPr>
                <w:rFonts w:ascii="Arial Bold" w:hAnsi="Arial Bold"/>
                <w:b/>
                <w:bCs/>
                <w:spacing w:val="-6"/>
                <w:sz w:val="20"/>
                <w:szCs w:val="22"/>
              </w:rPr>
              <w:t>–</w:t>
            </w:r>
            <w:r w:rsidRPr="00A329DF">
              <w:rPr>
                <w:rFonts w:ascii="Arial Bold" w:hAnsi="Arial Bold"/>
                <w:b/>
                <w:bCs/>
                <w:spacing w:val="-6"/>
                <w:sz w:val="20"/>
                <w:szCs w:val="22"/>
              </w:rPr>
              <w:t>21</w:t>
            </w:r>
          </w:p>
        </w:tc>
        <w:tc>
          <w:tcPr>
            <w:tcW w:w="979" w:type="dxa"/>
            <w:noWrap/>
            <w:hideMark/>
          </w:tcPr>
          <w:p w14:paraId="7DC7C1DA" w14:textId="031692DA" w:rsidR="00CD0F5B" w:rsidRPr="00A329DF" w:rsidRDefault="00CD0F5B" w:rsidP="00AB672A">
            <w:pPr>
              <w:pStyle w:val="BodyCopy"/>
              <w:rPr>
                <w:rFonts w:ascii="Arial Bold" w:hAnsi="Arial Bold"/>
                <w:b/>
                <w:bCs/>
                <w:spacing w:val="-6"/>
                <w:sz w:val="20"/>
                <w:szCs w:val="22"/>
              </w:rPr>
            </w:pPr>
            <w:r w:rsidRPr="00A329DF">
              <w:rPr>
                <w:rFonts w:ascii="Arial Bold" w:hAnsi="Arial Bold"/>
                <w:b/>
                <w:bCs/>
                <w:spacing w:val="-6"/>
                <w:sz w:val="20"/>
                <w:szCs w:val="22"/>
              </w:rPr>
              <w:t>2021</w:t>
            </w:r>
            <w:r w:rsidR="002F68B0" w:rsidRPr="00A329DF">
              <w:rPr>
                <w:rFonts w:ascii="Arial Bold" w:hAnsi="Arial Bold"/>
                <w:b/>
                <w:bCs/>
                <w:spacing w:val="-6"/>
                <w:sz w:val="20"/>
                <w:szCs w:val="22"/>
              </w:rPr>
              <w:t>–</w:t>
            </w:r>
            <w:r w:rsidRPr="00A329DF">
              <w:rPr>
                <w:rFonts w:ascii="Arial Bold" w:hAnsi="Arial Bold"/>
                <w:b/>
                <w:bCs/>
                <w:spacing w:val="-6"/>
                <w:sz w:val="20"/>
                <w:szCs w:val="22"/>
              </w:rPr>
              <w:t>22</w:t>
            </w:r>
          </w:p>
        </w:tc>
      </w:tr>
      <w:tr w:rsidR="00CD0F5B" w:rsidRPr="008B5EBB" w14:paraId="2FCECA74" w14:textId="77777777" w:rsidTr="00AB672A">
        <w:trPr>
          <w:trHeight w:val="288"/>
        </w:trPr>
        <w:tc>
          <w:tcPr>
            <w:tcW w:w="1202" w:type="dxa"/>
            <w:noWrap/>
            <w:hideMark/>
          </w:tcPr>
          <w:p w14:paraId="7BF8A7C4" w14:textId="77777777" w:rsidR="00CD0F5B" w:rsidRPr="00C4270B" w:rsidRDefault="00CD0F5B" w:rsidP="00AB672A">
            <w:pPr>
              <w:pStyle w:val="BodyCopy"/>
              <w:rPr>
                <w:sz w:val="20"/>
                <w:szCs w:val="22"/>
              </w:rPr>
            </w:pPr>
            <w:r w:rsidRPr="00C4270B">
              <w:rPr>
                <w:sz w:val="20"/>
                <w:szCs w:val="22"/>
              </w:rPr>
              <w:t>Current ($m)</w:t>
            </w:r>
          </w:p>
        </w:tc>
        <w:tc>
          <w:tcPr>
            <w:tcW w:w="978" w:type="dxa"/>
            <w:noWrap/>
            <w:vAlign w:val="center"/>
            <w:hideMark/>
          </w:tcPr>
          <w:p w14:paraId="0D49114D" w14:textId="77777777" w:rsidR="00CD0F5B" w:rsidRPr="00C4270B" w:rsidRDefault="00CD0F5B" w:rsidP="00AB672A">
            <w:pPr>
              <w:pStyle w:val="BodyCopy"/>
              <w:jc w:val="center"/>
              <w:rPr>
                <w:sz w:val="20"/>
                <w:szCs w:val="22"/>
              </w:rPr>
            </w:pPr>
            <w:r w:rsidRPr="00C4270B">
              <w:rPr>
                <w:sz w:val="20"/>
                <w:szCs w:val="22"/>
              </w:rPr>
              <w:t>2,862</w:t>
            </w:r>
          </w:p>
        </w:tc>
        <w:tc>
          <w:tcPr>
            <w:tcW w:w="978" w:type="dxa"/>
            <w:noWrap/>
            <w:vAlign w:val="center"/>
            <w:hideMark/>
          </w:tcPr>
          <w:p w14:paraId="47297DA1" w14:textId="77777777" w:rsidR="00CD0F5B" w:rsidRPr="00C4270B" w:rsidRDefault="00CD0F5B" w:rsidP="00AB672A">
            <w:pPr>
              <w:pStyle w:val="BodyCopy"/>
              <w:jc w:val="center"/>
              <w:rPr>
                <w:sz w:val="20"/>
                <w:szCs w:val="22"/>
              </w:rPr>
            </w:pPr>
            <w:r w:rsidRPr="00C4270B">
              <w:rPr>
                <w:sz w:val="20"/>
                <w:szCs w:val="22"/>
              </w:rPr>
              <w:t>2,975</w:t>
            </w:r>
          </w:p>
        </w:tc>
        <w:tc>
          <w:tcPr>
            <w:tcW w:w="978" w:type="dxa"/>
            <w:noWrap/>
            <w:vAlign w:val="center"/>
            <w:hideMark/>
          </w:tcPr>
          <w:p w14:paraId="1DC56E58" w14:textId="77777777" w:rsidR="00CD0F5B" w:rsidRPr="00C4270B" w:rsidRDefault="00CD0F5B" w:rsidP="00AB672A">
            <w:pPr>
              <w:pStyle w:val="BodyCopy"/>
              <w:jc w:val="center"/>
              <w:rPr>
                <w:sz w:val="20"/>
                <w:szCs w:val="22"/>
              </w:rPr>
            </w:pPr>
            <w:r w:rsidRPr="00C4270B">
              <w:rPr>
                <w:sz w:val="20"/>
                <w:szCs w:val="22"/>
              </w:rPr>
              <w:t>2,912</w:t>
            </w:r>
          </w:p>
        </w:tc>
        <w:tc>
          <w:tcPr>
            <w:tcW w:w="978" w:type="dxa"/>
            <w:noWrap/>
            <w:vAlign w:val="center"/>
            <w:hideMark/>
          </w:tcPr>
          <w:p w14:paraId="3A26EC2D" w14:textId="77777777" w:rsidR="00CD0F5B" w:rsidRPr="00C4270B" w:rsidRDefault="00CD0F5B" w:rsidP="00AB672A">
            <w:pPr>
              <w:pStyle w:val="BodyCopy"/>
              <w:jc w:val="center"/>
              <w:rPr>
                <w:sz w:val="20"/>
                <w:szCs w:val="22"/>
              </w:rPr>
            </w:pPr>
            <w:r w:rsidRPr="00C4270B">
              <w:rPr>
                <w:sz w:val="20"/>
                <w:szCs w:val="22"/>
              </w:rPr>
              <w:t>2,863</w:t>
            </w:r>
          </w:p>
        </w:tc>
        <w:tc>
          <w:tcPr>
            <w:tcW w:w="978" w:type="dxa"/>
            <w:noWrap/>
            <w:vAlign w:val="center"/>
            <w:hideMark/>
          </w:tcPr>
          <w:p w14:paraId="023F5BC2" w14:textId="77777777" w:rsidR="00CD0F5B" w:rsidRPr="00C4270B" w:rsidRDefault="00CD0F5B" w:rsidP="00AB672A">
            <w:pPr>
              <w:pStyle w:val="BodyCopy"/>
              <w:jc w:val="center"/>
              <w:rPr>
                <w:sz w:val="20"/>
                <w:szCs w:val="22"/>
              </w:rPr>
            </w:pPr>
            <w:r w:rsidRPr="00C4270B">
              <w:rPr>
                <w:sz w:val="20"/>
                <w:szCs w:val="22"/>
              </w:rPr>
              <w:t>3,059</w:t>
            </w:r>
          </w:p>
        </w:tc>
        <w:tc>
          <w:tcPr>
            <w:tcW w:w="978" w:type="dxa"/>
            <w:noWrap/>
            <w:vAlign w:val="center"/>
            <w:hideMark/>
          </w:tcPr>
          <w:p w14:paraId="53AFDA0C" w14:textId="77777777" w:rsidR="00CD0F5B" w:rsidRPr="00C4270B" w:rsidRDefault="00CD0F5B" w:rsidP="00AB672A">
            <w:pPr>
              <w:pStyle w:val="BodyCopy"/>
              <w:jc w:val="center"/>
              <w:rPr>
                <w:sz w:val="20"/>
                <w:szCs w:val="22"/>
              </w:rPr>
            </w:pPr>
            <w:r w:rsidRPr="00C4270B">
              <w:rPr>
                <w:sz w:val="20"/>
                <w:szCs w:val="22"/>
              </w:rPr>
              <w:t>3,275</w:t>
            </w:r>
          </w:p>
        </w:tc>
        <w:tc>
          <w:tcPr>
            <w:tcW w:w="978" w:type="dxa"/>
            <w:noWrap/>
            <w:vAlign w:val="center"/>
            <w:hideMark/>
          </w:tcPr>
          <w:p w14:paraId="1C4CDD86" w14:textId="77777777" w:rsidR="00CD0F5B" w:rsidRPr="00C4270B" w:rsidRDefault="00CD0F5B" w:rsidP="00AB672A">
            <w:pPr>
              <w:pStyle w:val="BodyCopy"/>
              <w:jc w:val="center"/>
              <w:rPr>
                <w:sz w:val="20"/>
                <w:szCs w:val="22"/>
              </w:rPr>
            </w:pPr>
            <w:r w:rsidRPr="00C4270B">
              <w:rPr>
                <w:sz w:val="20"/>
                <w:szCs w:val="22"/>
              </w:rPr>
              <w:t>3,714</w:t>
            </w:r>
          </w:p>
        </w:tc>
        <w:tc>
          <w:tcPr>
            <w:tcW w:w="979" w:type="dxa"/>
            <w:noWrap/>
            <w:vAlign w:val="center"/>
            <w:hideMark/>
          </w:tcPr>
          <w:p w14:paraId="4BDB1C05" w14:textId="77777777" w:rsidR="00CD0F5B" w:rsidRPr="00C4270B" w:rsidRDefault="00CD0F5B" w:rsidP="00AB672A">
            <w:pPr>
              <w:pStyle w:val="BodyCopy"/>
              <w:jc w:val="center"/>
              <w:rPr>
                <w:sz w:val="20"/>
                <w:szCs w:val="22"/>
              </w:rPr>
            </w:pPr>
            <w:r w:rsidRPr="00C4270B">
              <w:rPr>
                <w:sz w:val="20"/>
                <w:szCs w:val="22"/>
              </w:rPr>
              <w:t>3,817</w:t>
            </w:r>
          </w:p>
        </w:tc>
      </w:tr>
      <w:tr w:rsidR="00CD0F5B" w:rsidRPr="008B5EBB" w14:paraId="470D6F0C" w14:textId="77777777" w:rsidTr="00AB672A">
        <w:trPr>
          <w:trHeight w:val="288"/>
        </w:trPr>
        <w:tc>
          <w:tcPr>
            <w:tcW w:w="1202" w:type="dxa"/>
            <w:noWrap/>
            <w:hideMark/>
          </w:tcPr>
          <w:p w14:paraId="2B39876E" w14:textId="70B92E7B" w:rsidR="00CD0F5B" w:rsidRPr="00C4270B" w:rsidRDefault="00CD0F5B" w:rsidP="00AB672A">
            <w:pPr>
              <w:pStyle w:val="BodyCopy"/>
              <w:rPr>
                <w:sz w:val="20"/>
                <w:szCs w:val="22"/>
              </w:rPr>
            </w:pPr>
            <w:r w:rsidRPr="00C4270B">
              <w:rPr>
                <w:sz w:val="20"/>
                <w:szCs w:val="22"/>
              </w:rPr>
              <w:t xml:space="preserve">Modified </w:t>
            </w:r>
            <w:r w:rsidR="002F68B0" w:rsidRPr="00C4270B">
              <w:rPr>
                <w:sz w:val="20"/>
                <w:szCs w:val="22"/>
              </w:rPr>
              <w:t>c</w:t>
            </w:r>
            <w:r w:rsidRPr="00C4270B">
              <w:rPr>
                <w:sz w:val="20"/>
                <w:szCs w:val="22"/>
              </w:rPr>
              <w:t>urrent ($m)</w:t>
            </w:r>
          </w:p>
        </w:tc>
        <w:tc>
          <w:tcPr>
            <w:tcW w:w="978" w:type="dxa"/>
            <w:noWrap/>
            <w:vAlign w:val="center"/>
            <w:hideMark/>
          </w:tcPr>
          <w:p w14:paraId="590D3EC8" w14:textId="77777777" w:rsidR="00CD0F5B" w:rsidRPr="00C4270B" w:rsidRDefault="00CD0F5B" w:rsidP="00AB672A">
            <w:pPr>
              <w:pStyle w:val="BodyCopy"/>
              <w:jc w:val="center"/>
              <w:rPr>
                <w:sz w:val="20"/>
                <w:szCs w:val="22"/>
              </w:rPr>
            </w:pPr>
            <w:r w:rsidRPr="00C4270B">
              <w:rPr>
                <w:sz w:val="20"/>
                <w:szCs w:val="22"/>
              </w:rPr>
              <w:t>2,934</w:t>
            </w:r>
          </w:p>
        </w:tc>
        <w:tc>
          <w:tcPr>
            <w:tcW w:w="978" w:type="dxa"/>
            <w:noWrap/>
            <w:vAlign w:val="center"/>
            <w:hideMark/>
          </w:tcPr>
          <w:p w14:paraId="6C2E64DB" w14:textId="77777777" w:rsidR="00CD0F5B" w:rsidRPr="00C4270B" w:rsidRDefault="00CD0F5B" w:rsidP="00AB672A">
            <w:pPr>
              <w:pStyle w:val="BodyCopy"/>
              <w:jc w:val="center"/>
              <w:rPr>
                <w:sz w:val="20"/>
                <w:szCs w:val="22"/>
              </w:rPr>
            </w:pPr>
            <w:r w:rsidRPr="00C4270B">
              <w:rPr>
                <w:sz w:val="20"/>
                <w:szCs w:val="22"/>
              </w:rPr>
              <w:t>3,050</w:t>
            </w:r>
          </w:p>
        </w:tc>
        <w:tc>
          <w:tcPr>
            <w:tcW w:w="978" w:type="dxa"/>
            <w:noWrap/>
            <w:vAlign w:val="center"/>
            <w:hideMark/>
          </w:tcPr>
          <w:p w14:paraId="4AE01C78" w14:textId="77777777" w:rsidR="00CD0F5B" w:rsidRPr="00C4270B" w:rsidRDefault="00CD0F5B" w:rsidP="00AB672A">
            <w:pPr>
              <w:pStyle w:val="BodyCopy"/>
              <w:jc w:val="center"/>
              <w:rPr>
                <w:sz w:val="20"/>
                <w:szCs w:val="22"/>
              </w:rPr>
            </w:pPr>
            <w:r w:rsidRPr="00C4270B">
              <w:rPr>
                <w:sz w:val="20"/>
                <w:szCs w:val="22"/>
              </w:rPr>
              <w:t>2,989</w:t>
            </w:r>
          </w:p>
        </w:tc>
        <w:tc>
          <w:tcPr>
            <w:tcW w:w="978" w:type="dxa"/>
            <w:noWrap/>
            <w:vAlign w:val="center"/>
            <w:hideMark/>
          </w:tcPr>
          <w:p w14:paraId="12B10BA0" w14:textId="77777777" w:rsidR="00CD0F5B" w:rsidRPr="00C4270B" w:rsidRDefault="00CD0F5B" w:rsidP="00AB672A">
            <w:pPr>
              <w:pStyle w:val="BodyCopy"/>
              <w:jc w:val="center"/>
              <w:rPr>
                <w:sz w:val="20"/>
                <w:szCs w:val="22"/>
              </w:rPr>
            </w:pPr>
            <w:r w:rsidRPr="00C4270B">
              <w:rPr>
                <w:sz w:val="20"/>
                <w:szCs w:val="22"/>
              </w:rPr>
              <w:t>2,943</w:t>
            </w:r>
          </w:p>
        </w:tc>
        <w:tc>
          <w:tcPr>
            <w:tcW w:w="978" w:type="dxa"/>
            <w:noWrap/>
            <w:vAlign w:val="center"/>
            <w:hideMark/>
          </w:tcPr>
          <w:p w14:paraId="2D17BF69" w14:textId="77777777" w:rsidR="00CD0F5B" w:rsidRPr="00C4270B" w:rsidRDefault="00CD0F5B" w:rsidP="00AB672A">
            <w:pPr>
              <w:pStyle w:val="BodyCopy"/>
              <w:jc w:val="center"/>
              <w:rPr>
                <w:sz w:val="20"/>
                <w:szCs w:val="22"/>
              </w:rPr>
            </w:pPr>
            <w:r w:rsidRPr="00C4270B">
              <w:rPr>
                <w:sz w:val="20"/>
                <w:szCs w:val="22"/>
              </w:rPr>
              <w:t>3,144</w:t>
            </w:r>
          </w:p>
        </w:tc>
        <w:tc>
          <w:tcPr>
            <w:tcW w:w="978" w:type="dxa"/>
            <w:noWrap/>
            <w:vAlign w:val="center"/>
            <w:hideMark/>
          </w:tcPr>
          <w:p w14:paraId="0316E129" w14:textId="77777777" w:rsidR="00CD0F5B" w:rsidRPr="00C4270B" w:rsidRDefault="00CD0F5B" w:rsidP="00AB672A">
            <w:pPr>
              <w:pStyle w:val="BodyCopy"/>
              <w:jc w:val="center"/>
              <w:rPr>
                <w:sz w:val="20"/>
                <w:szCs w:val="22"/>
              </w:rPr>
            </w:pPr>
            <w:r w:rsidRPr="00C4270B">
              <w:rPr>
                <w:sz w:val="20"/>
                <w:szCs w:val="22"/>
              </w:rPr>
              <w:t>3,381</w:t>
            </w:r>
          </w:p>
        </w:tc>
        <w:tc>
          <w:tcPr>
            <w:tcW w:w="978" w:type="dxa"/>
            <w:noWrap/>
            <w:vAlign w:val="center"/>
            <w:hideMark/>
          </w:tcPr>
          <w:p w14:paraId="1FC89659" w14:textId="77777777" w:rsidR="00CD0F5B" w:rsidRPr="00C4270B" w:rsidRDefault="00CD0F5B" w:rsidP="00AB672A">
            <w:pPr>
              <w:pStyle w:val="BodyCopy"/>
              <w:jc w:val="center"/>
              <w:rPr>
                <w:sz w:val="20"/>
                <w:szCs w:val="22"/>
              </w:rPr>
            </w:pPr>
            <w:r w:rsidRPr="00C4270B">
              <w:rPr>
                <w:sz w:val="20"/>
                <w:szCs w:val="22"/>
              </w:rPr>
              <w:t>3,832</w:t>
            </w:r>
          </w:p>
        </w:tc>
        <w:tc>
          <w:tcPr>
            <w:tcW w:w="979" w:type="dxa"/>
            <w:tcBorders>
              <w:bottom w:val="single" w:sz="4" w:space="0" w:color="000000"/>
            </w:tcBorders>
            <w:noWrap/>
            <w:vAlign w:val="center"/>
            <w:hideMark/>
          </w:tcPr>
          <w:p w14:paraId="6D3C8D81" w14:textId="77777777" w:rsidR="00CD0F5B" w:rsidRPr="00C4270B" w:rsidRDefault="00CD0F5B" w:rsidP="00AB672A">
            <w:pPr>
              <w:pStyle w:val="BodyCopy"/>
              <w:jc w:val="center"/>
              <w:rPr>
                <w:sz w:val="20"/>
                <w:szCs w:val="22"/>
              </w:rPr>
            </w:pPr>
            <w:r w:rsidRPr="00C4270B">
              <w:rPr>
                <w:sz w:val="20"/>
                <w:szCs w:val="22"/>
              </w:rPr>
              <w:t>3,934</w:t>
            </w:r>
          </w:p>
        </w:tc>
      </w:tr>
      <w:tr w:rsidR="00CD0F5B" w:rsidRPr="008B5EBB" w14:paraId="1EF68EBF" w14:textId="77777777" w:rsidTr="00AB672A">
        <w:trPr>
          <w:trHeight w:val="288"/>
        </w:trPr>
        <w:tc>
          <w:tcPr>
            <w:tcW w:w="1202" w:type="dxa"/>
            <w:shd w:val="clear" w:color="auto" w:fill="F2F2F2" w:themeFill="background1" w:themeFillShade="F2"/>
            <w:noWrap/>
          </w:tcPr>
          <w:p w14:paraId="6969E976" w14:textId="552CDF9A" w:rsidR="00CD0F5B" w:rsidRPr="00C4270B" w:rsidRDefault="00CD0F5B" w:rsidP="00AB672A">
            <w:pPr>
              <w:pStyle w:val="BodyCopy"/>
              <w:rPr>
                <w:sz w:val="20"/>
                <w:szCs w:val="22"/>
              </w:rPr>
            </w:pPr>
            <w:r w:rsidRPr="00C4270B">
              <w:rPr>
                <w:sz w:val="20"/>
                <w:szCs w:val="22"/>
              </w:rPr>
              <w:lastRenderedPageBreak/>
              <w:t xml:space="preserve">% increase vs </w:t>
            </w:r>
            <w:r w:rsidR="00EC4D84" w:rsidRPr="00C4270B">
              <w:rPr>
                <w:sz w:val="20"/>
                <w:szCs w:val="22"/>
              </w:rPr>
              <w:t>c</w:t>
            </w:r>
            <w:r w:rsidRPr="00C4270B">
              <w:rPr>
                <w:sz w:val="20"/>
                <w:szCs w:val="22"/>
              </w:rPr>
              <w:t>urrent</w:t>
            </w:r>
          </w:p>
        </w:tc>
        <w:tc>
          <w:tcPr>
            <w:tcW w:w="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2E465C" w14:textId="77777777" w:rsidR="00CD0F5B" w:rsidRPr="00C4270B" w:rsidRDefault="00CD0F5B" w:rsidP="00AB672A">
            <w:pPr>
              <w:pStyle w:val="BodyCopy"/>
              <w:jc w:val="center"/>
              <w:rPr>
                <w:sz w:val="20"/>
                <w:szCs w:val="22"/>
              </w:rPr>
            </w:pPr>
            <w:r w:rsidRPr="00C4270B">
              <w:rPr>
                <w:sz w:val="20"/>
                <w:szCs w:val="22"/>
              </w:rPr>
              <w:t>2.5%</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4DFFE1" w14:textId="77777777" w:rsidR="00CD0F5B" w:rsidRPr="00C4270B" w:rsidRDefault="00CD0F5B" w:rsidP="00AB672A">
            <w:pPr>
              <w:pStyle w:val="BodyCopy"/>
              <w:jc w:val="center"/>
              <w:rPr>
                <w:sz w:val="20"/>
                <w:szCs w:val="22"/>
              </w:rPr>
            </w:pPr>
            <w:r w:rsidRPr="00C4270B">
              <w:rPr>
                <w:sz w:val="20"/>
                <w:szCs w:val="22"/>
              </w:rPr>
              <w:t>2.5%</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5E2704" w14:textId="77777777" w:rsidR="00CD0F5B" w:rsidRPr="00C4270B" w:rsidRDefault="00CD0F5B" w:rsidP="00AB672A">
            <w:pPr>
              <w:pStyle w:val="BodyCopy"/>
              <w:jc w:val="center"/>
              <w:rPr>
                <w:sz w:val="20"/>
                <w:szCs w:val="22"/>
              </w:rPr>
            </w:pPr>
            <w:r w:rsidRPr="00C4270B">
              <w:rPr>
                <w:sz w:val="20"/>
                <w:szCs w:val="22"/>
              </w:rPr>
              <w:t>2.6%</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0B9AD8" w14:textId="77777777" w:rsidR="00CD0F5B" w:rsidRPr="00C4270B" w:rsidRDefault="00CD0F5B" w:rsidP="00AB672A">
            <w:pPr>
              <w:pStyle w:val="BodyCopy"/>
              <w:jc w:val="center"/>
              <w:rPr>
                <w:sz w:val="20"/>
                <w:szCs w:val="22"/>
              </w:rPr>
            </w:pPr>
            <w:r w:rsidRPr="00C4270B">
              <w:rPr>
                <w:sz w:val="20"/>
                <w:szCs w:val="22"/>
              </w:rPr>
              <w:t>2.8%</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7403ADE" w14:textId="77777777" w:rsidR="00CD0F5B" w:rsidRPr="00C4270B" w:rsidRDefault="00CD0F5B" w:rsidP="00AB672A">
            <w:pPr>
              <w:pStyle w:val="BodyCopy"/>
              <w:jc w:val="center"/>
              <w:rPr>
                <w:sz w:val="20"/>
                <w:szCs w:val="22"/>
              </w:rPr>
            </w:pPr>
            <w:r w:rsidRPr="00C4270B">
              <w:rPr>
                <w:sz w:val="20"/>
                <w:szCs w:val="22"/>
              </w:rPr>
              <w:t>2.8%</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61F2DCA" w14:textId="77777777" w:rsidR="00CD0F5B" w:rsidRPr="00C4270B" w:rsidRDefault="00CD0F5B" w:rsidP="00AB672A">
            <w:pPr>
              <w:pStyle w:val="BodyCopy"/>
              <w:jc w:val="center"/>
              <w:rPr>
                <w:sz w:val="20"/>
                <w:szCs w:val="22"/>
              </w:rPr>
            </w:pPr>
            <w:r w:rsidRPr="00C4270B">
              <w:rPr>
                <w:sz w:val="20"/>
                <w:szCs w:val="22"/>
              </w:rPr>
              <w:t>3.2%</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52C81BC" w14:textId="77777777" w:rsidR="00CD0F5B" w:rsidRPr="00C4270B" w:rsidRDefault="00CD0F5B" w:rsidP="00AB672A">
            <w:pPr>
              <w:pStyle w:val="BodyCopy"/>
              <w:jc w:val="center"/>
              <w:rPr>
                <w:sz w:val="20"/>
                <w:szCs w:val="22"/>
              </w:rPr>
            </w:pPr>
            <w:r w:rsidRPr="00C4270B">
              <w:rPr>
                <w:sz w:val="20"/>
                <w:szCs w:val="22"/>
              </w:rPr>
              <w:t>3.2%</w:t>
            </w:r>
          </w:p>
        </w:tc>
        <w:tc>
          <w:tcPr>
            <w:tcW w:w="979" w:type="dxa"/>
            <w:tcBorders>
              <w:top w:val="single" w:sz="4" w:space="0" w:color="000000"/>
              <w:left w:val="nil"/>
              <w:bottom w:val="single" w:sz="4" w:space="0" w:color="auto"/>
              <w:right w:val="nil"/>
            </w:tcBorders>
            <w:shd w:val="clear" w:color="auto" w:fill="F2F2F2" w:themeFill="background1" w:themeFillShade="F2"/>
            <w:noWrap/>
            <w:vAlign w:val="center"/>
          </w:tcPr>
          <w:p w14:paraId="777A03F4" w14:textId="77777777" w:rsidR="00CD0F5B" w:rsidRPr="00C4270B" w:rsidRDefault="00CD0F5B" w:rsidP="00AB672A">
            <w:pPr>
              <w:pStyle w:val="BodyCopy"/>
              <w:jc w:val="center"/>
              <w:rPr>
                <w:sz w:val="20"/>
                <w:szCs w:val="22"/>
              </w:rPr>
            </w:pPr>
            <w:r w:rsidRPr="00C4270B">
              <w:rPr>
                <w:sz w:val="20"/>
                <w:szCs w:val="22"/>
              </w:rPr>
              <w:t>3.1%</w:t>
            </w:r>
          </w:p>
        </w:tc>
      </w:tr>
      <w:tr w:rsidR="00CD0F5B" w:rsidRPr="008B5EBB" w14:paraId="0B4E0B39" w14:textId="77777777" w:rsidTr="00AB672A">
        <w:trPr>
          <w:trHeight w:val="288"/>
        </w:trPr>
        <w:tc>
          <w:tcPr>
            <w:tcW w:w="1202" w:type="dxa"/>
            <w:noWrap/>
            <w:hideMark/>
          </w:tcPr>
          <w:p w14:paraId="73CEE676" w14:textId="31ED610F" w:rsidR="00CD0F5B" w:rsidRPr="00C4270B" w:rsidRDefault="00CD0F5B" w:rsidP="00AB672A">
            <w:pPr>
              <w:pStyle w:val="BodyCopy"/>
              <w:rPr>
                <w:sz w:val="20"/>
                <w:szCs w:val="22"/>
              </w:rPr>
            </w:pPr>
            <w:r w:rsidRPr="00C4270B">
              <w:rPr>
                <w:sz w:val="20"/>
                <w:szCs w:val="22"/>
              </w:rPr>
              <w:t xml:space="preserve">VIC </w:t>
            </w:r>
            <w:r w:rsidR="00F365FF" w:rsidRPr="00C4270B">
              <w:rPr>
                <w:sz w:val="20"/>
                <w:szCs w:val="22"/>
              </w:rPr>
              <w:t>DTF</w:t>
            </w:r>
            <w:r w:rsidR="00F365FF">
              <w:rPr>
                <w:sz w:val="20"/>
                <w:szCs w:val="22"/>
              </w:rPr>
              <w:t>/</w:t>
            </w:r>
            <w:r w:rsidRPr="00C4270B">
              <w:rPr>
                <w:sz w:val="20"/>
                <w:szCs w:val="22"/>
              </w:rPr>
              <w:t>DOT</w:t>
            </w:r>
          </w:p>
        </w:tc>
        <w:tc>
          <w:tcPr>
            <w:tcW w:w="978" w:type="dxa"/>
            <w:noWrap/>
            <w:vAlign w:val="center"/>
            <w:hideMark/>
          </w:tcPr>
          <w:p w14:paraId="636C3C18" w14:textId="77777777" w:rsidR="00CD0F5B" w:rsidRPr="00C4270B" w:rsidRDefault="00CD0F5B" w:rsidP="00AB672A">
            <w:pPr>
              <w:pStyle w:val="BodyCopy"/>
              <w:jc w:val="center"/>
              <w:rPr>
                <w:sz w:val="20"/>
                <w:szCs w:val="22"/>
              </w:rPr>
            </w:pPr>
            <w:r w:rsidRPr="00C4270B">
              <w:rPr>
                <w:sz w:val="20"/>
                <w:szCs w:val="22"/>
              </w:rPr>
              <w:t>3,033</w:t>
            </w:r>
          </w:p>
        </w:tc>
        <w:tc>
          <w:tcPr>
            <w:tcW w:w="978" w:type="dxa"/>
            <w:noWrap/>
            <w:vAlign w:val="center"/>
            <w:hideMark/>
          </w:tcPr>
          <w:p w14:paraId="4A4A4F0B" w14:textId="77777777" w:rsidR="00CD0F5B" w:rsidRPr="00C4270B" w:rsidRDefault="00CD0F5B" w:rsidP="00AB672A">
            <w:pPr>
              <w:pStyle w:val="BodyCopy"/>
              <w:jc w:val="center"/>
              <w:rPr>
                <w:sz w:val="20"/>
                <w:szCs w:val="22"/>
              </w:rPr>
            </w:pPr>
            <w:r w:rsidRPr="00C4270B">
              <w:rPr>
                <w:sz w:val="20"/>
                <w:szCs w:val="22"/>
              </w:rPr>
              <w:t>3,132</w:t>
            </w:r>
          </w:p>
        </w:tc>
        <w:tc>
          <w:tcPr>
            <w:tcW w:w="978" w:type="dxa"/>
            <w:noWrap/>
            <w:vAlign w:val="center"/>
            <w:hideMark/>
          </w:tcPr>
          <w:p w14:paraId="1FC7292C" w14:textId="77777777" w:rsidR="00CD0F5B" w:rsidRPr="00C4270B" w:rsidRDefault="00CD0F5B" w:rsidP="00AB672A">
            <w:pPr>
              <w:pStyle w:val="BodyCopy"/>
              <w:jc w:val="center"/>
              <w:rPr>
                <w:sz w:val="20"/>
                <w:szCs w:val="22"/>
              </w:rPr>
            </w:pPr>
            <w:r w:rsidRPr="00C4270B">
              <w:rPr>
                <w:sz w:val="20"/>
                <w:szCs w:val="22"/>
              </w:rPr>
              <w:t>3,056</w:t>
            </w:r>
          </w:p>
        </w:tc>
        <w:tc>
          <w:tcPr>
            <w:tcW w:w="978" w:type="dxa"/>
            <w:noWrap/>
            <w:vAlign w:val="center"/>
            <w:hideMark/>
          </w:tcPr>
          <w:p w14:paraId="36833E19" w14:textId="77777777" w:rsidR="00CD0F5B" w:rsidRPr="00C4270B" w:rsidRDefault="00CD0F5B" w:rsidP="00AB672A">
            <w:pPr>
              <w:pStyle w:val="BodyCopy"/>
              <w:jc w:val="center"/>
              <w:rPr>
                <w:sz w:val="20"/>
                <w:szCs w:val="22"/>
              </w:rPr>
            </w:pPr>
            <w:r w:rsidRPr="00C4270B">
              <w:rPr>
                <w:sz w:val="20"/>
                <w:szCs w:val="22"/>
              </w:rPr>
              <w:t>2,988</w:t>
            </w:r>
          </w:p>
        </w:tc>
        <w:tc>
          <w:tcPr>
            <w:tcW w:w="978" w:type="dxa"/>
            <w:noWrap/>
            <w:vAlign w:val="center"/>
            <w:hideMark/>
          </w:tcPr>
          <w:p w14:paraId="63F21900" w14:textId="77777777" w:rsidR="00CD0F5B" w:rsidRPr="00C4270B" w:rsidRDefault="00CD0F5B" w:rsidP="00AB672A">
            <w:pPr>
              <w:pStyle w:val="BodyCopy"/>
              <w:jc w:val="center"/>
              <w:rPr>
                <w:sz w:val="20"/>
                <w:szCs w:val="22"/>
              </w:rPr>
            </w:pPr>
            <w:r w:rsidRPr="00C4270B">
              <w:rPr>
                <w:sz w:val="20"/>
                <w:szCs w:val="22"/>
              </w:rPr>
              <w:t>3,234</w:t>
            </w:r>
          </w:p>
        </w:tc>
        <w:tc>
          <w:tcPr>
            <w:tcW w:w="978" w:type="dxa"/>
            <w:noWrap/>
            <w:vAlign w:val="center"/>
            <w:hideMark/>
          </w:tcPr>
          <w:p w14:paraId="59B5FF9F" w14:textId="77777777" w:rsidR="00CD0F5B" w:rsidRPr="00C4270B" w:rsidRDefault="00CD0F5B" w:rsidP="00AB672A">
            <w:pPr>
              <w:pStyle w:val="BodyCopy"/>
              <w:jc w:val="center"/>
              <w:rPr>
                <w:sz w:val="20"/>
                <w:szCs w:val="22"/>
              </w:rPr>
            </w:pPr>
            <w:r w:rsidRPr="00C4270B">
              <w:rPr>
                <w:sz w:val="20"/>
                <w:szCs w:val="22"/>
              </w:rPr>
              <w:t>3,485</w:t>
            </w:r>
          </w:p>
        </w:tc>
        <w:tc>
          <w:tcPr>
            <w:tcW w:w="978" w:type="dxa"/>
            <w:noWrap/>
            <w:vAlign w:val="center"/>
            <w:hideMark/>
          </w:tcPr>
          <w:p w14:paraId="361C62CF" w14:textId="77777777" w:rsidR="00CD0F5B" w:rsidRPr="00C4270B" w:rsidRDefault="00CD0F5B" w:rsidP="00AB672A">
            <w:pPr>
              <w:pStyle w:val="BodyCopy"/>
              <w:jc w:val="center"/>
              <w:rPr>
                <w:sz w:val="20"/>
                <w:szCs w:val="22"/>
              </w:rPr>
            </w:pPr>
            <w:r w:rsidRPr="00C4270B">
              <w:rPr>
                <w:sz w:val="20"/>
                <w:szCs w:val="22"/>
              </w:rPr>
              <w:t>4,070</w:t>
            </w:r>
          </w:p>
        </w:tc>
        <w:tc>
          <w:tcPr>
            <w:tcW w:w="979" w:type="dxa"/>
            <w:tcBorders>
              <w:bottom w:val="single" w:sz="4" w:space="0" w:color="000000"/>
            </w:tcBorders>
            <w:noWrap/>
            <w:vAlign w:val="center"/>
            <w:hideMark/>
          </w:tcPr>
          <w:p w14:paraId="7A077630" w14:textId="77777777" w:rsidR="00CD0F5B" w:rsidRPr="00C4270B" w:rsidRDefault="00CD0F5B" w:rsidP="00AB672A">
            <w:pPr>
              <w:pStyle w:val="BodyCopy"/>
              <w:jc w:val="center"/>
              <w:rPr>
                <w:sz w:val="20"/>
                <w:szCs w:val="22"/>
              </w:rPr>
            </w:pPr>
            <w:r w:rsidRPr="00C4270B">
              <w:rPr>
                <w:sz w:val="20"/>
                <w:szCs w:val="22"/>
              </w:rPr>
              <w:t>4,184</w:t>
            </w:r>
          </w:p>
        </w:tc>
      </w:tr>
      <w:tr w:rsidR="00CD0F5B" w:rsidRPr="008B5EBB" w14:paraId="150ADDBE" w14:textId="77777777" w:rsidTr="00AB672A">
        <w:trPr>
          <w:trHeight w:val="288"/>
        </w:trPr>
        <w:tc>
          <w:tcPr>
            <w:tcW w:w="1202" w:type="dxa"/>
            <w:shd w:val="clear" w:color="auto" w:fill="F2F2F2" w:themeFill="background1" w:themeFillShade="F2"/>
            <w:noWrap/>
          </w:tcPr>
          <w:p w14:paraId="4C113FE1" w14:textId="2E2D9118" w:rsidR="00CD0F5B" w:rsidRPr="00C4270B" w:rsidRDefault="00CD0F5B" w:rsidP="00AB672A">
            <w:pPr>
              <w:pStyle w:val="BodyCopy"/>
              <w:rPr>
                <w:sz w:val="20"/>
                <w:szCs w:val="22"/>
              </w:rPr>
            </w:pPr>
            <w:r w:rsidRPr="00C4270B">
              <w:rPr>
                <w:sz w:val="20"/>
                <w:szCs w:val="22"/>
              </w:rPr>
              <w:t xml:space="preserve">% increase vs </w:t>
            </w:r>
            <w:r w:rsidR="002F68B0" w:rsidRPr="00C4270B">
              <w:rPr>
                <w:sz w:val="20"/>
                <w:szCs w:val="22"/>
              </w:rPr>
              <w:t>c</w:t>
            </w:r>
            <w:r w:rsidRPr="00C4270B">
              <w:rPr>
                <w:sz w:val="20"/>
                <w:szCs w:val="22"/>
              </w:rPr>
              <w:t>urrent</w:t>
            </w:r>
          </w:p>
        </w:tc>
        <w:tc>
          <w:tcPr>
            <w:tcW w:w="97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CC8117" w14:textId="77777777" w:rsidR="00CD0F5B" w:rsidRPr="00C4270B" w:rsidRDefault="00CD0F5B" w:rsidP="00AB672A">
            <w:pPr>
              <w:pStyle w:val="BodyCopy"/>
              <w:jc w:val="center"/>
              <w:rPr>
                <w:sz w:val="20"/>
                <w:szCs w:val="22"/>
              </w:rPr>
            </w:pPr>
            <w:r w:rsidRPr="00C4270B">
              <w:rPr>
                <w:sz w:val="20"/>
                <w:szCs w:val="22"/>
              </w:rPr>
              <w:t>6.0%</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812DD7" w14:textId="77777777" w:rsidR="00CD0F5B" w:rsidRPr="00C4270B" w:rsidRDefault="00CD0F5B" w:rsidP="00AB672A">
            <w:pPr>
              <w:pStyle w:val="BodyCopy"/>
              <w:jc w:val="center"/>
              <w:rPr>
                <w:sz w:val="20"/>
                <w:szCs w:val="22"/>
              </w:rPr>
            </w:pPr>
            <w:r w:rsidRPr="00C4270B">
              <w:rPr>
                <w:sz w:val="20"/>
                <w:szCs w:val="22"/>
              </w:rPr>
              <w:t>5.3%</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C86CD1" w14:textId="77777777" w:rsidR="00CD0F5B" w:rsidRPr="00C4270B" w:rsidRDefault="00CD0F5B" w:rsidP="00AB672A">
            <w:pPr>
              <w:pStyle w:val="BodyCopy"/>
              <w:jc w:val="center"/>
              <w:rPr>
                <w:sz w:val="20"/>
                <w:szCs w:val="22"/>
              </w:rPr>
            </w:pPr>
            <w:r w:rsidRPr="00C4270B">
              <w:rPr>
                <w:sz w:val="20"/>
                <w:szCs w:val="22"/>
              </w:rPr>
              <w:t>4.9%</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E03745A" w14:textId="77777777" w:rsidR="00CD0F5B" w:rsidRPr="00C4270B" w:rsidRDefault="00CD0F5B" w:rsidP="00AB672A">
            <w:pPr>
              <w:pStyle w:val="BodyCopy"/>
              <w:jc w:val="center"/>
              <w:rPr>
                <w:sz w:val="20"/>
                <w:szCs w:val="22"/>
              </w:rPr>
            </w:pPr>
            <w:r w:rsidRPr="00C4270B">
              <w:rPr>
                <w:sz w:val="20"/>
                <w:szCs w:val="22"/>
              </w:rPr>
              <w:t>4.4%</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938626" w14:textId="77777777" w:rsidR="00CD0F5B" w:rsidRPr="00C4270B" w:rsidRDefault="00CD0F5B" w:rsidP="00AB672A">
            <w:pPr>
              <w:pStyle w:val="BodyCopy"/>
              <w:jc w:val="center"/>
              <w:rPr>
                <w:sz w:val="20"/>
                <w:szCs w:val="22"/>
              </w:rPr>
            </w:pPr>
            <w:r w:rsidRPr="00C4270B">
              <w:rPr>
                <w:sz w:val="20"/>
                <w:szCs w:val="22"/>
              </w:rPr>
              <w:t>5.7%</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8E3766" w14:textId="77777777" w:rsidR="00CD0F5B" w:rsidRPr="00C4270B" w:rsidRDefault="00CD0F5B" w:rsidP="00AB672A">
            <w:pPr>
              <w:pStyle w:val="BodyCopy"/>
              <w:jc w:val="center"/>
              <w:rPr>
                <w:sz w:val="20"/>
                <w:szCs w:val="22"/>
              </w:rPr>
            </w:pPr>
            <w:r w:rsidRPr="00C4270B">
              <w:rPr>
                <w:sz w:val="20"/>
                <w:szCs w:val="22"/>
              </w:rPr>
              <w:t>6.4%</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5F0047F" w14:textId="77777777" w:rsidR="00CD0F5B" w:rsidRPr="00C4270B" w:rsidRDefault="00CD0F5B" w:rsidP="00AB672A">
            <w:pPr>
              <w:pStyle w:val="BodyCopy"/>
              <w:jc w:val="center"/>
              <w:rPr>
                <w:sz w:val="20"/>
                <w:szCs w:val="22"/>
              </w:rPr>
            </w:pPr>
            <w:r w:rsidRPr="00C4270B">
              <w:rPr>
                <w:sz w:val="20"/>
                <w:szCs w:val="22"/>
              </w:rPr>
              <w:t>9.6%</w:t>
            </w:r>
          </w:p>
        </w:tc>
        <w:tc>
          <w:tcPr>
            <w:tcW w:w="979" w:type="dxa"/>
            <w:tcBorders>
              <w:top w:val="single" w:sz="4" w:space="0" w:color="000000"/>
              <w:left w:val="nil"/>
              <w:bottom w:val="single" w:sz="4" w:space="0" w:color="auto"/>
              <w:right w:val="nil"/>
            </w:tcBorders>
            <w:shd w:val="clear" w:color="auto" w:fill="F2F2F2" w:themeFill="background1" w:themeFillShade="F2"/>
            <w:noWrap/>
            <w:vAlign w:val="center"/>
          </w:tcPr>
          <w:p w14:paraId="33E937B5" w14:textId="77777777" w:rsidR="00CD0F5B" w:rsidRPr="00C4270B" w:rsidRDefault="00CD0F5B" w:rsidP="00AB672A">
            <w:pPr>
              <w:pStyle w:val="BodyCopy"/>
              <w:jc w:val="center"/>
              <w:rPr>
                <w:sz w:val="20"/>
                <w:szCs w:val="22"/>
              </w:rPr>
            </w:pPr>
            <w:r w:rsidRPr="00C4270B">
              <w:rPr>
                <w:sz w:val="20"/>
                <w:szCs w:val="22"/>
              </w:rPr>
              <w:t>9.6%</w:t>
            </w:r>
          </w:p>
        </w:tc>
      </w:tr>
    </w:tbl>
    <w:p w14:paraId="5CE98455" w14:textId="3EE135DA" w:rsidR="00CD0F5B" w:rsidRDefault="00CD0F5B" w:rsidP="00CD0F5B">
      <w:pPr>
        <w:pStyle w:val="BodyCopy"/>
      </w:pPr>
      <w:r>
        <w:t>This effect is shown graphically in</w:t>
      </w:r>
      <w:r w:rsidR="00311E59">
        <w:t xml:space="preserve"> </w:t>
      </w:r>
      <w:r w:rsidR="00311E59">
        <w:fldChar w:fldCharType="begin"/>
      </w:r>
      <w:r w:rsidR="00311E59">
        <w:instrText xml:space="preserve"> REF _Ref75784540 \r \h </w:instrText>
      </w:r>
      <w:r w:rsidR="00311E59">
        <w:fldChar w:fldCharType="separate"/>
      </w:r>
      <w:r w:rsidR="00225EEA">
        <w:t>Figure 5</w:t>
      </w:r>
      <w:r w:rsidR="00311E59">
        <w:fldChar w:fldCharType="end"/>
      </w:r>
      <w:r w:rsidR="00311E59">
        <w:t>.</w:t>
      </w:r>
      <w:r w:rsidR="00830D17">
        <w:t xml:space="preserve"> </w:t>
      </w:r>
    </w:p>
    <w:p w14:paraId="0586A792" w14:textId="441A10C5" w:rsidR="00CD0F5B" w:rsidRDefault="00CD0F5B" w:rsidP="00CD0F5B">
      <w:pPr>
        <w:pStyle w:val="Figuretitle"/>
      </w:pPr>
      <w:bookmarkStart w:id="213" w:name="_Ref75784540"/>
      <w:bookmarkStart w:id="214" w:name="_Toc86158528"/>
      <w:r>
        <w:t>Estimated heavy vehicle cost bases under different cost allocators</w:t>
      </w:r>
      <w:bookmarkEnd w:id="213"/>
      <w:bookmarkEnd w:id="214"/>
    </w:p>
    <w:p w14:paraId="19D734BA" w14:textId="284FA0B6" w:rsidR="00CD0F5B" w:rsidRDefault="003B03AC" w:rsidP="00CD0F5B">
      <w:pPr>
        <w:pStyle w:val="BodyCopy"/>
      </w:pPr>
      <w:r>
        <w:rPr>
          <w:noProof/>
          <w:lang w:eastAsia="en-AU"/>
        </w:rPr>
        <w:drawing>
          <wp:inline distT="0" distB="0" distL="0" distR="0" wp14:anchorId="57E13D70" wp14:editId="11D5395E">
            <wp:extent cx="5773420" cy="3450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3450590"/>
                    </a:xfrm>
                    <a:prstGeom prst="rect">
                      <a:avLst/>
                    </a:prstGeom>
                    <a:noFill/>
                  </pic:spPr>
                </pic:pic>
              </a:graphicData>
            </a:graphic>
          </wp:inline>
        </w:drawing>
      </w:r>
    </w:p>
    <w:p w14:paraId="799A4F41" w14:textId="69BF941B" w:rsidR="00CD0F5B" w:rsidRDefault="00CD0F5B" w:rsidP="00357D40">
      <w:pPr>
        <w:pStyle w:val="BodyCopy"/>
      </w:pPr>
      <w:r>
        <w:t>The gap between the revenue provided by current heavy vehicle charges and the heavy vehicle cost base under each option further illustrates the likely effect of changing the cost allocation approach.</w:t>
      </w:r>
      <w:r w:rsidR="00830D17">
        <w:t xml:space="preserve"> </w:t>
      </w:r>
    </w:p>
    <w:p w14:paraId="57E5C146" w14:textId="77777777" w:rsidR="00CD0F5B" w:rsidRDefault="00CD0F5B" w:rsidP="00CD0F5B">
      <w:pPr>
        <w:pStyle w:val="Heading3"/>
      </w:pPr>
      <w:bookmarkStart w:id="215" w:name="_Ref66366850"/>
      <w:bookmarkStart w:id="216" w:name="_Ref66366922"/>
      <w:bookmarkStart w:id="217" w:name="_Toc86158437"/>
      <w:r>
        <w:t>Economic efficiency of cost allocation options</w:t>
      </w:r>
      <w:bookmarkEnd w:id="215"/>
      <w:bookmarkEnd w:id="216"/>
      <w:bookmarkEnd w:id="217"/>
    </w:p>
    <w:p w14:paraId="24347E16" w14:textId="6BBDBE59" w:rsidR="00CD0F5B" w:rsidRDefault="00CD0F5B" w:rsidP="00CD0F5B">
      <w:pPr>
        <w:pStyle w:val="BodyCopy"/>
      </w:pPr>
      <w:r>
        <w:t xml:space="preserve">Economic theory does not provide a precise answer on how costs should be allocated between users of a common network asset such as roads. Instead, it provides the following broad principles </w:t>
      </w:r>
      <w:r w:rsidR="00E41ADA">
        <w:t xml:space="preserve">to </w:t>
      </w:r>
      <w:r>
        <w:t xml:space="preserve">guide the cost allocation process: </w:t>
      </w:r>
    </w:p>
    <w:p w14:paraId="0CD5DBCD" w14:textId="5B759BAF" w:rsidR="00CD0F5B" w:rsidRDefault="00C4270B" w:rsidP="00CD0F5B">
      <w:pPr>
        <w:pStyle w:val="List-bulletlvl1"/>
        <w:rPr>
          <w:rFonts w:eastAsia="Arial" w:cs="Arial"/>
          <w:szCs w:val="22"/>
        </w:rPr>
      </w:pPr>
      <w:r>
        <w:t>R</w:t>
      </w:r>
      <w:r w:rsidR="00CD0F5B" w:rsidRPr="431D7296">
        <w:t>oad charges to all road users should recover the total cost of providing and operating the road network</w:t>
      </w:r>
      <w:r>
        <w:t>.</w:t>
      </w:r>
    </w:p>
    <w:p w14:paraId="035DF7BB" w14:textId="66FD4278" w:rsidR="00CD0F5B" w:rsidRDefault="00C4270B" w:rsidP="00CD0F5B">
      <w:pPr>
        <w:pStyle w:val="List-bulletlvl1"/>
        <w:rPr>
          <w:szCs w:val="22"/>
        </w:rPr>
      </w:pPr>
      <w:r>
        <w:lastRenderedPageBreak/>
        <w:t>H</w:t>
      </w:r>
      <w:r w:rsidR="00CD0F5B" w:rsidRPr="431D7296">
        <w:t>eavy vehicle road users should pay at least the costs caused by having access to the road network, including costs related to wear and tear as well as the new road infrastructure costs that would otherwise be avoided</w:t>
      </w:r>
      <w:r>
        <w:t>.</w:t>
      </w:r>
    </w:p>
    <w:p w14:paraId="46F57383" w14:textId="7224CD57" w:rsidR="00CD0F5B" w:rsidRDefault="00C4270B" w:rsidP="00CD0F5B">
      <w:pPr>
        <w:pStyle w:val="List-bulletlvl1"/>
        <w:rPr>
          <w:szCs w:val="22"/>
        </w:rPr>
      </w:pPr>
      <w:r>
        <w:t>T</w:t>
      </w:r>
      <w:r w:rsidR="00CD0F5B" w:rsidRPr="431D7296">
        <w:t xml:space="preserve">he total revenue recovered from a particular type of road user should lie between the standalone cost of providing road infrastructure to that road user and </w:t>
      </w:r>
      <w:r w:rsidR="00F365FF">
        <w:t xml:space="preserve">the </w:t>
      </w:r>
      <w:r w:rsidR="00CD0F5B" w:rsidRPr="431D7296">
        <w:t>avoidable cost of providing road infrastructure to that type of road user</w:t>
      </w:r>
      <w:r>
        <w:t>.</w:t>
      </w:r>
    </w:p>
    <w:p w14:paraId="515D335E" w14:textId="09039763" w:rsidR="00CD0F5B" w:rsidRDefault="00CD0F5B" w:rsidP="00CD0F5B">
      <w:pPr>
        <w:pStyle w:val="BodyCopy"/>
      </w:pPr>
      <w:r w:rsidRPr="431D7296">
        <w:t>Applying these principles is often made difficult by a relative lack of data.</w:t>
      </w:r>
      <w:r w:rsidR="00830D17">
        <w:t xml:space="preserve"> </w:t>
      </w:r>
    </w:p>
    <w:p w14:paraId="7F8881A0" w14:textId="7A8CBB5D" w:rsidR="00CD0F5B" w:rsidRDefault="00CD0F5B" w:rsidP="00CD0F5B">
      <w:pPr>
        <w:pStyle w:val="BodyCopy"/>
      </w:pPr>
      <w:r w:rsidRPr="431D7296">
        <w:t>In its 201</w:t>
      </w:r>
      <w:r>
        <w:t>7</w:t>
      </w:r>
      <w:r w:rsidRPr="431D7296">
        <w:t xml:space="preserve"> report, HoustonKemp estimated that the avoidable cost for heavy vehicles was $2.3</w:t>
      </w:r>
      <w:r w:rsidR="00D66039">
        <w:t xml:space="preserve"> </w:t>
      </w:r>
      <w:r w:rsidRPr="431D7296">
        <w:t>b</w:t>
      </w:r>
      <w:r w:rsidR="00D66039">
        <w:t>illion</w:t>
      </w:r>
      <w:r w:rsidRPr="431D7296">
        <w:t xml:space="preserve"> in 2015</w:t>
      </w:r>
      <w:r w:rsidR="00D66039">
        <w:t>–</w:t>
      </w:r>
      <w:r w:rsidRPr="431D7296">
        <w:t>16 and the standalone cost was $7.4</w:t>
      </w:r>
      <w:r w:rsidR="00D66039">
        <w:t xml:space="preserve"> </w:t>
      </w:r>
      <w:r w:rsidRPr="431D7296">
        <w:t>b</w:t>
      </w:r>
      <w:r w:rsidR="00D66039">
        <w:t>illion</w:t>
      </w:r>
      <w:r>
        <w:t xml:space="preserve"> </w:t>
      </w:r>
      <w:sdt>
        <w:sdtPr>
          <w:id w:val="-2281047"/>
          <w:citation/>
        </w:sdtPr>
        <w:sdtContent>
          <w:r>
            <w:fldChar w:fldCharType="begin"/>
          </w:r>
          <w:r w:rsidR="00406F3F">
            <w:instrText xml:space="preserve">CITATION Hou17 \l 3081 </w:instrText>
          </w:r>
          <w:r>
            <w:fldChar w:fldCharType="separate"/>
          </w:r>
          <w:r w:rsidR="000A4DC7" w:rsidRPr="000A4DC7">
            <w:rPr>
              <w:noProof/>
            </w:rPr>
            <w:t>(HoustonKemp, 2017)</w:t>
          </w:r>
          <w:r>
            <w:fldChar w:fldCharType="end"/>
          </w:r>
        </w:sdtContent>
      </w:sdt>
      <w:r w:rsidRPr="431D7296">
        <w:t xml:space="preserve">. Adjusted for </w:t>
      </w:r>
      <w:r w:rsidR="00F365FF">
        <w:t>consumer price index (</w:t>
      </w:r>
      <w:r w:rsidRPr="431D7296">
        <w:t>CPI</w:t>
      </w:r>
      <w:r w:rsidR="00F365FF">
        <w:t>)</w:t>
      </w:r>
      <w:r w:rsidRPr="431D7296">
        <w:t xml:space="preserve"> increases between September 2015 and September 2020, these figures would now be approximately $2.5</w:t>
      </w:r>
      <w:r w:rsidR="00D66039">
        <w:t xml:space="preserve"> </w:t>
      </w:r>
      <w:r w:rsidRPr="431D7296">
        <w:t>b</w:t>
      </w:r>
      <w:r w:rsidR="00D66039">
        <w:t>illion</w:t>
      </w:r>
      <w:r w:rsidRPr="431D7296">
        <w:t xml:space="preserve"> and $8.0</w:t>
      </w:r>
      <w:r w:rsidR="00D66039">
        <w:t xml:space="preserve"> </w:t>
      </w:r>
      <w:r w:rsidRPr="431D7296">
        <w:t>b</w:t>
      </w:r>
      <w:r w:rsidR="00D66039">
        <w:t>illion</w:t>
      </w:r>
      <w:r w:rsidRPr="431D7296">
        <w:t xml:space="preserve"> respectively.</w:t>
      </w:r>
      <w:r w:rsidR="00830D17">
        <w:t xml:space="preserve"> </w:t>
      </w:r>
    </w:p>
    <w:p w14:paraId="6E006AF9" w14:textId="77777777" w:rsidR="00DA1BDF" w:rsidRDefault="00CD0F5B" w:rsidP="00CD0F5B">
      <w:pPr>
        <w:pStyle w:val="BodyCopy"/>
      </w:pPr>
      <w:r w:rsidRPr="431D7296">
        <w:t>Under all three options, the resulting heavy vehicle cost base falls between these boundaries and would therefore be expected to be economically efficient.</w:t>
      </w:r>
    </w:p>
    <w:p w14:paraId="32E1C738" w14:textId="1C2FCEBE" w:rsidR="00CD0F5B" w:rsidRDefault="00DA1BDF" w:rsidP="00DA1BDF">
      <w:pPr>
        <w:pStyle w:val="Heading3"/>
      </w:pPr>
      <w:bookmarkStart w:id="218" w:name="_Toc86158438"/>
      <w:r w:rsidRPr="00DA1BDF">
        <w:t>Summary of submissions</w:t>
      </w:r>
      <w:bookmarkEnd w:id="218"/>
    </w:p>
    <w:p w14:paraId="6993BC32" w14:textId="77777777" w:rsidR="00612F78" w:rsidRDefault="00043F32" w:rsidP="00DA1BDF">
      <w:pPr>
        <w:pStyle w:val="BodyCopy"/>
      </w:pPr>
      <w:r>
        <w:t xml:space="preserve">Only a limited number of submissions commented on whether additional cost allocation options should be considered as part of this determination. </w:t>
      </w:r>
    </w:p>
    <w:p w14:paraId="53D781CB" w14:textId="5D97F390" w:rsidR="008415EC" w:rsidRPr="008415EC" w:rsidRDefault="00F75CC2" w:rsidP="008415EC">
      <w:pPr>
        <w:pStyle w:val="BodyCopy"/>
      </w:pPr>
      <w:r>
        <w:t xml:space="preserve">The </w:t>
      </w:r>
      <w:r w:rsidR="00043F32">
        <w:t xml:space="preserve">BIC expressed concern around the implications of </w:t>
      </w:r>
      <w:r w:rsidR="001144DD">
        <w:t xml:space="preserve">adopting new ESA values in combination with the choice of cost allocation option on buses and suggested that </w:t>
      </w:r>
      <w:r w:rsidR="006954B1">
        <w:t>t</w:t>
      </w:r>
      <w:r w:rsidR="006954B1" w:rsidRPr="006954B1">
        <w:t xml:space="preserve">he whole cost allocation process should be reviewed as a matter of urgency, and particularly in relation to ESA-km. </w:t>
      </w:r>
      <w:r>
        <w:t xml:space="preserve">The BIC further noted that </w:t>
      </w:r>
      <w:r w:rsidR="00342E79">
        <w:t>con</w:t>
      </w:r>
      <w:r w:rsidR="006954B1" w:rsidRPr="006954B1">
        <w:t>cerns about adverse impacts on a particular vehicle category (or categories) could be handled partly through the choice of the overall cost recovery rate that is pursued and choice of implementation pathway</w:t>
      </w:r>
      <w:r w:rsidR="00633BA8">
        <w:t>,</w:t>
      </w:r>
      <w:r w:rsidR="006954B1" w:rsidRPr="006954B1">
        <w:t xml:space="preserve"> but ideally implementation pathways would not be used to cover over weaknesses or uncertainties in cost allocation methodologies, as they affect particular vehicle classes.</w:t>
      </w:r>
      <w:r w:rsidR="009E61AA">
        <w:t xml:space="preserve"> </w:t>
      </w:r>
    </w:p>
    <w:p w14:paraId="723813B4" w14:textId="0A94CB3B" w:rsidR="00CB6082" w:rsidRPr="00CB6082" w:rsidRDefault="009A7EF5" w:rsidP="00CB6082">
      <w:pPr>
        <w:pStyle w:val="BodyCopy"/>
      </w:pPr>
      <w:r>
        <w:t xml:space="preserve">The </w:t>
      </w:r>
      <w:r w:rsidR="002D5C04">
        <w:t xml:space="preserve">ARTC </w:t>
      </w:r>
      <w:r w:rsidR="00A629DF">
        <w:t>commented that the current cost allocation in PAYGO treats</w:t>
      </w:r>
      <w:r w:rsidR="00702E37">
        <w:t xml:space="preserve"> heavy vehicles as incremental users of the network, whereas it would prefer to see heavy vehicles and light vehicles treated as equal users of the network in the cost allocation process.</w:t>
      </w:r>
      <w:r w:rsidR="009E61AA">
        <w:t xml:space="preserve"> </w:t>
      </w:r>
    </w:p>
    <w:p w14:paraId="6E932231" w14:textId="6C1DA3DC" w:rsidR="00AC4C7A" w:rsidRDefault="004142C1" w:rsidP="00DA1BDF">
      <w:pPr>
        <w:pStyle w:val="BodyCopy"/>
      </w:pPr>
      <w:r>
        <w:t xml:space="preserve">We </w:t>
      </w:r>
      <w:r w:rsidR="002A196E">
        <w:t>outline</w:t>
      </w:r>
      <w:r>
        <w:t xml:space="preserve"> submissions on the advantages and disadvantages of the </w:t>
      </w:r>
      <w:r w:rsidR="002A196E">
        <w:t>specific</w:t>
      </w:r>
      <w:r>
        <w:t xml:space="preserve"> three cost allocation approaches considered as part of this determination </w:t>
      </w:r>
      <w:r w:rsidR="00F73783">
        <w:t xml:space="preserve">in </w:t>
      </w:r>
      <w:r w:rsidR="00C73DA3" w:rsidRPr="00BD61D2">
        <w:t>c</w:t>
      </w:r>
      <w:r w:rsidR="00F73783" w:rsidRPr="007640CC">
        <w:t xml:space="preserve">hapter </w:t>
      </w:r>
      <w:r w:rsidR="007640CC" w:rsidRPr="00BD61D2">
        <w:fldChar w:fldCharType="begin"/>
      </w:r>
      <w:r w:rsidR="007640CC" w:rsidRPr="00BD61D2">
        <w:instrText xml:space="preserve"> REF _Ref82003464 \r \h </w:instrText>
      </w:r>
      <w:r w:rsidR="007640CC">
        <w:instrText xml:space="preserve"> \* MERGEFORMAT</w:instrText>
      </w:r>
      <w:r w:rsidR="007640CC" w:rsidRPr="00F00B5B">
        <w:instrText xml:space="preserve"> </w:instrText>
      </w:r>
      <w:r w:rsidR="007640CC" w:rsidRPr="00BD61D2">
        <w:fldChar w:fldCharType="separate"/>
      </w:r>
      <w:r w:rsidR="00225EEA">
        <w:t>5</w:t>
      </w:r>
      <w:r w:rsidR="007640CC" w:rsidRPr="00BD61D2">
        <w:fldChar w:fldCharType="end"/>
      </w:r>
      <w:r w:rsidR="00F73783" w:rsidRPr="00CC1829">
        <w:t>.</w:t>
      </w:r>
      <w:r w:rsidR="00F73783">
        <w:t xml:space="preserve"> </w:t>
      </w:r>
    </w:p>
    <w:p w14:paraId="05AB6FBB" w14:textId="106DAD0D" w:rsidR="00321CC4" w:rsidRPr="00321CC4" w:rsidRDefault="00E87F1D" w:rsidP="00DA1BDF">
      <w:pPr>
        <w:pStyle w:val="Heading3"/>
      </w:pPr>
      <w:bookmarkStart w:id="219" w:name="_Toc86158439"/>
      <w:r>
        <w:t>Response to submissions</w:t>
      </w:r>
      <w:bookmarkEnd w:id="219"/>
    </w:p>
    <w:p w14:paraId="0DCB48B0" w14:textId="3D5A092F" w:rsidR="005472CF" w:rsidRPr="005472CF" w:rsidRDefault="00D51D0A" w:rsidP="005472CF">
      <w:pPr>
        <w:pStyle w:val="BodyCopy"/>
      </w:pPr>
      <w:r>
        <w:t xml:space="preserve">While noting the BIC’s concerns </w:t>
      </w:r>
      <w:r w:rsidR="00633BA8">
        <w:t xml:space="preserve">about </w:t>
      </w:r>
      <w:r>
        <w:t>the implication of the cost allocation for buses, we consider that</w:t>
      </w:r>
      <w:r w:rsidR="00745715">
        <w:t xml:space="preserve"> the cost allocation matrix needs to be chosen with the primary aim of achieving the best overall outcome in allocating costs to heavy vehicles as a whole, and to individual heavy vehicle types. </w:t>
      </w:r>
    </w:p>
    <w:p w14:paraId="1E41A4A4" w14:textId="43FA4CC1" w:rsidR="002B0F7A" w:rsidRDefault="001D7637" w:rsidP="00D51D0A">
      <w:pPr>
        <w:pStyle w:val="BodyCopy"/>
      </w:pPr>
      <w:r>
        <w:t>T</w:t>
      </w:r>
      <w:r w:rsidR="00FF03F1">
        <w:t>he current cost allocation approach</w:t>
      </w:r>
      <w:r>
        <w:t xml:space="preserve"> </w:t>
      </w:r>
      <w:r w:rsidR="00DE6E67">
        <w:t>does not treat heavy vehicles as an incremental user of the network. This is evidenced</w:t>
      </w:r>
      <w:r w:rsidR="004374A0">
        <w:t xml:space="preserve"> by the fact that </w:t>
      </w:r>
      <w:r w:rsidR="00A13ED3">
        <w:t xml:space="preserve">the model uses the total cost of building and maintaining roads as a starting point and then allocates these total costs between different vehicle types. </w:t>
      </w:r>
      <w:r w:rsidR="00EA6A00">
        <w:t xml:space="preserve">This is a </w:t>
      </w:r>
      <w:r w:rsidR="00E049B3">
        <w:t xml:space="preserve">challenge not faced by </w:t>
      </w:r>
      <w:r w:rsidR="003F1AA7">
        <w:t xml:space="preserve">other similar networks such as electricity </w:t>
      </w:r>
      <w:r w:rsidR="009E0315">
        <w:t xml:space="preserve">transmission or </w:t>
      </w:r>
      <w:r w:rsidR="00D7470F">
        <w:t>broadband data networks</w:t>
      </w:r>
      <w:r w:rsidR="002B0F7A">
        <w:t>.</w:t>
      </w:r>
      <w:r w:rsidR="009E61AA">
        <w:t xml:space="preserve"> </w:t>
      </w:r>
    </w:p>
    <w:p w14:paraId="3E87C753" w14:textId="05C4C4C4" w:rsidR="00CB6082" w:rsidRPr="00CB6082" w:rsidRDefault="002B0F7A" w:rsidP="00CB6082">
      <w:pPr>
        <w:pStyle w:val="BodyCopy"/>
      </w:pPr>
      <w:r>
        <w:t>While the outcome of the cost allocation process</w:t>
      </w:r>
      <w:r w:rsidR="00C10553">
        <w:t xml:space="preserve"> produces a result that could be argued to be between incremental and</w:t>
      </w:r>
      <w:r w:rsidR="00735C5D">
        <w:t xml:space="preserve"> standalone cost, and possibly closer to incremental cost than it </w:t>
      </w:r>
      <w:r w:rsidR="00735C5D">
        <w:lastRenderedPageBreak/>
        <w:t xml:space="preserve">is to standalone cost, this is simply an outcome of the cost allocation process, rather than an intended design feature. </w:t>
      </w:r>
    </w:p>
    <w:p w14:paraId="7075FE24" w14:textId="2C3132D4" w:rsidR="00DA1BDF" w:rsidRPr="00DA1BDF" w:rsidRDefault="00476295" w:rsidP="00DA1BDF">
      <w:pPr>
        <w:pStyle w:val="BodyCopy"/>
      </w:pPr>
      <w:r>
        <w:t>While there clearly is no consensus on a superior cost allocation approach</w:t>
      </w:r>
      <w:r w:rsidR="00F53E19">
        <w:t>, submissions did not identify any readily available</w:t>
      </w:r>
      <w:r w:rsidR="00A42AAE">
        <w:t xml:space="preserve"> </w:t>
      </w:r>
      <w:r w:rsidR="008944D8">
        <w:t>alternatives to</w:t>
      </w:r>
      <w:r w:rsidR="00E2591C">
        <w:t xml:space="preserve"> the three approaches</w:t>
      </w:r>
      <w:r w:rsidR="00B2373C">
        <w:t xml:space="preserve"> considered </w:t>
      </w:r>
      <w:r w:rsidR="008944D8">
        <w:t xml:space="preserve">as part of this </w:t>
      </w:r>
      <w:r w:rsidR="00B2373C">
        <w:t>determination</w:t>
      </w:r>
      <w:r w:rsidR="008944D8">
        <w:t>. Therefore, the NTC has structured the determination around the three options identified above. The advantages and disadvantages of the identified options</w:t>
      </w:r>
      <w:r w:rsidR="00B2373C">
        <w:t xml:space="preserve"> are </w:t>
      </w:r>
      <w:r w:rsidR="004B740E">
        <w:t xml:space="preserve">presented in detail in </w:t>
      </w:r>
      <w:r w:rsidR="00CD6B9F" w:rsidRPr="00BD61D2">
        <w:t>c</w:t>
      </w:r>
      <w:r w:rsidR="000F344F" w:rsidRPr="00CD6B9F">
        <w:t xml:space="preserve">hapter </w:t>
      </w:r>
      <w:r w:rsidR="00CD6B9F" w:rsidRPr="00BD61D2">
        <w:fldChar w:fldCharType="begin"/>
      </w:r>
      <w:r w:rsidR="00CD6B9F" w:rsidRPr="00BD61D2">
        <w:instrText xml:space="preserve"> REF _Ref82003464 \r \h </w:instrText>
      </w:r>
      <w:r w:rsidR="00CD6B9F">
        <w:instrText xml:space="preserve"> \* MERGEFORMAT</w:instrText>
      </w:r>
      <w:r w:rsidR="00CD6B9F" w:rsidRPr="00F00B5B">
        <w:instrText xml:space="preserve"> </w:instrText>
      </w:r>
      <w:r w:rsidR="00CD6B9F" w:rsidRPr="00BD61D2">
        <w:fldChar w:fldCharType="separate"/>
      </w:r>
      <w:r w:rsidR="00225EEA">
        <w:t>5</w:t>
      </w:r>
      <w:r w:rsidR="00CD6B9F" w:rsidRPr="00BD61D2">
        <w:fldChar w:fldCharType="end"/>
      </w:r>
      <w:r w:rsidR="000F344F" w:rsidRPr="00CD6B9F">
        <w:t>.</w:t>
      </w:r>
      <w:r w:rsidR="009E61AA">
        <w:t xml:space="preserve"> </w:t>
      </w:r>
    </w:p>
    <w:p w14:paraId="1AA47EFF" w14:textId="22275DBB" w:rsidR="00CD0F5B" w:rsidRDefault="005472CF" w:rsidP="00CD0F5B">
      <w:pPr>
        <w:pStyle w:val="Heading3"/>
      </w:pPr>
      <w:bookmarkStart w:id="220" w:name="_Toc86158440"/>
      <w:r>
        <w:t>Conclusion and r</w:t>
      </w:r>
      <w:r w:rsidR="00F73DA3">
        <w:t>ecommendation</w:t>
      </w:r>
      <w:r>
        <w:t>s</w:t>
      </w:r>
      <w:bookmarkEnd w:id="220"/>
    </w:p>
    <w:p w14:paraId="473DD195" w14:textId="5B43875A" w:rsidR="00F40E3F" w:rsidRDefault="00DD3FB0" w:rsidP="00CD0F5B">
      <w:pPr>
        <w:pStyle w:val="BodyCopy"/>
      </w:pPr>
      <w:bookmarkStart w:id="221" w:name="_Hlk64899338"/>
      <w:r>
        <w:t>Submissions have not identified any other viable options for cost allocation. At the same time</w:t>
      </w:r>
      <w:r w:rsidR="00CD0F5B">
        <w:t>, none of the three options being considered is clearly and objectively superior to the others from a</w:t>
      </w:r>
      <w:r w:rsidR="00F40E3F">
        <w:t xml:space="preserve"> pure </w:t>
      </w:r>
      <w:r w:rsidR="00CD0F5B">
        <w:t>economic</w:t>
      </w:r>
      <w:r w:rsidR="00F40E3F">
        <w:t xml:space="preserve"> or scientific</w:t>
      </w:r>
      <w:r w:rsidR="00CD0F5B">
        <w:t xml:space="preserve"> perspective. </w:t>
      </w:r>
    </w:p>
    <w:p w14:paraId="374FB413" w14:textId="31ACEBB5" w:rsidR="00F40E3F" w:rsidRDefault="00F40E3F" w:rsidP="00CD0F5B">
      <w:pPr>
        <w:pStyle w:val="BodyCopy"/>
      </w:pPr>
      <w:r>
        <w:t>However, the motivation for considering change may include that some options may be more accurate than others. On the other hand, the value of added precision is likely to be limited by the highly averaged nature of heavy vehicle charges.</w:t>
      </w:r>
      <w:r w:rsidR="009E61AA">
        <w:t xml:space="preserve"> </w:t>
      </w:r>
    </w:p>
    <w:p w14:paraId="33A8B356" w14:textId="72E89CA0" w:rsidR="00CD0F5B" w:rsidRDefault="00CD0F5B" w:rsidP="00CD0F5B">
      <w:pPr>
        <w:pStyle w:val="BodyCopy"/>
      </w:pPr>
      <w:r>
        <w:t xml:space="preserve">This means that the choice between cost allocation approaches is one of judgement based on wider considerations, rather than </w:t>
      </w:r>
      <w:r w:rsidR="00F40E3F">
        <w:t xml:space="preserve">pure economic or </w:t>
      </w:r>
      <w:r>
        <w:t>scientific analysis.</w:t>
      </w:r>
      <w:r w:rsidR="00830D17">
        <w:t xml:space="preserve"> </w:t>
      </w:r>
    </w:p>
    <w:p w14:paraId="6BC305F1" w14:textId="5B018BC6" w:rsidR="00CD0F5B" w:rsidRDefault="00CD0F5B" w:rsidP="00BD61D2">
      <w:pPr>
        <w:pStyle w:val="BodyCopy"/>
      </w:pPr>
      <w:r>
        <w:t xml:space="preserve">We therefore </w:t>
      </w:r>
      <w:r w:rsidR="00F4545F">
        <w:t xml:space="preserve">have built the options for </w:t>
      </w:r>
      <w:r>
        <w:t xml:space="preserve">this determination around the three possible cost allocation approaches being the current approach, </w:t>
      </w:r>
      <w:r w:rsidR="00EC4D84">
        <w:t>m</w:t>
      </w:r>
      <w:r>
        <w:t xml:space="preserve">odified </w:t>
      </w:r>
      <w:r w:rsidR="00EC4D84">
        <w:t>c</w:t>
      </w:r>
      <w:r>
        <w:t xml:space="preserve">urrent and VIC DTF/DOT. </w:t>
      </w:r>
      <w:bookmarkEnd w:id="221"/>
    </w:p>
    <w:p w14:paraId="3F1263FB" w14:textId="77777777" w:rsidR="00CD0F5B" w:rsidRDefault="00CD0F5B" w:rsidP="00CD0F5B">
      <w:pPr>
        <w:pStyle w:val="Heading2"/>
      </w:pPr>
      <w:bookmarkStart w:id="222" w:name="_Ref64881058"/>
      <w:bookmarkStart w:id="223" w:name="_Toc86158441"/>
      <w:r>
        <w:t>MaxMan</w:t>
      </w:r>
      <w:bookmarkEnd w:id="222"/>
      <w:bookmarkEnd w:id="223"/>
    </w:p>
    <w:p w14:paraId="3F92790A" w14:textId="77777777" w:rsidR="00CD0F5B" w:rsidRDefault="00CD0F5B" w:rsidP="00CD0F5B">
      <w:pPr>
        <w:pStyle w:val="Heading3"/>
      </w:pPr>
      <w:bookmarkStart w:id="224" w:name="_Toc86158442"/>
      <w:r>
        <w:t>Background</w:t>
      </w:r>
      <w:bookmarkEnd w:id="224"/>
    </w:p>
    <w:p w14:paraId="713A464D" w14:textId="66B45C37" w:rsidR="00CD0F5B" w:rsidRDefault="00CD0F5B" w:rsidP="00CD0F5B">
      <w:pPr>
        <w:pStyle w:val="BodyCopy"/>
      </w:pPr>
      <w:r>
        <w:t>MaxMan is a separate module of the PAYGO model applying cost allocation to road trains. It has been</w:t>
      </w:r>
      <w:r w:rsidDel="00EA0E6F">
        <w:t xml:space="preserve"> </w:t>
      </w:r>
      <w:r>
        <w:t>part of the heavy vehicle charge-setting process since the second heavy vehicle charges determination in 1998. Its name comes from the M</w:t>
      </w:r>
      <w:r w:rsidR="00666A2A">
        <w:t>a</w:t>
      </w:r>
      <w:r>
        <w:t>tri</w:t>
      </w:r>
      <w:r w:rsidR="00666A2A">
        <w:t>x</w:t>
      </w:r>
      <w:r>
        <w:t xml:space="preserve"> M</w:t>
      </w:r>
      <w:r w:rsidR="00666A2A">
        <w:t>an</w:t>
      </w:r>
      <w:r>
        <w:t>ipulation software that was originally used for the calculations, although these calculations were more recently brought into Microsoft Excel to sit as a module of the PAYGO model.</w:t>
      </w:r>
    </w:p>
    <w:p w14:paraId="63A7F7B9" w14:textId="5A2C979C" w:rsidR="00CD0F5B" w:rsidRDefault="00CD0F5B" w:rsidP="00CD0F5B">
      <w:pPr>
        <w:pStyle w:val="BodyCopy"/>
      </w:pPr>
      <w:r>
        <w:t xml:space="preserve">The original rationale for introducing MaxMan was that road trains do not use the entire road network </w:t>
      </w:r>
      <w:r w:rsidR="00C92543">
        <w:t xml:space="preserve">because </w:t>
      </w:r>
      <w:r>
        <w:t xml:space="preserve">they are not allowed to operate in certain states or </w:t>
      </w:r>
      <w:r w:rsidDel="00253810">
        <w:t>territories</w:t>
      </w:r>
      <w:r>
        <w:t xml:space="preserve"> or are only allowed on certain parts of the network in other jurisdictions. There was a view that cost allocation for road trains should be performed separately because of this.</w:t>
      </w:r>
    </w:p>
    <w:p w14:paraId="3DD768DF" w14:textId="77777777" w:rsidR="00CD0F5B" w:rsidRDefault="00CD0F5B" w:rsidP="00CD0F5B">
      <w:pPr>
        <w:pStyle w:val="BodyCopy"/>
      </w:pPr>
      <w:r>
        <w:t xml:space="preserve">The current MaxMan module assumes that road trains can operate: </w:t>
      </w:r>
    </w:p>
    <w:p w14:paraId="0BDF05BC" w14:textId="74F90491" w:rsidR="00CD0F5B" w:rsidRDefault="00CD0F5B" w:rsidP="00CD0F5B">
      <w:pPr>
        <w:pStyle w:val="List-bulletlvl1"/>
      </w:pPr>
      <w:r>
        <w:t xml:space="preserve">in rural areas of </w:t>
      </w:r>
      <w:r w:rsidR="003A53D2">
        <w:t>New South Wales and Queensland</w:t>
      </w:r>
      <w:r>
        <w:t xml:space="preserve"> </w:t>
      </w:r>
    </w:p>
    <w:p w14:paraId="05EBC528" w14:textId="54988FBC" w:rsidR="00CD0F5B" w:rsidRDefault="00CD0F5B" w:rsidP="00CD0F5B">
      <w:pPr>
        <w:pStyle w:val="List-bulletlvl1"/>
      </w:pPr>
      <w:r>
        <w:t>in both urban and rural areas of S</w:t>
      </w:r>
      <w:r w:rsidR="003A53D2">
        <w:t xml:space="preserve">outh </w:t>
      </w:r>
      <w:r>
        <w:t>A</w:t>
      </w:r>
      <w:r w:rsidR="003A53D2">
        <w:t>ustralia</w:t>
      </w:r>
      <w:r>
        <w:t>, W</w:t>
      </w:r>
      <w:r w:rsidR="003A53D2">
        <w:t xml:space="preserve">estern </w:t>
      </w:r>
      <w:r>
        <w:t>A</w:t>
      </w:r>
      <w:r w:rsidR="003A53D2">
        <w:t>ustralia</w:t>
      </w:r>
      <w:r>
        <w:t xml:space="preserve"> and the N</w:t>
      </w:r>
      <w:r w:rsidR="003A53D2">
        <w:t xml:space="preserve">orthern </w:t>
      </w:r>
      <w:r>
        <w:t>T</w:t>
      </w:r>
      <w:r w:rsidR="003A53D2">
        <w:t>erritory</w:t>
      </w:r>
      <w:r>
        <w:t>.</w:t>
      </w:r>
    </w:p>
    <w:p w14:paraId="40F74A6D" w14:textId="2B471EBC" w:rsidR="00CD0F5B" w:rsidRDefault="00CD0F5B" w:rsidP="00CD0F5B">
      <w:pPr>
        <w:pStyle w:val="BodyCopy"/>
      </w:pPr>
      <w:r>
        <w:t xml:space="preserve">One of the main reasons for introducing MaxMan was to </w:t>
      </w:r>
      <w:r w:rsidR="00C92543">
        <w:t xml:space="preserve">try </w:t>
      </w:r>
      <w:r>
        <w:t xml:space="preserve">to reduce the costs allocated to road trains in the model because the quality of roads that they operate on tends to be lower. </w:t>
      </w:r>
    </w:p>
    <w:p w14:paraId="69EF0898" w14:textId="77777777" w:rsidR="00CD0F5B" w:rsidRDefault="00CD0F5B" w:rsidP="00CD0F5B">
      <w:pPr>
        <w:pStyle w:val="Heading3"/>
      </w:pPr>
      <w:bookmarkStart w:id="225" w:name="_Toc86158443"/>
      <w:r>
        <w:t>Analysis</w:t>
      </w:r>
      <w:bookmarkEnd w:id="225"/>
    </w:p>
    <w:p w14:paraId="1229969F" w14:textId="6A7B8116" w:rsidR="00CD0F5B" w:rsidRDefault="00CD0F5B" w:rsidP="00CD0F5B">
      <w:pPr>
        <w:pStyle w:val="BodyCopy"/>
      </w:pPr>
      <w:r>
        <w:t xml:space="preserve">MaxMan does not change the amount of attributable expenditure but affects how it is allocated between heavy vehicles and light vehicles. As shown in </w:t>
      </w:r>
      <w:r w:rsidR="00513E97">
        <w:fldChar w:fldCharType="begin"/>
      </w:r>
      <w:r w:rsidR="00513E97">
        <w:instrText xml:space="preserve"> REF _Ref81998510 \r \h </w:instrText>
      </w:r>
      <w:r w:rsidR="00513E97">
        <w:fldChar w:fldCharType="separate"/>
      </w:r>
      <w:r w:rsidR="00225EEA">
        <w:t>Figure 6</w:t>
      </w:r>
      <w:r w:rsidR="00513E97">
        <w:fldChar w:fldCharType="end"/>
      </w:r>
      <w:r>
        <w:t xml:space="preserve">, MaxMan has allocated slightly higher costs to heavy vehicles than would have been the case if it was not </w:t>
      </w:r>
      <w:r>
        <w:lastRenderedPageBreak/>
        <w:t>used.</w:t>
      </w:r>
      <w:r>
        <w:rPr>
          <w:rStyle w:val="FootnoteReference"/>
        </w:rPr>
        <w:footnoteReference w:id="16"/>
      </w:r>
      <w:r>
        <w:t xml:space="preserve"> However, the overall difference that MaxMan makes is relatively small as a proportion of the total heavy vehicle cost base. The difference between the numbers in the years shown is at most 0.6 per cent. </w:t>
      </w:r>
    </w:p>
    <w:p w14:paraId="60841EB6" w14:textId="5E922D7B" w:rsidR="00CD0F5B" w:rsidRDefault="00CD0F5B" w:rsidP="00CD0F5B">
      <w:pPr>
        <w:pStyle w:val="BodyCopy"/>
      </w:pPr>
      <w:r>
        <w:t xml:space="preserve">As expected given the above finding, MaxMan has also increased rather than reduced the costs allocated to road trains (as shown in </w:t>
      </w:r>
      <w:r w:rsidR="007235CB">
        <w:fldChar w:fldCharType="begin"/>
      </w:r>
      <w:r w:rsidR="007235CB">
        <w:instrText xml:space="preserve"> REF _Ref81998485 \r \h </w:instrText>
      </w:r>
      <w:r w:rsidR="007235CB">
        <w:fldChar w:fldCharType="separate"/>
      </w:r>
      <w:r w:rsidR="00225EEA">
        <w:t>Figure 7</w:t>
      </w:r>
      <w:r w:rsidR="007235CB">
        <w:fldChar w:fldCharType="end"/>
      </w:r>
      <w:r>
        <w:t>). This is contrary to the original rationale for using MaxMan</w:t>
      </w:r>
      <w:r w:rsidR="003A53D2">
        <w:t>,</w:t>
      </w:r>
      <w:r>
        <w:t xml:space="preserve"> which was to lower the allocated costs for road trains to reflect the generally poorer quality of roads used by them.</w:t>
      </w:r>
    </w:p>
    <w:p w14:paraId="24625599" w14:textId="316360A5" w:rsidR="00CD0F5B" w:rsidRDefault="00CD0F5B" w:rsidP="0047238D">
      <w:pPr>
        <w:pStyle w:val="Figuretitle"/>
      </w:pPr>
      <w:bookmarkStart w:id="226" w:name="_Ref81998510"/>
      <w:bookmarkStart w:id="227" w:name="_Ref82001186"/>
      <w:bookmarkStart w:id="228" w:name="_Toc86158529"/>
      <w:r>
        <w:t>Heavy vehicle cost base with and without MaxMan ($m)</w:t>
      </w:r>
      <w:bookmarkEnd w:id="226"/>
      <w:bookmarkEnd w:id="227"/>
      <w:bookmarkEnd w:id="228"/>
    </w:p>
    <w:p w14:paraId="29ABD8C7" w14:textId="4C1E8495" w:rsidR="0047238D" w:rsidRDefault="003B03AC" w:rsidP="00CD0F5B">
      <w:pPr>
        <w:pStyle w:val="BodyCopy"/>
      </w:pPr>
      <w:r>
        <w:rPr>
          <w:noProof/>
          <w:lang w:eastAsia="en-AU"/>
        </w:rPr>
        <w:drawing>
          <wp:inline distT="0" distB="0" distL="0" distR="0" wp14:anchorId="3EF5EDDE" wp14:editId="49D12DCE">
            <wp:extent cx="5742940" cy="3213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3213100"/>
                    </a:xfrm>
                    <a:prstGeom prst="rect">
                      <a:avLst/>
                    </a:prstGeom>
                    <a:noFill/>
                  </pic:spPr>
                </pic:pic>
              </a:graphicData>
            </a:graphic>
          </wp:inline>
        </w:drawing>
      </w:r>
    </w:p>
    <w:p w14:paraId="6B7A82BB" w14:textId="77777777" w:rsidR="00CD0F5B" w:rsidRDefault="00CD0F5B" w:rsidP="00CD0F5B">
      <w:pPr>
        <w:pStyle w:val="BodyCopy"/>
        <w:rPr>
          <w:sz w:val="16"/>
          <w:szCs w:val="18"/>
        </w:rPr>
      </w:pPr>
      <w:r>
        <w:rPr>
          <w:sz w:val="16"/>
          <w:szCs w:val="18"/>
        </w:rPr>
        <w:t>Note: CB is cost base; MM is MaxMan</w:t>
      </w:r>
    </w:p>
    <w:p w14:paraId="55F629F5" w14:textId="48AC8BEA" w:rsidR="00CD0F5B" w:rsidRDefault="00CD0F5B" w:rsidP="00CD0F5B">
      <w:pPr>
        <w:pStyle w:val="Figuretitle"/>
      </w:pPr>
      <w:bookmarkStart w:id="229" w:name="_Ref81998485"/>
      <w:bookmarkStart w:id="230" w:name="_Ref82001196"/>
      <w:bookmarkStart w:id="231" w:name="_Toc86158530"/>
      <w:r>
        <w:lastRenderedPageBreak/>
        <w:t>Allocated costs, with and without MaxMan</w:t>
      </w:r>
      <w:r w:rsidR="00791ABE">
        <w:t>,</w:t>
      </w:r>
      <w:r>
        <w:t xml:space="preserve"> for double and triple road trains ($m)</w:t>
      </w:r>
      <w:bookmarkEnd w:id="229"/>
      <w:bookmarkEnd w:id="230"/>
      <w:bookmarkEnd w:id="231"/>
    </w:p>
    <w:p w14:paraId="3CB80DB4" w14:textId="350D0826" w:rsidR="0047238D" w:rsidRDefault="00EB0EE2" w:rsidP="00CD0F5B">
      <w:pPr>
        <w:pStyle w:val="BodyCopy"/>
      </w:pPr>
      <w:r>
        <w:rPr>
          <w:noProof/>
          <w:lang w:eastAsia="en-AU"/>
        </w:rPr>
        <w:drawing>
          <wp:inline distT="0" distB="0" distL="0" distR="0" wp14:anchorId="05E9FFC0" wp14:editId="4FFE796A">
            <wp:extent cx="5742940" cy="2981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2981325"/>
                    </a:xfrm>
                    <a:prstGeom prst="rect">
                      <a:avLst/>
                    </a:prstGeom>
                    <a:noFill/>
                  </pic:spPr>
                </pic:pic>
              </a:graphicData>
            </a:graphic>
          </wp:inline>
        </w:drawing>
      </w:r>
    </w:p>
    <w:p w14:paraId="293C2F97" w14:textId="77777777" w:rsidR="00CD0F5B" w:rsidRPr="00D37E7F" w:rsidRDefault="00CD0F5B" w:rsidP="00CD0F5B">
      <w:pPr>
        <w:pStyle w:val="BodyCopy"/>
      </w:pPr>
      <w:r>
        <w:rPr>
          <w:sz w:val="16"/>
          <w:szCs w:val="18"/>
        </w:rPr>
        <w:t>Note: MM is MaxMan; 2RT is double road train; 3RT is triple road train</w:t>
      </w:r>
    </w:p>
    <w:p w14:paraId="04FA8229" w14:textId="1760ED15" w:rsidR="00CD0F5B" w:rsidRDefault="00CD0F5B" w:rsidP="00CD0F5B">
      <w:pPr>
        <w:pStyle w:val="BodyCopy"/>
      </w:pPr>
      <w:r>
        <w:t>The NTC has considered the advantages and disadvantages of retaining MaxMan in the model for future use. Reasons in favour of retaining MaxMan include:</w:t>
      </w:r>
    </w:p>
    <w:p w14:paraId="19600B41" w14:textId="750034E3" w:rsidR="00CD0F5B" w:rsidRPr="00533CC7" w:rsidRDefault="00CD0F5B" w:rsidP="00CD0F5B">
      <w:pPr>
        <w:pStyle w:val="List-bulletlvl1"/>
      </w:pPr>
      <w:r w:rsidRPr="00533CC7">
        <w:t>The module already exists in the PAYGO model</w:t>
      </w:r>
      <w:r>
        <w:t xml:space="preserve"> and has been part of PAYGO for some time,</w:t>
      </w:r>
      <w:r w:rsidRPr="00533CC7">
        <w:t xml:space="preserve"> so</w:t>
      </w:r>
      <w:r>
        <w:t xml:space="preserve"> there is a</w:t>
      </w:r>
      <w:r w:rsidRPr="00533CC7">
        <w:t xml:space="preserve"> need</w:t>
      </w:r>
      <w:r>
        <w:t xml:space="preserve"> for</w:t>
      </w:r>
      <w:r w:rsidRPr="00533CC7">
        <w:t xml:space="preserve"> sufficient evidence to depart from </w:t>
      </w:r>
      <w:r>
        <w:t xml:space="preserve">the </w:t>
      </w:r>
      <w:r w:rsidRPr="00533CC7">
        <w:t>status quo.</w:t>
      </w:r>
    </w:p>
    <w:p w14:paraId="149C8479" w14:textId="77777777" w:rsidR="00CD0F5B" w:rsidRDefault="00CD0F5B" w:rsidP="00CD0F5B">
      <w:pPr>
        <w:pStyle w:val="List-bulletlvl1"/>
      </w:pPr>
      <w:r w:rsidRPr="00533CC7">
        <w:t>Road trains arguably have a more distinct use of roads relative to most other heavy vehicles</w:t>
      </w:r>
      <w:r>
        <w:t>.</w:t>
      </w:r>
    </w:p>
    <w:p w14:paraId="5392D0DA" w14:textId="5965E0C4" w:rsidR="00CD0F5B" w:rsidRDefault="00CD0F5B" w:rsidP="00CD0F5B">
      <w:pPr>
        <w:pStyle w:val="BodyCopy"/>
      </w:pPr>
      <w:r>
        <w:t>The NTC has also identified several reasons, both pragmatic and data/process-related, in favour of removing MaxMan from the calculation of the heavy vehicle cost base under PAYGO, as summarised in</w:t>
      </w:r>
      <w:r w:rsidDel="00810969">
        <w:t xml:space="preserve"> </w:t>
      </w:r>
      <w:r w:rsidR="005477BB">
        <w:fldChar w:fldCharType="begin"/>
      </w:r>
      <w:r w:rsidR="005477BB">
        <w:instrText xml:space="preserve"> REF _Ref82001276 \r \h </w:instrText>
      </w:r>
      <w:r w:rsidR="005477BB">
        <w:fldChar w:fldCharType="separate"/>
      </w:r>
      <w:r w:rsidR="00225EEA">
        <w:t>Table 13</w:t>
      </w:r>
      <w:r w:rsidR="005477BB">
        <w:fldChar w:fldCharType="end"/>
      </w:r>
      <w:r>
        <w:t>.</w:t>
      </w:r>
    </w:p>
    <w:p w14:paraId="42630C31" w14:textId="77777777" w:rsidR="00CD0F5B" w:rsidRDefault="00CD0F5B" w:rsidP="00CD0F5B">
      <w:pPr>
        <w:pStyle w:val="Tabletitle"/>
      </w:pPr>
      <w:bookmarkStart w:id="232" w:name="_Ref82001276"/>
      <w:bookmarkStart w:id="233" w:name="_Ref82165265"/>
      <w:bookmarkStart w:id="234" w:name="_Toc86158552"/>
      <w:r>
        <w:t>Reasons to potentially remove MaxMan from PAYGO</w:t>
      </w:r>
      <w:bookmarkEnd w:id="232"/>
      <w:bookmarkEnd w:id="233"/>
      <w:bookmarkEnd w:id="234"/>
    </w:p>
    <w:tbl>
      <w:tblPr>
        <w:tblStyle w:val="NTCtable"/>
        <w:tblW w:w="0" w:type="auto"/>
        <w:tblLook w:val="04A0" w:firstRow="1" w:lastRow="0" w:firstColumn="1" w:lastColumn="0" w:noHBand="0" w:noVBand="1"/>
      </w:tblPr>
      <w:tblGrid>
        <w:gridCol w:w="5400"/>
        <w:gridCol w:w="3627"/>
      </w:tblGrid>
      <w:tr w:rsidR="00CD0F5B" w14:paraId="47C9B4ED"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5400" w:type="dxa"/>
          </w:tcPr>
          <w:p w14:paraId="6CD79B33" w14:textId="77777777" w:rsidR="00CD0F5B" w:rsidRPr="00CD6B04" w:rsidRDefault="00CD0F5B" w:rsidP="00AB672A">
            <w:pPr>
              <w:pStyle w:val="BodyCopy"/>
              <w:rPr>
                <w:b/>
                <w:bCs/>
                <w:sz w:val="20"/>
                <w:szCs w:val="22"/>
              </w:rPr>
            </w:pPr>
            <w:r w:rsidRPr="00CD6B04">
              <w:rPr>
                <w:b/>
                <w:bCs/>
                <w:sz w:val="20"/>
                <w:szCs w:val="22"/>
              </w:rPr>
              <w:t>Pragmatic</w:t>
            </w:r>
          </w:p>
        </w:tc>
        <w:tc>
          <w:tcPr>
            <w:tcW w:w="3627" w:type="dxa"/>
          </w:tcPr>
          <w:p w14:paraId="2669E6D8" w14:textId="7C99D657" w:rsidR="00CD0F5B" w:rsidRPr="00CD6B04" w:rsidRDefault="00CD0F5B" w:rsidP="00AB672A">
            <w:pPr>
              <w:pStyle w:val="BodyCopy"/>
              <w:rPr>
                <w:b/>
                <w:bCs/>
                <w:sz w:val="20"/>
                <w:szCs w:val="22"/>
              </w:rPr>
            </w:pPr>
            <w:r w:rsidRPr="00CD6B04">
              <w:rPr>
                <w:b/>
                <w:bCs/>
                <w:sz w:val="20"/>
                <w:szCs w:val="22"/>
              </w:rPr>
              <w:t>Data/</w:t>
            </w:r>
            <w:r w:rsidR="00C4270B" w:rsidRPr="00C4270B">
              <w:rPr>
                <w:b/>
                <w:bCs/>
                <w:sz w:val="20"/>
                <w:szCs w:val="22"/>
              </w:rPr>
              <w:t>p</w:t>
            </w:r>
            <w:r w:rsidRPr="00CD6B04">
              <w:rPr>
                <w:b/>
                <w:bCs/>
                <w:sz w:val="20"/>
                <w:szCs w:val="22"/>
              </w:rPr>
              <w:t>rocess</w:t>
            </w:r>
          </w:p>
        </w:tc>
      </w:tr>
      <w:tr w:rsidR="00CD0F5B" w14:paraId="7119B829" w14:textId="77777777" w:rsidTr="00C4270B">
        <w:tc>
          <w:tcPr>
            <w:tcW w:w="5400" w:type="dxa"/>
          </w:tcPr>
          <w:p w14:paraId="202EB460" w14:textId="324A109C" w:rsidR="00CD0F5B" w:rsidRPr="00C4270B" w:rsidRDefault="00CD0F5B" w:rsidP="00AB672A">
            <w:pPr>
              <w:pStyle w:val="List-bulletlvl1"/>
              <w:rPr>
                <w:sz w:val="20"/>
                <w:szCs w:val="22"/>
              </w:rPr>
            </w:pPr>
            <w:r w:rsidRPr="00C4270B">
              <w:rPr>
                <w:sz w:val="20"/>
                <w:szCs w:val="22"/>
              </w:rPr>
              <w:t>Would reduce (arguably unnecessary) complexity in the PAYGO model</w:t>
            </w:r>
            <w:r w:rsidR="00485614" w:rsidRPr="00C4270B">
              <w:rPr>
                <w:sz w:val="20"/>
                <w:szCs w:val="22"/>
              </w:rPr>
              <w:t>.</w:t>
            </w:r>
          </w:p>
          <w:p w14:paraId="3ACA9D45" w14:textId="0577A590" w:rsidR="00CD0F5B" w:rsidRPr="00C4270B" w:rsidRDefault="00CD0F5B" w:rsidP="00AB672A">
            <w:pPr>
              <w:pStyle w:val="List-bulletlvl1"/>
              <w:rPr>
                <w:sz w:val="20"/>
                <w:szCs w:val="22"/>
              </w:rPr>
            </w:pPr>
            <w:r w:rsidRPr="00C4270B">
              <w:rPr>
                <w:sz w:val="20"/>
                <w:szCs w:val="22"/>
              </w:rPr>
              <w:t>Removing MaxMan would potentially simplify any future annual adjustment process</w:t>
            </w:r>
            <w:r w:rsidR="00485614" w:rsidRPr="00C4270B">
              <w:rPr>
                <w:sz w:val="20"/>
                <w:szCs w:val="22"/>
              </w:rPr>
              <w:t>.</w:t>
            </w:r>
          </w:p>
          <w:p w14:paraId="0A00241B" w14:textId="036E5AB3" w:rsidR="00CD0F5B" w:rsidRPr="00C4270B" w:rsidRDefault="00CD0F5B" w:rsidP="00AB672A">
            <w:pPr>
              <w:pStyle w:val="List-bulletlvl1"/>
              <w:rPr>
                <w:sz w:val="20"/>
                <w:szCs w:val="22"/>
              </w:rPr>
            </w:pPr>
            <w:r w:rsidRPr="00C4270B">
              <w:rPr>
                <w:sz w:val="20"/>
                <w:szCs w:val="22"/>
              </w:rPr>
              <w:t>MaxMan does not directly affect</w:t>
            </w:r>
            <w:r w:rsidRPr="00C4270B" w:rsidDel="00253810">
              <w:rPr>
                <w:sz w:val="20"/>
                <w:szCs w:val="22"/>
              </w:rPr>
              <w:t xml:space="preserve"> </w:t>
            </w:r>
            <w:r w:rsidRPr="00C4270B">
              <w:rPr>
                <w:sz w:val="20"/>
                <w:szCs w:val="22"/>
              </w:rPr>
              <w:t>registration charges for road trains, since the cost allocation process only determines the floor for total charges paid by a vehicle class to avoid cross-subsidisation. MaxMan will only have an effect on registration charges if the floor for total charges is binding</w:t>
            </w:r>
            <w:r w:rsidR="00485614" w:rsidRPr="00C4270B">
              <w:rPr>
                <w:sz w:val="20"/>
                <w:szCs w:val="22"/>
              </w:rPr>
              <w:t>.</w:t>
            </w:r>
          </w:p>
          <w:p w14:paraId="4275D096" w14:textId="5C7CDE35" w:rsidR="00CD0F5B" w:rsidRPr="00C4270B" w:rsidRDefault="00CD0F5B" w:rsidP="00AB672A">
            <w:pPr>
              <w:pStyle w:val="List-bulletlvl1"/>
              <w:rPr>
                <w:sz w:val="20"/>
                <w:szCs w:val="22"/>
              </w:rPr>
            </w:pPr>
            <w:r w:rsidRPr="00C4270B">
              <w:rPr>
                <w:sz w:val="20"/>
                <w:szCs w:val="22"/>
              </w:rPr>
              <w:t xml:space="preserve">As of the last determination, registration charges for the articulated segment of the </w:t>
            </w:r>
            <w:r w:rsidR="00BF2846">
              <w:rPr>
                <w:sz w:val="20"/>
                <w:szCs w:val="22"/>
              </w:rPr>
              <w:t>heavy vehicle</w:t>
            </w:r>
            <w:r w:rsidRPr="00C4270B">
              <w:rPr>
                <w:sz w:val="20"/>
                <w:szCs w:val="22"/>
              </w:rPr>
              <w:t xml:space="preserve"> fleet have been set to reflect the modularity of the fleet. MaxMan reflects a past era for charges where different charges were set for vehicle components to charge road trains </w:t>
            </w:r>
            <w:r w:rsidRPr="00C4270B">
              <w:rPr>
                <w:sz w:val="20"/>
                <w:szCs w:val="22"/>
              </w:rPr>
              <w:lastRenderedPageBreak/>
              <w:t>and the corresponding B-double and B-triple combinations</w:t>
            </w:r>
            <w:r w:rsidR="00791ABE">
              <w:rPr>
                <w:sz w:val="20"/>
                <w:szCs w:val="22"/>
              </w:rPr>
              <w:t>’</w:t>
            </w:r>
            <w:r w:rsidRPr="00C4270B">
              <w:rPr>
                <w:sz w:val="20"/>
                <w:szCs w:val="22"/>
              </w:rPr>
              <w:t xml:space="preserve"> different amounts. Under the current modular charging approach, MaxMan will not have any effect on charges</w:t>
            </w:r>
            <w:r w:rsidR="00485614" w:rsidRPr="00C4270B">
              <w:rPr>
                <w:sz w:val="20"/>
                <w:szCs w:val="22"/>
              </w:rPr>
              <w:t>.</w:t>
            </w:r>
          </w:p>
          <w:p w14:paraId="3CCFEDD9" w14:textId="2978851A" w:rsidR="00CD0F5B" w:rsidRPr="00C4270B" w:rsidRDefault="00CD0F5B" w:rsidP="00AB672A">
            <w:pPr>
              <w:pStyle w:val="List-bulletlvl1"/>
              <w:rPr>
                <w:sz w:val="20"/>
                <w:szCs w:val="22"/>
              </w:rPr>
            </w:pPr>
            <w:r w:rsidRPr="00C4270B">
              <w:rPr>
                <w:sz w:val="20"/>
                <w:szCs w:val="22"/>
              </w:rPr>
              <w:t>Adjustments are</w:t>
            </w:r>
            <w:r w:rsidRPr="00C4270B" w:rsidDel="00253810">
              <w:rPr>
                <w:sz w:val="20"/>
                <w:szCs w:val="22"/>
              </w:rPr>
              <w:t xml:space="preserve"> </w:t>
            </w:r>
            <w:r w:rsidRPr="00C4270B">
              <w:rPr>
                <w:sz w:val="20"/>
                <w:szCs w:val="22"/>
              </w:rPr>
              <w:t xml:space="preserve">immaterial compared </w:t>
            </w:r>
            <w:r w:rsidR="00485614" w:rsidRPr="00C4270B">
              <w:rPr>
                <w:sz w:val="20"/>
                <w:szCs w:val="22"/>
              </w:rPr>
              <w:t xml:space="preserve">with </w:t>
            </w:r>
            <w:r w:rsidRPr="00C4270B">
              <w:rPr>
                <w:sz w:val="20"/>
                <w:szCs w:val="22"/>
              </w:rPr>
              <w:t xml:space="preserve">the overall </w:t>
            </w:r>
            <w:r w:rsidR="00BF2846">
              <w:rPr>
                <w:sz w:val="20"/>
                <w:szCs w:val="22"/>
              </w:rPr>
              <w:t>heavy vehicle</w:t>
            </w:r>
            <w:r w:rsidR="00BF2846" w:rsidRPr="00C4270B">
              <w:rPr>
                <w:sz w:val="20"/>
                <w:szCs w:val="22"/>
              </w:rPr>
              <w:t xml:space="preserve"> </w:t>
            </w:r>
            <w:r w:rsidRPr="00C4270B">
              <w:rPr>
                <w:sz w:val="20"/>
                <w:szCs w:val="22"/>
              </w:rPr>
              <w:t>cost base</w:t>
            </w:r>
            <w:r w:rsidR="00485614" w:rsidRPr="00C4270B">
              <w:rPr>
                <w:sz w:val="20"/>
                <w:szCs w:val="22"/>
              </w:rPr>
              <w:t>.</w:t>
            </w:r>
          </w:p>
          <w:p w14:paraId="0FE47221" w14:textId="685C67BD" w:rsidR="00CD0F5B" w:rsidRPr="00C4270B" w:rsidRDefault="00CD0F5B" w:rsidP="00AB672A">
            <w:pPr>
              <w:pStyle w:val="List-bulletlvl1"/>
              <w:rPr>
                <w:sz w:val="20"/>
                <w:szCs w:val="22"/>
              </w:rPr>
            </w:pPr>
            <w:r w:rsidRPr="00C4270B">
              <w:rPr>
                <w:sz w:val="20"/>
                <w:szCs w:val="22"/>
              </w:rPr>
              <w:t>The original rationale for MaxMan was to give a discount to road trains to reflect the lower quality of roads that they may use. It is not achieving this objective, given it results in higher costs being attributable. In any case, it is unclear whether the original rationale is still relevant and</w:t>
            </w:r>
            <w:r w:rsidR="00BF2846">
              <w:rPr>
                <w:sz w:val="20"/>
                <w:szCs w:val="22"/>
              </w:rPr>
              <w:t>,</w:t>
            </w:r>
            <w:r w:rsidRPr="00C4270B">
              <w:rPr>
                <w:sz w:val="20"/>
                <w:szCs w:val="22"/>
              </w:rPr>
              <w:t xml:space="preserve"> if so, whether a complex modelling treatment is the best way of achieving this objective</w:t>
            </w:r>
            <w:r w:rsidR="00485614" w:rsidRPr="00C4270B">
              <w:rPr>
                <w:sz w:val="20"/>
                <w:szCs w:val="22"/>
              </w:rPr>
              <w:t>.</w:t>
            </w:r>
          </w:p>
          <w:p w14:paraId="49FB1CBA" w14:textId="590580D9" w:rsidR="00CD0F5B" w:rsidRPr="00C4270B" w:rsidRDefault="00CD0F5B" w:rsidP="00AB672A">
            <w:pPr>
              <w:pStyle w:val="List-bulletlvl1"/>
              <w:rPr>
                <w:sz w:val="20"/>
                <w:szCs w:val="22"/>
              </w:rPr>
            </w:pPr>
            <w:r w:rsidRPr="00C4270B">
              <w:rPr>
                <w:sz w:val="20"/>
                <w:szCs w:val="22"/>
                <w:lang w:val="en-AU"/>
              </w:rPr>
              <w:t xml:space="preserve">Road trains are the only vehicle classes treated separately in this way. No adjustment is </w:t>
            </w:r>
            <w:r w:rsidRPr="00C4270B">
              <w:rPr>
                <w:sz w:val="20"/>
                <w:szCs w:val="22"/>
              </w:rPr>
              <w:t>made</w:t>
            </w:r>
            <w:r w:rsidRPr="00C4270B">
              <w:rPr>
                <w:sz w:val="20"/>
                <w:szCs w:val="22"/>
                <w:lang w:val="en-AU"/>
              </w:rPr>
              <w:t xml:space="preserve"> for any other vehicle classes, even though there may be restrictions preventing use or operators’ choices not to use certain vehicle combinations in certain areas</w:t>
            </w:r>
            <w:r w:rsidR="00485614" w:rsidRPr="00C4270B">
              <w:rPr>
                <w:sz w:val="20"/>
                <w:szCs w:val="22"/>
                <w:lang w:val="en-AU"/>
              </w:rPr>
              <w:t>.</w:t>
            </w:r>
          </w:p>
        </w:tc>
        <w:tc>
          <w:tcPr>
            <w:tcW w:w="3627" w:type="dxa"/>
          </w:tcPr>
          <w:p w14:paraId="4189E303" w14:textId="43B4052B" w:rsidR="00CD0F5B" w:rsidRPr="00C4270B" w:rsidRDefault="00CD0F5B" w:rsidP="00AB672A">
            <w:pPr>
              <w:pStyle w:val="List-bulletlvl1"/>
              <w:rPr>
                <w:sz w:val="20"/>
                <w:szCs w:val="22"/>
              </w:rPr>
            </w:pPr>
            <w:r w:rsidRPr="00C4270B">
              <w:rPr>
                <w:sz w:val="20"/>
                <w:szCs w:val="22"/>
              </w:rPr>
              <w:lastRenderedPageBreak/>
              <w:t>The usage data from the SMVU underpinning the MaxMan calculations is unreliable, given that it relies on the data at sub-jurisdictional, vehicle class level in many cases. A large percentage of the data from the SMVU at this level has a</w:t>
            </w:r>
            <w:r w:rsidR="00BF2846">
              <w:rPr>
                <w:sz w:val="20"/>
                <w:szCs w:val="22"/>
              </w:rPr>
              <w:t>n</w:t>
            </w:r>
            <w:r w:rsidRPr="00C4270B">
              <w:rPr>
                <w:sz w:val="20"/>
                <w:szCs w:val="22"/>
              </w:rPr>
              <w:t xml:space="preserve"> </w:t>
            </w:r>
            <w:r w:rsidR="00BF2846">
              <w:rPr>
                <w:sz w:val="20"/>
                <w:szCs w:val="22"/>
              </w:rPr>
              <w:t>RSE</w:t>
            </w:r>
            <w:r w:rsidRPr="00C4270B">
              <w:rPr>
                <w:sz w:val="20"/>
                <w:szCs w:val="22"/>
              </w:rPr>
              <w:t xml:space="preserve"> between 25</w:t>
            </w:r>
            <w:r w:rsidR="00272BD6" w:rsidRPr="00C4270B">
              <w:rPr>
                <w:sz w:val="20"/>
                <w:szCs w:val="22"/>
              </w:rPr>
              <w:t xml:space="preserve"> per cent</w:t>
            </w:r>
            <w:r w:rsidRPr="00C4270B">
              <w:rPr>
                <w:sz w:val="20"/>
                <w:szCs w:val="22"/>
              </w:rPr>
              <w:t xml:space="preserve"> and 50</w:t>
            </w:r>
            <w:r w:rsidR="00272BD6" w:rsidRPr="00C4270B">
              <w:rPr>
                <w:sz w:val="20"/>
                <w:szCs w:val="22"/>
              </w:rPr>
              <w:t xml:space="preserve"> per cent</w:t>
            </w:r>
            <w:r w:rsidRPr="00C4270B">
              <w:rPr>
                <w:sz w:val="20"/>
                <w:szCs w:val="22"/>
              </w:rPr>
              <w:t xml:space="preserve"> (‘should be used with caution’) or over 50</w:t>
            </w:r>
            <w:r w:rsidR="00272BD6" w:rsidRPr="00C4270B">
              <w:rPr>
                <w:sz w:val="20"/>
                <w:szCs w:val="22"/>
              </w:rPr>
              <w:t xml:space="preserve"> per cent</w:t>
            </w:r>
            <w:r w:rsidRPr="00C4270B">
              <w:rPr>
                <w:sz w:val="20"/>
                <w:szCs w:val="22"/>
              </w:rPr>
              <w:t xml:space="preserve"> (‘too unreliable for general use’). This arguably casts doubt on any findings from MaxMan</w:t>
            </w:r>
            <w:r w:rsidR="00485614" w:rsidRPr="00C4270B">
              <w:rPr>
                <w:sz w:val="20"/>
                <w:szCs w:val="22"/>
              </w:rPr>
              <w:t>.</w:t>
            </w:r>
          </w:p>
          <w:p w14:paraId="61D6C2F4" w14:textId="3F86656A" w:rsidR="00CD0F5B" w:rsidRPr="00C4270B" w:rsidRDefault="00CD0F5B" w:rsidP="00AB672A">
            <w:pPr>
              <w:pStyle w:val="List-bulletlvl1"/>
              <w:rPr>
                <w:sz w:val="20"/>
                <w:szCs w:val="22"/>
              </w:rPr>
            </w:pPr>
            <w:r w:rsidRPr="00C4270B">
              <w:rPr>
                <w:sz w:val="20"/>
                <w:szCs w:val="22"/>
              </w:rPr>
              <w:t xml:space="preserve">The ‘sub-set’ of the network assumed to be used by road trains and included in the MaxMan </w:t>
            </w:r>
            <w:r w:rsidRPr="00C4270B">
              <w:rPr>
                <w:sz w:val="20"/>
                <w:szCs w:val="22"/>
              </w:rPr>
              <w:lastRenderedPageBreak/>
              <w:t>calculations is arguably not entirely accurate, since road trains are allowed to travel in north-west Victoria and A-doubles are allowed to access the Port of Brisbane</w:t>
            </w:r>
            <w:r w:rsidR="00485614" w:rsidRPr="00C4270B">
              <w:rPr>
                <w:sz w:val="20"/>
                <w:szCs w:val="22"/>
              </w:rPr>
              <w:t>.</w:t>
            </w:r>
          </w:p>
          <w:p w14:paraId="0701F4D1" w14:textId="65AD25FB" w:rsidR="00CD0F5B" w:rsidRPr="00C4270B" w:rsidRDefault="00CD0F5B" w:rsidP="00AB672A">
            <w:pPr>
              <w:pStyle w:val="List-bulletlvl1"/>
              <w:rPr>
                <w:sz w:val="20"/>
                <w:szCs w:val="22"/>
              </w:rPr>
            </w:pPr>
            <w:r w:rsidRPr="00C4270B">
              <w:rPr>
                <w:sz w:val="20"/>
                <w:szCs w:val="22"/>
              </w:rPr>
              <w:t xml:space="preserve">The treatment of SMVU data is inconsistent for road trains in the MaxMan calculations relative to other </w:t>
            </w:r>
            <w:r w:rsidR="00BF2846">
              <w:rPr>
                <w:sz w:val="20"/>
                <w:szCs w:val="22"/>
              </w:rPr>
              <w:t>heavy vehicle</w:t>
            </w:r>
            <w:r w:rsidR="00BF2846" w:rsidRPr="00C4270B">
              <w:rPr>
                <w:sz w:val="20"/>
                <w:szCs w:val="22"/>
              </w:rPr>
              <w:t xml:space="preserve"> </w:t>
            </w:r>
            <w:r w:rsidRPr="00C4270B">
              <w:rPr>
                <w:sz w:val="20"/>
                <w:szCs w:val="22"/>
              </w:rPr>
              <w:t>classes.</w:t>
            </w:r>
            <w:r w:rsidR="00BF2846">
              <w:rPr>
                <w:sz w:val="20"/>
                <w:szCs w:val="22"/>
              </w:rPr>
              <w:t xml:space="preserve"> It only</w:t>
            </w:r>
            <w:r w:rsidRPr="00C4270B">
              <w:rPr>
                <w:sz w:val="20"/>
                <w:szCs w:val="22"/>
              </w:rPr>
              <w:t xml:space="preserve"> uses a single (latest available) year of SMVU data</w:t>
            </w:r>
            <w:r w:rsidR="00BF2846">
              <w:rPr>
                <w:sz w:val="20"/>
                <w:szCs w:val="22"/>
              </w:rPr>
              <w:t>,</w:t>
            </w:r>
            <w:r w:rsidRPr="00C4270B">
              <w:rPr>
                <w:sz w:val="20"/>
                <w:szCs w:val="22"/>
              </w:rPr>
              <w:t xml:space="preserve"> whereas other vehicles use a </w:t>
            </w:r>
            <w:r w:rsidR="00485614" w:rsidRPr="00C4270B">
              <w:rPr>
                <w:sz w:val="20"/>
                <w:szCs w:val="22"/>
              </w:rPr>
              <w:t>seven</w:t>
            </w:r>
            <w:r w:rsidRPr="00C4270B">
              <w:rPr>
                <w:sz w:val="20"/>
                <w:szCs w:val="22"/>
              </w:rPr>
              <w:t>-year EMA. (In principle this could be addressed by using an EMA for MaxMan, but this would add even more complexity to the model.)</w:t>
            </w:r>
          </w:p>
        </w:tc>
      </w:tr>
    </w:tbl>
    <w:p w14:paraId="4D0174E0" w14:textId="76949C05" w:rsidR="00DA1BDF" w:rsidRDefault="00DA1BDF" w:rsidP="00CD0F5B">
      <w:pPr>
        <w:pStyle w:val="Heading3"/>
      </w:pPr>
      <w:bookmarkStart w:id="235" w:name="_Toc86158444"/>
      <w:r w:rsidRPr="00DA1BDF">
        <w:lastRenderedPageBreak/>
        <w:t>Summary of submissions</w:t>
      </w:r>
      <w:bookmarkEnd w:id="235"/>
    </w:p>
    <w:p w14:paraId="3E325072" w14:textId="6EE5A441" w:rsidR="00DA1BDF" w:rsidRPr="00DA1BDF" w:rsidRDefault="008756CD" w:rsidP="00C31EB4">
      <w:pPr>
        <w:pStyle w:val="BodyCopy"/>
      </w:pPr>
      <w:r w:rsidRPr="008756CD">
        <w:t xml:space="preserve">There were </w:t>
      </w:r>
      <w:r>
        <w:t>six</w:t>
      </w:r>
      <w:r w:rsidRPr="008756CD">
        <w:t xml:space="preserve"> submissions on </w:t>
      </w:r>
      <w:r w:rsidR="00116547">
        <w:t>MaxMan</w:t>
      </w:r>
      <w:r w:rsidRPr="008756CD">
        <w:t xml:space="preserve">, from </w:t>
      </w:r>
      <w:r w:rsidR="00844160">
        <w:t xml:space="preserve">the </w:t>
      </w:r>
      <w:r w:rsidR="00844160" w:rsidRPr="00844160">
        <w:t xml:space="preserve">Australian Livestock and Rural Transporters Association </w:t>
      </w:r>
      <w:r w:rsidR="00844160">
        <w:t>(</w:t>
      </w:r>
      <w:r w:rsidRPr="008756CD">
        <w:t>AL</w:t>
      </w:r>
      <w:r w:rsidR="00220D72">
        <w:t>RTA</w:t>
      </w:r>
      <w:r w:rsidR="00844160">
        <w:t>)</w:t>
      </w:r>
      <w:r w:rsidRPr="008756CD">
        <w:t>,</w:t>
      </w:r>
      <w:r w:rsidR="00F52244">
        <w:t xml:space="preserve"> ARTC,</w:t>
      </w:r>
      <w:r w:rsidRPr="008756CD">
        <w:t xml:space="preserve"> the ATA, </w:t>
      </w:r>
      <w:r w:rsidR="0032461D">
        <w:t xml:space="preserve">the </w:t>
      </w:r>
      <w:r w:rsidRPr="008756CD">
        <w:t xml:space="preserve">BIC, NatRoad and the NHVR. </w:t>
      </w:r>
      <w:r w:rsidR="00401D52">
        <w:t>All submissions supported remov</w:t>
      </w:r>
      <w:r w:rsidR="00844160">
        <w:t>ing</w:t>
      </w:r>
      <w:r w:rsidR="00401D52">
        <w:t xml:space="preserve"> MaxMan, noting its complexity</w:t>
      </w:r>
      <w:r w:rsidR="00116547">
        <w:t xml:space="preserve"> and failure to achieve its</w:t>
      </w:r>
      <w:r w:rsidR="002D662D">
        <w:t xml:space="preserve"> stated</w:t>
      </w:r>
      <w:r w:rsidR="00116547">
        <w:t xml:space="preserve"> policy objective.</w:t>
      </w:r>
    </w:p>
    <w:p w14:paraId="02BAEC9E" w14:textId="1EFC9F1E" w:rsidR="00CD0F5B" w:rsidRDefault="005472CF" w:rsidP="00CD0F5B">
      <w:pPr>
        <w:pStyle w:val="Heading3"/>
      </w:pPr>
      <w:bookmarkStart w:id="236" w:name="_Toc86158445"/>
      <w:r>
        <w:t>Conclusion and r</w:t>
      </w:r>
      <w:r w:rsidR="008B0C4E">
        <w:t>ecommendation</w:t>
      </w:r>
      <w:r>
        <w:t>s</w:t>
      </w:r>
      <w:bookmarkEnd w:id="236"/>
    </w:p>
    <w:p w14:paraId="02E5A4FB" w14:textId="444C5746" w:rsidR="004C5B99" w:rsidRDefault="00CD0F5B" w:rsidP="00CD0F5B">
      <w:pPr>
        <w:pStyle w:val="BodyCopy"/>
      </w:pPr>
      <w:r>
        <w:t xml:space="preserve">Based on the reasons outlined in </w:t>
      </w:r>
      <w:r w:rsidR="00364671">
        <w:fldChar w:fldCharType="begin"/>
      </w:r>
      <w:r w:rsidR="00364671">
        <w:instrText xml:space="preserve"> REF _Ref82165265 \r \h </w:instrText>
      </w:r>
      <w:r w:rsidR="00364671">
        <w:fldChar w:fldCharType="separate"/>
      </w:r>
      <w:r w:rsidR="00225EEA">
        <w:t>Table 13</w:t>
      </w:r>
      <w:r w:rsidR="00364671">
        <w:fldChar w:fldCharType="end"/>
      </w:r>
      <w:r>
        <w:t xml:space="preserve"> and </w:t>
      </w:r>
      <w:r w:rsidR="008F4747">
        <w:t>the support for t</w:t>
      </w:r>
      <w:r w:rsidR="00630114">
        <w:t>hese reasons in submissions to the C-RIS</w:t>
      </w:r>
      <w:r>
        <w:t>, the NTC recommends</w:t>
      </w:r>
      <w:r w:rsidR="000F32C2">
        <w:t xml:space="preserve"> that</w:t>
      </w:r>
      <w:r w:rsidR="004C5B99">
        <w:t>:</w:t>
      </w:r>
    </w:p>
    <w:p w14:paraId="7A543890" w14:textId="1A472B52" w:rsidR="004C5B99" w:rsidRDefault="00CD0F5B" w:rsidP="00357D40">
      <w:pPr>
        <w:pStyle w:val="List-bulletlvl1"/>
      </w:pPr>
      <w:r>
        <w:t xml:space="preserve">MaxMan </w:t>
      </w:r>
      <w:r w:rsidR="00637E48">
        <w:t xml:space="preserve">should </w:t>
      </w:r>
      <w:r w:rsidR="004C5B99">
        <w:t>be removed</w:t>
      </w:r>
      <w:r>
        <w:t xml:space="preserve"> from the PAYGO model. </w:t>
      </w:r>
    </w:p>
    <w:p w14:paraId="58141648" w14:textId="0FA5CE87" w:rsidR="00CD0F5B" w:rsidRDefault="00CD0F5B" w:rsidP="00CD0F5B">
      <w:pPr>
        <w:pStyle w:val="BodyCopy"/>
      </w:pPr>
      <w:r w:rsidRPr="00A3123C">
        <w:t>The modelling</w:t>
      </w:r>
      <w:r>
        <w:t xml:space="preserve"> presented</w:t>
      </w:r>
      <w:r w:rsidRPr="00A3123C">
        <w:t xml:space="preserve"> in the following chapters</w:t>
      </w:r>
      <w:r>
        <w:t xml:space="preserve"> of this </w:t>
      </w:r>
      <w:r w:rsidR="009F0EA2">
        <w:t>D</w:t>
      </w:r>
      <w:r w:rsidR="00B25452">
        <w:t>-</w:t>
      </w:r>
      <w:r>
        <w:t>RIS</w:t>
      </w:r>
      <w:r w:rsidRPr="00A3123C">
        <w:t xml:space="preserve"> does not use MaxMan</w:t>
      </w:r>
      <w:r>
        <w:t>.</w:t>
      </w:r>
    </w:p>
    <w:p w14:paraId="5E81869A" w14:textId="1444B0F1" w:rsidR="00CD0F5B" w:rsidRDefault="00844160" w:rsidP="00CD0F5B">
      <w:pPr>
        <w:pStyle w:val="Heading2"/>
        <w:rPr>
          <w:rFonts w:eastAsia="Cambria"/>
        </w:rPr>
      </w:pPr>
      <w:bookmarkStart w:id="237" w:name="_Ref64881068"/>
      <w:bookmarkStart w:id="238" w:name="_Toc86158446"/>
      <w:r w:rsidRPr="00844160">
        <w:rPr>
          <w:rFonts w:eastAsia="Cambria"/>
        </w:rPr>
        <w:t>Road user charge</w:t>
      </w:r>
      <w:r w:rsidRPr="00844160" w:rsidDel="00844160">
        <w:rPr>
          <w:rFonts w:eastAsia="Cambria"/>
        </w:rPr>
        <w:t xml:space="preserve"> </w:t>
      </w:r>
      <w:r w:rsidR="00CD0F5B">
        <w:rPr>
          <w:rFonts w:eastAsia="Cambria"/>
        </w:rPr>
        <w:t>leakages</w:t>
      </w:r>
      <w:bookmarkEnd w:id="237"/>
      <w:bookmarkEnd w:id="238"/>
    </w:p>
    <w:p w14:paraId="2A15B45D" w14:textId="1D3F755E" w:rsidR="00CD0F5B" w:rsidRPr="000E782E" w:rsidRDefault="00CD0F5B" w:rsidP="00CD0F5B">
      <w:pPr>
        <w:pStyle w:val="Heading3"/>
        <w:rPr>
          <w:rFonts w:eastAsiaTheme="majorEastAsia"/>
        </w:rPr>
      </w:pPr>
      <w:bookmarkStart w:id="239" w:name="_Toc86158447"/>
      <w:r>
        <w:rPr>
          <w:rFonts w:eastAsiaTheme="majorEastAsia"/>
        </w:rPr>
        <w:t>Issue</w:t>
      </w:r>
      <w:r w:rsidR="00102067">
        <w:rPr>
          <w:rFonts w:eastAsiaTheme="majorEastAsia"/>
        </w:rPr>
        <w:t>s</w:t>
      </w:r>
      <w:bookmarkEnd w:id="239"/>
    </w:p>
    <w:p w14:paraId="1DB51546" w14:textId="77777777" w:rsidR="00CD0F5B" w:rsidRPr="000E782E" w:rsidRDefault="00CD0F5B" w:rsidP="00CD0F5B">
      <w:pPr>
        <w:pStyle w:val="BodyCopy"/>
      </w:pPr>
      <w:r w:rsidRPr="000E782E">
        <w:t xml:space="preserve">The </w:t>
      </w:r>
      <w:r>
        <w:t xml:space="preserve">heavy vehicle </w:t>
      </w:r>
      <w:r w:rsidRPr="000E782E">
        <w:t>charges calculated by the NTC under the PAYGO system are designed to achieve cost recovery. That is, the charges in the PAYGO model are set to recover the heavy vehicle cost base, given the registered heavy vehicle and heavy trailer fleet, and the estimated quantity of fuel used by heavy vehicles.</w:t>
      </w:r>
      <w:r w:rsidRPr="000E782E">
        <w:rPr>
          <w:vertAlign w:val="superscript"/>
        </w:rPr>
        <w:footnoteReference w:id="17"/>
      </w:r>
      <w:r w:rsidRPr="000E782E">
        <w:t xml:space="preserve"> Changes to any of the cost base, vehicle </w:t>
      </w:r>
      <w:r w:rsidRPr="000E782E">
        <w:lastRenderedPageBreak/>
        <w:t xml:space="preserve">population or fuel use </w:t>
      </w:r>
      <w:r>
        <w:t xml:space="preserve">requires </w:t>
      </w:r>
      <w:r w:rsidRPr="000E782E">
        <w:t xml:space="preserve">changes in the level of heavy vehicle charges to preserve cost recovery. </w:t>
      </w:r>
    </w:p>
    <w:p w14:paraId="46FDEED4" w14:textId="4E01DEA0" w:rsidR="00CD0F5B" w:rsidRPr="000E782E" w:rsidRDefault="00CD0F5B" w:rsidP="00CD0F5B">
      <w:pPr>
        <w:pStyle w:val="BodyCopy"/>
      </w:pPr>
      <w:r w:rsidRPr="000E782E">
        <w:t>The best data source for estimating fuel usage is the SMVU</w:t>
      </w:r>
      <w:r>
        <w:t xml:space="preserve">. </w:t>
      </w:r>
      <w:r w:rsidRPr="000E782E">
        <w:t>However, a potentially substantial amount of fuel has become exempt from paying the RUC on the basis that the fuel was used to power auxiliary equipment</w:t>
      </w:r>
      <w:r>
        <w:t xml:space="preserve"> and for off</w:t>
      </w:r>
      <w:r w:rsidR="00102067">
        <w:t>-</w:t>
      </w:r>
      <w:r>
        <w:t>road use</w:t>
      </w:r>
      <w:r w:rsidRPr="000E782E">
        <w:t xml:space="preserve">, rather than ‘for travelling’ on a public road as specified in the </w:t>
      </w:r>
      <w:r w:rsidRPr="000E782E">
        <w:rPr>
          <w:i/>
          <w:iCs/>
        </w:rPr>
        <w:t>Fuel Tax Act 2006</w:t>
      </w:r>
      <w:r w:rsidRPr="000E782E">
        <w:t>. Examples of auxiliary equipment use on which the RUC is not payable include:</w:t>
      </w:r>
    </w:p>
    <w:p w14:paraId="16C01109" w14:textId="2A7CD87B" w:rsidR="00CD0F5B" w:rsidRPr="000E782E" w:rsidRDefault="00C02680" w:rsidP="00CD0F5B">
      <w:pPr>
        <w:pStyle w:val="List-bulletlvl1"/>
      </w:pPr>
      <w:r>
        <w:t>c</w:t>
      </w:r>
      <w:r w:rsidR="00CD0F5B" w:rsidRPr="000E782E">
        <w:t xml:space="preserve">oncrete </w:t>
      </w:r>
      <w:r w:rsidR="00CD0F5B">
        <w:t xml:space="preserve">transport </w:t>
      </w:r>
      <w:r w:rsidR="00CD0F5B" w:rsidRPr="000E782E">
        <w:t>vehicles</w:t>
      </w:r>
      <w:r w:rsidR="00CD0F5B">
        <w:t xml:space="preserve"> with rotating mixer drums</w:t>
      </w:r>
    </w:p>
    <w:p w14:paraId="615A4DD3" w14:textId="508302F6" w:rsidR="00CD0F5B" w:rsidRPr="000E782E" w:rsidRDefault="00C02680" w:rsidP="00CD0F5B">
      <w:pPr>
        <w:pStyle w:val="List-bulletlvl1"/>
      </w:pPr>
      <w:r>
        <w:t>r</w:t>
      </w:r>
      <w:r w:rsidR="00CD0F5B" w:rsidRPr="000E782E">
        <w:t>efrigerated vehicles</w:t>
      </w:r>
    </w:p>
    <w:p w14:paraId="60688366" w14:textId="7E2038E5" w:rsidR="00CD0F5B" w:rsidRPr="000E782E" w:rsidRDefault="00C02680" w:rsidP="00CD0F5B">
      <w:pPr>
        <w:pStyle w:val="List-bulletlvl1"/>
      </w:pPr>
      <w:r>
        <w:t>w</w:t>
      </w:r>
      <w:r w:rsidR="00CD0F5B" w:rsidRPr="000E782E">
        <w:t>aste management collection vehicles</w:t>
      </w:r>
    </w:p>
    <w:p w14:paraId="2485C18A" w14:textId="435D81E9" w:rsidR="00CD0F5B" w:rsidRPr="000E782E" w:rsidRDefault="00C02680" w:rsidP="00CD0F5B">
      <w:pPr>
        <w:pStyle w:val="List-bulletlvl1"/>
      </w:pPr>
      <w:r>
        <w:t>v</w:t>
      </w:r>
      <w:r w:rsidR="00CD0F5B" w:rsidRPr="000E782E">
        <w:t>ehicles with specialised equipment, such as elevated work platforms, loader cranes or drilling equipment</w:t>
      </w:r>
    </w:p>
    <w:p w14:paraId="3A5E8AAC" w14:textId="1CC5FE9E" w:rsidR="00CD0F5B" w:rsidRPr="000E782E" w:rsidRDefault="00C02680" w:rsidP="00CD0F5B">
      <w:pPr>
        <w:pStyle w:val="List-bulletlvl1"/>
      </w:pPr>
      <w:r>
        <w:t>l</w:t>
      </w:r>
      <w:r w:rsidR="00CD0F5B" w:rsidRPr="000E782E">
        <w:t>ong</w:t>
      </w:r>
      <w:r>
        <w:t>-</w:t>
      </w:r>
      <w:r w:rsidR="00CD0F5B" w:rsidRPr="000E782E">
        <w:t>haul vehicles with sleeper cabins.</w:t>
      </w:r>
    </w:p>
    <w:p w14:paraId="57FAC385" w14:textId="77777777" w:rsidR="00CD0F5B" w:rsidRDefault="00CD0F5B" w:rsidP="00CD0F5B">
      <w:pPr>
        <w:pStyle w:val="BodyCopy"/>
      </w:pPr>
      <w:r w:rsidRPr="000E782E">
        <w:t>These ‘exemptions’ or ‘leakages’ from paying RUC reduce the amount of revenue collected through the RUC, all else</w:t>
      </w:r>
      <w:r>
        <w:t xml:space="preserve"> remaining</w:t>
      </w:r>
      <w:r w:rsidRPr="000E782E">
        <w:t xml:space="preserve"> constant. That is, the amount of fuel that is actually subject to the RUC is likely to be less than what is estimated from using the SMVU, which simply records total fuel used. </w:t>
      </w:r>
    </w:p>
    <w:p w14:paraId="4A2BB9C1" w14:textId="4D7C2030" w:rsidR="00CD0F5B" w:rsidRPr="000E782E" w:rsidRDefault="00CD0F5B" w:rsidP="00CD0F5B">
      <w:pPr>
        <w:pStyle w:val="BodyCopy"/>
      </w:pPr>
      <w:r w:rsidRPr="000E782E">
        <w:t>This workstream investigates this issue in more detail. One challenge in attempting to adjust for these ‘leakages’ is a lack of reliable data, meaning that there must be some assumptions or estimates used</w:t>
      </w:r>
      <w:r w:rsidR="00B25452">
        <w:t xml:space="preserve"> – </w:t>
      </w:r>
      <w:r w:rsidRPr="000E782E">
        <w:t>this is discussed in more detail in section</w:t>
      </w:r>
      <w:r w:rsidR="00311E59">
        <w:t xml:space="preserve"> </w:t>
      </w:r>
      <w:r w:rsidR="00311E59">
        <w:fldChar w:fldCharType="begin"/>
      </w:r>
      <w:r w:rsidR="00311E59">
        <w:instrText xml:space="preserve"> REF _Ref75784575 \r \h </w:instrText>
      </w:r>
      <w:r w:rsidR="00311E59">
        <w:fldChar w:fldCharType="separate"/>
      </w:r>
      <w:r w:rsidR="00225EEA">
        <w:t>4.9.2</w:t>
      </w:r>
      <w:r w:rsidR="00311E59">
        <w:fldChar w:fldCharType="end"/>
      </w:r>
      <w:r w:rsidR="00311E59">
        <w:t>. I</w:t>
      </w:r>
      <w:r>
        <w:t>n summary:</w:t>
      </w:r>
    </w:p>
    <w:p w14:paraId="0A82054C" w14:textId="77777777" w:rsidR="00CD0F5B" w:rsidRPr="000E782E" w:rsidRDefault="00CD0F5B" w:rsidP="00CD0F5B">
      <w:pPr>
        <w:pStyle w:val="List-bulletlvl1"/>
      </w:pPr>
      <w:r w:rsidRPr="000E782E">
        <w:t>The RUC aims to recover a proportion of the heavy vehicle cost base through a charge on each litre of fuel that is used by heavy vehicles for travelling on a public road.</w:t>
      </w:r>
    </w:p>
    <w:p w14:paraId="3911E277" w14:textId="29ED9E9A" w:rsidR="00CD0F5B" w:rsidRPr="000E782E" w:rsidRDefault="00CD0F5B" w:rsidP="00CD0F5B">
      <w:pPr>
        <w:pStyle w:val="List-bulletlvl1"/>
      </w:pPr>
      <w:r w:rsidRPr="000E782E">
        <w:t xml:space="preserve">Over the </w:t>
      </w:r>
      <w:r w:rsidR="00102067">
        <w:t>p</w:t>
      </w:r>
      <w:r w:rsidRPr="000E782E">
        <w:t>ast few years, certain uses of fuel by heavy vehicles have been exempted from paying the RUC on the basis that the fuel is not being used for travelling on a public road. As a result of these exemptions, the amount of RUC being recovered is</w:t>
      </w:r>
      <w:r>
        <w:t xml:space="preserve"> </w:t>
      </w:r>
      <w:r w:rsidRPr="000E782E">
        <w:t>less than intended when setting charges under the PAYGO model.</w:t>
      </w:r>
    </w:p>
    <w:p w14:paraId="7E29CF5C" w14:textId="77777777" w:rsidR="00CD0F5B" w:rsidRPr="000E782E" w:rsidRDefault="00CD0F5B" w:rsidP="00CD0F5B">
      <w:pPr>
        <w:pStyle w:val="Heading3"/>
        <w:rPr>
          <w:rFonts w:eastAsiaTheme="majorEastAsia"/>
        </w:rPr>
      </w:pPr>
      <w:bookmarkStart w:id="240" w:name="_Ref75784575"/>
      <w:bookmarkStart w:id="241" w:name="_Toc86158448"/>
      <w:r w:rsidRPr="000E782E">
        <w:rPr>
          <w:rFonts w:eastAsiaTheme="majorEastAsia"/>
        </w:rPr>
        <w:t>Analysis</w:t>
      </w:r>
      <w:bookmarkEnd w:id="240"/>
      <w:bookmarkEnd w:id="241"/>
    </w:p>
    <w:p w14:paraId="2504FE59" w14:textId="2A55B0ED" w:rsidR="00CD0F5B" w:rsidRPr="000E782E" w:rsidRDefault="00CD0F5B" w:rsidP="00CD0F5B">
      <w:pPr>
        <w:pStyle w:val="BodyCopy"/>
      </w:pPr>
      <w:r>
        <w:t>T</w:t>
      </w:r>
      <w:r w:rsidRPr="000E782E">
        <w:t>he categories of</w:t>
      </w:r>
      <w:r>
        <w:t xml:space="preserve"> auxiliary fuel use exempted</w:t>
      </w:r>
      <w:r w:rsidRPr="000E782E">
        <w:t xml:space="preserve"> from paying the RUC </w:t>
      </w:r>
      <w:r>
        <w:t xml:space="preserve">have </w:t>
      </w:r>
      <w:r w:rsidRPr="000E782E">
        <w:t>increased since the original decision by the Administrative Appeals Tribunal of Australia to allow an exemption for refrigerated trailers in August 2012</w:t>
      </w:r>
      <w:r>
        <w:t xml:space="preserve"> </w:t>
      </w:r>
      <w:sdt>
        <w:sdtPr>
          <w:id w:val="1734116745"/>
          <w:citation/>
        </w:sdtPr>
        <w:sdtContent>
          <w:r>
            <w:fldChar w:fldCharType="begin"/>
          </w:r>
          <w:r>
            <w:instrText xml:space="preserve"> CITATION Adm12 \l 3081 </w:instrText>
          </w:r>
          <w:r>
            <w:fldChar w:fldCharType="separate"/>
          </w:r>
          <w:r w:rsidR="000A4DC7" w:rsidRPr="000A4DC7">
            <w:rPr>
              <w:noProof/>
            </w:rPr>
            <w:t>(Administrative Appeals Tribunal of Australia, 2012)</w:t>
          </w:r>
          <w:r>
            <w:fldChar w:fldCharType="end"/>
          </w:r>
        </w:sdtContent>
      </w:sdt>
      <w:r w:rsidRPr="000E782E">
        <w:t>. The Australian Taxation Office (ATO) released practical compliance guidelines in September 2016</w:t>
      </w:r>
      <w:r w:rsidR="00B25452">
        <w:t xml:space="preserve"> (</w:t>
      </w:r>
      <w:r>
        <w:t>subsequently updated in October 2019</w:t>
      </w:r>
      <w:r w:rsidR="00B25452">
        <w:t xml:space="preserve">) </w:t>
      </w:r>
      <w:r w:rsidRPr="000E782E">
        <w:t xml:space="preserve">to outline the types of heavy vehicles or trailers with auxiliary equipment that may claim </w:t>
      </w:r>
      <w:r>
        <w:t>an exemption</w:t>
      </w:r>
      <w:r w:rsidRPr="000E782E">
        <w:t xml:space="preserve"> from </w:t>
      </w:r>
      <w:r>
        <w:t>paying</w:t>
      </w:r>
      <w:r w:rsidRPr="000E782E">
        <w:t xml:space="preserve"> RUC, as well as ‘fair and reasonable’ percentages of </w:t>
      </w:r>
      <w:r>
        <w:t xml:space="preserve">total fuel use </w:t>
      </w:r>
      <w:r w:rsidRPr="000E782E">
        <w:t>not subject to the RUC for the various types of auxiliary equipment</w:t>
      </w:r>
      <w:r>
        <w:t xml:space="preserve"> </w:t>
      </w:r>
      <w:sdt>
        <w:sdtPr>
          <w:id w:val="844751223"/>
          <w:citation/>
        </w:sdtPr>
        <w:sdtContent>
          <w:r>
            <w:fldChar w:fldCharType="begin"/>
          </w:r>
          <w:r w:rsidR="00406F3F">
            <w:instrText xml:space="preserve">CITATION ATO19 \l 3081 </w:instrText>
          </w:r>
          <w:r>
            <w:fldChar w:fldCharType="separate"/>
          </w:r>
          <w:r w:rsidR="000A4DC7" w:rsidRPr="000A4DC7">
            <w:rPr>
              <w:noProof/>
            </w:rPr>
            <w:t>(ATO, 2019)</w:t>
          </w:r>
          <w:r>
            <w:fldChar w:fldCharType="end"/>
          </w:r>
        </w:sdtContent>
      </w:sdt>
      <w:r w:rsidRPr="000E782E">
        <w:t>.</w:t>
      </w:r>
      <w:r>
        <w:t xml:space="preserve"> In addition, claims for off</w:t>
      </w:r>
      <w:r w:rsidR="00FA486A">
        <w:t>-</w:t>
      </w:r>
      <w:r>
        <w:t>road</w:t>
      </w:r>
      <w:r w:rsidR="007252CF">
        <w:t>-</w:t>
      </w:r>
      <w:r>
        <w:t>use fuel tax credit exemptions, independent of auxiliary equipment use, have become more widespread.</w:t>
      </w:r>
    </w:p>
    <w:p w14:paraId="4B9E74F9" w14:textId="5B6B2911" w:rsidR="00CD0F5B" w:rsidRDefault="00CD0F5B" w:rsidP="00CD0F5B">
      <w:pPr>
        <w:pStyle w:val="BodyCopy"/>
      </w:pPr>
      <w:r w:rsidRPr="000E782E">
        <w:t>The NTC’s estimate of the total amount of RUC revenue collected is calculated by multiplying fuel usage data from the SMVU by the RUC rate (in cents per litre). The SMVU form asks the following question relating to fuel: ‘What was the total amount of fuel consumed by this vehicle during the four-month period 1 July 2019 to 31 October 2019?’</w:t>
      </w:r>
      <w:r>
        <w:t xml:space="preserve"> </w:t>
      </w:r>
      <w:sdt>
        <w:sdtPr>
          <w:id w:val="224574865"/>
          <w:citation/>
        </w:sdtPr>
        <w:sdtContent>
          <w:r>
            <w:fldChar w:fldCharType="begin"/>
          </w:r>
          <w:r w:rsidR="00406F3F">
            <w:instrText xml:space="preserve">CITATION ABS19 \l 3081 </w:instrText>
          </w:r>
          <w:r>
            <w:fldChar w:fldCharType="separate"/>
          </w:r>
          <w:r w:rsidR="000A4DC7" w:rsidRPr="000A4DC7">
            <w:rPr>
              <w:noProof/>
            </w:rPr>
            <w:t>(ABS, 2019)</w:t>
          </w:r>
          <w:r>
            <w:fldChar w:fldCharType="end"/>
          </w:r>
        </w:sdtContent>
      </w:sdt>
      <w:r w:rsidRPr="000E782E">
        <w:t>.</w:t>
      </w:r>
      <w:r w:rsidRPr="000E782E">
        <w:rPr>
          <w:vertAlign w:val="superscript"/>
        </w:rPr>
        <w:footnoteReference w:id="18"/>
      </w:r>
      <w:r w:rsidRPr="000E782E">
        <w:t xml:space="preserve"> Although there could be alternative interpretations, the NTC </w:t>
      </w:r>
      <w:r>
        <w:t>considers</w:t>
      </w:r>
      <w:r w:rsidRPr="000E782E">
        <w:t xml:space="preserve"> that this question would typically be answered by survey respondents as the total amount of fuel used, including fuel used for any auxiliary equipment. If this is the case, the estimated fuel consumption data specified in the SMVU may overstate the actual fuel that is subject to the RUC and</w:t>
      </w:r>
      <w:r w:rsidR="00FA486A">
        <w:t>,</w:t>
      </w:r>
      <w:r w:rsidRPr="000E782E">
        <w:t xml:space="preserve"> as a result, may overstate the actual amount of RUC revenue that is currently being collected.</w:t>
      </w:r>
    </w:p>
    <w:p w14:paraId="18FA49BA" w14:textId="45A6BED0" w:rsidR="00CD0F5B" w:rsidRDefault="00CD0F5B" w:rsidP="00CD0F5B">
      <w:pPr>
        <w:pStyle w:val="BodyCopy"/>
      </w:pPr>
      <w:r>
        <w:t>The total annual value of fuel tax exemptions for off</w:t>
      </w:r>
      <w:r w:rsidR="00FA486A">
        <w:t>-</w:t>
      </w:r>
      <w:r>
        <w:t>road and auxiliary equipment use cannot be accurately estimated by the ATO both in terms of the exemption rates used by individual claimants or the extent to which heavy vehicle operators make claims at all for off</w:t>
      </w:r>
      <w:r w:rsidR="00FA486A">
        <w:t>-</w:t>
      </w:r>
      <w:r>
        <w:t xml:space="preserve">road and auxiliary equipment use. </w:t>
      </w:r>
    </w:p>
    <w:p w14:paraId="54EB332B" w14:textId="0B17336D" w:rsidR="00CD0F5B" w:rsidRPr="008068C9" w:rsidRDefault="00CD0F5B" w:rsidP="00CD0F5B">
      <w:pPr>
        <w:pStyle w:val="BodyCopy"/>
        <w:rPr>
          <w:rFonts w:ascii="Calibri" w:hAnsi="Calibri"/>
        </w:rPr>
      </w:pPr>
      <w:r>
        <w:t xml:space="preserve">The ATO estimates some </w:t>
      </w:r>
      <w:r w:rsidRPr="00C13110">
        <w:rPr>
          <w:bCs/>
        </w:rPr>
        <w:t>112,000 businesses</w:t>
      </w:r>
      <w:r>
        <w:t xml:space="preserve"> claiming fuel tax credits are operating heavy vehicles on road. This is an indicative estimate only.</w:t>
      </w:r>
      <w:r>
        <w:rPr>
          <w:rFonts w:ascii="Calibri" w:hAnsi="Calibri"/>
        </w:rPr>
        <w:t xml:space="preserve"> </w:t>
      </w:r>
      <w:r>
        <w:t xml:space="preserve">In an independent research report prepared for the </w:t>
      </w:r>
      <w:r w:rsidR="007252CF">
        <w:t>ATA</w:t>
      </w:r>
      <w:r w:rsidR="00FA486A" w:rsidRPr="00FA486A" w:rsidDel="00FA486A">
        <w:t xml:space="preserve"> </w:t>
      </w:r>
      <w:r>
        <w:t xml:space="preserve">and NatRoad, Deloitte Access Economics recently estimated there were </w:t>
      </w:r>
      <w:r w:rsidRPr="00C13110">
        <w:rPr>
          <w:bCs/>
        </w:rPr>
        <w:t>146,862 businesses operating trucks in Australia</w:t>
      </w:r>
      <w:r w:rsidRPr="00C13110">
        <w:t xml:space="preserve">, comprising 55,936 hire and reward operators and 90,926 ancillary operators. </w:t>
      </w:r>
      <w:r>
        <w:t>Based on these figures,</w:t>
      </w:r>
      <w:r w:rsidRPr="00C13110">
        <w:t xml:space="preserve"> </w:t>
      </w:r>
      <w:r w:rsidRPr="00C13110">
        <w:rPr>
          <w:bCs/>
        </w:rPr>
        <w:t xml:space="preserve">at least 34,800 businesses operating trucks </w:t>
      </w:r>
      <w:r>
        <w:rPr>
          <w:bCs/>
        </w:rPr>
        <w:t xml:space="preserve">(24 per cent of all trucking businesses) </w:t>
      </w:r>
      <w:r w:rsidRPr="00C13110">
        <w:rPr>
          <w:bCs/>
        </w:rPr>
        <w:t>are not claiming fuel tax credits at all</w:t>
      </w:r>
      <w:r w:rsidRPr="00C13110">
        <w:t>. In reality</w:t>
      </w:r>
      <w:r>
        <w:t>, the figure would likely be higher than 24 per cent because the ATO estimate would include businesses operating buses.</w:t>
      </w:r>
    </w:p>
    <w:p w14:paraId="5E16E737" w14:textId="77777777" w:rsidR="00CD0F5B" w:rsidRDefault="00CD0F5B" w:rsidP="00CD0F5B">
      <w:pPr>
        <w:pStyle w:val="BodyCopy"/>
      </w:pPr>
      <w:r>
        <w:t>These businesses could be expected to be outside the hire and reward industry and could be expected to be small. Many of the trucks would be pre-1996, since we also know from the ATO data that many operators of pre-1996 vehicles choose not to claim fuel tax credits because of the need to meet the pre-1996 environmental criteria to claim fuel tax credits.</w:t>
      </w:r>
    </w:p>
    <w:p w14:paraId="2FB106B8" w14:textId="382B152C" w:rsidR="00CD0F5B" w:rsidRDefault="00CD0F5B" w:rsidP="00CD0F5B">
      <w:pPr>
        <w:pStyle w:val="BodyCopy"/>
      </w:pPr>
      <w:r>
        <w:t>On the other hand, the large hire and reward trucking companies claim fuel tax exemption rates for off</w:t>
      </w:r>
      <w:r w:rsidR="00FA486A">
        <w:t>-</w:t>
      </w:r>
      <w:r>
        <w:t>road and auxiliary equipment use that are well above the ATO’s ‘fair and reasonable’ rates if they have invested in obtaining engine diagnostic proof to justify higher fuel consumption rates.</w:t>
      </w:r>
    </w:p>
    <w:p w14:paraId="355B7D3D" w14:textId="37984B6E" w:rsidR="00CD0F5B" w:rsidRDefault="00CD0F5B" w:rsidP="00CD0F5B">
      <w:pPr>
        <w:pStyle w:val="BodyCopy"/>
      </w:pPr>
      <w:r>
        <w:t>NTC modelling assuming all heavy vehicles claim for off-road and auxiliary equipment use at the ATO’s ‘fair and reasonable’ rates indicate</w:t>
      </w:r>
      <w:r w:rsidR="00F45E0B">
        <w:t>s</w:t>
      </w:r>
      <w:r>
        <w:t xml:space="preserve"> that the reduction of fuel tax (RUC) revenue would be around $</w:t>
      </w:r>
      <w:r w:rsidR="621CDFC3">
        <w:t>80</w:t>
      </w:r>
      <w:r>
        <w:t xml:space="preserve"> million per annum compared </w:t>
      </w:r>
      <w:r w:rsidR="00485614">
        <w:t xml:space="preserve">with </w:t>
      </w:r>
      <w:r>
        <w:t>the PAYGO estimate of annual RUC revenue of $1.9</w:t>
      </w:r>
      <w:r w:rsidR="4788AD7B">
        <w:t>63</w:t>
      </w:r>
      <w:r>
        <w:t xml:space="preserve"> billion. If this is adjusted</w:t>
      </w:r>
      <w:r w:rsidR="7B1B6404">
        <w:t xml:space="preserve"> down</w:t>
      </w:r>
      <w:r>
        <w:t xml:space="preserve"> for the 24 per cent of trucking businesses that are estimated to not claim for off-road and auxiliary equipment use then the aggregate reduction falls</w:t>
      </w:r>
      <w:r w:rsidR="7457E8F8">
        <w:t>.</w:t>
      </w:r>
    </w:p>
    <w:p w14:paraId="11E05013" w14:textId="77777777" w:rsidR="00CD0F5B" w:rsidRDefault="00CD0F5B" w:rsidP="00CD0F5B">
      <w:pPr>
        <w:pStyle w:val="BodyCopy"/>
      </w:pPr>
      <w:r>
        <w:t>Most of these businesses are small and in the non-hire and reward industry, where average travel rates are lower than in the hire and reward industry (based on anecdotal evidence), but estimates of what share of overall fuel use these businesses account for is at best speculative.</w:t>
      </w:r>
    </w:p>
    <w:p w14:paraId="656CA43E" w14:textId="460249DC" w:rsidR="00CD0F5B" w:rsidRDefault="00CD0F5B" w:rsidP="00CD0F5B">
      <w:pPr>
        <w:pStyle w:val="BodyCopy"/>
      </w:pPr>
      <w:r w:rsidRPr="000E782E">
        <w:t xml:space="preserve">One option to address this issue would be to adjust the fuel consumption figure that is used in the PAYGO model to set the RUC rate. This option is summarised in </w:t>
      </w:r>
      <w:r w:rsidR="00364671">
        <w:fldChar w:fldCharType="begin"/>
      </w:r>
      <w:r w:rsidR="00364671">
        <w:instrText xml:space="preserve"> REF _Ref82165291 \r \h </w:instrText>
      </w:r>
      <w:r w:rsidR="00364671">
        <w:fldChar w:fldCharType="separate"/>
      </w:r>
      <w:r w:rsidR="00225EEA">
        <w:t>Table 14</w:t>
      </w:r>
      <w:r w:rsidR="00364671">
        <w:fldChar w:fldCharType="end"/>
      </w:r>
      <w:r w:rsidRPr="000E782E">
        <w:t>.</w:t>
      </w:r>
    </w:p>
    <w:p w14:paraId="22136BA9" w14:textId="77777777" w:rsidR="002D740D" w:rsidRPr="000E782E" w:rsidRDefault="002D740D" w:rsidP="00CD0F5B">
      <w:pPr>
        <w:pStyle w:val="BodyCopy"/>
      </w:pPr>
    </w:p>
    <w:p w14:paraId="13E5D955" w14:textId="77777777" w:rsidR="00CD0F5B" w:rsidRPr="000E782E" w:rsidRDefault="00CD0F5B" w:rsidP="00CD0F5B">
      <w:pPr>
        <w:pStyle w:val="Tabletitle"/>
      </w:pPr>
      <w:bookmarkStart w:id="242" w:name="_Ref82165291"/>
      <w:bookmarkStart w:id="243" w:name="_Toc86158553"/>
      <w:r>
        <w:lastRenderedPageBreak/>
        <w:t>Potential approaches for determining the RUC rate</w:t>
      </w:r>
      <w:bookmarkEnd w:id="242"/>
      <w:bookmarkEnd w:id="243"/>
    </w:p>
    <w:tbl>
      <w:tblPr>
        <w:tblStyle w:val="NTCtable"/>
        <w:tblW w:w="5000" w:type="pct"/>
        <w:tblLook w:val="04A0" w:firstRow="1" w:lastRow="0" w:firstColumn="1" w:lastColumn="0" w:noHBand="0" w:noVBand="1"/>
      </w:tblPr>
      <w:tblGrid>
        <w:gridCol w:w="4513"/>
        <w:gridCol w:w="4514"/>
      </w:tblGrid>
      <w:tr w:rsidR="00CD0F5B" w:rsidRPr="000E782E" w14:paraId="2D8356B6" w14:textId="77777777" w:rsidTr="00FA486A">
        <w:trPr>
          <w:cnfStyle w:val="100000000000" w:firstRow="1" w:lastRow="0" w:firstColumn="0" w:lastColumn="0" w:oddVBand="0" w:evenVBand="0" w:oddHBand="0" w:evenHBand="0" w:firstRowFirstColumn="0" w:firstRowLastColumn="0" w:lastRowFirstColumn="0" w:lastRowLastColumn="0"/>
        </w:trPr>
        <w:tc>
          <w:tcPr>
            <w:tcW w:w="2500" w:type="pct"/>
          </w:tcPr>
          <w:p w14:paraId="73CF608D" w14:textId="77777777" w:rsidR="00CD0F5B" w:rsidRPr="00C4270B" w:rsidRDefault="00CD0F5B" w:rsidP="00AB672A">
            <w:pPr>
              <w:jc w:val="center"/>
              <w:rPr>
                <w:b/>
                <w:bCs/>
                <w:sz w:val="20"/>
                <w:szCs w:val="20"/>
              </w:rPr>
            </w:pPr>
            <w:r w:rsidRPr="00C4270B">
              <w:rPr>
                <w:b/>
                <w:bCs/>
                <w:sz w:val="20"/>
                <w:szCs w:val="20"/>
              </w:rPr>
              <w:t>Current approach</w:t>
            </w:r>
          </w:p>
        </w:tc>
        <w:tc>
          <w:tcPr>
            <w:tcW w:w="2500" w:type="pct"/>
          </w:tcPr>
          <w:p w14:paraId="75B7F6C8" w14:textId="77777777" w:rsidR="00CD0F5B" w:rsidRPr="00C4270B" w:rsidRDefault="00CD0F5B" w:rsidP="00AB672A">
            <w:pPr>
              <w:jc w:val="center"/>
              <w:rPr>
                <w:b/>
                <w:bCs/>
                <w:sz w:val="20"/>
                <w:szCs w:val="20"/>
              </w:rPr>
            </w:pPr>
            <w:r w:rsidRPr="00C4270B">
              <w:rPr>
                <w:b/>
                <w:bCs/>
                <w:sz w:val="20"/>
                <w:szCs w:val="20"/>
              </w:rPr>
              <w:t>Alternative approach</w:t>
            </w:r>
          </w:p>
        </w:tc>
      </w:tr>
      <w:tr w:rsidR="00CD0F5B" w:rsidRPr="000E782E" w14:paraId="249B9762" w14:textId="77777777" w:rsidTr="00FA486A">
        <w:tc>
          <w:tcPr>
            <w:tcW w:w="2500" w:type="pct"/>
          </w:tcPr>
          <w:p w14:paraId="22A247EE" w14:textId="77777777" w:rsidR="00CD0F5B" w:rsidRPr="000E782E" w:rsidRDefault="00CD0F5B" w:rsidP="00AB672A">
            <m:oMathPara>
              <m:oMath>
                <m:r>
                  <w:rPr>
                    <w:rFonts w:ascii="Cambria Math" w:hAnsi="Cambria Math"/>
                  </w:rPr>
                  <m:t xml:space="preserve">RUC rate= </m:t>
                </m:r>
                <m:f>
                  <m:fPr>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RUC</m:t>
                        </m:r>
                      </m:sub>
                    </m:sSub>
                  </m:num>
                  <m:den>
                    <m:r>
                      <w:rPr>
                        <w:rFonts w:ascii="Cambria Math" w:hAnsi="Cambria Math"/>
                      </w:rPr>
                      <m:t>F</m:t>
                    </m:r>
                    <m:sSub>
                      <m:sSubPr>
                        <m:ctrlPr>
                          <w:rPr>
                            <w:rFonts w:ascii="Cambria Math" w:hAnsi="Cambria Math"/>
                            <w:i/>
                          </w:rPr>
                        </m:ctrlPr>
                      </m:sSubPr>
                      <m:e>
                        <m:r>
                          <w:rPr>
                            <w:rFonts w:ascii="Cambria Math" w:hAnsi="Cambria Math"/>
                          </w:rPr>
                          <m:t>U</m:t>
                        </m:r>
                      </m:e>
                      <m:sub>
                        <m:r>
                          <w:rPr>
                            <w:rFonts w:ascii="Cambria Math" w:hAnsi="Cambria Math"/>
                          </w:rPr>
                          <m:t>SMVU</m:t>
                        </m:r>
                      </m:sub>
                    </m:sSub>
                  </m:den>
                </m:f>
              </m:oMath>
            </m:oMathPara>
          </w:p>
        </w:tc>
        <w:tc>
          <w:tcPr>
            <w:tcW w:w="2500" w:type="pct"/>
          </w:tcPr>
          <w:p w14:paraId="46AE37B3" w14:textId="77777777" w:rsidR="00CD0F5B" w:rsidRPr="000E782E" w:rsidRDefault="00CD0F5B" w:rsidP="00AB672A">
            <m:oMathPara>
              <m:oMath>
                <m:r>
                  <w:rPr>
                    <w:rFonts w:ascii="Cambria Math" w:hAnsi="Cambria Math"/>
                  </w:rPr>
                  <m:t xml:space="preserve">RUC rate= </m:t>
                </m:r>
                <m:f>
                  <m:fPr>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RUC</m:t>
                        </m:r>
                      </m:sub>
                    </m:sSub>
                  </m:num>
                  <m:den>
                    <m:r>
                      <w:rPr>
                        <w:rFonts w:ascii="Cambria Math" w:hAnsi="Cambria Math"/>
                      </w:rPr>
                      <m:t>F</m:t>
                    </m:r>
                    <m:sSub>
                      <m:sSubPr>
                        <m:ctrlPr>
                          <w:rPr>
                            <w:rFonts w:ascii="Cambria Math" w:hAnsi="Cambria Math"/>
                            <w:i/>
                          </w:rPr>
                        </m:ctrlPr>
                      </m:sSubPr>
                      <m:e>
                        <m:r>
                          <w:rPr>
                            <w:rFonts w:ascii="Cambria Math" w:hAnsi="Cambria Math"/>
                          </w:rPr>
                          <m:t>U</m:t>
                        </m:r>
                      </m:e>
                      <m:sub>
                        <m:r>
                          <w:rPr>
                            <w:rFonts w:ascii="Cambria Math" w:hAnsi="Cambria Math"/>
                          </w:rPr>
                          <m:t>on-road travelling</m:t>
                        </m:r>
                      </m:sub>
                    </m:sSub>
                  </m:den>
                </m:f>
              </m:oMath>
            </m:oMathPara>
          </w:p>
        </w:tc>
      </w:tr>
    </w:tbl>
    <w:p w14:paraId="2E882043" w14:textId="027AD52B" w:rsidR="00FA486A" w:rsidRPr="00FA486A" w:rsidRDefault="00FA486A" w:rsidP="00FA486A">
      <w:pPr>
        <w:rPr>
          <w:sz w:val="18"/>
          <w:szCs w:val="18"/>
        </w:rPr>
      </w:pPr>
      <w:r w:rsidRPr="00FA486A">
        <w:rPr>
          <w:sz w:val="18"/>
          <w:szCs w:val="18"/>
        </w:rPr>
        <w:t>Where</w:t>
      </w:r>
      <w:r>
        <w:rPr>
          <w:sz w:val="18"/>
          <w:szCs w:val="18"/>
        </w:rPr>
        <w:t>:</w:t>
      </w:r>
    </w:p>
    <w:p w14:paraId="374A67C8" w14:textId="77777777" w:rsidR="00FA486A" w:rsidRPr="00FA486A" w:rsidRDefault="00FA486A" w:rsidP="00FA486A">
      <w:pPr>
        <w:rPr>
          <w:rFonts w:eastAsiaTheme="minorEastAsia"/>
          <w:sz w:val="18"/>
          <w:szCs w:val="18"/>
        </w:rPr>
      </w:pPr>
      <m:oMath>
        <m:r>
          <w:rPr>
            <w:rFonts w:ascii="Cambria Math" w:hAnsi="Cambria Math"/>
            <w:sz w:val="18"/>
            <w:szCs w:val="18"/>
          </w:rPr>
          <m:t>RUC rate</m:t>
        </m:r>
      </m:oMath>
      <w:r w:rsidRPr="00FA486A">
        <w:rPr>
          <w:rFonts w:eastAsiaTheme="minorEastAsia"/>
          <w:sz w:val="18"/>
          <w:szCs w:val="18"/>
        </w:rPr>
        <w:t xml:space="preserve"> is the RUC rate, in dollars per litre</w:t>
      </w:r>
    </w:p>
    <w:p w14:paraId="3C7C3B66" w14:textId="77777777" w:rsidR="00FA486A" w:rsidRPr="00FA486A" w:rsidRDefault="00FA486A" w:rsidP="00FA486A">
      <w:pPr>
        <w:rPr>
          <w:rFonts w:eastAsiaTheme="minorEastAsia"/>
          <w:sz w:val="18"/>
          <w:szCs w:val="18"/>
        </w:rPr>
      </w:pPr>
      <m:oMath>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RUC</m:t>
            </m:r>
          </m:sub>
        </m:sSub>
      </m:oMath>
      <w:r w:rsidRPr="00FA486A">
        <w:rPr>
          <w:rFonts w:eastAsiaTheme="minorEastAsia"/>
          <w:sz w:val="18"/>
          <w:szCs w:val="18"/>
        </w:rPr>
        <w:t xml:space="preserve"> is the target revenue to be raised from RUC, in dollars</w:t>
      </w:r>
    </w:p>
    <w:p w14:paraId="04FF866F" w14:textId="77777777" w:rsidR="00FA486A" w:rsidRPr="00FA486A" w:rsidRDefault="00FA486A" w:rsidP="00FA486A">
      <w:pPr>
        <w:rPr>
          <w:rFonts w:eastAsiaTheme="minorEastAsia"/>
          <w:sz w:val="18"/>
          <w:szCs w:val="18"/>
        </w:rPr>
      </w:pPr>
      <m:oMath>
        <m:r>
          <w:rPr>
            <w:rFonts w:ascii="Cambria Math" w:hAnsi="Cambria Math"/>
            <w:sz w:val="18"/>
            <w:szCs w:val="18"/>
          </w:rPr>
          <m:t>F</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SMVU</m:t>
            </m:r>
          </m:sub>
        </m:sSub>
      </m:oMath>
      <w:r w:rsidRPr="00FA486A">
        <w:rPr>
          <w:rFonts w:eastAsiaTheme="minorEastAsia"/>
          <w:sz w:val="18"/>
          <w:szCs w:val="18"/>
        </w:rPr>
        <w:t xml:space="preserve"> is the fuel usage data from the SMVU, in litres</w:t>
      </w:r>
    </w:p>
    <w:p w14:paraId="49E466D5" w14:textId="6AA0A39C" w:rsidR="00FA486A" w:rsidRPr="00FA486A" w:rsidRDefault="00FA486A" w:rsidP="00FA486A">
      <w:pPr>
        <w:rPr>
          <w:sz w:val="18"/>
          <w:szCs w:val="18"/>
        </w:rPr>
      </w:pPr>
      <m:oMath>
        <m:r>
          <w:rPr>
            <w:rFonts w:ascii="Cambria Math" w:hAnsi="Cambria Math"/>
            <w:sz w:val="18"/>
            <w:szCs w:val="18"/>
          </w:rPr>
          <m:t>F</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on-road travelling</m:t>
            </m:r>
          </m:sub>
        </m:sSub>
      </m:oMath>
      <w:r w:rsidRPr="00FA486A">
        <w:rPr>
          <w:rFonts w:eastAsiaTheme="minorEastAsia"/>
          <w:sz w:val="18"/>
          <w:szCs w:val="18"/>
        </w:rPr>
        <w:t xml:space="preserve"> is fuel usage data reflecting only fuel that is used for on-road travelling (i.e. excluding fuel used for auxiliary equipment), in litres.</w:t>
      </w:r>
    </w:p>
    <w:p w14:paraId="374ADE70" w14:textId="596B18A2" w:rsidR="00CD0F5B" w:rsidRPr="000E782E" w:rsidRDefault="00CD0F5B" w:rsidP="00CD0F5B">
      <w:pPr>
        <w:pStyle w:val="BodyCopy"/>
      </w:pPr>
      <w:r w:rsidRPr="000E782E">
        <w:t xml:space="preserve">Setting the RUC rate on the basis of the alternative </w:t>
      </w:r>
      <w:r>
        <w:t>approach</w:t>
      </w:r>
      <w:r w:rsidRPr="000E782E">
        <w:t xml:space="preserve"> would ensure the intended amount of revenue (</w:t>
      </w:r>
      <m:oMath>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RUC</m:t>
            </m:r>
          </m:sub>
        </m:sSub>
      </m:oMath>
      <w:r w:rsidRPr="000E782E">
        <w:rPr>
          <w:rFonts w:eastAsiaTheme="minorEastAsia"/>
        </w:rPr>
        <w:t xml:space="preserve">) </w:t>
      </w:r>
      <w:r w:rsidRPr="000E782E">
        <w:t>is collected, since the denominator used to set the RUC rate is also the total amount of fuel that is actually subject to the RUC. The primary challenge in implementing this approach is the quality of data. This is for the following, non-exhaustive, list of reasons:</w:t>
      </w:r>
    </w:p>
    <w:p w14:paraId="4E4448D3" w14:textId="77777777" w:rsidR="00CD0F5B" w:rsidRPr="000E782E" w:rsidRDefault="00CD0F5B" w:rsidP="00CD0F5B">
      <w:pPr>
        <w:pStyle w:val="List-bulletlvl1"/>
      </w:pPr>
      <w:r w:rsidRPr="000E782E">
        <w:t>Although the SMVU is the best, and only, source of data available for estimating the total amount of fuel consumed and distances travelled by various types of heavy vehicles, the data becomes increasingly unreliable at greater levels of disaggregation.</w:t>
      </w:r>
    </w:p>
    <w:p w14:paraId="2CAAB433" w14:textId="68569195" w:rsidR="00CD0F5B" w:rsidRPr="000E782E" w:rsidRDefault="00CD0F5B" w:rsidP="00CD0F5B">
      <w:pPr>
        <w:pStyle w:val="List-bulletlvl1"/>
      </w:pPr>
      <w:r w:rsidRPr="000E782E">
        <w:t>The types of auxiliary equipment subject to RUC exemptions may evolve over time, meaning any such calculations may need to be updated</w:t>
      </w:r>
      <w:r w:rsidR="007252CF" w:rsidRPr="007252CF">
        <w:t xml:space="preserve"> </w:t>
      </w:r>
      <w:r w:rsidR="007252CF" w:rsidRPr="000E782E">
        <w:t>regular</w:t>
      </w:r>
      <w:r w:rsidR="007252CF">
        <w:t>ly</w:t>
      </w:r>
      <w:r w:rsidRPr="000E782E">
        <w:t>.</w:t>
      </w:r>
    </w:p>
    <w:p w14:paraId="2BCFD16F" w14:textId="77777777" w:rsidR="00CD0F5B" w:rsidRPr="000E782E" w:rsidRDefault="00CD0F5B" w:rsidP="00CD0F5B">
      <w:pPr>
        <w:pStyle w:val="List-bulletlvl1"/>
      </w:pPr>
      <w:r w:rsidRPr="000E782E">
        <w:t>The ‘fair and reasonable’ percentages that the ATO allows for each type of auxiliary equipment may change over time.</w:t>
      </w:r>
    </w:p>
    <w:p w14:paraId="5EA25F0C" w14:textId="77777777" w:rsidR="00CD0F5B" w:rsidRPr="000E782E" w:rsidRDefault="00CD0F5B" w:rsidP="00CD0F5B">
      <w:pPr>
        <w:pStyle w:val="List-bulletlvl1"/>
      </w:pPr>
      <w:r w:rsidRPr="000E782E">
        <w:t xml:space="preserve">Use of the ATO’s ‘fair and reasonable’ percentages is not mandatory for operators, and it is not clear what proportion of claimants use their own methodology instead of relying on the ‘fair and reasonable’ percentages. </w:t>
      </w:r>
    </w:p>
    <w:p w14:paraId="16253364" w14:textId="77777777" w:rsidR="00CD0F5B" w:rsidRDefault="00CD0F5B" w:rsidP="00CD0F5B">
      <w:pPr>
        <w:pStyle w:val="List-bulletlvl2"/>
      </w:pPr>
      <w:r w:rsidRPr="000E782E">
        <w:t>For example, an operator could conduct its own testing and may find that its refrigeration unit uses 20 per cent of the total amount of fuel, rather than the 10 per cent ‘fair and reasonable’ percentage quoted by the ATO. If based on test results or some other approved methodology, this would be permitted by the ATO. However, it would also mean that the denominator on the right-hand side would not reflect the actual amount of fuel subject to the RUC (if the RUC rate was calculated by assuming everyone uses the ‘fair and reasonable’ percentages). As a result, the total RUC revenue collected would be lower than intended.</w:t>
      </w:r>
    </w:p>
    <w:p w14:paraId="2C31499D" w14:textId="77777777" w:rsidR="00CD0F5B" w:rsidRDefault="00CD0F5B" w:rsidP="00CD0F5B">
      <w:pPr>
        <w:pStyle w:val="List-bulletlvl1"/>
      </w:pPr>
      <w:r w:rsidRPr="000E782E">
        <w:t>The availability of the necessary registration data to conduct these calculations varies across jurisdictions. Registration data is needed at a finer level of detail than the NTC’s typical quarterly registration data collection, in order to calculate how many concrete trucks, rubbish trucks, refrigerated trailers, etc. are operating. Assumptions may therefore be required if the relevant data is not available for any jurisdictions.</w:t>
      </w:r>
    </w:p>
    <w:p w14:paraId="79E1CE0B" w14:textId="77777777" w:rsidR="00CD0F5B" w:rsidRPr="000E782E" w:rsidRDefault="00CD0F5B" w:rsidP="00CD0F5B">
      <w:pPr>
        <w:pStyle w:val="BodyCopy"/>
      </w:pPr>
      <w:r w:rsidRPr="000E782E">
        <w:t>As a result, any amended RUC rate that was calculated based only on information available from the SMVU and from jurisdictions’ registration databases would be likely subject to some degree of inaccuracy. Other potential options to try to resolve this issue are:</w:t>
      </w:r>
    </w:p>
    <w:p w14:paraId="66AA7D2C" w14:textId="59CF3340" w:rsidR="00CD0F5B" w:rsidRPr="000E782E" w:rsidRDefault="00FA486A" w:rsidP="00CD0F5B">
      <w:pPr>
        <w:pStyle w:val="List-bulletlvl1"/>
      </w:pPr>
      <w:r>
        <w:t>s</w:t>
      </w:r>
      <w:r w:rsidR="00CD0F5B" w:rsidRPr="000E782E">
        <w:t>eek</w:t>
      </w:r>
      <w:r w:rsidR="0060494E">
        <w:t>ing</w:t>
      </w:r>
      <w:r w:rsidR="00CD0F5B" w:rsidRPr="000E782E">
        <w:t xml:space="preserve"> detailed data on auxiliary equipment fuel use from operators (potentially based on a sample of some of the largest operators)</w:t>
      </w:r>
    </w:p>
    <w:p w14:paraId="3590E085" w14:textId="15241C17" w:rsidR="00CD0F5B" w:rsidRPr="000E782E" w:rsidRDefault="00FA486A" w:rsidP="00CD0F5B">
      <w:pPr>
        <w:pStyle w:val="List-bulletlvl1"/>
      </w:pPr>
      <w:r>
        <w:t>c</w:t>
      </w:r>
      <w:r w:rsidR="00CD0F5B" w:rsidRPr="000E782E">
        <w:t>hang</w:t>
      </w:r>
      <w:r w:rsidR="0060494E">
        <w:t>ing</w:t>
      </w:r>
      <w:r w:rsidR="00CD0F5B" w:rsidRPr="000E782E">
        <w:t xml:space="preserve"> </w:t>
      </w:r>
      <w:r>
        <w:t xml:space="preserve">the </w:t>
      </w:r>
      <w:r w:rsidR="00CD0F5B" w:rsidRPr="000E782E">
        <w:t xml:space="preserve">wording of </w:t>
      </w:r>
      <w:r>
        <w:t xml:space="preserve">the </w:t>
      </w:r>
      <w:r w:rsidR="00CD0F5B" w:rsidRPr="00CD6B04">
        <w:rPr>
          <w:iCs/>
        </w:rPr>
        <w:t>Fuel Tax Act</w:t>
      </w:r>
      <w:r w:rsidR="00CD0F5B" w:rsidRPr="005F529B">
        <w:rPr>
          <w:i/>
        </w:rPr>
        <w:t xml:space="preserve"> </w:t>
      </w:r>
      <w:r w:rsidR="00CD0F5B" w:rsidRPr="000E782E">
        <w:t>to make all fuel used on public roads subject to RUC (even if used for auxiliary equipment)</w:t>
      </w:r>
    </w:p>
    <w:p w14:paraId="12021880" w14:textId="7B72AE7A" w:rsidR="00CD0F5B" w:rsidRDefault="00FA486A" w:rsidP="00CD0F5B">
      <w:pPr>
        <w:pStyle w:val="List-bulletlvl1"/>
      </w:pPr>
      <w:r>
        <w:lastRenderedPageBreak/>
        <w:t>s</w:t>
      </w:r>
      <w:r w:rsidR="00CD0F5B" w:rsidRPr="000E782E">
        <w:t>witch</w:t>
      </w:r>
      <w:r w:rsidR="0060494E">
        <w:t>ing</w:t>
      </w:r>
      <w:r w:rsidR="00CD0F5B" w:rsidRPr="000E782E">
        <w:t xml:space="preserve"> to an alternative variable charging mechanism for heavy vehicles, such as a form of distance-based charging.</w:t>
      </w:r>
    </w:p>
    <w:p w14:paraId="7572933B" w14:textId="77777777" w:rsidR="00CD0F5B" w:rsidRPr="000E782E" w:rsidRDefault="00CD0F5B" w:rsidP="00CD0F5B">
      <w:pPr>
        <w:pStyle w:val="Heading3"/>
        <w:rPr>
          <w:rFonts w:eastAsiaTheme="majorEastAsia"/>
        </w:rPr>
      </w:pPr>
      <w:bookmarkStart w:id="244" w:name="_Toc86158449"/>
      <w:r>
        <w:rPr>
          <w:rFonts w:eastAsiaTheme="majorEastAsia"/>
        </w:rPr>
        <w:t>Approache</w:t>
      </w:r>
      <w:r w:rsidRPr="000E782E">
        <w:rPr>
          <w:rFonts w:eastAsiaTheme="majorEastAsia"/>
        </w:rPr>
        <w:t xml:space="preserve">s and advantages and disadvantages for RUC </w:t>
      </w:r>
      <w:r>
        <w:rPr>
          <w:rFonts w:eastAsiaTheme="majorEastAsia"/>
        </w:rPr>
        <w:t>leakage</w:t>
      </w:r>
      <w:r w:rsidRPr="000E782E">
        <w:rPr>
          <w:rFonts w:eastAsiaTheme="majorEastAsia"/>
        </w:rPr>
        <w:t>s</w:t>
      </w:r>
      <w:bookmarkEnd w:id="244"/>
    </w:p>
    <w:p w14:paraId="47872922" w14:textId="678DBC9D" w:rsidR="00CD0F5B" w:rsidRPr="000E782E" w:rsidRDefault="00CD0F5B" w:rsidP="00CD0F5B">
      <w:pPr>
        <w:pStyle w:val="BodyCopy"/>
      </w:pPr>
      <w:r w:rsidRPr="000E782E">
        <w:t xml:space="preserve">The </w:t>
      </w:r>
      <w:r>
        <w:t>approache</w:t>
      </w:r>
      <w:r w:rsidRPr="000E782E">
        <w:t xml:space="preserve">s and associated advantages and disadvantages we have identified in our preliminary analysis are outlined </w:t>
      </w:r>
      <w:r>
        <w:t xml:space="preserve">in </w:t>
      </w:r>
      <w:r w:rsidR="009D508E">
        <w:fldChar w:fldCharType="begin"/>
      </w:r>
      <w:r w:rsidR="009D508E">
        <w:instrText xml:space="preserve"> REF _Ref82165037 \r \h </w:instrText>
      </w:r>
      <w:r w:rsidR="009D508E">
        <w:fldChar w:fldCharType="separate"/>
      </w:r>
      <w:r w:rsidR="00225EEA">
        <w:t>Table 15</w:t>
      </w:r>
      <w:r w:rsidR="009D508E">
        <w:fldChar w:fldCharType="end"/>
      </w:r>
      <w:r w:rsidRPr="000E782E">
        <w:t>.</w:t>
      </w:r>
    </w:p>
    <w:p w14:paraId="2741CA01" w14:textId="77777777" w:rsidR="00CD0F5B" w:rsidRPr="000E782E" w:rsidRDefault="00CD0F5B" w:rsidP="00CD0F5B">
      <w:pPr>
        <w:pStyle w:val="Tabletitle"/>
      </w:pPr>
      <w:bookmarkStart w:id="245" w:name="_Ref82165037"/>
      <w:bookmarkStart w:id="246" w:name="_Ref82165064"/>
      <w:bookmarkStart w:id="247" w:name="_Ref82502990"/>
      <w:bookmarkStart w:id="248" w:name="_Toc86158554"/>
      <w:r>
        <w:t>Assessment of potential approaches for treating RUC leakages</w:t>
      </w:r>
      <w:bookmarkEnd w:id="245"/>
      <w:bookmarkEnd w:id="246"/>
      <w:bookmarkEnd w:id="247"/>
      <w:bookmarkEnd w:id="248"/>
    </w:p>
    <w:tbl>
      <w:tblPr>
        <w:tblStyle w:val="NTCtable"/>
        <w:tblW w:w="5184" w:type="pct"/>
        <w:tblLook w:val="04A0" w:firstRow="1" w:lastRow="0" w:firstColumn="1" w:lastColumn="0" w:noHBand="0" w:noVBand="1"/>
      </w:tblPr>
      <w:tblGrid>
        <w:gridCol w:w="2340"/>
        <w:gridCol w:w="3060"/>
        <w:gridCol w:w="3959"/>
      </w:tblGrid>
      <w:tr w:rsidR="00CD0F5B" w:rsidRPr="000E782E" w14:paraId="32B5A3C2" w14:textId="77777777" w:rsidTr="00FA486A">
        <w:trPr>
          <w:cnfStyle w:val="100000000000" w:firstRow="1" w:lastRow="0" w:firstColumn="0" w:lastColumn="0" w:oddVBand="0" w:evenVBand="0" w:oddHBand="0" w:evenHBand="0" w:firstRowFirstColumn="0" w:firstRowLastColumn="0" w:lastRowFirstColumn="0" w:lastRowLastColumn="0"/>
          <w:tblHeader/>
        </w:trPr>
        <w:tc>
          <w:tcPr>
            <w:tcW w:w="1250" w:type="pct"/>
          </w:tcPr>
          <w:p w14:paraId="21EF5B3C" w14:textId="77777777" w:rsidR="00CD0F5B" w:rsidRPr="00C4270B" w:rsidRDefault="00CD0F5B" w:rsidP="00AB672A">
            <w:pPr>
              <w:rPr>
                <w:b/>
                <w:sz w:val="20"/>
                <w:szCs w:val="20"/>
              </w:rPr>
            </w:pPr>
            <w:r w:rsidRPr="00C4270B">
              <w:rPr>
                <w:b/>
                <w:bCs/>
                <w:sz w:val="20"/>
                <w:szCs w:val="20"/>
              </w:rPr>
              <w:t>Approach</w:t>
            </w:r>
          </w:p>
        </w:tc>
        <w:tc>
          <w:tcPr>
            <w:tcW w:w="1635" w:type="pct"/>
          </w:tcPr>
          <w:p w14:paraId="768BE296" w14:textId="77777777" w:rsidR="00CD0F5B" w:rsidRPr="00C4270B" w:rsidRDefault="00CD0F5B" w:rsidP="00AB672A">
            <w:pPr>
              <w:rPr>
                <w:b/>
                <w:sz w:val="20"/>
                <w:szCs w:val="20"/>
              </w:rPr>
            </w:pPr>
            <w:r w:rsidRPr="00C4270B">
              <w:rPr>
                <w:b/>
                <w:bCs/>
                <w:sz w:val="20"/>
                <w:szCs w:val="20"/>
              </w:rPr>
              <w:t>Advantages</w:t>
            </w:r>
          </w:p>
        </w:tc>
        <w:tc>
          <w:tcPr>
            <w:tcW w:w="2115" w:type="pct"/>
          </w:tcPr>
          <w:p w14:paraId="6F8093DE" w14:textId="77777777" w:rsidR="00CD0F5B" w:rsidRPr="00C4270B" w:rsidRDefault="00CD0F5B" w:rsidP="00AB672A">
            <w:pPr>
              <w:rPr>
                <w:b/>
                <w:sz w:val="20"/>
                <w:szCs w:val="20"/>
              </w:rPr>
            </w:pPr>
            <w:r w:rsidRPr="00C4270B">
              <w:rPr>
                <w:b/>
                <w:bCs/>
                <w:sz w:val="20"/>
                <w:szCs w:val="20"/>
              </w:rPr>
              <w:t>Disadvantages</w:t>
            </w:r>
          </w:p>
        </w:tc>
      </w:tr>
      <w:tr w:rsidR="00CD0F5B" w:rsidRPr="000E782E" w14:paraId="39F59715" w14:textId="77777777" w:rsidTr="00FA486A">
        <w:tc>
          <w:tcPr>
            <w:tcW w:w="1250" w:type="pct"/>
          </w:tcPr>
          <w:p w14:paraId="7D5829E8" w14:textId="6C350FC3" w:rsidR="00CD0F5B" w:rsidRPr="00C4270B" w:rsidRDefault="00CD0F5B" w:rsidP="00AB672A">
            <w:pPr>
              <w:rPr>
                <w:sz w:val="20"/>
                <w:szCs w:val="20"/>
              </w:rPr>
            </w:pPr>
            <w:r w:rsidRPr="00C4270B">
              <w:rPr>
                <w:sz w:val="20"/>
                <w:szCs w:val="20"/>
              </w:rPr>
              <w:t>1. Status quo (retain fuel consumption estimate from SMVU for calculating the RUC rate)</w:t>
            </w:r>
          </w:p>
        </w:tc>
        <w:tc>
          <w:tcPr>
            <w:tcW w:w="1635" w:type="pct"/>
          </w:tcPr>
          <w:p w14:paraId="3A4CA0B8" w14:textId="53AAA3CC" w:rsidR="00CD0F5B" w:rsidRPr="00C4270B" w:rsidRDefault="00CD0F5B" w:rsidP="00AB672A">
            <w:pPr>
              <w:pStyle w:val="List-bulletlvl1"/>
              <w:ind w:left="284" w:hanging="284"/>
              <w:rPr>
                <w:sz w:val="20"/>
                <w:szCs w:val="20"/>
              </w:rPr>
            </w:pPr>
            <w:r w:rsidRPr="00C4270B">
              <w:rPr>
                <w:sz w:val="20"/>
                <w:szCs w:val="20"/>
              </w:rPr>
              <w:t>Simple approach</w:t>
            </w:r>
            <w:r w:rsidR="00400145">
              <w:rPr>
                <w:sz w:val="20"/>
                <w:szCs w:val="20"/>
              </w:rPr>
              <w:t xml:space="preserve"> that</w:t>
            </w:r>
            <w:r w:rsidRPr="00C4270B">
              <w:rPr>
                <w:sz w:val="20"/>
                <w:szCs w:val="20"/>
              </w:rPr>
              <w:t xml:space="preserve"> does not require any additional estimates or assumptions.</w:t>
            </w:r>
          </w:p>
          <w:p w14:paraId="28BE7B00" w14:textId="77777777" w:rsidR="00CD0F5B" w:rsidRPr="00C4270B" w:rsidRDefault="00CD0F5B" w:rsidP="00AB672A">
            <w:pPr>
              <w:pStyle w:val="List-bulletlvl1"/>
              <w:ind w:left="284" w:hanging="284"/>
              <w:rPr>
                <w:sz w:val="20"/>
                <w:szCs w:val="20"/>
              </w:rPr>
            </w:pPr>
            <w:r w:rsidRPr="00C4270B">
              <w:rPr>
                <w:sz w:val="20"/>
                <w:szCs w:val="20"/>
              </w:rPr>
              <w:t>Operators who do not currently benefit from the RUC exemptions are not impacted negatively by any potential policy change that could occur under the other options.</w:t>
            </w:r>
          </w:p>
        </w:tc>
        <w:tc>
          <w:tcPr>
            <w:tcW w:w="2115" w:type="pct"/>
          </w:tcPr>
          <w:p w14:paraId="2E8185C5" w14:textId="5BB7D926" w:rsidR="00CD0F5B" w:rsidRPr="00C4270B" w:rsidRDefault="00CD0F5B" w:rsidP="00AB672A">
            <w:pPr>
              <w:pStyle w:val="List-bulletlvl1"/>
              <w:ind w:left="284" w:hanging="284"/>
              <w:rPr>
                <w:sz w:val="20"/>
                <w:szCs w:val="20"/>
              </w:rPr>
            </w:pPr>
            <w:r w:rsidRPr="00C4270B">
              <w:rPr>
                <w:sz w:val="20"/>
                <w:szCs w:val="20"/>
              </w:rPr>
              <w:t xml:space="preserve">RUC revenue collected fails to achieve </w:t>
            </w:r>
            <w:r w:rsidR="00FA486A">
              <w:rPr>
                <w:sz w:val="20"/>
                <w:szCs w:val="20"/>
              </w:rPr>
              <w:t xml:space="preserve">the </w:t>
            </w:r>
            <w:r w:rsidRPr="00C4270B">
              <w:rPr>
                <w:sz w:val="20"/>
                <w:szCs w:val="20"/>
              </w:rPr>
              <w:t>cost recovery intended under PAYGO</w:t>
            </w:r>
            <w:r w:rsidR="00FA486A">
              <w:rPr>
                <w:sz w:val="20"/>
                <w:szCs w:val="20"/>
              </w:rPr>
              <w:t xml:space="preserve"> because</w:t>
            </w:r>
            <w:r w:rsidRPr="00C4270B">
              <w:rPr>
                <w:sz w:val="20"/>
                <w:szCs w:val="20"/>
              </w:rPr>
              <w:t xml:space="preserve"> the amount of fuel subject to the RUC is lower than the amount assumed for modelling purposes.</w:t>
            </w:r>
          </w:p>
        </w:tc>
      </w:tr>
      <w:tr w:rsidR="00CD0F5B" w:rsidRPr="000E782E" w14:paraId="2DD56DEE" w14:textId="77777777" w:rsidTr="00FA486A">
        <w:tc>
          <w:tcPr>
            <w:tcW w:w="1250" w:type="pct"/>
          </w:tcPr>
          <w:p w14:paraId="1DB1C32B" w14:textId="359415F7" w:rsidR="00CD0F5B" w:rsidRPr="00C4270B" w:rsidRDefault="00CD0F5B" w:rsidP="00AB672A">
            <w:pPr>
              <w:rPr>
                <w:sz w:val="20"/>
                <w:szCs w:val="20"/>
              </w:rPr>
            </w:pPr>
            <w:r w:rsidRPr="00C4270B">
              <w:rPr>
                <w:sz w:val="20"/>
                <w:szCs w:val="20"/>
              </w:rPr>
              <w:t>2. Use best estimate of RUC exemptions/</w:t>
            </w:r>
            <w:r w:rsidR="00FA486A">
              <w:rPr>
                <w:sz w:val="20"/>
                <w:szCs w:val="20"/>
              </w:rPr>
              <w:t xml:space="preserve"> </w:t>
            </w:r>
            <w:r w:rsidRPr="00C4270B">
              <w:rPr>
                <w:sz w:val="20"/>
                <w:szCs w:val="20"/>
              </w:rPr>
              <w:t>leakages</w:t>
            </w:r>
            <w:r w:rsidR="00B25452" w:rsidRPr="00C4270B">
              <w:rPr>
                <w:sz w:val="20"/>
                <w:szCs w:val="20"/>
              </w:rPr>
              <w:t xml:space="preserve"> – </w:t>
            </w:r>
            <w:r w:rsidR="00D2718C">
              <w:rPr>
                <w:sz w:val="20"/>
                <w:szCs w:val="20"/>
              </w:rPr>
              <w:t>derived from</w:t>
            </w:r>
            <w:r w:rsidRPr="00C4270B">
              <w:rPr>
                <w:sz w:val="20"/>
                <w:szCs w:val="20"/>
              </w:rPr>
              <w:t xml:space="preserve"> jurisdictions’ detailed registration data and the SMVU</w:t>
            </w:r>
            <w:r w:rsidR="00B25452" w:rsidRPr="00C4270B">
              <w:rPr>
                <w:sz w:val="20"/>
                <w:szCs w:val="20"/>
              </w:rPr>
              <w:t xml:space="preserve"> – </w:t>
            </w:r>
            <w:r w:rsidRPr="00C4270B">
              <w:rPr>
                <w:sz w:val="20"/>
                <w:szCs w:val="20"/>
              </w:rPr>
              <w:t>to recalculate RUC rate based on the fuel that is actually subject to RUC</w:t>
            </w:r>
          </w:p>
          <w:p w14:paraId="4799077C" w14:textId="2F319635" w:rsidR="00CD0F5B" w:rsidRPr="00C4270B" w:rsidRDefault="00CD0F5B" w:rsidP="00AB672A">
            <w:pPr>
              <w:rPr>
                <w:sz w:val="20"/>
                <w:szCs w:val="20"/>
              </w:rPr>
            </w:pPr>
            <w:r w:rsidRPr="00C4270B">
              <w:rPr>
                <w:sz w:val="20"/>
                <w:szCs w:val="20"/>
              </w:rPr>
              <w:t>This would likely involve a conservative approach using ATO ‘fair and reasonable’ standard exemption rates</w:t>
            </w:r>
          </w:p>
        </w:tc>
        <w:tc>
          <w:tcPr>
            <w:tcW w:w="1635" w:type="pct"/>
          </w:tcPr>
          <w:p w14:paraId="54C10918" w14:textId="77777777" w:rsidR="00CD0F5B" w:rsidRPr="00C4270B" w:rsidRDefault="00CD0F5B" w:rsidP="00AB672A">
            <w:pPr>
              <w:pStyle w:val="List-bulletlvl1"/>
              <w:ind w:left="284" w:hanging="284"/>
              <w:rPr>
                <w:sz w:val="20"/>
                <w:szCs w:val="20"/>
              </w:rPr>
            </w:pPr>
            <w:r w:rsidRPr="00C4270B">
              <w:rPr>
                <w:sz w:val="20"/>
                <w:szCs w:val="20"/>
              </w:rPr>
              <w:t xml:space="preserve">The amount of RUC revenue recovered would be closer to the intended target than under the status quo. </w:t>
            </w:r>
          </w:p>
          <w:p w14:paraId="0C86D0E3" w14:textId="16AD8FD4" w:rsidR="00CD0F5B" w:rsidRPr="00C4270B" w:rsidRDefault="00CD0F5B" w:rsidP="00AB672A">
            <w:pPr>
              <w:pStyle w:val="List-bulletlvl1"/>
              <w:ind w:left="284" w:hanging="284"/>
              <w:rPr>
                <w:sz w:val="20"/>
                <w:szCs w:val="20"/>
              </w:rPr>
            </w:pPr>
            <w:r w:rsidRPr="00C4270B">
              <w:rPr>
                <w:sz w:val="20"/>
                <w:szCs w:val="20"/>
              </w:rPr>
              <w:t>Using the ATO ‘fair and reasonable’ exemption rates is a conservative estimate</w:t>
            </w:r>
            <w:r w:rsidR="00FA486A">
              <w:rPr>
                <w:sz w:val="20"/>
                <w:szCs w:val="20"/>
              </w:rPr>
              <w:t>,</w:t>
            </w:r>
            <w:r w:rsidRPr="00C4270B">
              <w:rPr>
                <w:sz w:val="20"/>
                <w:szCs w:val="20"/>
              </w:rPr>
              <w:t xml:space="preserve"> which would reduce the risk of over-recovering the heavy vehicle cost base. </w:t>
            </w:r>
          </w:p>
        </w:tc>
        <w:tc>
          <w:tcPr>
            <w:tcW w:w="2115" w:type="pct"/>
          </w:tcPr>
          <w:p w14:paraId="2B084EE9" w14:textId="52AEB2F2" w:rsidR="00CD0F5B" w:rsidRPr="00C4270B" w:rsidRDefault="00CD0F5B" w:rsidP="00AB672A">
            <w:pPr>
              <w:pStyle w:val="List-bulletlvl1"/>
              <w:ind w:left="284" w:hanging="284"/>
              <w:rPr>
                <w:sz w:val="20"/>
                <w:szCs w:val="20"/>
              </w:rPr>
            </w:pPr>
            <w:r w:rsidRPr="00C4270B">
              <w:rPr>
                <w:sz w:val="20"/>
                <w:szCs w:val="20"/>
              </w:rPr>
              <w:t>Data availability to calculate fuel used by auxiliary equipment is imperfect (as outlined in the previous section). There could be some risk of inaccuracies being introduced because of poor</w:t>
            </w:r>
            <w:r w:rsidR="00FA486A">
              <w:rPr>
                <w:sz w:val="20"/>
                <w:szCs w:val="20"/>
              </w:rPr>
              <w:t>-</w:t>
            </w:r>
            <w:r w:rsidRPr="00C4270B">
              <w:rPr>
                <w:sz w:val="20"/>
                <w:szCs w:val="20"/>
              </w:rPr>
              <w:t>quality data or the need to use assumptions.</w:t>
            </w:r>
          </w:p>
          <w:p w14:paraId="78C80E31" w14:textId="77777777" w:rsidR="00CD0F5B" w:rsidRPr="00C4270B" w:rsidRDefault="00CD0F5B" w:rsidP="00AB672A">
            <w:pPr>
              <w:pStyle w:val="List-bulletlvl1"/>
              <w:ind w:left="284" w:hanging="284"/>
              <w:rPr>
                <w:sz w:val="20"/>
                <w:szCs w:val="20"/>
              </w:rPr>
            </w:pPr>
            <w:r w:rsidRPr="00C4270B">
              <w:rPr>
                <w:sz w:val="20"/>
                <w:szCs w:val="20"/>
              </w:rPr>
              <w:t>Adopting this option would likely mean a rise in the general RUC rate, particularly affecting the large number of operators who do not use auxiliary equipment and benefit from the exemptions.</w:t>
            </w:r>
          </w:p>
        </w:tc>
      </w:tr>
      <w:tr w:rsidR="00CD0F5B" w:rsidRPr="000E782E" w14:paraId="1DE0FC69" w14:textId="77777777" w:rsidTr="00FA486A">
        <w:tc>
          <w:tcPr>
            <w:tcW w:w="1250" w:type="pct"/>
          </w:tcPr>
          <w:p w14:paraId="6FE70E50" w14:textId="29B27715" w:rsidR="00CD0F5B" w:rsidRPr="00C4270B" w:rsidRDefault="00CD0F5B" w:rsidP="00AB672A">
            <w:pPr>
              <w:rPr>
                <w:sz w:val="20"/>
                <w:szCs w:val="20"/>
              </w:rPr>
            </w:pPr>
            <w:r w:rsidRPr="00C4270B">
              <w:rPr>
                <w:sz w:val="20"/>
                <w:szCs w:val="20"/>
              </w:rPr>
              <w:t>3. Seek detailed data on auxiliary equipment fuel use from operators (potentially based on a sample of some of the largest operators)</w:t>
            </w:r>
          </w:p>
        </w:tc>
        <w:tc>
          <w:tcPr>
            <w:tcW w:w="1635" w:type="pct"/>
          </w:tcPr>
          <w:p w14:paraId="0E1CFE83" w14:textId="0A75B75B" w:rsidR="00CD0F5B" w:rsidRPr="00C4270B" w:rsidRDefault="00CD0F5B" w:rsidP="00AB672A">
            <w:pPr>
              <w:pStyle w:val="List-bulletlvl1"/>
              <w:ind w:left="284" w:hanging="284"/>
              <w:rPr>
                <w:sz w:val="20"/>
                <w:szCs w:val="20"/>
              </w:rPr>
            </w:pPr>
            <w:r w:rsidRPr="00C4270B">
              <w:rPr>
                <w:sz w:val="20"/>
                <w:szCs w:val="20"/>
              </w:rPr>
              <w:t xml:space="preserve">This option would potentially significantly improve the accuracy of the estimated amount of fuel subject to RUC exemptions (relative to </w:t>
            </w:r>
            <w:r w:rsidR="00C24A7E" w:rsidRPr="00C4270B">
              <w:rPr>
                <w:sz w:val="20"/>
                <w:szCs w:val="20"/>
              </w:rPr>
              <w:t>o</w:t>
            </w:r>
            <w:r w:rsidRPr="00C4270B">
              <w:rPr>
                <w:sz w:val="20"/>
                <w:szCs w:val="20"/>
              </w:rPr>
              <w:t>ption 2).</w:t>
            </w:r>
          </w:p>
        </w:tc>
        <w:tc>
          <w:tcPr>
            <w:tcW w:w="2115" w:type="pct"/>
          </w:tcPr>
          <w:p w14:paraId="095CAD5A" w14:textId="14551811" w:rsidR="00CD0F5B" w:rsidRPr="00C4270B" w:rsidRDefault="00CD0F5B" w:rsidP="00AB672A">
            <w:pPr>
              <w:pStyle w:val="List-bulletlvl1"/>
              <w:ind w:left="284" w:hanging="284"/>
              <w:rPr>
                <w:sz w:val="20"/>
                <w:szCs w:val="20"/>
              </w:rPr>
            </w:pPr>
            <w:r w:rsidRPr="00C4270B">
              <w:rPr>
                <w:sz w:val="20"/>
                <w:szCs w:val="20"/>
              </w:rPr>
              <w:t>The data would either need to be provided by operators on a voluntary basis, or included in a possible alternative to the SMVU (as explored in section</w:t>
            </w:r>
            <w:r w:rsidR="00311E59">
              <w:rPr>
                <w:sz w:val="20"/>
                <w:szCs w:val="20"/>
              </w:rPr>
              <w:t xml:space="preserve"> </w:t>
            </w:r>
            <w:r w:rsidR="00311E59">
              <w:rPr>
                <w:sz w:val="20"/>
                <w:szCs w:val="20"/>
              </w:rPr>
              <w:fldChar w:fldCharType="begin"/>
            </w:r>
            <w:r w:rsidR="00311E59">
              <w:rPr>
                <w:sz w:val="20"/>
                <w:szCs w:val="20"/>
              </w:rPr>
              <w:instrText xml:space="preserve"> REF _Ref64880998 \r \h </w:instrText>
            </w:r>
            <w:r w:rsidR="00311E59">
              <w:rPr>
                <w:sz w:val="20"/>
                <w:szCs w:val="20"/>
              </w:rPr>
            </w:r>
            <w:r w:rsidR="00311E59">
              <w:rPr>
                <w:sz w:val="20"/>
                <w:szCs w:val="20"/>
              </w:rPr>
              <w:fldChar w:fldCharType="separate"/>
            </w:r>
            <w:r w:rsidR="00225EEA">
              <w:rPr>
                <w:sz w:val="20"/>
                <w:szCs w:val="20"/>
              </w:rPr>
              <w:t>4.5</w:t>
            </w:r>
            <w:r w:rsidR="00311E59">
              <w:rPr>
                <w:sz w:val="20"/>
                <w:szCs w:val="20"/>
              </w:rPr>
              <w:fldChar w:fldCharType="end"/>
            </w:r>
            <w:r w:rsidR="00311E59">
              <w:rPr>
                <w:sz w:val="20"/>
                <w:szCs w:val="20"/>
              </w:rPr>
              <w:t>)</w:t>
            </w:r>
            <w:r w:rsidRPr="00C4270B">
              <w:rPr>
                <w:sz w:val="20"/>
                <w:szCs w:val="20"/>
              </w:rPr>
              <w:t xml:space="preserve">. </w:t>
            </w:r>
          </w:p>
          <w:p w14:paraId="43730D4B" w14:textId="41B9CCDD" w:rsidR="00CD0F5B" w:rsidRPr="00C4270B" w:rsidRDefault="00CD0F5B" w:rsidP="00AB672A">
            <w:pPr>
              <w:pStyle w:val="List-bulletlvl1"/>
              <w:ind w:left="284" w:hanging="284"/>
              <w:rPr>
                <w:sz w:val="20"/>
                <w:szCs w:val="20"/>
              </w:rPr>
            </w:pPr>
            <w:r w:rsidRPr="00C4270B">
              <w:rPr>
                <w:sz w:val="20"/>
                <w:szCs w:val="20"/>
              </w:rPr>
              <w:t>The NTC cannot compel operators to provide information, and there is limited (or no) incentive for operators to provide the relevant data</w:t>
            </w:r>
            <w:r w:rsidR="00FA486A">
              <w:rPr>
                <w:sz w:val="20"/>
                <w:szCs w:val="20"/>
              </w:rPr>
              <w:t xml:space="preserve"> because</w:t>
            </w:r>
            <w:r w:rsidRPr="00C4270B">
              <w:rPr>
                <w:sz w:val="20"/>
                <w:szCs w:val="20"/>
              </w:rPr>
              <w:t xml:space="preserve"> it would result in an increase to the general RUC rate.</w:t>
            </w:r>
            <w:r w:rsidR="00830D17" w:rsidRPr="00C4270B">
              <w:rPr>
                <w:sz w:val="20"/>
                <w:szCs w:val="20"/>
              </w:rPr>
              <w:t xml:space="preserve"> </w:t>
            </w:r>
          </w:p>
          <w:p w14:paraId="2FD1C78B" w14:textId="5C17AF04" w:rsidR="00CD0F5B" w:rsidRPr="00C4270B" w:rsidRDefault="00CD0F5B" w:rsidP="00AB672A">
            <w:pPr>
              <w:pStyle w:val="List-bulletlvl1"/>
              <w:ind w:left="284" w:hanging="284"/>
              <w:rPr>
                <w:sz w:val="20"/>
                <w:szCs w:val="20"/>
              </w:rPr>
            </w:pPr>
            <w:r w:rsidRPr="00C4270B">
              <w:rPr>
                <w:sz w:val="20"/>
                <w:szCs w:val="20"/>
              </w:rPr>
              <w:t>The structure of the trucking industry</w:t>
            </w:r>
            <w:r w:rsidR="00B25452" w:rsidRPr="00C4270B">
              <w:rPr>
                <w:sz w:val="20"/>
                <w:szCs w:val="20"/>
              </w:rPr>
              <w:t xml:space="preserve"> – </w:t>
            </w:r>
            <w:r w:rsidRPr="00C4270B">
              <w:rPr>
                <w:sz w:val="20"/>
                <w:szCs w:val="20"/>
              </w:rPr>
              <w:t>with a large number of small operators</w:t>
            </w:r>
            <w:r w:rsidR="00B25452" w:rsidRPr="00C4270B">
              <w:rPr>
                <w:sz w:val="20"/>
                <w:szCs w:val="20"/>
              </w:rPr>
              <w:t xml:space="preserve"> – </w:t>
            </w:r>
            <w:r w:rsidRPr="00C4270B">
              <w:rPr>
                <w:sz w:val="20"/>
                <w:szCs w:val="20"/>
              </w:rPr>
              <w:t xml:space="preserve">means it would be extremely difficult to collect data from all operators. It is not clear how large a sample of operators would need to provide data </w:t>
            </w:r>
            <w:r w:rsidRPr="00C4270B">
              <w:rPr>
                <w:sz w:val="20"/>
                <w:szCs w:val="20"/>
              </w:rPr>
              <w:lastRenderedPageBreak/>
              <w:t>to be deemed sufficiently representative of the entire industry.</w:t>
            </w:r>
          </w:p>
        </w:tc>
      </w:tr>
      <w:tr w:rsidR="00CD0F5B" w:rsidRPr="000E782E" w14:paraId="2962080E" w14:textId="77777777" w:rsidTr="00FA486A">
        <w:tc>
          <w:tcPr>
            <w:tcW w:w="1250" w:type="pct"/>
          </w:tcPr>
          <w:p w14:paraId="5B40049C" w14:textId="39F0E375" w:rsidR="00CD0F5B" w:rsidRPr="00C4270B" w:rsidRDefault="00CD0F5B" w:rsidP="00AB672A">
            <w:pPr>
              <w:rPr>
                <w:sz w:val="20"/>
                <w:szCs w:val="20"/>
              </w:rPr>
            </w:pPr>
            <w:r w:rsidRPr="00C4270B">
              <w:rPr>
                <w:sz w:val="20"/>
                <w:szCs w:val="20"/>
              </w:rPr>
              <w:lastRenderedPageBreak/>
              <w:t>4. Change</w:t>
            </w:r>
            <w:r w:rsidR="00FA486A">
              <w:rPr>
                <w:sz w:val="20"/>
                <w:szCs w:val="20"/>
              </w:rPr>
              <w:t xml:space="preserve"> the</w:t>
            </w:r>
            <w:r w:rsidRPr="00C4270B">
              <w:rPr>
                <w:sz w:val="20"/>
                <w:szCs w:val="20"/>
              </w:rPr>
              <w:t xml:space="preserve"> wording of </w:t>
            </w:r>
            <w:r w:rsidR="00FA486A">
              <w:rPr>
                <w:sz w:val="20"/>
                <w:szCs w:val="20"/>
              </w:rPr>
              <w:t xml:space="preserve">the </w:t>
            </w:r>
            <w:r w:rsidRPr="00C4270B">
              <w:rPr>
                <w:sz w:val="20"/>
                <w:szCs w:val="20"/>
              </w:rPr>
              <w:t>Fuel Tax Act to make all fuel used on public roads subject to RUC (even if used for auxiliary equipment)</w:t>
            </w:r>
          </w:p>
        </w:tc>
        <w:tc>
          <w:tcPr>
            <w:tcW w:w="1635" w:type="pct"/>
          </w:tcPr>
          <w:p w14:paraId="41FDC4EA" w14:textId="734086CB" w:rsidR="00CD0F5B" w:rsidRPr="00C4270B" w:rsidRDefault="00CD0F5B" w:rsidP="00AB672A">
            <w:pPr>
              <w:pStyle w:val="List-bulletlvl1"/>
              <w:ind w:left="284" w:hanging="284"/>
              <w:rPr>
                <w:sz w:val="20"/>
                <w:szCs w:val="20"/>
              </w:rPr>
            </w:pPr>
            <w:r w:rsidRPr="00C4270B">
              <w:rPr>
                <w:sz w:val="20"/>
                <w:szCs w:val="20"/>
              </w:rPr>
              <w:t>Could achieve cost recovery without the need to source data from operators or make assumptions</w:t>
            </w:r>
            <w:r w:rsidR="00FA486A">
              <w:rPr>
                <w:sz w:val="20"/>
                <w:szCs w:val="20"/>
              </w:rPr>
              <w:t>.</w:t>
            </w:r>
          </w:p>
        </w:tc>
        <w:tc>
          <w:tcPr>
            <w:tcW w:w="2115" w:type="pct"/>
          </w:tcPr>
          <w:p w14:paraId="3F782298" w14:textId="4B7E4B4E" w:rsidR="00CD0F5B" w:rsidRPr="00C4270B" w:rsidRDefault="00CD0F5B" w:rsidP="00AB672A">
            <w:pPr>
              <w:pStyle w:val="List-bulletlvl1"/>
              <w:ind w:left="284" w:hanging="284"/>
              <w:rPr>
                <w:sz w:val="20"/>
                <w:szCs w:val="20"/>
              </w:rPr>
            </w:pPr>
            <w:r w:rsidRPr="00C4270B">
              <w:rPr>
                <w:sz w:val="20"/>
                <w:szCs w:val="20"/>
              </w:rPr>
              <w:t>Outside the scope of this determination</w:t>
            </w:r>
            <w:r w:rsidR="00FA486A">
              <w:rPr>
                <w:sz w:val="20"/>
                <w:szCs w:val="20"/>
              </w:rPr>
              <w:t>.</w:t>
            </w:r>
          </w:p>
          <w:p w14:paraId="2492A8CA" w14:textId="4BC457EB" w:rsidR="00CD0F5B" w:rsidRPr="00FA486A" w:rsidRDefault="00CD0F5B" w:rsidP="00CD6B04">
            <w:pPr>
              <w:pStyle w:val="List-bulletlvl1"/>
              <w:ind w:left="284" w:hanging="284"/>
              <w:rPr>
                <w:sz w:val="20"/>
                <w:szCs w:val="20"/>
              </w:rPr>
            </w:pPr>
            <w:r w:rsidRPr="00C4270B">
              <w:rPr>
                <w:sz w:val="20"/>
                <w:szCs w:val="20"/>
              </w:rPr>
              <w:t>Vehicles using fuel to power auxiliary equipment would arguably cross-subsidise other vehicle operators.</w:t>
            </w:r>
            <w:r w:rsidR="00830D17" w:rsidRPr="00C4270B">
              <w:rPr>
                <w:sz w:val="20"/>
                <w:szCs w:val="20"/>
              </w:rPr>
              <w:t xml:space="preserve"> </w:t>
            </w:r>
          </w:p>
        </w:tc>
      </w:tr>
    </w:tbl>
    <w:p w14:paraId="177FA754" w14:textId="1A98AE03" w:rsidR="00DA1BDF" w:rsidRDefault="00DA1BDF" w:rsidP="00CD0F5B">
      <w:pPr>
        <w:pStyle w:val="Heading3"/>
        <w:rPr>
          <w:rFonts w:eastAsia="Cambria"/>
        </w:rPr>
      </w:pPr>
      <w:bookmarkStart w:id="249" w:name="_Toc86158450"/>
      <w:bookmarkStart w:id="250" w:name="_Hlk66365588"/>
      <w:r w:rsidRPr="00DA1BDF">
        <w:rPr>
          <w:rFonts w:eastAsia="Cambria"/>
        </w:rPr>
        <w:t>Summary of submissions</w:t>
      </w:r>
      <w:bookmarkEnd w:id="249"/>
    </w:p>
    <w:p w14:paraId="2640D52F" w14:textId="287FC473" w:rsidR="003231E7" w:rsidRPr="003231E7" w:rsidRDefault="320F7494" w:rsidP="003231E7">
      <w:pPr>
        <w:pStyle w:val="BodyCopy"/>
      </w:pPr>
      <w:r>
        <w:t>Responses on the issue of allowing for fuel tax credit exemptions in t</w:t>
      </w:r>
      <w:r w:rsidR="06CAA57D">
        <w:t xml:space="preserve">he PAYGO model were mixed. The ATA preferred not </w:t>
      </w:r>
      <w:r w:rsidR="00234E9F">
        <w:t>to address RUC exemptions</w:t>
      </w:r>
      <w:r w:rsidR="00435363">
        <w:t xml:space="preserve"> in this determination</w:t>
      </w:r>
      <w:r w:rsidR="06CAA57D">
        <w:t xml:space="preserve"> but </w:t>
      </w:r>
      <w:r w:rsidR="005934F7">
        <w:t>submitted that if this was to occur</w:t>
      </w:r>
      <w:r w:rsidR="06CAA57D">
        <w:t xml:space="preserve"> it sh</w:t>
      </w:r>
      <w:r w:rsidR="3942BC8E">
        <w:t xml:space="preserve">ould be at the ATO </w:t>
      </w:r>
      <w:r w:rsidR="3C141EA8">
        <w:t xml:space="preserve">Basic Heavy Vehicle Apportionment Method </w:t>
      </w:r>
      <w:r w:rsidR="3942BC8E">
        <w:t xml:space="preserve">rate of 1.6 per cent </w:t>
      </w:r>
      <w:r w:rsidR="3D6CBE82">
        <w:t>and should exclude refrigerated trailer auxiliary equipment fuel use</w:t>
      </w:r>
      <w:r w:rsidR="0A9C5367">
        <w:t xml:space="preserve">. </w:t>
      </w:r>
    </w:p>
    <w:p w14:paraId="2C3A5D51" w14:textId="2AC3FCB9" w:rsidR="00592E41" w:rsidRPr="00592E41" w:rsidRDefault="00803AA3" w:rsidP="00592E41">
      <w:pPr>
        <w:pStyle w:val="BodyCopy"/>
      </w:pPr>
      <w:r>
        <w:t>The ATA also argued that t</w:t>
      </w:r>
      <w:r w:rsidRPr="00803AA3">
        <w:t xml:space="preserve">here is no conceptual difference between the registration charge </w:t>
      </w:r>
      <w:r>
        <w:t xml:space="preserve">on </w:t>
      </w:r>
      <w:r w:rsidRPr="00803AA3">
        <w:t xml:space="preserve">concessions and the RUC exemptions. </w:t>
      </w:r>
      <w:r w:rsidR="00E43F78">
        <w:t>It submitted that t</w:t>
      </w:r>
      <w:r w:rsidRPr="00803AA3">
        <w:t>hey both represent a positive legislative or quasi-legislative decision to forego revenue in favour of achieving a valued objective</w:t>
      </w:r>
      <w:r w:rsidR="00B9325D">
        <w:t xml:space="preserve">, and therefore it </w:t>
      </w:r>
      <w:r w:rsidR="00134C35">
        <w:t>is internally consistent to treat them in the same way</w:t>
      </w:r>
      <w:r w:rsidRPr="00803AA3">
        <w:t>.</w:t>
      </w:r>
    </w:p>
    <w:p w14:paraId="538F893F" w14:textId="0F99DE19" w:rsidR="002B4735" w:rsidRDefault="0A9C5367" w:rsidP="006F4467">
      <w:pPr>
        <w:pStyle w:val="BodyCopy"/>
      </w:pPr>
      <w:r>
        <w:t>Nat</w:t>
      </w:r>
      <w:r w:rsidR="00947283">
        <w:t>R</w:t>
      </w:r>
      <w:r w:rsidR="23BEC83A">
        <w:t xml:space="preserve">oad </w:t>
      </w:r>
      <w:r w:rsidR="00E233CA">
        <w:t>submitted that</w:t>
      </w:r>
      <w:r w:rsidR="43C27302">
        <w:t xml:space="preserve"> </w:t>
      </w:r>
      <w:r w:rsidR="002B4735">
        <w:t>an adjustment</w:t>
      </w:r>
      <w:r w:rsidR="43C27302">
        <w:t xml:space="preserve"> should not be introduced and that </w:t>
      </w:r>
      <w:r w:rsidR="28F5B57E">
        <w:t>fuel tax credits were in fact underclaimed in aggregate and were not causing a</w:t>
      </w:r>
      <w:r w:rsidR="5755941F">
        <w:t xml:space="preserve"> net leakage of fuel charges</w:t>
      </w:r>
      <w:r w:rsidR="00234E9F">
        <w:t xml:space="preserve"> (based on the ATO’s tax gap analysis)</w:t>
      </w:r>
      <w:r w:rsidR="5755941F">
        <w:t>.</w:t>
      </w:r>
      <w:r w:rsidR="5D847140">
        <w:t xml:space="preserve"> </w:t>
      </w:r>
    </w:p>
    <w:p w14:paraId="6E5856F2" w14:textId="244A5AF1" w:rsidR="006F4467" w:rsidRDefault="5D847140" w:rsidP="006F4467">
      <w:pPr>
        <w:pStyle w:val="BodyCopy"/>
      </w:pPr>
      <w:r>
        <w:t>Both the BIC and ARTC supported including an estimate of RUC exem</w:t>
      </w:r>
      <w:r w:rsidR="59EA1EA6">
        <w:t>ptions in the PAYGO model.</w:t>
      </w:r>
    </w:p>
    <w:p w14:paraId="1F814438" w14:textId="77777777" w:rsidR="005934F7" w:rsidRPr="00373AF3" w:rsidRDefault="005934F7" w:rsidP="005934F7">
      <w:pPr>
        <w:pStyle w:val="Heading3"/>
        <w:rPr>
          <w:rFonts w:eastAsia="Cambria"/>
        </w:rPr>
      </w:pPr>
      <w:bookmarkStart w:id="251" w:name="_Toc86158451"/>
      <w:r>
        <w:t>Conclusion and recommendations</w:t>
      </w:r>
      <w:bookmarkEnd w:id="251"/>
    </w:p>
    <w:p w14:paraId="2577560F" w14:textId="4C24A430" w:rsidR="009E3F7F" w:rsidRPr="009E3F7F" w:rsidRDefault="00FD533F" w:rsidP="009E3F7F">
      <w:pPr>
        <w:pStyle w:val="BodyCopy"/>
        <w:rPr>
          <w:szCs w:val="22"/>
        </w:rPr>
      </w:pPr>
      <w:r>
        <w:t xml:space="preserve">In addressing the ATA’s submission, </w:t>
      </w:r>
      <w:r w:rsidR="00D2718C">
        <w:rPr>
          <w:szCs w:val="22"/>
        </w:rPr>
        <w:t>we have</w:t>
      </w:r>
      <w:r w:rsidR="59EA1EA6" w:rsidRPr="0D87DAF8">
        <w:rPr>
          <w:szCs w:val="22"/>
        </w:rPr>
        <w:t xml:space="preserve"> now modified </w:t>
      </w:r>
      <w:r w:rsidR="005A44DD">
        <w:rPr>
          <w:szCs w:val="22"/>
        </w:rPr>
        <w:t>our</w:t>
      </w:r>
      <w:r w:rsidR="005A44DD" w:rsidRPr="0D87DAF8">
        <w:rPr>
          <w:szCs w:val="22"/>
        </w:rPr>
        <w:t xml:space="preserve"> </w:t>
      </w:r>
      <w:r w:rsidR="59EA1EA6" w:rsidRPr="0D87DAF8">
        <w:rPr>
          <w:szCs w:val="22"/>
        </w:rPr>
        <w:t>estimate o</w:t>
      </w:r>
      <w:r w:rsidR="0D34EEB4" w:rsidRPr="0D87DAF8">
        <w:rPr>
          <w:szCs w:val="22"/>
        </w:rPr>
        <w:t>f the cost of RUC exemptions down</w:t>
      </w:r>
      <w:r w:rsidR="00AF0AA1">
        <w:rPr>
          <w:szCs w:val="22"/>
        </w:rPr>
        <w:t>. This also reflects</w:t>
      </w:r>
      <w:r w:rsidR="0D34EEB4" w:rsidRPr="0D87DAF8">
        <w:rPr>
          <w:szCs w:val="22"/>
        </w:rPr>
        <w:t xml:space="preserve"> </w:t>
      </w:r>
      <w:r w:rsidR="748718E7" w:rsidRPr="0D87DAF8">
        <w:rPr>
          <w:szCs w:val="22"/>
        </w:rPr>
        <w:t xml:space="preserve">confirmation </w:t>
      </w:r>
      <w:r w:rsidR="748718E7" w:rsidRPr="53091B82">
        <w:rPr>
          <w:szCs w:val="22"/>
        </w:rPr>
        <w:t xml:space="preserve">from the ABS that </w:t>
      </w:r>
      <w:r w:rsidR="005934F7">
        <w:rPr>
          <w:szCs w:val="22"/>
        </w:rPr>
        <w:t>its</w:t>
      </w:r>
      <w:r w:rsidR="748718E7" w:rsidRPr="53091B82">
        <w:rPr>
          <w:szCs w:val="22"/>
        </w:rPr>
        <w:t xml:space="preserve"> SMVU fuel u</w:t>
      </w:r>
      <w:r w:rsidR="5222C106" w:rsidRPr="53091B82">
        <w:rPr>
          <w:szCs w:val="22"/>
        </w:rPr>
        <w:t>se</w:t>
      </w:r>
      <w:r w:rsidR="1BC9AE7B" w:rsidRPr="53091B82">
        <w:rPr>
          <w:szCs w:val="22"/>
        </w:rPr>
        <w:t xml:space="preserve"> </w:t>
      </w:r>
      <w:r w:rsidR="748718E7" w:rsidRPr="53091B82">
        <w:rPr>
          <w:szCs w:val="22"/>
        </w:rPr>
        <w:t xml:space="preserve">data excludes the consumption of fuel used </w:t>
      </w:r>
      <w:r w:rsidR="46AB7911" w:rsidRPr="53091B82">
        <w:rPr>
          <w:szCs w:val="22"/>
        </w:rPr>
        <w:t>to power auxiliary equipment on refrigerated trailers</w:t>
      </w:r>
      <w:r w:rsidR="7001CE46" w:rsidRPr="53091B82">
        <w:rPr>
          <w:szCs w:val="22"/>
        </w:rPr>
        <w:t>.</w:t>
      </w:r>
      <w:r w:rsidR="2E7164A5" w:rsidRPr="53091B82">
        <w:rPr>
          <w:szCs w:val="22"/>
        </w:rPr>
        <w:t xml:space="preserve"> However</w:t>
      </w:r>
      <w:r w:rsidR="28A85D1E" w:rsidRPr="3BBEB72B">
        <w:rPr>
          <w:szCs w:val="22"/>
        </w:rPr>
        <w:t>,</w:t>
      </w:r>
      <w:r w:rsidR="2E7164A5" w:rsidRPr="53091B82">
        <w:rPr>
          <w:szCs w:val="22"/>
        </w:rPr>
        <w:t xml:space="preserve"> the ATO rate of 1.6 per cent is only intended as a base rate for small operators who </w:t>
      </w:r>
      <w:r w:rsidR="2E7164A5" w:rsidRPr="3BBEB72B">
        <w:rPr>
          <w:szCs w:val="22"/>
        </w:rPr>
        <w:t>claim less than $10,000 per an</w:t>
      </w:r>
      <w:r w:rsidR="361C69A7" w:rsidRPr="3BBEB72B">
        <w:rPr>
          <w:szCs w:val="22"/>
        </w:rPr>
        <w:t xml:space="preserve">num in fuel tax credits </w:t>
      </w:r>
      <w:r w:rsidR="3667CB5C" w:rsidRPr="3BBEB72B">
        <w:rPr>
          <w:szCs w:val="22"/>
        </w:rPr>
        <w:t xml:space="preserve">and is only for off-road use. It is not intended for use for auxiliary equipment </w:t>
      </w:r>
      <w:r w:rsidR="67CA4413" w:rsidRPr="3BBEB72B">
        <w:rPr>
          <w:szCs w:val="22"/>
        </w:rPr>
        <w:t>fuel use</w:t>
      </w:r>
      <w:r w:rsidR="68980F27" w:rsidRPr="75CA8610">
        <w:rPr>
          <w:szCs w:val="22"/>
        </w:rPr>
        <w:t>.</w:t>
      </w:r>
      <w:r w:rsidR="67CA4413" w:rsidRPr="75CA8610">
        <w:rPr>
          <w:szCs w:val="22"/>
        </w:rPr>
        <w:t xml:space="preserve"> </w:t>
      </w:r>
      <w:r w:rsidR="741E498C" w:rsidRPr="00E39ED2">
        <w:rPr>
          <w:szCs w:val="22"/>
        </w:rPr>
        <w:t>W</w:t>
      </w:r>
      <w:r w:rsidR="67CA4413" w:rsidRPr="00E39ED2">
        <w:rPr>
          <w:szCs w:val="22"/>
        </w:rPr>
        <w:t>ith</w:t>
      </w:r>
      <w:r w:rsidR="67CA4413" w:rsidRPr="75CA8610">
        <w:rPr>
          <w:szCs w:val="22"/>
        </w:rPr>
        <w:t xml:space="preserve"> auxiliary equipment </w:t>
      </w:r>
      <w:r w:rsidR="001773FE">
        <w:rPr>
          <w:szCs w:val="22"/>
        </w:rPr>
        <w:t>‘</w:t>
      </w:r>
      <w:r w:rsidR="67CA4413" w:rsidRPr="75CA8610">
        <w:rPr>
          <w:szCs w:val="22"/>
        </w:rPr>
        <w:t>fair and reasonable</w:t>
      </w:r>
      <w:r w:rsidR="001773FE">
        <w:rPr>
          <w:szCs w:val="22"/>
        </w:rPr>
        <w:t>’</w:t>
      </w:r>
      <w:r w:rsidR="67CA4413" w:rsidRPr="75CA8610">
        <w:rPr>
          <w:szCs w:val="22"/>
        </w:rPr>
        <w:t xml:space="preserve"> base rates in the range</w:t>
      </w:r>
      <w:r w:rsidR="403CA2E2" w:rsidRPr="75CA8610">
        <w:rPr>
          <w:szCs w:val="22"/>
        </w:rPr>
        <w:t xml:space="preserve"> of 5</w:t>
      </w:r>
      <w:r w:rsidR="00AA7982">
        <w:rPr>
          <w:szCs w:val="22"/>
        </w:rPr>
        <w:t>–</w:t>
      </w:r>
      <w:r w:rsidR="403CA2E2" w:rsidRPr="75CA8610">
        <w:rPr>
          <w:szCs w:val="22"/>
        </w:rPr>
        <w:t>30 per</w:t>
      </w:r>
      <w:r w:rsidR="001773FE">
        <w:rPr>
          <w:szCs w:val="22"/>
        </w:rPr>
        <w:t xml:space="preserve"> </w:t>
      </w:r>
      <w:r w:rsidR="403CA2E2" w:rsidRPr="75CA8610">
        <w:rPr>
          <w:szCs w:val="22"/>
        </w:rPr>
        <w:t>cent</w:t>
      </w:r>
      <w:r w:rsidR="001773FE">
        <w:rPr>
          <w:szCs w:val="22"/>
        </w:rPr>
        <w:t>,</w:t>
      </w:r>
      <w:r w:rsidR="403CA2E2" w:rsidRPr="75CA8610">
        <w:rPr>
          <w:szCs w:val="22"/>
        </w:rPr>
        <w:t xml:space="preserve"> depending on the vehicle</w:t>
      </w:r>
      <w:r w:rsidR="001773FE">
        <w:rPr>
          <w:szCs w:val="22"/>
        </w:rPr>
        <w:t>’</w:t>
      </w:r>
      <w:r w:rsidR="403CA2E2" w:rsidRPr="75CA8610">
        <w:rPr>
          <w:szCs w:val="22"/>
        </w:rPr>
        <w:t xml:space="preserve">s type of auxiliary </w:t>
      </w:r>
      <w:r w:rsidR="403CA2E2" w:rsidRPr="00E39ED2">
        <w:rPr>
          <w:szCs w:val="22"/>
        </w:rPr>
        <w:t>equipment</w:t>
      </w:r>
      <w:r w:rsidR="001773FE">
        <w:rPr>
          <w:szCs w:val="22"/>
        </w:rPr>
        <w:t>,</w:t>
      </w:r>
      <w:r w:rsidR="403CA2E2" w:rsidRPr="75CA8610">
        <w:rPr>
          <w:szCs w:val="22"/>
        </w:rPr>
        <w:t xml:space="preserve"> apply</w:t>
      </w:r>
      <w:r w:rsidR="161C6EA6" w:rsidRPr="75CA8610">
        <w:rPr>
          <w:szCs w:val="22"/>
        </w:rPr>
        <w:t xml:space="preserve">ing a universal rate of 1.6 per cent </w:t>
      </w:r>
      <w:r w:rsidR="50D7CC8C" w:rsidRPr="75CA8610">
        <w:rPr>
          <w:szCs w:val="22"/>
        </w:rPr>
        <w:t xml:space="preserve">is </w:t>
      </w:r>
      <w:r w:rsidR="00FB6F5B">
        <w:rPr>
          <w:szCs w:val="22"/>
        </w:rPr>
        <w:t>likely to understate the amount of credits actually claimed</w:t>
      </w:r>
      <w:r w:rsidR="50D7CC8C" w:rsidRPr="75CA8610">
        <w:rPr>
          <w:szCs w:val="22"/>
        </w:rPr>
        <w:t>.</w:t>
      </w:r>
      <w:r w:rsidR="009E61AA">
        <w:rPr>
          <w:szCs w:val="22"/>
        </w:rPr>
        <w:t xml:space="preserve"> </w:t>
      </w:r>
    </w:p>
    <w:p w14:paraId="02705086" w14:textId="45A2B906" w:rsidR="00870374" w:rsidRPr="00870374" w:rsidRDefault="007E459D" w:rsidP="00870374">
      <w:pPr>
        <w:pStyle w:val="BodyCopy"/>
        <w:rPr>
          <w:szCs w:val="22"/>
        </w:rPr>
      </w:pPr>
      <w:r>
        <w:rPr>
          <w:szCs w:val="22"/>
        </w:rPr>
        <w:t>Previous</w:t>
      </w:r>
      <w:r w:rsidR="3D4C0FB2" w:rsidRPr="3E81097D">
        <w:rPr>
          <w:szCs w:val="22"/>
        </w:rPr>
        <w:t xml:space="preserve"> ATO documents on tax gaps have listed a negative tax gap in relation to fuel tax credits due to </w:t>
      </w:r>
      <w:r w:rsidR="5DCDA042" w:rsidRPr="1430CCE1">
        <w:rPr>
          <w:szCs w:val="22"/>
        </w:rPr>
        <w:t xml:space="preserve">claimants </w:t>
      </w:r>
      <w:r w:rsidR="005A44DD" w:rsidRPr="3E81097D">
        <w:rPr>
          <w:szCs w:val="22"/>
        </w:rPr>
        <w:t xml:space="preserve">underclaiming </w:t>
      </w:r>
      <w:r w:rsidR="5DCDA042" w:rsidRPr="1430CCE1">
        <w:rPr>
          <w:szCs w:val="22"/>
        </w:rPr>
        <w:t>their correct</w:t>
      </w:r>
      <w:r w:rsidR="40EB9ACC" w:rsidRPr="3E81097D">
        <w:rPr>
          <w:szCs w:val="22"/>
        </w:rPr>
        <w:t xml:space="preserve"> entitlements</w:t>
      </w:r>
      <w:r w:rsidR="005A44DD">
        <w:rPr>
          <w:szCs w:val="22"/>
        </w:rPr>
        <w:t>.</w:t>
      </w:r>
      <w:r w:rsidR="6C32DED4" w:rsidRPr="1430CCE1">
        <w:rPr>
          <w:szCs w:val="22"/>
        </w:rPr>
        <w:t xml:space="preserve"> For example</w:t>
      </w:r>
      <w:r>
        <w:rPr>
          <w:szCs w:val="22"/>
        </w:rPr>
        <w:t>,</w:t>
      </w:r>
      <w:r w:rsidR="6C32DED4" w:rsidRPr="1430CCE1">
        <w:rPr>
          <w:szCs w:val="22"/>
        </w:rPr>
        <w:t xml:space="preserve"> the last ATO report on tax gaps listed a tax gap of</w:t>
      </w:r>
      <w:r w:rsidR="78047AEE" w:rsidRPr="1430CCE1">
        <w:rPr>
          <w:szCs w:val="22"/>
        </w:rPr>
        <w:t xml:space="preserve"> –$7</w:t>
      </w:r>
      <w:r w:rsidR="005A44DD">
        <w:rPr>
          <w:szCs w:val="22"/>
        </w:rPr>
        <w:t xml:space="preserve"> </w:t>
      </w:r>
      <w:r w:rsidR="78047AEE" w:rsidRPr="1430CCE1">
        <w:rPr>
          <w:szCs w:val="22"/>
        </w:rPr>
        <w:t>m</w:t>
      </w:r>
      <w:r w:rsidR="005A44DD">
        <w:rPr>
          <w:szCs w:val="22"/>
        </w:rPr>
        <w:t>illion</w:t>
      </w:r>
      <w:r w:rsidR="78047AEE" w:rsidRPr="1430CCE1">
        <w:rPr>
          <w:szCs w:val="22"/>
        </w:rPr>
        <w:t xml:space="preserve"> in 2018</w:t>
      </w:r>
      <w:r w:rsidR="005A44DD">
        <w:rPr>
          <w:szCs w:val="22"/>
        </w:rPr>
        <w:t>–</w:t>
      </w:r>
      <w:r w:rsidR="78047AEE" w:rsidRPr="1430CCE1">
        <w:rPr>
          <w:szCs w:val="22"/>
        </w:rPr>
        <w:t>19</w:t>
      </w:r>
      <w:r w:rsidR="00D61F04">
        <w:rPr>
          <w:szCs w:val="22"/>
        </w:rPr>
        <w:t xml:space="preserve"> </w:t>
      </w:r>
      <w:sdt>
        <w:sdtPr>
          <w:rPr>
            <w:szCs w:val="22"/>
          </w:rPr>
          <w:id w:val="-885176808"/>
          <w:citation/>
        </w:sdtPr>
        <w:sdtContent>
          <w:r w:rsidR="00D61F04">
            <w:rPr>
              <w:szCs w:val="22"/>
            </w:rPr>
            <w:fldChar w:fldCharType="begin"/>
          </w:r>
          <w:r w:rsidR="00D61F04">
            <w:rPr>
              <w:szCs w:val="22"/>
            </w:rPr>
            <w:instrText xml:space="preserve"> CITATION ATO21 \l 3081 </w:instrText>
          </w:r>
          <w:r w:rsidR="00D61F04">
            <w:rPr>
              <w:szCs w:val="22"/>
            </w:rPr>
            <w:fldChar w:fldCharType="separate"/>
          </w:r>
          <w:r w:rsidR="000A4DC7" w:rsidRPr="000A4DC7">
            <w:rPr>
              <w:noProof/>
              <w:szCs w:val="22"/>
            </w:rPr>
            <w:t>(ATO, 2021)</w:t>
          </w:r>
          <w:r w:rsidR="00D61F04">
            <w:rPr>
              <w:szCs w:val="22"/>
            </w:rPr>
            <w:fldChar w:fldCharType="end"/>
          </w:r>
        </w:sdtContent>
      </w:sdt>
      <w:r w:rsidR="78047AEE" w:rsidRPr="1430CCE1">
        <w:rPr>
          <w:szCs w:val="22"/>
        </w:rPr>
        <w:t xml:space="preserve">. </w:t>
      </w:r>
      <w:r w:rsidR="78047AEE" w:rsidRPr="55C9DA3D">
        <w:rPr>
          <w:szCs w:val="22"/>
        </w:rPr>
        <w:t>However, the ATO</w:t>
      </w:r>
      <w:r w:rsidR="00982780">
        <w:rPr>
          <w:szCs w:val="22"/>
        </w:rPr>
        <w:t xml:space="preserve"> has advised</w:t>
      </w:r>
      <w:r w:rsidR="78047AEE" w:rsidRPr="55C9DA3D">
        <w:rPr>
          <w:szCs w:val="22"/>
        </w:rPr>
        <w:t xml:space="preserve"> that the survey data this wa</w:t>
      </w:r>
      <w:r w:rsidR="1E9F2154" w:rsidRPr="55C9DA3D">
        <w:rPr>
          <w:szCs w:val="22"/>
        </w:rPr>
        <w:t xml:space="preserve">s based on was </w:t>
      </w:r>
      <w:r w:rsidR="261CC5A7" w:rsidRPr="04292167">
        <w:rPr>
          <w:szCs w:val="22"/>
        </w:rPr>
        <w:t>outdated</w:t>
      </w:r>
      <w:r w:rsidR="1E9F2154" w:rsidRPr="04292167">
        <w:rPr>
          <w:szCs w:val="22"/>
        </w:rPr>
        <w:t xml:space="preserve"> </w:t>
      </w:r>
      <w:r w:rsidR="005A44DD">
        <w:rPr>
          <w:szCs w:val="22"/>
        </w:rPr>
        <w:t>–</w:t>
      </w:r>
      <w:r w:rsidR="005A44DD" w:rsidRPr="04292167">
        <w:rPr>
          <w:szCs w:val="22"/>
        </w:rPr>
        <w:t xml:space="preserve"> </w:t>
      </w:r>
      <w:r w:rsidR="255A0566" w:rsidRPr="04292167">
        <w:rPr>
          <w:szCs w:val="22"/>
        </w:rPr>
        <w:t xml:space="preserve">it </w:t>
      </w:r>
      <w:r w:rsidR="3BCD9DDC" w:rsidRPr="04292167">
        <w:rPr>
          <w:szCs w:val="22"/>
        </w:rPr>
        <w:t xml:space="preserve">used a </w:t>
      </w:r>
      <w:r w:rsidR="77128F8F" w:rsidRPr="04292167">
        <w:rPr>
          <w:szCs w:val="22"/>
        </w:rPr>
        <w:t>2015</w:t>
      </w:r>
      <w:r w:rsidR="77128F8F" w:rsidRPr="55C9DA3D">
        <w:rPr>
          <w:szCs w:val="22"/>
        </w:rPr>
        <w:t xml:space="preserve"> survey when </w:t>
      </w:r>
      <w:r w:rsidR="005A44DD">
        <w:rPr>
          <w:szCs w:val="22"/>
        </w:rPr>
        <w:t>it</w:t>
      </w:r>
      <w:r w:rsidR="77128F8F" w:rsidRPr="55C9DA3D">
        <w:rPr>
          <w:szCs w:val="22"/>
        </w:rPr>
        <w:t xml:space="preserve"> had only just introduced its fair</w:t>
      </w:r>
      <w:r w:rsidR="19EFAB81" w:rsidRPr="55C9DA3D">
        <w:rPr>
          <w:szCs w:val="22"/>
        </w:rPr>
        <w:t xml:space="preserve"> and reasonable rates and most potential claimants </w:t>
      </w:r>
      <w:r w:rsidR="19EFAB81" w:rsidRPr="04292167">
        <w:rPr>
          <w:szCs w:val="22"/>
        </w:rPr>
        <w:t xml:space="preserve">didn’t know </w:t>
      </w:r>
      <w:r w:rsidR="005A44DD">
        <w:rPr>
          <w:szCs w:val="22"/>
        </w:rPr>
        <w:t>about</w:t>
      </w:r>
      <w:r w:rsidR="005A44DD" w:rsidRPr="04292167">
        <w:rPr>
          <w:szCs w:val="22"/>
        </w:rPr>
        <w:t xml:space="preserve"> </w:t>
      </w:r>
      <w:r w:rsidR="19EFAB81" w:rsidRPr="04292167">
        <w:rPr>
          <w:szCs w:val="22"/>
        </w:rPr>
        <w:t xml:space="preserve">the new exemption possibilities. </w:t>
      </w:r>
      <w:r w:rsidR="7540F402" w:rsidRPr="4F91AED0">
        <w:rPr>
          <w:szCs w:val="22"/>
        </w:rPr>
        <w:t>Since that time industry claims for auxiliary equ</w:t>
      </w:r>
      <w:r w:rsidR="29F467D8" w:rsidRPr="4F91AED0">
        <w:rPr>
          <w:szCs w:val="22"/>
        </w:rPr>
        <w:t>i</w:t>
      </w:r>
      <w:r w:rsidR="7540F402" w:rsidRPr="4F91AED0">
        <w:rPr>
          <w:szCs w:val="22"/>
        </w:rPr>
        <w:t>pment and off-road fuel use have become much more widesp</w:t>
      </w:r>
      <w:r w:rsidR="204E021A" w:rsidRPr="4F91AED0">
        <w:rPr>
          <w:szCs w:val="22"/>
        </w:rPr>
        <w:t>read.</w:t>
      </w:r>
    </w:p>
    <w:p w14:paraId="00B03B9C" w14:textId="4E72AE98" w:rsidR="00DA62B5" w:rsidRDefault="001E0230" w:rsidP="00E39ED2">
      <w:pPr>
        <w:pStyle w:val="BodyCopy"/>
        <w:rPr>
          <w:szCs w:val="22"/>
        </w:rPr>
      </w:pPr>
      <w:r>
        <w:rPr>
          <w:szCs w:val="22"/>
        </w:rPr>
        <w:t xml:space="preserve">The NTC considers that it would also not be appropriate to treat the </w:t>
      </w:r>
      <w:r w:rsidR="00571818">
        <w:rPr>
          <w:szCs w:val="22"/>
        </w:rPr>
        <w:t xml:space="preserve">RUC exemptions for auxiliary equipment similar to the </w:t>
      </w:r>
      <w:r w:rsidR="00310B3D">
        <w:rPr>
          <w:szCs w:val="22"/>
        </w:rPr>
        <w:t>targeted</w:t>
      </w:r>
      <w:r w:rsidR="00571818">
        <w:rPr>
          <w:szCs w:val="22"/>
        </w:rPr>
        <w:t xml:space="preserve"> concessions on registration charges provided by </w:t>
      </w:r>
      <w:r w:rsidR="00310B3D">
        <w:rPr>
          <w:szCs w:val="22"/>
        </w:rPr>
        <w:t>states and territories on registration charges.</w:t>
      </w:r>
      <w:r w:rsidR="00571818">
        <w:rPr>
          <w:szCs w:val="22"/>
        </w:rPr>
        <w:t xml:space="preserve"> </w:t>
      </w:r>
      <w:r w:rsidR="00DA62B5">
        <w:rPr>
          <w:szCs w:val="22"/>
        </w:rPr>
        <w:t>Similarly</w:t>
      </w:r>
      <w:r w:rsidR="007F2647">
        <w:rPr>
          <w:szCs w:val="22"/>
        </w:rPr>
        <w:t xml:space="preserve">, the NTC does not believe </w:t>
      </w:r>
      <w:r w:rsidR="006271C4">
        <w:rPr>
          <w:szCs w:val="22"/>
        </w:rPr>
        <w:t xml:space="preserve">that court decisions around </w:t>
      </w:r>
      <w:r w:rsidR="005A50E3">
        <w:rPr>
          <w:szCs w:val="22"/>
        </w:rPr>
        <w:t xml:space="preserve">exemptions from the duty to pay RUC on fuel used to power </w:t>
      </w:r>
      <w:r w:rsidR="00742F7B">
        <w:rPr>
          <w:szCs w:val="22"/>
        </w:rPr>
        <w:t>auxiliar</w:t>
      </w:r>
      <w:r w:rsidR="005A50E3">
        <w:rPr>
          <w:szCs w:val="22"/>
        </w:rPr>
        <w:t xml:space="preserve">y </w:t>
      </w:r>
      <w:r w:rsidR="005A50E3">
        <w:rPr>
          <w:szCs w:val="22"/>
        </w:rPr>
        <w:lastRenderedPageBreak/>
        <w:t xml:space="preserve">equipment were intended to have the effect of reducing the total amount of RUC collected. Instead, the NTC considers that these court decisions were primarily aimed at resolving the question of </w:t>
      </w:r>
      <w:r w:rsidR="004401AE">
        <w:rPr>
          <w:szCs w:val="22"/>
        </w:rPr>
        <w:t>the types of fuel use that are subject to RUC.</w:t>
      </w:r>
      <w:r w:rsidR="009E61AA">
        <w:rPr>
          <w:szCs w:val="22"/>
        </w:rPr>
        <w:t xml:space="preserve"> </w:t>
      </w:r>
    </w:p>
    <w:p w14:paraId="212A2BB5" w14:textId="394E0205" w:rsidR="001E0230" w:rsidRDefault="00310B3D" w:rsidP="00E39ED2">
      <w:pPr>
        <w:pStyle w:val="BodyCopy"/>
        <w:rPr>
          <w:szCs w:val="22"/>
        </w:rPr>
      </w:pPr>
      <w:r>
        <w:rPr>
          <w:szCs w:val="22"/>
        </w:rPr>
        <w:t>The overall objective of setting RUC rates</w:t>
      </w:r>
      <w:r w:rsidR="0092251A">
        <w:rPr>
          <w:szCs w:val="22"/>
        </w:rPr>
        <w:t xml:space="preserve"> under PAYGO </w:t>
      </w:r>
      <w:r w:rsidR="00890FC8">
        <w:rPr>
          <w:szCs w:val="22"/>
        </w:rPr>
        <w:t xml:space="preserve">has always been to </w:t>
      </w:r>
      <w:r w:rsidR="00793D60">
        <w:rPr>
          <w:szCs w:val="22"/>
        </w:rPr>
        <w:t>collect a given proportion of the overall cost base on the amount of fuel that is subject to RUC.</w:t>
      </w:r>
      <w:r w:rsidR="00435E7C">
        <w:rPr>
          <w:szCs w:val="22"/>
        </w:rPr>
        <w:t xml:space="preserve"> The proposed adjustment is consistent with this overall aim by</w:t>
      </w:r>
      <w:r w:rsidR="00793D60">
        <w:rPr>
          <w:szCs w:val="22"/>
        </w:rPr>
        <w:t xml:space="preserve"> improving the estimate of the amount of fuel subject to RUC </w:t>
      </w:r>
      <w:r w:rsidR="00435E7C">
        <w:rPr>
          <w:szCs w:val="22"/>
        </w:rPr>
        <w:t xml:space="preserve">to ensure the correct amount of revenue is collected in total, subject to the limitations of the available data. </w:t>
      </w:r>
    </w:p>
    <w:p w14:paraId="172B48ED" w14:textId="65A586EC" w:rsidR="006347A0" w:rsidRPr="006347A0" w:rsidRDefault="00982780" w:rsidP="006347A0">
      <w:pPr>
        <w:pStyle w:val="BodyCopy"/>
      </w:pPr>
      <w:r>
        <w:rPr>
          <w:szCs w:val="22"/>
        </w:rPr>
        <w:t xml:space="preserve">The NTC still considers that approach 2 in </w:t>
      </w:r>
      <w:r>
        <w:rPr>
          <w:szCs w:val="22"/>
        </w:rPr>
        <w:fldChar w:fldCharType="begin"/>
      </w:r>
      <w:r>
        <w:rPr>
          <w:szCs w:val="22"/>
        </w:rPr>
        <w:instrText xml:space="preserve"> REF _Ref82502990 \r \h </w:instrText>
      </w:r>
      <w:r>
        <w:rPr>
          <w:szCs w:val="22"/>
        </w:rPr>
      </w:r>
      <w:r>
        <w:rPr>
          <w:szCs w:val="22"/>
        </w:rPr>
        <w:fldChar w:fldCharType="separate"/>
      </w:r>
      <w:r w:rsidR="00225EEA">
        <w:rPr>
          <w:szCs w:val="22"/>
        </w:rPr>
        <w:t>Table 15</w:t>
      </w:r>
      <w:r>
        <w:rPr>
          <w:szCs w:val="22"/>
        </w:rPr>
        <w:fldChar w:fldCharType="end"/>
      </w:r>
      <w:r w:rsidR="001E0230">
        <w:rPr>
          <w:szCs w:val="22"/>
        </w:rPr>
        <w:t xml:space="preserve">, as amended, would be an appropriate and conservative approach to estimate the amount of RUC exemptions claimed. This estimate would be </w:t>
      </w:r>
      <w:r w:rsidR="001E0230">
        <w:t xml:space="preserve">based on jurisdictions’ detailed registration data and the SMVU. </w:t>
      </w:r>
    </w:p>
    <w:p w14:paraId="4F1431A3" w14:textId="5A458BB1" w:rsidR="00786AF0" w:rsidRDefault="00786AF0" w:rsidP="00786AF0">
      <w:pPr>
        <w:pStyle w:val="BodyCopy"/>
      </w:pPr>
      <w:r>
        <w:t>The recommended adjustment of 4.0 per cent implies</w:t>
      </w:r>
      <w:r w:rsidRPr="00FF32ED">
        <w:t xml:space="preserve"> that the RUC rate would need to increase by a similar percentage, or approximately 1.</w:t>
      </w:r>
      <w:r>
        <w:t>1</w:t>
      </w:r>
      <w:r w:rsidRPr="00FF32ED">
        <w:t xml:space="preserve"> cents per litre to recover the required revenue.</w:t>
      </w:r>
    </w:p>
    <w:p w14:paraId="5B202071" w14:textId="77777777" w:rsidR="00F777E7" w:rsidRDefault="00CD0F5B" w:rsidP="00CD0F5B">
      <w:pPr>
        <w:pStyle w:val="BodyCopy"/>
      </w:pPr>
      <w:r>
        <w:t>The NTC recommends</w:t>
      </w:r>
      <w:r w:rsidR="00F777E7">
        <w:t>:</w:t>
      </w:r>
    </w:p>
    <w:p w14:paraId="2CB5A250" w14:textId="24979D54" w:rsidR="00F777E7" w:rsidRDefault="00B771F1" w:rsidP="00F777E7">
      <w:pPr>
        <w:pStyle w:val="List-bulletlvl1"/>
      </w:pPr>
      <w:r>
        <w:t>i</w:t>
      </w:r>
      <w:r w:rsidR="00CD0F5B">
        <w:t xml:space="preserve">mplementing </w:t>
      </w:r>
      <w:r w:rsidR="00FA486A">
        <w:t>a</w:t>
      </w:r>
      <w:r w:rsidR="00CD0F5B">
        <w:t xml:space="preserve">pproach 2 in </w:t>
      </w:r>
      <w:r w:rsidR="00CB7891">
        <w:fldChar w:fldCharType="begin"/>
      </w:r>
      <w:r w:rsidR="00CB7891">
        <w:instrText xml:space="preserve"> REF _Ref82165064 \r \h </w:instrText>
      </w:r>
      <w:r w:rsidR="00CB7891">
        <w:fldChar w:fldCharType="separate"/>
      </w:r>
      <w:r w:rsidR="00225EEA">
        <w:t>Table 15</w:t>
      </w:r>
      <w:r w:rsidR="00CB7891">
        <w:fldChar w:fldCharType="end"/>
      </w:r>
      <w:r w:rsidR="00F777E7">
        <w:t xml:space="preserve">, as amended, which </w:t>
      </w:r>
      <w:r w:rsidR="00CD0F5B">
        <w:t>use</w:t>
      </w:r>
      <w:r w:rsidR="00F777E7">
        <w:t>s</w:t>
      </w:r>
      <w:r w:rsidR="00CD0F5B">
        <w:t xml:space="preserve"> a conservative approach to produce an estimate of RUC exemptions using the ATO’s ‘fair and reasonable’ fuel tax rate exemption rates</w:t>
      </w:r>
    </w:p>
    <w:p w14:paraId="77B5335C" w14:textId="0EAB535D" w:rsidR="00CD0F5B" w:rsidRDefault="00B771F1" w:rsidP="00357D40">
      <w:pPr>
        <w:pStyle w:val="List-bulletlvl1"/>
      </w:pPr>
      <w:r>
        <w:t>a</w:t>
      </w:r>
      <w:r w:rsidR="0071525F">
        <w:t>pplying a reduction of 4</w:t>
      </w:r>
      <w:r w:rsidR="00786AF0">
        <w:t xml:space="preserve"> per cent</w:t>
      </w:r>
      <w:r w:rsidR="0071525F">
        <w:t xml:space="preserve"> to the estimates of </w:t>
      </w:r>
      <w:r w:rsidR="009A7281">
        <w:t xml:space="preserve">total fuel consumption </w:t>
      </w:r>
      <w:r w:rsidR="003A2C61">
        <w:t xml:space="preserve">in the PAYGO model </w:t>
      </w:r>
      <w:r w:rsidR="009F6074">
        <w:t>to</w:t>
      </w:r>
      <w:r w:rsidR="00C35AA3">
        <w:t xml:space="preserve"> </w:t>
      </w:r>
      <w:r w:rsidR="00087E75">
        <w:t xml:space="preserve">reflect </w:t>
      </w:r>
      <w:r w:rsidR="00C3422E">
        <w:t xml:space="preserve">estimated </w:t>
      </w:r>
      <w:r w:rsidR="004E3518">
        <w:t>RUC exemptions</w:t>
      </w:r>
      <w:r w:rsidR="00C3422E">
        <w:t xml:space="preserve"> and arrive at an estimate of</w:t>
      </w:r>
      <w:r w:rsidR="009F6074">
        <w:t xml:space="preserve"> </w:t>
      </w:r>
      <w:r w:rsidR="00C35AA3">
        <w:t>fuel that is actually subject to RUC</w:t>
      </w:r>
      <w:r w:rsidR="009E1744">
        <w:t>.</w:t>
      </w:r>
    </w:p>
    <w:p w14:paraId="54043DBF" w14:textId="77777777" w:rsidR="00CD0F5B" w:rsidRDefault="00CD0F5B" w:rsidP="00CD0F5B">
      <w:pPr>
        <w:pStyle w:val="Heading2"/>
      </w:pPr>
      <w:bookmarkStart w:id="252" w:name="_Ref58416272"/>
      <w:bookmarkStart w:id="253" w:name="_Toc86158452"/>
      <w:bookmarkEnd w:id="250"/>
      <w:r>
        <w:t>Unsealed road travel discounts</w:t>
      </w:r>
      <w:bookmarkEnd w:id="252"/>
      <w:bookmarkEnd w:id="253"/>
    </w:p>
    <w:p w14:paraId="41C19DF4" w14:textId="5114F0EB" w:rsidR="00CD0F5B" w:rsidRDefault="00CD0F5B" w:rsidP="00CD0F5B">
      <w:pPr>
        <w:pStyle w:val="Heading3"/>
      </w:pPr>
      <w:bookmarkStart w:id="254" w:name="_Toc86158453"/>
      <w:r>
        <w:t>Issue</w:t>
      </w:r>
      <w:r w:rsidR="00FA486A">
        <w:t>s</w:t>
      </w:r>
      <w:bookmarkEnd w:id="254"/>
    </w:p>
    <w:p w14:paraId="3BD5841D" w14:textId="38C0B846" w:rsidR="00CD0F5B" w:rsidRDefault="00CD0F5B" w:rsidP="00CD0F5B">
      <w:pPr>
        <w:pStyle w:val="BodyCopy"/>
      </w:pPr>
      <w:r>
        <w:t>Discounts for unsealed road travel by road trains were introduced into the PAYGO model in 2005 in response to industry feedback that road trains in particular did a considerable share of their annual travel on unsealed roads. The PAYGO model assumes that all the road network is sealed in the application of its cost allocators, which is particularly relevant to the ESA-k</w:t>
      </w:r>
      <w:r w:rsidR="00064808">
        <w:t>m</w:t>
      </w:r>
      <w:r>
        <w:t xml:space="preserve"> cost allocator. The results of industry surveys in 2005 found that on average 30 per cent of double road train travel was on unsealed roads and 35 per cent of triple road train travel was on unsealed roads. In 2012 this discount was also applied to B-triples when the NTC modelled B-triples separately for the first time. The issue is whether the application of this discount is still appropriate and</w:t>
      </w:r>
      <w:r w:rsidR="00064808">
        <w:t>,</w:t>
      </w:r>
      <w:r>
        <w:t xml:space="preserve"> if so, whether an updated industry survey on unsealed road travel is required.</w:t>
      </w:r>
    </w:p>
    <w:p w14:paraId="093A2AA6" w14:textId="77777777" w:rsidR="00CD0F5B" w:rsidRDefault="00CD0F5B" w:rsidP="00CD0F5B">
      <w:pPr>
        <w:pStyle w:val="Heading3"/>
      </w:pPr>
      <w:bookmarkStart w:id="255" w:name="_Toc86158454"/>
      <w:r>
        <w:t>Background</w:t>
      </w:r>
      <w:bookmarkEnd w:id="255"/>
    </w:p>
    <w:p w14:paraId="1782DB2E" w14:textId="48BF65A4" w:rsidR="00CD0F5B" w:rsidRDefault="00CD0F5B" w:rsidP="00CD0F5B">
      <w:pPr>
        <w:pStyle w:val="BodyCopy"/>
        <w:rPr>
          <w:szCs w:val="22"/>
        </w:rPr>
      </w:pPr>
      <w:r>
        <w:t>In 2005 a number of stakeholders argued that appl</w:t>
      </w:r>
      <w:r w:rsidR="00064808">
        <w:t>ying</w:t>
      </w:r>
      <w:r w:rsidRPr="00287728">
        <w:rPr>
          <w:szCs w:val="22"/>
        </w:rPr>
        <w:t xml:space="preserve"> the ESA</w:t>
      </w:r>
      <w:r>
        <w:rPr>
          <w:szCs w:val="22"/>
        </w:rPr>
        <w:t>-km</w:t>
      </w:r>
      <w:r w:rsidRPr="00287728">
        <w:rPr>
          <w:szCs w:val="22"/>
        </w:rPr>
        <w:t xml:space="preserve"> cost allocator </w:t>
      </w:r>
      <w:r>
        <w:rPr>
          <w:szCs w:val="22"/>
        </w:rPr>
        <w:t xml:space="preserve">was not relevant for unsealed road travel and that </w:t>
      </w:r>
      <w:r w:rsidRPr="00287728">
        <w:rPr>
          <w:szCs w:val="22"/>
        </w:rPr>
        <w:t xml:space="preserve">VKT was a fairer allocator </w:t>
      </w:r>
      <w:r w:rsidR="00064808">
        <w:rPr>
          <w:szCs w:val="22"/>
        </w:rPr>
        <w:t>because</w:t>
      </w:r>
      <w:r w:rsidR="00064808" w:rsidRPr="00287728">
        <w:rPr>
          <w:szCs w:val="22"/>
        </w:rPr>
        <w:t xml:space="preserve"> </w:t>
      </w:r>
      <w:r w:rsidRPr="00287728">
        <w:rPr>
          <w:szCs w:val="22"/>
        </w:rPr>
        <w:t xml:space="preserve">unsealed roads were </w:t>
      </w:r>
      <w:r w:rsidR="00064808">
        <w:rPr>
          <w:szCs w:val="22"/>
        </w:rPr>
        <w:t>affected</w:t>
      </w:r>
      <w:r w:rsidR="00064808" w:rsidRPr="00287728">
        <w:rPr>
          <w:szCs w:val="22"/>
        </w:rPr>
        <w:t xml:space="preserve"> </w:t>
      </w:r>
      <w:r w:rsidRPr="00287728">
        <w:rPr>
          <w:szCs w:val="22"/>
        </w:rPr>
        <w:t>more by climate and the number of wheel passes</w:t>
      </w:r>
      <w:r>
        <w:rPr>
          <w:szCs w:val="22"/>
        </w:rPr>
        <w:t>.</w:t>
      </w:r>
    </w:p>
    <w:p w14:paraId="121F2205" w14:textId="48FF2360" w:rsidR="00CD0F5B" w:rsidRPr="001D3A3B" w:rsidRDefault="00CD0F5B" w:rsidP="00CD0F5B">
      <w:pPr>
        <w:pStyle w:val="BodyCopy"/>
        <w:rPr>
          <w:szCs w:val="22"/>
        </w:rPr>
      </w:pPr>
      <w:r>
        <w:rPr>
          <w:szCs w:val="22"/>
        </w:rPr>
        <w:t>In response, t</w:t>
      </w:r>
      <w:r w:rsidRPr="001D3A3B">
        <w:rPr>
          <w:szCs w:val="22"/>
        </w:rPr>
        <w:t>he NTC</w:t>
      </w:r>
      <w:r>
        <w:rPr>
          <w:szCs w:val="22"/>
        </w:rPr>
        <w:t xml:space="preserve"> </w:t>
      </w:r>
      <w:r w:rsidRPr="001D3A3B">
        <w:rPr>
          <w:szCs w:val="22"/>
        </w:rPr>
        <w:t>requested survey</w:t>
      </w:r>
      <w:r>
        <w:rPr>
          <w:szCs w:val="22"/>
        </w:rPr>
        <w:t>-based</w:t>
      </w:r>
      <w:r w:rsidRPr="001D3A3B">
        <w:rPr>
          <w:szCs w:val="22"/>
        </w:rPr>
        <w:t xml:space="preserve"> evidence on the share of road travel on unsealed roads.</w:t>
      </w:r>
      <w:r w:rsidR="00830D17">
        <w:rPr>
          <w:szCs w:val="22"/>
        </w:rPr>
        <w:t xml:space="preserve"> </w:t>
      </w:r>
      <w:r w:rsidRPr="001D3A3B">
        <w:rPr>
          <w:szCs w:val="22"/>
        </w:rPr>
        <w:t>Several industry associations provided responses</w:t>
      </w:r>
      <w:r w:rsidR="00064808">
        <w:rPr>
          <w:szCs w:val="22"/>
        </w:rPr>
        <w:t xml:space="preserve"> –</w:t>
      </w:r>
      <w:r w:rsidRPr="001D3A3B">
        <w:rPr>
          <w:szCs w:val="22"/>
        </w:rPr>
        <w:t xml:space="preserve"> the major responses were from the Australian Road Train Association, the Australian Livestock Transport Association, the </w:t>
      </w:r>
      <w:r w:rsidR="00BE7018">
        <w:rPr>
          <w:szCs w:val="22"/>
        </w:rPr>
        <w:t>ATA</w:t>
      </w:r>
      <w:r w:rsidR="00064808" w:rsidRPr="00064808" w:rsidDel="00064808">
        <w:rPr>
          <w:szCs w:val="22"/>
        </w:rPr>
        <w:t xml:space="preserve"> </w:t>
      </w:r>
      <w:r w:rsidRPr="001D3A3B">
        <w:rPr>
          <w:szCs w:val="22"/>
        </w:rPr>
        <w:t>branches in the Northern Territory and Queensland</w:t>
      </w:r>
      <w:r>
        <w:rPr>
          <w:szCs w:val="22"/>
        </w:rPr>
        <w:t>,</w:t>
      </w:r>
      <w:r w:rsidRPr="001D3A3B">
        <w:rPr>
          <w:szCs w:val="22"/>
        </w:rPr>
        <w:t xml:space="preserve"> and the W</w:t>
      </w:r>
      <w:r w:rsidR="00C4270B">
        <w:rPr>
          <w:szCs w:val="22"/>
        </w:rPr>
        <w:t>estern Australian</w:t>
      </w:r>
      <w:r w:rsidRPr="001D3A3B">
        <w:rPr>
          <w:szCs w:val="22"/>
        </w:rPr>
        <w:t xml:space="preserve"> transport forum.</w:t>
      </w:r>
    </w:p>
    <w:p w14:paraId="4F68D708" w14:textId="77777777" w:rsidR="00CD0F5B" w:rsidRPr="001D3A3B" w:rsidRDefault="00CD0F5B" w:rsidP="00CD0F5B">
      <w:pPr>
        <w:pStyle w:val="BodyCopy"/>
        <w:rPr>
          <w:szCs w:val="22"/>
        </w:rPr>
      </w:pPr>
      <w:r w:rsidRPr="001D3A3B">
        <w:rPr>
          <w:szCs w:val="22"/>
        </w:rPr>
        <w:lastRenderedPageBreak/>
        <w:t>A weigh</w:t>
      </w:r>
      <w:r>
        <w:rPr>
          <w:szCs w:val="22"/>
        </w:rPr>
        <w:t>t</w:t>
      </w:r>
      <w:r w:rsidRPr="001D3A3B">
        <w:rPr>
          <w:szCs w:val="22"/>
        </w:rPr>
        <w:t xml:space="preserve">ed average analysis of these survey responses relative to SMVU road train travel estimates resulted in an average unsealed travel share of </w:t>
      </w:r>
      <w:r>
        <w:rPr>
          <w:szCs w:val="22"/>
        </w:rPr>
        <w:t>30 per cent</w:t>
      </w:r>
      <w:r w:rsidRPr="001D3A3B">
        <w:rPr>
          <w:szCs w:val="22"/>
        </w:rPr>
        <w:t xml:space="preserve"> for double road trains and 3</w:t>
      </w:r>
      <w:r>
        <w:rPr>
          <w:szCs w:val="22"/>
        </w:rPr>
        <w:t>5 per cent</w:t>
      </w:r>
      <w:r w:rsidRPr="001D3A3B">
        <w:rPr>
          <w:szCs w:val="22"/>
        </w:rPr>
        <w:t xml:space="preserve"> for triple road trains.</w:t>
      </w:r>
    </w:p>
    <w:p w14:paraId="040E371C" w14:textId="77777777" w:rsidR="00CD0F5B" w:rsidRPr="00445214" w:rsidRDefault="00CD0F5B" w:rsidP="00CD0F5B">
      <w:pPr>
        <w:pStyle w:val="Heading3"/>
      </w:pPr>
      <w:bookmarkStart w:id="256" w:name="_Toc86158455"/>
      <w:r w:rsidRPr="00445214">
        <w:t xml:space="preserve">How the discount </w:t>
      </w:r>
      <w:r>
        <w:t>is</w:t>
      </w:r>
      <w:r w:rsidRPr="00445214">
        <w:t xml:space="preserve"> applied</w:t>
      </w:r>
      <w:bookmarkEnd w:id="256"/>
      <w:r w:rsidRPr="00445214">
        <w:t xml:space="preserve"> </w:t>
      </w:r>
    </w:p>
    <w:p w14:paraId="3064E18C" w14:textId="39E84D1B" w:rsidR="00CD0F5B" w:rsidRDefault="00CD0F5B" w:rsidP="00CD0F5B">
      <w:pPr>
        <w:pStyle w:val="BodyCopy"/>
        <w:rPr>
          <w:szCs w:val="22"/>
        </w:rPr>
      </w:pPr>
      <w:r w:rsidRPr="00445214">
        <w:rPr>
          <w:szCs w:val="22"/>
        </w:rPr>
        <w:t>The unsealed discount is applied just to the ESA</w:t>
      </w:r>
      <w:r>
        <w:rPr>
          <w:szCs w:val="22"/>
        </w:rPr>
        <w:t>-km</w:t>
      </w:r>
      <w:r w:rsidRPr="00445214">
        <w:rPr>
          <w:szCs w:val="22"/>
        </w:rPr>
        <w:t xml:space="preserve"> allocated cost to obtain an adjusted allocated cost overall. The discounted ESA</w:t>
      </w:r>
      <w:r>
        <w:rPr>
          <w:szCs w:val="22"/>
        </w:rPr>
        <w:t>-km</w:t>
      </w:r>
      <w:r w:rsidRPr="00445214">
        <w:rPr>
          <w:szCs w:val="22"/>
        </w:rPr>
        <w:t xml:space="preserve"> element is then redistributed by VKT across the rest of the heavy vehicle and light vehicle fleets</w:t>
      </w:r>
      <w:r w:rsidR="00064808">
        <w:rPr>
          <w:szCs w:val="22"/>
        </w:rPr>
        <w:t>,</w:t>
      </w:r>
      <w:r w:rsidRPr="00445214">
        <w:rPr>
          <w:szCs w:val="22"/>
        </w:rPr>
        <w:t xml:space="preserve"> with the </w:t>
      </w:r>
      <w:r>
        <w:rPr>
          <w:szCs w:val="22"/>
        </w:rPr>
        <w:t>vast majority</w:t>
      </w:r>
      <w:r w:rsidRPr="00445214">
        <w:rPr>
          <w:szCs w:val="22"/>
        </w:rPr>
        <w:t xml:space="preserve"> going to the light vehicle fleet.</w:t>
      </w:r>
    </w:p>
    <w:p w14:paraId="292D906D" w14:textId="7D79BC65" w:rsidR="00CD0F5B" w:rsidRPr="002C0AB7" w:rsidRDefault="00CD0F5B" w:rsidP="00CD0F5B">
      <w:pPr>
        <w:pStyle w:val="Heading3"/>
      </w:pPr>
      <w:bookmarkStart w:id="257" w:name="_Toc86158456"/>
      <w:r>
        <w:t>Impacts</w:t>
      </w:r>
      <w:bookmarkEnd w:id="257"/>
    </w:p>
    <w:p w14:paraId="300D1147" w14:textId="73251CA7" w:rsidR="00CD0F5B" w:rsidRDefault="00CD0F5B" w:rsidP="00CD0F5B">
      <w:pPr>
        <w:pStyle w:val="BodyCopy"/>
      </w:pPr>
      <w:r>
        <w:t>The unsealed road travel discounts result in a heavy vehicle cost base that is around $6</w:t>
      </w:r>
      <w:r w:rsidR="3F185DA0">
        <w:t>9</w:t>
      </w:r>
      <w:r w:rsidR="00B25452">
        <w:t xml:space="preserve"> </w:t>
      </w:r>
      <w:r>
        <w:t>m</w:t>
      </w:r>
      <w:r w:rsidR="00B25452">
        <w:t>illion</w:t>
      </w:r>
      <w:r>
        <w:t xml:space="preserve"> (or 1.6 per cent) lower than would otherwise be the case under the current PAYGO model</w:t>
      </w:r>
      <w:r w:rsidR="408C8E10">
        <w:t>.</w:t>
      </w:r>
      <w:r w:rsidRPr="4330F2A8">
        <w:t xml:space="preserve"> </w:t>
      </w:r>
      <w:r w:rsidR="0067759D">
        <w:t>A</w:t>
      </w:r>
      <w:r w:rsidRPr="4330F2A8">
        <w:t>ttributable costs for B-triples and road trains are 14</w:t>
      </w:r>
      <w:r w:rsidR="004240BE">
        <w:rPr>
          <w:szCs w:val="22"/>
        </w:rPr>
        <w:t>–</w:t>
      </w:r>
      <w:r w:rsidRPr="4330F2A8">
        <w:t>17 per cent lower than would otherwise apply. Measuring the impact on heavy vehicle registration charges for B-triples and road trains is less certain due to the broader impacts of charge setting within the PAYGO model.</w:t>
      </w:r>
      <w:r w:rsidRPr="4330F2A8">
        <w:rPr>
          <w:rStyle w:val="FootnoteReference"/>
        </w:rPr>
        <w:footnoteReference w:id="19"/>
      </w:r>
      <w:r w:rsidRPr="4330F2A8">
        <w:t xml:space="preserve"> However, the heavy vehicle industry clearly benefits overall from a lower cost base than otherwise would be the case.</w:t>
      </w:r>
    </w:p>
    <w:p w14:paraId="691D1D9C" w14:textId="20352B9A" w:rsidR="00493B02" w:rsidRDefault="00DA1BDF" w:rsidP="2D14F330">
      <w:pPr>
        <w:pStyle w:val="Heading3"/>
      </w:pPr>
      <w:bookmarkStart w:id="258" w:name="_Toc86158457"/>
      <w:r w:rsidRPr="00DA1BDF">
        <w:t>Summary of submissions</w:t>
      </w:r>
      <w:bookmarkEnd w:id="258"/>
    </w:p>
    <w:p w14:paraId="6A34E10F" w14:textId="2B80F992" w:rsidR="00DA1BDF" w:rsidRPr="00DA1BDF" w:rsidRDefault="55875C5B" w:rsidP="00DA1BDF">
      <w:pPr>
        <w:pStyle w:val="BodyCopy"/>
      </w:pPr>
      <w:r w:rsidRPr="2D14F330">
        <w:rPr>
          <w:szCs w:val="22"/>
        </w:rPr>
        <w:t xml:space="preserve">There was uniform support for continuing with the unsealed travel discount and an updated survey </w:t>
      </w:r>
      <w:r w:rsidRPr="73472ACD">
        <w:rPr>
          <w:szCs w:val="22"/>
        </w:rPr>
        <w:t>f</w:t>
      </w:r>
      <w:r w:rsidR="51F06723" w:rsidRPr="73472ACD">
        <w:rPr>
          <w:szCs w:val="22"/>
        </w:rPr>
        <w:t>rom the submissions including the ATA, Nat</w:t>
      </w:r>
      <w:r w:rsidR="00FE546B">
        <w:rPr>
          <w:szCs w:val="22"/>
        </w:rPr>
        <w:t>R</w:t>
      </w:r>
      <w:r w:rsidR="51F06723" w:rsidRPr="73472ACD">
        <w:rPr>
          <w:szCs w:val="22"/>
        </w:rPr>
        <w:t xml:space="preserve">oad, </w:t>
      </w:r>
      <w:r w:rsidR="0032461D">
        <w:rPr>
          <w:szCs w:val="22"/>
        </w:rPr>
        <w:t xml:space="preserve">the </w:t>
      </w:r>
      <w:r w:rsidR="51F06723" w:rsidRPr="73472ACD">
        <w:rPr>
          <w:szCs w:val="22"/>
        </w:rPr>
        <w:t xml:space="preserve">BIC and ARTC. The major </w:t>
      </w:r>
      <w:r w:rsidR="179B3C05" w:rsidRPr="73472ACD">
        <w:rPr>
          <w:szCs w:val="22"/>
        </w:rPr>
        <w:t xml:space="preserve">trucking associations tried to undertake a survey </w:t>
      </w:r>
      <w:r w:rsidR="00327D14">
        <w:rPr>
          <w:szCs w:val="22"/>
        </w:rPr>
        <w:t>of their members</w:t>
      </w:r>
      <w:r w:rsidR="179B3C05" w:rsidRPr="73472ACD">
        <w:rPr>
          <w:szCs w:val="22"/>
        </w:rPr>
        <w:t xml:space="preserve"> in the available time</w:t>
      </w:r>
      <w:r w:rsidR="00AA7982">
        <w:rPr>
          <w:szCs w:val="22"/>
        </w:rPr>
        <w:t>,</w:t>
      </w:r>
      <w:r w:rsidR="179B3C05" w:rsidRPr="73472ACD">
        <w:rPr>
          <w:szCs w:val="22"/>
        </w:rPr>
        <w:t xml:space="preserve"> b</w:t>
      </w:r>
      <w:r w:rsidR="6E6AD44D" w:rsidRPr="73472ACD">
        <w:rPr>
          <w:szCs w:val="22"/>
        </w:rPr>
        <w:t xml:space="preserve">ut the response rate was very </w:t>
      </w:r>
      <w:r w:rsidR="6E6AD44D" w:rsidRPr="581659B0">
        <w:rPr>
          <w:szCs w:val="22"/>
        </w:rPr>
        <w:t>poor and results inconclusive due to the disruption to the indus</w:t>
      </w:r>
      <w:r w:rsidR="24788524" w:rsidRPr="581659B0">
        <w:rPr>
          <w:szCs w:val="22"/>
        </w:rPr>
        <w:t xml:space="preserve">try from the current pandemic. </w:t>
      </w:r>
    </w:p>
    <w:p w14:paraId="005C98A7" w14:textId="4FA5BBB1" w:rsidR="00CD0F5B" w:rsidRDefault="005472CF" w:rsidP="00CD0F5B">
      <w:pPr>
        <w:pStyle w:val="Heading3"/>
      </w:pPr>
      <w:bookmarkStart w:id="259" w:name="_Toc86158458"/>
      <w:r>
        <w:t>Conclusion and r</w:t>
      </w:r>
      <w:r w:rsidR="00CD0F5B">
        <w:t>ecommendation</w:t>
      </w:r>
      <w:r>
        <w:t>s</w:t>
      </w:r>
      <w:bookmarkEnd w:id="259"/>
    </w:p>
    <w:p w14:paraId="058B5538" w14:textId="4DD0BB47" w:rsidR="001A53BD" w:rsidRPr="001A53BD" w:rsidRDefault="00FE546B" w:rsidP="001A53BD">
      <w:pPr>
        <w:pStyle w:val="BodyCopy"/>
      </w:pPr>
      <w:r>
        <w:t>The NTC had</w:t>
      </w:r>
      <w:r w:rsidR="3DC557D0" w:rsidRPr="509D2CCC">
        <w:t xml:space="preserve"> hoped to have a new unsealed </w:t>
      </w:r>
      <w:r w:rsidR="3DC557D0" w:rsidRPr="00357D40">
        <w:t>travel</w:t>
      </w:r>
      <w:r w:rsidR="3DC557D0" w:rsidRPr="509D2CCC">
        <w:t xml:space="preserve"> survey avai</w:t>
      </w:r>
      <w:r w:rsidR="614176F6" w:rsidRPr="509D2CCC">
        <w:t xml:space="preserve">lable to update the unsealed travel shares from 2005. </w:t>
      </w:r>
      <w:r w:rsidR="614176F6" w:rsidRPr="1F2E185F">
        <w:t xml:space="preserve">However, </w:t>
      </w:r>
      <w:r w:rsidR="4FA1D0A5" w:rsidRPr="1F2E185F">
        <w:t xml:space="preserve">this was not feasible </w:t>
      </w:r>
      <w:r w:rsidR="0011100E">
        <w:t xml:space="preserve">in the available time despite </w:t>
      </w:r>
      <w:r w:rsidR="00555B38">
        <w:t xml:space="preserve">industry associations’ generous assistance, due to </w:t>
      </w:r>
      <w:r w:rsidR="4FA1D0A5" w:rsidRPr="1F2E185F">
        <w:t xml:space="preserve">the </w:t>
      </w:r>
      <w:r w:rsidR="4FA1D0A5" w:rsidRPr="79BE6374">
        <w:t xml:space="preserve">many pressures on the </w:t>
      </w:r>
      <w:r w:rsidR="207CC97B" w:rsidRPr="79BE6374">
        <w:t xml:space="preserve">industry </w:t>
      </w:r>
      <w:r w:rsidR="00AA7982">
        <w:t>caused by</w:t>
      </w:r>
      <w:r w:rsidR="207CC97B" w:rsidRPr="79BE6374">
        <w:t xml:space="preserve"> the ongoing pandemic. The NTC therefore rec</w:t>
      </w:r>
      <w:r w:rsidR="3FD74A3F" w:rsidRPr="79BE6374">
        <w:t>ommends</w:t>
      </w:r>
      <w:r w:rsidR="3DC557D0" w:rsidRPr="509D2CCC">
        <w:t xml:space="preserve"> continu</w:t>
      </w:r>
      <w:r>
        <w:t>ing to use</w:t>
      </w:r>
      <w:r w:rsidR="3DC557D0" w:rsidRPr="509D2CCC">
        <w:t xml:space="preserve"> </w:t>
      </w:r>
      <w:r w:rsidR="33F6A13B" w:rsidRPr="79BE6374">
        <w:t xml:space="preserve">the </w:t>
      </w:r>
      <w:r w:rsidR="3DC557D0" w:rsidRPr="509D2CCC">
        <w:t xml:space="preserve">current approach until better information on travel on unsealed roads can be obtained. </w:t>
      </w:r>
      <w:r w:rsidR="00AC45CE">
        <w:t xml:space="preserve">The </w:t>
      </w:r>
      <w:r w:rsidR="3DC557D0" w:rsidRPr="509D2CCC">
        <w:t xml:space="preserve">NTC </w:t>
      </w:r>
      <w:r w:rsidR="00555B38">
        <w:t>recommends that it</w:t>
      </w:r>
      <w:r w:rsidR="3DC557D0" w:rsidRPr="509D2CCC">
        <w:t xml:space="preserve"> investigate</w:t>
      </w:r>
      <w:r w:rsidR="00AA7982">
        <w:t>s</w:t>
      </w:r>
      <w:r w:rsidR="3DC557D0" w:rsidRPr="509D2CCC">
        <w:t xml:space="preserve"> possible data sources after the determination</w:t>
      </w:r>
      <w:r w:rsidR="00783358">
        <w:t>.</w:t>
      </w:r>
      <w:r w:rsidR="009E61AA">
        <w:t xml:space="preserve"> </w:t>
      </w:r>
    </w:p>
    <w:p w14:paraId="2D4C0981" w14:textId="4473DFCB" w:rsidR="00783358" w:rsidRDefault="00783358" w:rsidP="00FE546B">
      <w:pPr>
        <w:pStyle w:val="BodyCopy"/>
      </w:pPr>
      <w:r>
        <w:t>The NTC recommends that:</w:t>
      </w:r>
    </w:p>
    <w:p w14:paraId="3A5F074A" w14:textId="3D4448A0" w:rsidR="00783358" w:rsidRDefault="00B771F1" w:rsidP="00783358">
      <w:pPr>
        <w:pStyle w:val="List-bulletlvl1"/>
      </w:pPr>
      <w:r>
        <w:t>t</w:t>
      </w:r>
      <w:r w:rsidR="00783358">
        <w:t xml:space="preserve">he current </w:t>
      </w:r>
      <w:r w:rsidR="00A03701">
        <w:t>unsealed road travel discounts continue to be used in the PAYGO model</w:t>
      </w:r>
    </w:p>
    <w:p w14:paraId="25DD9AF3" w14:textId="3E635D13" w:rsidR="00A03701" w:rsidRDefault="00B771F1" w:rsidP="00357D40">
      <w:pPr>
        <w:pStyle w:val="List-bulletlvl1"/>
      </w:pPr>
      <w:r>
        <w:t>t</w:t>
      </w:r>
      <w:r w:rsidR="00A03701">
        <w:t xml:space="preserve">he NTC </w:t>
      </w:r>
      <w:r w:rsidR="001302DB">
        <w:t>investigate</w:t>
      </w:r>
      <w:r w:rsidR="00AA7982">
        <w:t>s</w:t>
      </w:r>
      <w:r w:rsidR="001302DB">
        <w:t xml:space="preserve"> options to update the </w:t>
      </w:r>
      <w:r w:rsidR="00D301D7">
        <w:t xml:space="preserve">percentages used to calculate the </w:t>
      </w:r>
      <w:r w:rsidR="008E45F1">
        <w:t>unsealed road discount in PAYGO</w:t>
      </w:r>
      <w:r w:rsidR="00D301D7">
        <w:t xml:space="preserve"> after the determination.</w:t>
      </w:r>
    </w:p>
    <w:p w14:paraId="7B48539E" w14:textId="2B3C8BF6" w:rsidR="00CD0F5B" w:rsidRDefault="00CD0F5B" w:rsidP="00CD0F5B">
      <w:pPr>
        <w:pStyle w:val="Heading2"/>
      </w:pPr>
      <w:bookmarkStart w:id="260" w:name="_Ref58416291"/>
      <w:bookmarkStart w:id="261" w:name="_Toc86158459"/>
      <w:r>
        <w:lastRenderedPageBreak/>
        <w:t>Community service obligation</w:t>
      </w:r>
      <w:r w:rsidR="00B629C6">
        <w:t>s</w:t>
      </w:r>
      <w:r>
        <w:t xml:space="preserve"> discount</w:t>
      </w:r>
      <w:bookmarkEnd w:id="260"/>
      <w:bookmarkEnd w:id="261"/>
    </w:p>
    <w:p w14:paraId="20BCBC7A" w14:textId="77777777" w:rsidR="00CD0F5B" w:rsidRDefault="00CD0F5B" w:rsidP="00CD0F5B">
      <w:pPr>
        <w:pStyle w:val="Heading3"/>
      </w:pPr>
      <w:bookmarkStart w:id="262" w:name="_Toc86158460"/>
      <w:r>
        <w:t>Issue</w:t>
      </w:r>
      <w:bookmarkEnd w:id="262"/>
    </w:p>
    <w:p w14:paraId="03975357" w14:textId="6C8AFE30" w:rsidR="00CD0F5B" w:rsidRDefault="00CD0F5B" w:rsidP="00CD0F5B">
      <w:pPr>
        <w:pStyle w:val="BodyCopy"/>
      </w:pPr>
      <w:r>
        <w:t xml:space="preserve">At the same time that the issue of unsealed road travel by road trains was being addressed in 2005, the issue of </w:t>
      </w:r>
      <w:r w:rsidR="00C4270B">
        <w:t>c</w:t>
      </w:r>
      <w:r>
        <w:t xml:space="preserve">ommunity </w:t>
      </w:r>
      <w:r w:rsidR="00C4270B">
        <w:t>s</w:t>
      </w:r>
      <w:r>
        <w:t xml:space="preserve">ervice </w:t>
      </w:r>
      <w:r w:rsidR="00C4270B">
        <w:t>o</w:t>
      </w:r>
      <w:r>
        <w:t>bligations (CSOs) also arose. Industry argued that the cost base for heavy vehicles should be adjusted to take account of CSO-related expenditure. This mainly affected the road train industry servicing remote settlements. Industry suggested</w:t>
      </w:r>
      <w:r w:rsidRPr="004813EC">
        <w:t xml:space="preserve"> that a separate CSO </w:t>
      </w:r>
      <w:r>
        <w:t xml:space="preserve">discount </w:t>
      </w:r>
      <w:r w:rsidRPr="004813EC">
        <w:t xml:space="preserve">should apply to remote areas </w:t>
      </w:r>
      <w:r w:rsidR="004240BE">
        <w:t>because</w:t>
      </w:r>
      <w:r w:rsidR="004240BE" w:rsidRPr="004813EC">
        <w:t xml:space="preserve"> </w:t>
      </w:r>
      <w:r w:rsidRPr="004813EC">
        <w:t>road expenditure is often not warranted by traffic levels but is necessary to support these communities</w:t>
      </w:r>
      <w:r>
        <w:t xml:space="preserve">. </w:t>
      </w:r>
    </w:p>
    <w:p w14:paraId="5F64DADD" w14:textId="6E793D1C" w:rsidR="00CD0F5B" w:rsidRDefault="00CD0F5B" w:rsidP="00CD0F5B">
      <w:r w:rsidRPr="00BA5C03">
        <w:rPr>
          <w:sz w:val="22"/>
          <w:szCs w:val="22"/>
        </w:rPr>
        <w:t>The CSO discount rate was based on responses from relevant</w:t>
      </w:r>
      <w:r>
        <w:rPr>
          <w:sz w:val="22"/>
          <w:szCs w:val="22"/>
        </w:rPr>
        <w:t xml:space="preserve"> state and territory</w:t>
      </w:r>
      <w:r w:rsidRPr="00BA5C03">
        <w:rPr>
          <w:sz w:val="22"/>
          <w:szCs w:val="22"/>
        </w:rPr>
        <w:t xml:space="preserve"> </w:t>
      </w:r>
      <w:r>
        <w:rPr>
          <w:sz w:val="22"/>
          <w:szCs w:val="22"/>
        </w:rPr>
        <w:t>transport agency</w:t>
      </w:r>
      <w:r w:rsidRPr="00BA5C03">
        <w:rPr>
          <w:sz w:val="22"/>
          <w:szCs w:val="22"/>
        </w:rPr>
        <w:t xml:space="preserve"> officers that provide </w:t>
      </w:r>
      <w:r>
        <w:rPr>
          <w:sz w:val="22"/>
          <w:szCs w:val="22"/>
        </w:rPr>
        <w:t>the</w:t>
      </w:r>
      <w:r w:rsidRPr="00BA5C03">
        <w:rPr>
          <w:sz w:val="22"/>
          <w:szCs w:val="22"/>
        </w:rPr>
        <w:t xml:space="preserve"> annual expenditure returns. Accurate estimates were not possible</w:t>
      </w:r>
      <w:r w:rsidR="004240BE">
        <w:rPr>
          <w:sz w:val="22"/>
          <w:szCs w:val="22"/>
        </w:rPr>
        <w:t>,</w:t>
      </w:r>
      <w:r w:rsidRPr="00BA5C03">
        <w:rPr>
          <w:sz w:val="22"/>
          <w:szCs w:val="22"/>
        </w:rPr>
        <w:t xml:space="preserve"> but approximate estimates of 2</w:t>
      </w:r>
      <w:r w:rsidR="00AA7982">
        <w:rPr>
          <w:sz w:val="22"/>
          <w:szCs w:val="22"/>
        </w:rPr>
        <w:t>–</w:t>
      </w:r>
      <w:r w:rsidRPr="00BA5C03">
        <w:rPr>
          <w:sz w:val="22"/>
          <w:szCs w:val="22"/>
        </w:rPr>
        <w:t>7 per cent were provided for the share of arterial road expenditure that could be considered CSO</w:t>
      </w:r>
      <w:r>
        <w:rPr>
          <w:sz w:val="22"/>
          <w:szCs w:val="22"/>
        </w:rPr>
        <w:t>-</w:t>
      </w:r>
      <w:r w:rsidRPr="00BA5C03">
        <w:rPr>
          <w:sz w:val="22"/>
          <w:szCs w:val="22"/>
        </w:rPr>
        <w:t>related. The NTC adopted a rate of 5 per cent for both double and triple road trains. The issue is whether this discount</w:t>
      </w:r>
      <w:r w:rsidR="00B25452">
        <w:rPr>
          <w:sz w:val="22"/>
          <w:szCs w:val="22"/>
        </w:rPr>
        <w:t xml:space="preserve"> – </w:t>
      </w:r>
      <w:r w:rsidRPr="00BA5C03">
        <w:rPr>
          <w:sz w:val="22"/>
          <w:szCs w:val="22"/>
        </w:rPr>
        <w:t>which has not been reviewed since its inception in 2005</w:t>
      </w:r>
      <w:r w:rsidR="00B25452">
        <w:rPr>
          <w:sz w:val="22"/>
          <w:szCs w:val="22"/>
        </w:rPr>
        <w:t xml:space="preserve"> – </w:t>
      </w:r>
      <w:r w:rsidRPr="00BA5C03">
        <w:rPr>
          <w:sz w:val="22"/>
          <w:szCs w:val="22"/>
        </w:rPr>
        <w:t>should be retained and</w:t>
      </w:r>
      <w:r w:rsidR="004240BE">
        <w:rPr>
          <w:sz w:val="22"/>
          <w:szCs w:val="22"/>
        </w:rPr>
        <w:t>,</w:t>
      </w:r>
      <w:r w:rsidRPr="00BA5C03">
        <w:rPr>
          <w:sz w:val="22"/>
          <w:szCs w:val="22"/>
        </w:rPr>
        <w:t xml:space="preserve"> </w:t>
      </w:r>
      <w:r>
        <w:rPr>
          <w:sz w:val="22"/>
          <w:szCs w:val="22"/>
        </w:rPr>
        <w:t>if yes, whether it should</w:t>
      </w:r>
      <w:r w:rsidRPr="00BA5C03">
        <w:rPr>
          <w:sz w:val="22"/>
          <w:szCs w:val="22"/>
        </w:rPr>
        <w:t xml:space="preserve"> </w:t>
      </w:r>
      <w:r>
        <w:rPr>
          <w:sz w:val="22"/>
          <w:szCs w:val="22"/>
        </w:rPr>
        <w:t>be</w:t>
      </w:r>
      <w:r w:rsidRPr="00BA5C03">
        <w:rPr>
          <w:sz w:val="22"/>
          <w:szCs w:val="22"/>
        </w:rPr>
        <w:t xml:space="preserve"> reviewed with updated estimates</w:t>
      </w:r>
      <w:r>
        <w:t>.</w:t>
      </w:r>
    </w:p>
    <w:p w14:paraId="3B2D3B35" w14:textId="77777777" w:rsidR="00CD0F5B" w:rsidRDefault="00CD0F5B" w:rsidP="00CD0F5B">
      <w:pPr>
        <w:pStyle w:val="Heading3"/>
      </w:pPr>
      <w:bookmarkStart w:id="263" w:name="_Toc86158461"/>
      <w:r>
        <w:t>Analysis and impacts</w:t>
      </w:r>
      <w:bookmarkEnd w:id="263"/>
    </w:p>
    <w:p w14:paraId="514541CF" w14:textId="4104AAE9" w:rsidR="00CD0F5B" w:rsidRPr="00BA5C03" w:rsidRDefault="00CD0F5B" w:rsidP="00CD0F5B">
      <w:pPr>
        <w:rPr>
          <w:sz w:val="22"/>
          <w:szCs w:val="22"/>
        </w:rPr>
      </w:pPr>
      <w:r w:rsidRPr="00BA5C03">
        <w:rPr>
          <w:sz w:val="22"/>
          <w:szCs w:val="22"/>
        </w:rPr>
        <w:t>In the PAYGO model the CSO discount is taken off the adjusted attributable allocated cost for road trains after the unsealed travel</w:t>
      </w:r>
      <w:r>
        <w:rPr>
          <w:sz w:val="22"/>
          <w:szCs w:val="22"/>
        </w:rPr>
        <w:t xml:space="preserve"> discount</w:t>
      </w:r>
      <w:r w:rsidRPr="00BA5C03">
        <w:rPr>
          <w:sz w:val="22"/>
          <w:szCs w:val="22"/>
        </w:rPr>
        <w:t xml:space="preserve"> has first been applied. The cost is then reallocated on a VKT basis to the rest of the heavy and light vehicle fleets, with the light vehicle fleet </w:t>
      </w:r>
      <w:r>
        <w:rPr>
          <w:sz w:val="22"/>
          <w:szCs w:val="22"/>
        </w:rPr>
        <w:t xml:space="preserve">again </w:t>
      </w:r>
      <w:r w:rsidRPr="00BA5C03">
        <w:rPr>
          <w:sz w:val="22"/>
          <w:szCs w:val="22"/>
        </w:rPr>
        <w:t xml:space="preserve">absorbing the </w:t>
      </w:r>
      <w:r>
        <w:rPr>
          <w:sz w:val="22"/>
          <w:szCs w:val="22"/>
        </w:rPr>
        <w:t>vast majority</w:t>
      </w:r>
      <w:r w:rsidRPr="00BA5C03">
        <w:rPr>
          <w:sz w:val="22"/>
          <w:szCs w:val="22"/>
        </w:rPr>
        <w:t>.</w:t>
      </w:r>
    </w:p>
    <w:p w14:paraId="68FA8F11" w14:textId="38FF950C" w:rsidR="00CD0F5B" w:rsidRPr="00BA5C03" w:rsidRDefault="00CD0F5B" w:rsidP="00CD0F5B">
      <w:pPr>
        <w:rPr>
          <w:sz w:val="22"/>
          <w:szCs w:val="22"/>
        </w:rPr>
      </w:pPr>
      <w:r w:rsidRPr="00BA5C03">
        <w:rPr>
          <w:sz w:val="22"/>
          <w:szCs w:val="22"/>
        </w:rPr>
        <w:t xml:space="preserve">The application of the CSO discount on its </w:t>
      </w:r>
      <w:r>
        <w:rPr>
          <w:sz w:val="22"/>
          <w:szCs w:val="22"/>
        </w:rPr>
        <w:t>own</w:t>
      </w:r>
      <w:r w:rsidRPr="00BA5C03">
        <w:rPr>
          <w:sz w:val="22"/>
          <w:szCs w:val="22"/>
        </w:rPr>
        <w:t xml:space="preserve"> (</w:t>
      </w:r>
      <w:r>
        <w:rPr>
          <w:sz w:val="22"/>
          <w:szCs w:val="22"/>
        </w:rPr>
        <w:t>i.</w:t>
      </w:r>
      <w:r w:rsidRPr="00BA5C03">
        <w:rPr>
          <w:sz w:val="22"/>
          <w:szCs w:val="22"/>
        </w:rPr>
        <w:t>e</w:t>
      </w:r>
      <w:r>
        <w:rPr>
          <w:sz w:val="22"/>
          <w:szCs w:val="22"/>
        </w:rPr>
        <w:t>.</w:t>
      </w:r>
      <w:r w:rsidRPr="00BA5C03">
        <w:rPr>
          <w:sz w:val="22"/>
          <w:szCs w:val="22"/>
        </w:rPr>
        <w:t xml:space="preserve"> independent of the unsealed travel discount) results in a heavy vehicle cost base that is $</w:t>
      </w:r>
      <w:r w:rsidRPr="435C51FB">
        <w:rPr>
          <w:sz w:val="22"/>
          <w:szCs w:val="22"/>
        </w:rPr>
        <w:t>1</w:t>
      </w:r>
      <w:r w:rsidR="07A5A2ED" w:rsidRPr="435C51FB">
        <w:rPr>
          <w:sz w:val="22"/>
          <w:szCs w:val="22"/>
        </w:rPr>
        <w:t>2</w:t>
      </w:r>
      <w:r w:rsidR="00B25452">
        <w:rPr>
          <w:sz w:val="22"/>
          <w:szCs w:val="22"/>
        </w:rPr>
        <w:t xml:space="preserve"> </w:t>
      </w:r>
      <w:r w:rsidRPr="00BA5C03">
        <w:rPr>
          <w:sz w:val="22"/>
          <w:szCs w:val="22"/>
        </w:rPr>
        <w:t>m</w:t>
      </w:r>
      <w:r w:rsidR="00B25452">
        <w:rPr>
          <w:sz w:val="22"/>
          <w:szCs w:val="22"/>
        </w:rPr>
        <w:t>illion</w:t>
      </w:r>
      <w:r w:rsidRPr="00BA5C03">
        <w:rPr>
          <w:sz w:val="22"/>
          <w:szCs w:val="22"/>
        </w:rPr>
        <w:t xml:space="preserve"> lower than would otherwise be the case</w:t>
      </w:r>
      <w:r w:rsidR="55B4F2CE" w:rsidRPr="435C51FB">
        <w:rPr>
          <w:sz w:val="22"/>
          <w:szCs w:val="22"/>
        </w:rPr>
        <w:t>.</w:t>
      </w:r>
    </w:p>
    <w:p w14:paraId="64FD7633" w14:textId="03D47DB4" w:rsidR="00DA1BDF" w:rsidRDefault="00DA1BDF" w:rsidP="00DA1BDF">
      <w:pPr>
        <w:pStyle w:val="Heading3"/>
      </w:pPr>
      <w:bookmarkStart w:id="264" w:name="_Toc86158462"/>
      <w:r w:rsidRPr="00DA1BDF">
        <w:t>Summary of submissions</w:t>
      </w:r>
      <w:bookmarkEnd w:id="264"/>
    </w:p>
    <w:p w14:paraId="09E717AB" w14:textId="5653DCB9" w:rsidR="001A53BD" w:rsidRPr="001A53BD" w:rsidRDefault="3A39F179" w:rsidP="001A53BD">
      <w:pPr>
        <w:pStyle w:val="BodyCopy"/>
      </w:pPr>
      <w:r>
        <w:t>Most submissions supported retaining the CSO discount and either exp</w:t>
      </w:r>
      <w:r w:rsidR="1C930CE8">
        <w:t>anding it or doing further work on this subject, such as the submissions from the ATA, Nat</w:t>
      </w:r>
      <w:r w:rsidR="005209CF">
        <w:t>R</w:t>
      </w:r>
      <w:r w:rsidR="1C930CE8">
        <w:t xml:space="preserve">oad and </w:t>
      </w:r>
      <w:r w:rsidR="0032461D">
        <w:t xml:space="preserve">the </w:t>
      </w:r>
      <w:r w:rsidR="4D6976F1">
        <w:t>BIC. In contrast the ARTC supported the NTC</w:t>
      </w:r>
      <w:r w:rsidR="005209CF">
        <w:t>’s</w:t>
      </w:r>
      <w:r w:rsidR="4D6976F1">
        <w:t xml:space="preserve"> position</w:t>
      </w:r>
      <w:r w:rsidR="005209CF">
        <w:t xml:space="preserve"> in the C-RIS to remove the discount</w:t>
      </w:r>
      <w:r w:rsidR="4D6976F1">
        <w:t xml:space="preserve">. </w:t>
      </w:r>
    </w:p>
    <w:p w14:paraId="328EE86A" w14:textId="6DC13063" w:rsidR="493EEA5C" w:rsidRDefault="493EEA5C" w:rsidP="408BFBEE">
      <w:pPr>
        <w:pStyle w:val="BodyCopy"/>
      </w:pPr>
      <w:r>
        <w:t xml:space="preserve">The ATA submission </w:t>
      </w:r>
      <w:r w:rsidR="00057454">
        <w:t>noted</w:t>
      </w:r>
      <w:r>
        <w:t xml:space="preserve"> the high cost to the trucking industry of servicing remote communiti</w:t>
      </w:r>
      <w:r w:rsidR="244C579E">
        <w:t>es with the cost of maintenance and tyres significantly highe</w:t>
      </w:r>
      <w:r w:rsidR="1394FCDA">
        <w:t>r</w:t>
      </w:r>
      <w:r w:rsidR="244C579E">
        <w:t xml:space="preserve"> than in other areas due </w:t>
      </w:r>
      <w:r w:rsidR="06272F1F">
        <w:t>t</w:t>
      </w:r>
      <w:r w:rsidR="244C579E">
        <w:t xml:space="preserve">o the </w:t>
      </w:r>
      <w:r w:rsidR="38A8547D">
        <w:t xml:space="preserve">poor condition of the roads in general. </w:t>
      </w:r>
      <w:r w:rsidR="57DD1EDB">
        <w:t>The ATA</w:t>
      </w:r>
      <w:r w:rsidR="003937AB">
        <w:t xml:space="preserve"> also</w:t>
      </w:r>
      <w:r w:rsidR="57DD1EDB">
        <w:t xml:space="preserve"> refer</w:t>
      </w:r>
      <w:r w:rsidR="00774B26">
        <w:t>red</w:t>
      </w:r>
      <w:r w:rsidR="7976298E">
        <w:t xml:space="preserve"> to the House of Representatives Indigenous Affairs Committee on foo</w:t>
      </w:r>
      <w:r w:rsidR="76B6563B">
        <w:t>d pricing and food security in remote Indigenous communities</w:t>
      </w:r>
      <w:r w:rsidR="0032461D">
        <w:t>,</w:t>
      </w:r>
      <w:r w:rsidR="6A0EB679">
        <w:t xml:space="preserve"> which has a report currently be</w:t>
      </w:r>
      <w:r w:rsidR="00524F1F">
        <w:t>i</w:t>
      </w:r>
      <w:r w:rsidR="6A0EB679">
        <w:t>n</w:t>
      </w:r>
      <w:r w:rsidR="00524F1F">
        <w:t>g</w:t>
      </w:r>
      <w:r w:rsidR="6A0EB679">
        <w:t xml:space="preserve"> considered by the Australian </w:t>
      </w:r>
      <w:r w:rsidR="00415AF6">
        <w:t>G</w:t>
      </w:r>
      <w:r w:rsidR="6A0EB679">
        <w:t xml:space="preserve">overnment </w:t>
      </w:r>
      <w:r w:rsidR="0032461D">
        <w:t xml:space="preserve">that </w:t>
      </w:r>
      <w:r w:rsidR="6A0EB679">
        <w:t>includes recommendations for sub</w:t>
      </w:r>
      <w:r w:rsidR="37B13BEE">
        <w:t>sidis</w:t>
      </w:r>
      <w:r w:rsidR="0032461D">
        <w:t>ing</w:t>
      </w:r>
      <w:r w:rsidR="37B13BEE">
        <w:t xml:space="preserve"> </w:t>
      </w:r>
      <w:r w:rsidR="2F2D452C">
        <w:t>core healthy food freight and subsidies to operators to lower the cost of ser</w:t>
      </w:r>
      <w:r w:rsidR="12347075">
        <w:t xml:space="preserve">vicing these communities. </w:t>
      </w:r>
      <w:r w:rsidR="12347075" w:rsidRPr="5E6269BC">
        <w:rPr>
          <w:szCs w:val="22"/>
        </w:rPr>
        <w:t>The ATA recommend</w:t>
      </w:r>
      <w:r w:rsidR="00766475">
        <w:rPr>
          <w:szCs w:val="22"/>
        </w:rPr>
        <w:t>ed that</w:t>
      </w:r>
      <w:r w:rsidR="12347075" w:rsidRPr="5E6269BC">
        <w:rPr>
          <w:szCs w:val="22"/>
        </w:rPr>
        <w:t xml:space="preserve"> the NTC</w:t>
      </w:r>
      <w:r w:rsidR="00524F1F">
        <w:rPr>
          <w:szCs w:val="22"/>
        </w:rPr>
        <w:t xml:space="preserve"> should</w:t>
      </w:r>
      <w:r w:rsidR="12347075" w:rsidRPr="5E6269BC">
        <w:rPr>
          <w:szCs w:val="22"/>
        </w:rPr>
        <w:t xml:space="preserve"> participate in this who</w:t>
      </w:r>
      <w:r w:rsidR="377D80D1" w:rsidRPr="5E6269BC">
        <w:rPr>
          <w:szCs w:val="22"/>
        </w:rPr>
        <w:t>le</w:t>
      </w:r>
      <w:r w:rsidR="0032461D">
        <w:rPr>
          <w:szCs w:val="22"/>
        </w:rPr>
        <w:t>-</w:t>
      </w:r>
      <w:r w:rsidR="00237B55">
        <w:rPr>
          <w:szCs w:val="22"/>
        </w:rPr>
        <w:t>o</w:t>
      </w:r>
      <w:r w:rsidR="377D80D1" w:rsidRPr="5E6269BC">
        <w:rPr>
          <w:szCs w:val="22"/>
        </w:rPr>
        <w:t>f</w:t>
      </w:r>
      <w:r w:rsidR="0032461D">
        <w:rPr>
          <w:szCs w:val="22"/>
        </w:rPr>
        <w:t>-</w:t>
      </w:r>
      <w:r w:rsidR="377D80D1" w:rsidRPr="024555E0">
        <w:rPr>
          <w:szCs w:val="22"/>
        </w:rPr>
        <w:t>government process.</w:t>
      </w:r>
    </w:p>
    <w:p w14:paraId="576662F4" w14:textId="1D9D2503" w:rsidR="00BC054C" w:rsidRPr="00BC054C" w:rsidRDefault="005472CF" w:rsidP="00BC054C">
      <w:pPr>
        <w:pStyle w:val="Heading3"/>
      </w:pPr>
      <w:bookmarkStart w:id="265" w:name="_Toc86158463"/>
      <w:r>
        <w:t>Conclusion and r</w:t>
      </w:r>
      <w:r w:rsidR="00CD0F5B">
        <w:t>ecommendation</w:t>
      </w:r>
      <w:r>
        <w:t>s</w:t>
      </w:r>
      <w:bookmarkEnd w:id="265"/>
    </w:p>
    <w:p w14:paraId="53543169" w14:textId="65FAD118" w:rsidR="002316D4" w:rsidRDefault="003669B3" w:rsidP="002434A4">
      <w:pPr>
        <w:pStyle w:val="BodyCopy"/>
      </w:pPr>
      <w:r>
        <w:t>While we recognise the importance of CSOs as highlighted in the ATA’s submission,</w:t>
      </w:r>
      <w:r w:rsidR="00C93080">
        <w:t xml:space="preserve"> we do not consider that this supports retaining the current CSO disc</w:t>
      </w:r>
      <w:r w:rsidR="00B771F1">
        <w:t>o</w:t>
      </w:r>
      <w:r w:rsidR="00C93080">
        <w:t>unt mechanism in the PAYGO model. There are still strong reasons to remove it, including t</w:t>
      </w:r>
      <w:r>
        <w:t>he minimal impact of the CSO discount</w:t>
      </w:r>
      <w:r w:rsidR="00C93080">
        <w:t>,</w:t>
      </w:r>
      <w:r>
        <w:t xml:space="preserve"> </w:t>
      </w:r>
      <w:r w:rsidR="00C93080">
        <w:t xml:space="preserve">the </w:t>
      </w:r>
      <w:r>
        <w:t>uncertainty around its estimation</w:t>
      </w:r>
      <w:r w:rsidR="00C93080">
        <w:t xml:space="preserve"> and </w:t>
      </w:r>
      <w:r w:rsidR="002316D4">
        <w:t xml:space="preserve">the fact that it is poorly targeted. </w:t>
      </w:r>
    </w:p>
    <w:p w14:paraId="1ED2A3C5" w14:textId="1EA4F257" w:rsidR="003669B3" w:rsidRPr="003669B3" w:rsidRDefault="00C962C5" w:rsidP="008A167B">
      <w:pPr>
        <w:pStyle w:val="BodyCopy"/>
      </w:pPr>
      <w:r>
        <w:t>The NTC recognises the significant impact to food prices and cost to operators of servicing these areas, as outline</w:t>
      </w:r>
      <w:r w:rsidR="002B3ECE">
        <w:t>d</w:t>
      </w:r>
      <w:r>
        <w:t xml:space="preserve"> in the ATA</w:t>
      </w:r>
      <w:r w:rsidR="008F43D0">
        <w:t>’s submission. However,</w:t>
      </w:r>
      <w:r w:rsidR="00CE3717">
        <w:t xml:space="preserve"> </w:t>
      </w:r>
      <w:r w:rsidR="0058731C">
        <w:t>t</w:t>
      </w:r>
      <w:r w:rsidR="00CE3717">
        <w:t xml:space="preserve">he CSO discount in the PAYGO model relates to the cost to government of trying to maintain roads to these remote </w:t>
      </w:r>
      <w:r w:rsidR="00CE3717">
        <w:lastRenderedPageBreak/>
        <w:t>communities rather than the cost to industry of servicing these communities</w:t>
      </w:r>
      <w:r w:rsidR="0058731C">
        <w:t>.</w:t>
      </w:r>
      <w:r>
        <w:t xml:space="preserve"> </w:t>
      </w:r>
      <w:r w:rsidR="003669B3">
        <w:t>The N</w:t>
      </w:r>
      <w:r w:rsidR="003669B3" w:rsidRPr="727AD5B6">
        <w:rPr>
          <w:szCs w:val="22"/>
        </w:rPr>
        <w:t xml:space="preserve">TC believes there are better policy instruments that </w:t>
      </w:r>
      <w:r w:rsidR="003669B3">
        <w:rPr>
          <w:szCs w:val="22"/>
        </w:rPr>
        <w:t>c</w:t>
      </w:r>
      <w:r w:rsidR="003669B3" w:rsidRPr="727AD5B6">
        <w:rPr>
          <w:szCs w:val="22"/>
        </w:rPr>
        <w:t>an be used in the CSO area</w:t>
      </w:r>
      <w:r w:rsidR="002316D4">
        <w:rPr>
          <w:szCs w:val="22"/>
        </w:rPr>
        <w:t xml:space="preserve">, </w:t>
      </w:r>
      <w:r w:rsidR="00383983">
        <w:rPr>
          <w:szCs w:val="22"/>
        </w:rPr>
        <w:t xml:space="preserve">outside of the PAYGO model, </w:t>
      </w:r>
      <w:r w:rsidR="001E2EC9">
        <w:rPr>
          <w:szCs w:val="22"/>
        </w:rPr>
        <w:t xml:space="preserve">that </w:t>
      </w:r>
      <w:r w:rsidR="00383983">
        <w:rPr>
          <w:szCs w:val="22"/>
        </w:rPr>
        <w:t>can help to better address these issues</w:t>
      </w:r>
      <w:r w:rsidR="002316D4">
        <w:rPr>
          <w:szCs w:val="22"/>
        </w:rPr>
        <w:t>.</w:t>
      </w:r>
      <w:r w:rsidR="00BA07BD">
        <w:rPr>
          <w:szCs w:val="22"/>
        </w:rPr>
        <w:t xml:space="preserve"> </w:t>
      </w:r>
    </w:p>
    <w:p w14:paraId="62EE1366" w14:textId="77777777" w:rsidR="00AF0AA1" w:rsidRDefault="00CD0F5B" w:rsidP="008A167B">
      <w:pPr>
        <w:pStyle w:val="BodyCopy"/>
        <w:rPr>
          <w:szCs w:val="22"/>
        </w:rPr>
      </w:pPr>
      <w:r w:rsidRPr="00BA5C03">
        <w:t xml:space="preserve">The main issue with the CSO discount has always been the ability to measure the CSO component of road expenditure </w:t>
      </w:r>
      <w:r w:rsidR="004240BE" w:rsidRPr="6950A2D5">
        <w:rPr>
          <w:szCs w:val="22"/>
        </w:rPr>
        <w:t xml:space="preserve">because </w:t>
      </w:r>
      <w:r w:rsidRPr="6950A2D5">
        <w:rPr>
          <w:szCs w:val="22"/>
        </w:rPr>
        <w:t xml:space="preserve">road authorities have difficulty isolating and judging whether road expenditure meets the CSO criteria. </w:t>
      </w:r>
    </w:p>
    <w:p w14:paraId="2743924B" w14:textId="04F5C0B2" w:rsidR="004A0679" w:rsidRDefault="00CD0F5B" w:rsidP="008A167B">
      <w:pPr>
        <w:pStyle w:val="BodyCopy"/>
        <w:rPr>
          <w:szCs w:val="22"/>
        </w:rPr>
      </w:pPr>
      <w:r w:rsidRPr="6950A2D5">
        <w:rPr>
          <w:szCs w:val="22"/>
        </w:rPr>
        <w:t xml:space="preserve">Given the </w:t>
      </w:r>
      <w:r w:rsidR="60CAF28F" w:rsidRPr="6950A2D5">
        <w:rPr>
          <w:szCs w:val="22"/>
        </w:rPr>
        <w:t>minimal</w:t>
      </w:r>
      <w:r w:rsidRPr="6950A2D5">
        <w:rPr>
          <w:szCs w:val="22"/>
        </w:rPr>
        <w:t xml:space="preserve"> impact it has on the cost base and the degree of uncertainty in its measurement, the NTC </w:t>
      </w:r>
      <w:r w:rsidR="2999B64B" w:rsidRPr="6950A2D5">
        <w:rPr>
          <w:szCs w:val="22"/>
        </w:rPr>
        <w:t>recommends</w:t>
      </w:r>
      <w:r w:rsidRPr="6950A2D5">
        <w:rPr>
          <w:szCs w:val="22"/>
        </w:rPr>
        <w:t xml:space="preserve"> that</w:t>
      </w:r>
      <w:r w:rsidR="004A0679" w:rsidRPr="6950A2D5">
        <w:rPr>
          <w:szCs w:val="22"/>
        </w:rPr>
        <w:t>:</w:t>
      </w:r>
    </w:p>
    <w:p w14:paraId="0DEF0B60" w14:textId="67EEB0AB" w:rsidR="00CD0F5B" w:rsidRDefault="00CD0F5B" w:rsidP="008A167B">
      <w:pPr>
        <w:pStyle w:val="List-bulletlvl1"/>
        <w:rPr>
          <w:rFonts w:eastAsia="Arial" w:cs="Arial"/>
          <w:color w:val="0078D4"/>
          <w:u w:val="single"/>
          <w:lang w:val="en-US"/>
        </w:rPr>
      </w:pPr>
      <w:r w:rsidRPr="00BA5C03">
        <w:t>th</w:t>
      </w:r>
      <w:r w:rsidR="00931665">
        <w:t>e CSO</w:t>
      </w:r>
      <w:r w:rsidRPr="00BA5C03">
        <w:t xml:space="preserve"> discount</w:t>
      </w:r>
      <w:r w:rsidR="00931665">
        <w:t xml:space="preserve"> </w:t>
      </w:r>
      <w:r w:rsidRPr="00BA5C03">
        <w:t>be discont</w:t>
      </w:r>
      <w:r>
        <w:rPr>
          <w:szCs w:val="22"/>
        </w:rPr>
        <w:t>in</w:t>
      </w:r>
      <w:r w:rsidRPr="00BA5C03">
        <w:rPr>
          <w:szCs w:val="22"/>
        </w:rPr>
        <w:t>ued</w:t>
      </w:r>
      <w:r>
        <w:t>.</w:t>
      </w:r>
      <w:r w:rsidR="033A5544" w:rsidRPr="435C51FB">
        <w:rPr>
          <w:rFonts w:eastAsia="Arial" w:cs="Arial"/>
          <w:color w:val="0078D4"/>
          <w:u w:val="single"/>
          <w:lang w:val="en-US"/>
        </w:rPr>
        <w:t xml:space="preserve"> </w:t>
      </w:r>
    </w:p>
    <w:p w14:paraId="1868F0A3" w14:textId="4A88F3C9" w:rsidR="0063558F" w:rsidRDefault="0063558F" w:rsidP="00AF7B68">
      <w:pPr>
        <w:pStyle w:val="Heading2"/>
      </w:pPr>
      <w:bookmarkStart w:id="266" w:name="_Ref64881129"/>
      <w:bookmarkStart w:id="267" w:name="_Toc86158464"/>
      <w:r>
        <w:t xml:space="preserve">Heavy </w:t>
      </w:r>
      <w:r w:rsidR="000A37DA">
        <w:t>v</w:t>
      </w:r>
      <w:r>
        <w:t xml:space="preserve">ehicle </w:t>
      </w:r>
      <w:r w:rsidR="000A37DA">
        <w:t>c</w:t>
      </w:r>
      <w:r>
        <w:t>oncessions</w:t>
      </w:r>
      <w:bookmarkEnd w:id="266"/>
      <w:bookmarkEnd w:id="267"/>
    </w:p>
    <w:p w14:paraId="6211AF08" w14:textId="3498322C" w:rsidR="000A37DA" w:rsidRDefault="0063558F" w:rsidP="004E791A">
      <w:pPr>
        <w:pStyle w:val="BodyCopy"/>
      </w:pPr>
      <w:r>
        <w:t xml:space="preserve">Heavy vehicle concessions refer to the discounts offered </w:t>
      </w:r>
      <w:r w:rsidR="006B7988">
        <w:t xml:space="preserve">by </w:t>
      </w:r>
      <w:r w:rsidR="005E019F">
        <w:t>s</w:t>
      </w:r>
      <w:r w:rsidR="006B7988">
        <w:t xml:space="preserve">tate and </w:t>
      </w:r>
      <w:r w:rsidR="005E019F">
        <w:t>t</w:t>
      </w:r>
      <w:r w:rsidR="006B7988">
        <w:t xml:space="preserve">erritory governments to some </w:t>
      </w:r>
      <w:r w:rsidR="005B79DD">
        <w:t>recipients such as charity organisations</w:t>
      </w:r>
      <w:r w:rsidR="006B7988">
        <w:t>.</w:t>
      </w:r>
      <w:r w:rsidR="00830D17">
        <w:t xml:space="preserve"> </w:t>
      </w:r>
    </w:p>
    <w:p w14:paraId="48884B18" w14:textId="120B782B" w:rsidR="000A37DA" w:rsidRDefault="00F1280C" w:rsidP="004E791A">
      <w:pPr>
        <w:pStyle w:val="BodyCopy"/>
      </w:pPr>
      <w:r>
        <w:t>The general purpose of heavy vehicle concessions is to alleviate the impact of registration</w:t>
      </w:r>
      <w:r w:rsidR="000A37DA">
        <w:t xml:space="preserve"> charges for particular operators</w:t>
      </w:r>
      <w:r w:rsidDel="00DE5421">
        <w:t xml:space="preserve"> </w:t>
      </w:r>
      <w:r w:rsidR="00DE5421">
        <w:t xml:space="preserve">who </w:t>
      </w:r>
      <w:r>
        <w:t>are facing special circumstances such as primary producers, not-for-profit operators or operators requiring more trailers than usual.</w:t>
      </w:r>
      <w:r w:rsidR="00830D17">
        <w:t xml:space="preserve"> </w:t>
      </w:r>
    </w:p>
    <w:p w14:paraId="7555E054" w14:textId="0DDF2251" w:rsidR="000A37DA" w:rsidRDefault="004240BE" w:rsidP="004E791A">
      <w:pPr>
        <w:pStyle w:val="BodyCopy"/>
      </w:pPr>
      <w:r>
        <w:t>Because</w:t>
      </w:r>
      <w:r w:rsidR="00114017">
        <w:t xml:space="preserve"> the financial impact of concessions is borne by the </w:t>
      </w:r>
      <w:r w:rsidR="00103F62">
        <w:t>jurisdictions</w:t>
      </w:r>
      <w:r w:rsidR="00114017">
        <w:t xml:space="preserve"> that offer them,</w:t>
      </w:r>
      <w:r w:rsidR="00103F62">
        <w:t xml:space="preserve"> concessions have been </w:t>
      </w:r>
      <w:r w:rsidR="000A37DA">
        <w:t>treated as a matter for states and territories to decide individually in previous</w:t>
      </w:r>
      <w:r w:rsidR="005351CF">
        <w:t xml:space="preserve"> determinations. </w:t>
      </w:r>
      <w:r w:rsidR="00B36B3E">
        <w:t>Concessions are not reflected in estimated revenue figures calculated using the PAYGO model.</w:t>
      </w:r>
      <w:r w:rsidR="00830D17">
        <w:t xml:space="preserve"> </w:t>
      </w:r>
    </w:p>
    <w:p w14:paraId="260B5B93" w14:textId="399E1957" w:rsidR="004E791A" w:rsidRDefault="000A37DA" w:rsidP="004E791A">
      <w:pPr>
        <w:pStyle w:val="BodyCopy"/>
      </w:pPr>
      <w:r>
        <w:t>During</w:t>
      </w:r>
      <w:r w:rsidR="005351CF">
        <w:t xml:space="preserve"> consultation, </w:t>
      </w:r>
      <w:r w:rsidR="004B4E33">
        <w:t xml:space="preserve">the general consensus was that this approach should continue for the current </w:t>
      </w:r>
      <w:r w:rsidR="005B6D0D">
        <w:t>determination</w:t>
      </w:r>
      <w:r w:rsidR="00FA4FC1">
        <w:t xml:space="preserve"> </w:t>
      </w:r>
      <w:r w:rsidR="004B4E33">
        <w:t>and</w:t>
      </w:r>
      <w:r w:rsidR="004240BE">
        <w:t>,</w:t>
      </w:r>
      <w:r w:rsidR="004B4E33">
        <w:t xml:space="preserve"> therefore</w:t>
      </w:r>
      <w:r w:rsidR="00A45C6B">
        <w:t xml:space="preserve">, heavy vehicle concessions are not a feature of this </w:t>
      </w:r>
      <w:r w:rsidR="0034470E">
        <w:t>d</w:t>
      </w:r>
      <w:r w:rsidR="00A45C6B">
        <w:t>etermination.</w:t>
      </w:r>
    </w:p>
    <w:p w14:paraId="3DF81934" w14:textId="45AF7C6A" w:rsidR="003B5F4D" w:rsidRDefault="008F6BB9" w:rsidP="008F6BB9">
      <w:pPr>
        <w:pStyle w:val="Heading2"/>
      </w:pPr>
      <w:bookmarkStart w:id="268" w:name="_Toc61877051"/>
      <w:bookmarkStart w:id="269" w:name="_Toc61877052"/>
      <w:bookmarkStart w:id="270" w:name="_Toc61877053"/>
      <w:bookmarkStart w:id="271" w:name="_Toc61877054"/>
      <w:bookmarkStart w:id="272" w:name="_Toc61877057"/>
      <w:bookmarkStart w:id="273" w:name="_Toc59618459"/>
      <w:bookmarkStart w:id="274" w:name="_Toc61877059"/>
      <w:bookmarkStart w:id="275" w:name="_Toc59618461"/>
      <w:bookmarkStart w:id="276" w:name="_Ref58416306"/>
      <w:bookmarkStart w:id="277" w:name="_Toc86158465"/>
      <w:bookmarkEnd w:id="268"/>
      <w:bookmarkEnd w:id="269"/>
      <w:bookmarkEnd w:id="270"/>
      <w:bookmarkEnd w:id="271"/>
      <w:bookmarkEnd w:id="272"/>
      <w:bookmarkEnd w:id="273"/>
      <w:bookmarkEnd w:id="274"/>
      <w:bookmarkEnd w:id="275"/>
      <w:r>
        <w:t>Electric heavy vehicles</w:t>
      </w:r>
      <w:bookmarkEnd w:id="276"/>
      <w:bookmarkEnd w:id="277"/>
    </w:p>
    <w:p w14:paraId="2C5B14AD" w14:textId="4C32FCE1" w:rsidR="008F6BB9" w:rsidRDefault="00303F0D" w:rsidP="00303F0D">
      <w:pPr>
        <w:pStyle w:val="Heading3"/>
      </w:pPr>
      <w:bookmarkStart w:id="278" w:name="_Toc86158466"/>
      <w:r>
        <w:t>Issue</w:t>
      </w:r>
      <w:r w:rsidR="004240BE">
        <w:t>s</w:t>
      </w:r>
      <w:bookmarkEnd w:id="278"/>
    </w:p>
    <w:p w14:paraId="3BE6401D" w14:textId="0B488167" w:rsidR="00381BF6" w:rsidRDefault="00381BF6" w:rsidP="00381BF6">
      <w:pPr>
        <w:pStyle w:val="BodyCopy"/>
      </w:pPr>
      <w:r>
        <w:t>Electric</w:t>
      </w:r>
      <w:r w:rsidR="00055141">
        <w:t xml:space="preserve"> </w:t>
      </w:r>
      <w:r>
        <w:t>vehicles are a</w:t>
      </w:r>
      <w:r w:rsidR="00055141">
        <w:t>n issue for any system that is based</w:t>
      </w:r>
      <w:r w:rsidR="00AB014E">
        <w:t xml:space="preserve"> primari</w:t>
      </w:r>
      <w:r w:rsidR="002B4154">
        <w:t>ly</w:t>
      </w:r>
      <w:r w:rsidR="00055141">
        <w:t xml:space="preserve"> on road</w:t>
      </w:r>
      <w:r w:rsidR="005F7759">
        <w:t>-</w:t>
      </w:r>
      <w:r w:rsidR="00055141">
        <w:t xml:space="preserve">related fuel charges for </w:t>
      </w:r>
      <w:r w:rsidR="002B4154">
        <w:t xml:space="preserve">excise </w:t>
      </w:r>
      <w:r w:rsidR="00055141">
        <w:t xml:space="preserve">revenue such as the </w:t>
      </w:r>
      <w:r w:rsidR="00284AC3">
        <w:t>RUC that applies in Australia to heavy vehicles</w:t>
      </w:r>
      <w:r w:rsidR="00D15FFD">
        <w:t xml:space="preserve">. </w:t>
      </w:r>
      <w:r w:rsidR="00F641E7">
        <w:t>A</w:t>
      </w:r>
      <w:r w:rsidR="00D15FFD">
        <w:t>t present the electric</w:t>
      </w:r>
      <w:r w:rsidR="00295ED8">
        <w:t>-</w:t>
      </w:r>
      <w:r w:rsidR="00D15FFD">
        <w:t>powered heavy ve</w:t>
      </w:r>
      <w:r w:rsidR="00A04C0D">
        <w:t>hicle</w:t>
      </w:r>
      <w:r w:rsidR="00D15FFD">
        <w:t xml:space="preserve"> fleet in Australia is </w:t>
      </w:r>
      <w:r w:rsidR="00091EFE">
        <w:t>insignificant but is forecast to grow substantially off a very small base.</w:t>
      </w:r>
    </w:p>
    <w:p w14:paraId="3D199EFC" w14:textId="5CBF72B2" w:rsidR="00091EFE" w:rsidRPr="00381BF6" w:rsidRDefault="00091EFE" w:rsidP="00381BF6">
      <w:pPr>
        <w:pStyle w:val="BodyCopy"/>
      </w:pPr>
      <w:r>
        <w:t xml:space="preserve">The PAYGO model does not </w:t>
      </w:r>
      <w:r w:rsidR="004240BE">
        <w:t xml:space="preserve">currently </w:t>
      </w:r>
      <w:r>
        <w:t>cater</w:t>
      </w:r>
      <w:r w:rsidR="00E9598D">
        <w:t xml:space="preserve"> for electric vehicle</w:t>
      </w:r>
      <w:r w:rsidR="001A064D">
        <w:t>s</w:t>
      </w:r>
      <w:r w:rsidR="00E9598D">
        <w:t xml:space="preserve"> </w:t>
      </w:r>
      <w:r w:rsidR="004240BE">
        <w:t xml:space="preserve">because </w:t>
      </w:r>
      <w:r w:rsidR="00E9598D">
        <w:t>the RUC assumes that all heavy vehicles use liquid fuels</w:t>
      </w:r>
      <w:r w:rsidR="004240BE">
        <w:t xml:space="preserve"> –</w:t>
      </w:r>
      <w:r w:rsidR="00E9598D">
        <w:t xml:space="preserve"> almost 99 per cent of all heavy vehicle</w:t>
      </w:r>
      <w:r w:rsidR="00347C57">
        <w:t xml:space="preserve"> fuel</w:t>
      </w:r>
      <w:r w:rsidR="00E9598D">
        <w:t xml:space="preserve"> us</w:t>
      </w:r>
      <w:r w:rsidR="00A729A0">
        <w:t>e is</w:t>
      </w:r>
      <w:r w:rsidR="00E9598D">
        <w:t xml:space="preserve"> diesel </w:t>
      </w:r>
      <w:r w:rsidR="007B0089">
        <w:t>(</w:t>
      </w:r>
      <w:r w:rsidR="00E9598D">
        <w:t xml:space="preserve">most of the rest </w:t>
      </w:r>
      <w:r w:rsidR="007B0089">
        <w:t xml:space="preserve">is </w:t>
      </w:r>
      <w:r w:rsidR="001A064D">
        <w:t>c</w:t>
      </w:r>
      <w:r w:rsidR="007B0089">
        <w:t xml:space="preserve">ompressed </w:t>
      </w:r>
      <w:r w:rsidR="001A064D">
        <w:t>n</w:t>
      </w:r>
      <w:r w:rsidR="007B0089">
        <w:t>at</w:t>
      </w:r>
      <w:r w:rsidR="00F10A9F">
        <w:t xml:space="preserve">ural </w:t>
      </w:r>
      <w:r w:rsidR="001A064D">
        <w:t>g</w:t>
      </w:r>
      <w:r w:rsidR="00F10A9F">
        <w:t>as</w:t>
      </w:r>
      <w:r w:rsidR="00E9598D">
        <w:t xml:space="preserve"> used in buses</w:t>
      </w:r>
      <w:r w:rsidR="00F10A9F">
        <w:t>)</w:t>
      </w:r>
      <w:r w:rsidR="00E9598D">
        <w:t>.</w:t>
      </w:r>
      <w:r w:rsidR="00044063">
        <w:t xml:space="preserve"> The SMVU include</w:t>
      </w:r>
      <w:r w:rsidR="00A729A0">
        <w:t>s</w:t>
      </w:r>
      <w:r w:rsidR="00044063">
        <w:t xml:space="preserve"> VKT from the couple of electric heavy vehicles it picked up in its last survey but does not record any fuel use.</w:t>
      </w:r>
      <w:r w:rsidR="00000F74">
        <w:t xml:space="preserve"> </w:t>
      </w:r>
      <w:r w:rsidR="004240BE">
        <w:t>D</w:t>
      </w:r>
      <w:r w:rsidR="00000F74">
        <w:t>o we need to a</w:t>
      </w:r>
      <w:r w:rsidR="00500B55">
        <w:t xml:space="preserve">djust the PAYGO model to enable the impact of electric heavy vehicles to be measured in future and how </w:t>
      </w:r>
      <w:r w:rsidR="004240BE">
        <w:t>should we</w:t>
      </w:r>
      <w:r w:rsidR="00500B55">
        <w:t xml:space="preserve"> do this</w:t>
      </w:r>
      <w:r w:rsidR="008302D9">
        <w:t>?</w:t>
      </w:r>
    </w:p>
    <w:p w14:paraId="63318E44" w14:textId="6BB08D74" w:rsidR="008F6BB9" w:rsidRDefault="00500B55" w:rsidP="00500B55">
      <w:pPr>
        <w:pStyle w:val="Heading3"/>
      </w:pPr>
      <w:bookmarkStart w:id="279" w:name="_Toc86158467"/>
      <w:r>
        <w:t xml:space="preserve">The </w:t>
      </w:r>
      <w:r w:rsidR="00E36A49">
        <w:t>current electric heavy vehicle fleet</w:t>
      </w:r>
      <w:bookmarkEnd w:id="279"/>
    </w:p>
    <w:p w14:paraId="7BD69B42" w14:textId="2D5705F4" w:rsidR="00E36A49" w:rsidRDefault="00E36A49" w:rsidP="00E36A49">
      <w:pPr>
        <w:pStyle w:val="BodyCopy"/>
      </w:pPr>
      <w:r>
        <w:t xml:space="preserve">The NTC has attempted to measure the current </w:t>
      </w:r>
      <w:r w:rsidR="00250605">
        <w:t xml:space="preserve">electric heavy vehicle fleet </w:t>
      </w:r>
      <w:r w:rsidR="00D95E6C">
        <w:t>in Australia with mixed success.</w:t>
      </w:r>
      <w:r w:rsidR="00487812">
        <w:t xml:space="preserve"> </w:t>
      </w:r>
      <w:r w:rsidR="001B5BF6">
        <w:t xml:space="preserve">Part of the issue </w:t>
      </w:r>
      <w:r w:rsidR="00347C57">
        <w:t>is</w:t>
      </w:r>
      <w:r w:rsidR="001B5BF6">
        <w:t xml:space="preserve"> the extent to which electric vehicles are being separately identified </w:t>
      </w:r>
      <w:r w:rsidR="005902E4">
        <w:t>and reported</w:t>
      </w:r>
      <w:r w:rsidR="001B5BF6">
        <w:t xml:space="preserve"> by registration authorities</w:t>
      </w:r>
      <w:r w:rsidR="003C13C1">
        <w:t>.</w:t>
      </w:r>
      <w:r w:rsidR="00830D17">
        <w:t xml:space="preserve"> </w:t>
      </w:r>
    </w:p>
    <w:p w14:paraId="5267A64B" w14:textId="05E2F5A2" w:rsidR="005A12D0" w:rsidRDefault="005A12D0">
      <w:pPr>
        <w:pStyle w:val="BodyCopy"/>
      </w:pPr>
      <w:r>
        <w:lastRenderedPageBreak/>
        <w:t xml:space="preserve">For jurisdictions that do report </w:t>
      </w:r>
      <w:r w:rsidR="0030446C">
        <w:t>data on</w:t>
      </w:r>
      <w:r>
        <w:t xml:space="preserve"> electric heavy vehicles</w:t>
      </w:r>
      <w:r w:rsidR="004240BE">
        <w:t>,</w:t>
      </w:r>
      <w:r>
        <w:t xml:space="preserve"> there are two types</w:t>
      </w:r>
      <w:r w:rsidR="00AF0016">
        <w:t>:</w:t>
      </w:r>
      <w:r>
        <w:t xml:space="preserve"> </w:t>
      </w:r>
      <w:r w:rsidR="00096CEA">
        <w:t>those that are solely electric</w:t>
      </w:r>
      <w:r w:rsidR="00347C57">
        <w:t>-</w:t>
      </w:r>
      <w:r w:rsidR="00096CEA">
        <w:t>powered</w:t>
      </w:r>
      <w:r w:rsidR="00AF0016">
        <w:t>,</w:t>
      </w:r>
      <w:r w:rsidR="00096CEA">
        <w:t xml:space="preserve"> and those that are hybrids wit</w:t>
      </w:r>
      <w:r w:rsidR="00CD33A4">
        <w:t>h</w:t>
      </w:r>
      <w:r w:rsidR="00096CEA">
        <w:t xml:space="preserve"> mixed diesel fuel and </w:t>
      </w:r>
      <w:r w:rsidR="00CD33A4">
        <w:t>electric power capabilities</w:t>
      </w:r>
      <w:r w:rsidR="005C240F">
        <w:t xml:space="preserve"> (as shown in </w:t>
      </w:r>
      <w:r w:rsidR="00BC592E">
        <w:fldChar w:fldCharType="begin"/>
      </w:r>
      <w:r w:rsidR="00BC592E">
        <w:instrText xml:space="preserve"> REF _Ref82165342 \r \h </w:instrText>
      </w:r>
      <w:r w:rsidR="00BC592E">
        <w:fldChar w:fldCharType="separate"/>
      </w:r>
      <w:r w:rsidR="00225EEA">
        <w:t>Table 16</w:t>
      </w:r>
      <w:r w:rsidR="00BC592E">
        <w:fldChar w:fldCharType="end"/>
      </w:r>
      <w:r w:rsidR="005C240F">
        <w:t>)</w:t>
      </w:r>
      <w:r w:rsidR="00CD33A4">
        <w:t>.</w:t>
      </w:r>
      <w:r w:rsidR="00830D17">
        <w:t xml:space="preserve"> </w:t>
      </w:r>
    </w:p>
    <w:p w14:paraId="6C744259" w14:textId="6C6234D9" w:rsidR="00CD33A4" w:rsidRDefault="00CD33A4" w:rsidP="008E5918">
      <w:pPr>
        <w:pStyle w:val="Tabletitle"/>
      </w:pPr>
      <w:bookmarkStart w:id="280" w:name="_Toc59436394"/>
      <w:bookmarkStart w:id="281" w:name="_Ref59538037"/>
      <w:bookmarkStart w:id="282" w:name="_Ref82165342"/>
      <w:bookmarkStart w:id="283" w:name="_Toc86158555"/>
      <w:r>
        <w:t>Electric heavy vehicles reported to date</w:t>
      </w:r>
      <w:bookmarkEnd w:id="280"/>
      <w:bookmarkEnd w:id="281"/>
      <w:bookmarkEnd w:id="282"/>
      <w:bookmarkEnd w:id="283"/>
    </w:p>
    <w:tbl>
      <w:tblPr>
        <w:tblStyle w:val="NTCtable"/>
        <w:tblW w:w="0" w:type="auto"/>
        <w:tblLook w:val="04A0" w:firstRow="1" w:lastRow="0" w:firstColumn="1" w:lastColumn="0" w:noHBand="0" w:noVBand="1"/>
      </w:tblPr>
      <w:tblGrid>
        <w:gridCol w:w="1805"/>
        <w:gridCol w:w="1805"/>
        <w:gridCol w:w="1805"/>
        <w:gridCol w:w="1806"/>
        <w:gridCol w:w="1806"/>
      </w:tblGrid>
      <w:tr w:rsidR="00CD33A4" w14:paraId="5F8E6B34"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1805" w:type="dxa"/>
          </w:tcPr>
          <w:p w14:paraId="2023AF85" w14:textId="624EB621" w:rsidR="00CD33A4" w:rsidRPr="00CD6B04" w:rsidRDefault="00CD33A4" w:rsidP="00E36A49">
            <w:pPr>
              <w:pStyle w:val="BodyCopy"/>
              <w:rPr>
                <w:b/>
                <w:bCs/>
                <w:sz w:val="20"/>
                <w:szCs w:val="20"/>
              </w:rPr>
            </w:pPr>
            <w:r w:rsidRPr="00CD6B04">
              <w:rPr>
                <w:b/>
                <w:bCs/>
                <w:sz w:val="20"/>
                <w:szCs w:val="20"/>
              </w:rPr>
              <w:t xml:space="preserve">Jurisdiction </w:t>
            </w:r>
          </w:p>
        </w:tc>
        <w:tc>
          <w:tcPr>
            <w:tcW w:w="1805" w:type="dxa"/>
          </w:tcPr>
          <w:p w14:paraId="141135FE" w14:textId="35E36930" w:rsidR="00CD33A4" w:rsidRPr="00CD6B04" w:rsidRDefault="00CD33A4" w:rsidP="00E36A49">
            <w:pPr>
              <w:pStyle w:val="BodyCopy"/>
              <w:rPr>
                <w:b/>
                <w:bCs/>
                <w:sz w:val="20"/>
                <w:szCs w:val="20"/>
              </w:rPr>
            </w:pPr>
            <w:r w:rsidRPr="00CD6B04">
              <w:rPr>
                <w:b/>
                <w:bCs/>
                <w:sz w:val="20"/>
                <w:szCs w:val="20"/>
              </w:rPr>
              <w:t>Electric only</w:t>
            </w:r>
          </w:p>
        </w:tc>
        <w:tc>
          <w:tcPr>
            <w:tcW w:w="1805" w:type="dxa"/>
          </w:tcPr>
          <w:p w14:paraId="73511F59" w14:textId="0EF0990A" w:rsidR="00CD33A4" w:rsidRPr="00CD6B04" w:rsidRDefault="00CD33A4" w:rsidP="00E36A49">
            <w:pPr>
              <w:pStyle w:val="BodyCopy"/>
              <w:rPr>
                <w:b/>
                <w:bCs/>
                <w:sz w:val="20"/>
                <w:szCs w:val="20"/>
              </w:rPr>
            </w:pPr>
            <w:r w:rsidRPr="00CD6B04">
              <w:rPr>
                <w:b/>
                <w:bCs/>
                <w:sz w:val="20"/>
                <w:szCs w:val="20"/>
              </w:rPr>
              <w:t>Hybrid</w:t>
            </w:r>
          </w:p>
        </w:tc>
        <w:tc>
          <w:tcPr>
            <w:tcW w:w="1806" w:type="dxa"/>
          </w:tcPr>
          <w:p w14:paraId="0A2C7D84" w14:textId="679F4267" w:rsidR="00CD33A4" w:rsidRPr="00CD6B04" w:rsidRDefault="00CD33A4" w:rsidP="00E36A49">
            <w:pPr>
              <w:pStyle w:val="BodyCopy"/>
              <w:rPr>
                <w:b/>
                <w:bCs/>
                <w:sz w:val="20"/>
                <w:szCs w:val="20"/>
              </w:rPr>
            </w:pPr>
            <w:r w:rsidRPr="00CD6B04">
              <w:rPr>
                <w:b/>
                <w:bCs/>
                <w:sz w:val="20"/>
                <w:szCs w:val="20"/>
              </w:rPr>
              <w:t xml:space="preserve">Total electric and </w:t>
            </w:r>
            <w:r w:rsidR="00305BD7" w:rsidRPr="00CD6B04">
              <w:rPr>
                <w:b/>
                <w:bCs/>
                <w:sz w:val="20"/>
                <w:szCs w:val="20"/>
              </w:rPr>
              <w:t xml:space="preserve">hybrid </w:t>
            </w:r>
          </w:p>
        </w:tc>
        <w:tc>
          <w:tcPr>
            <w:tcW w:w="1806" w:type="dxa"/>
          </w:tcPr>
          <w:p w14:paraId="67D7DEE2" w14:textId="1264E348" w:rsidR="00CD33A4" w:rsidRPr="00CD6B04" w:rsidRDefault="00305BD7" w:rsidP="00E36A49">
            <w:pPr>
              <w:pStyle w:val="BodyCopy"/>
              <w:rPr>
                <w:b/>
                <w:bCs/>
                <w:sz w:val="20"/>
                <w:szCs w:val="20"/>
              </w:rPr>
            </w:pPr>
            <w:r w:rsidRPr="00CD6B04">
              <w:rPr>
                <w:b/>
                <w:bCs/>
                <w:sz w:val="20"/>
                <w:szCs w:val="20"/>
              </w:rPr>
              <w:t>Total</w:t>
            </w:r>
            <w:r w:rsidR="00E52FAE" w:rsidRPr="00CD6B04">
              <w:rPr>
                <w:b/>
                <w:bCs/>
                <w:sz w:val="20"/>
                <w:szCs w:val="20"/>
              </w:rPr>
              <w:t xml:space="preserve"> heavy vehicle fleet – all types </w:t>
            </w:r>
          </w:p>
        </w:tc>
      </w:tr>
      <w:tr w:rsidR="00CD33A4" w14:paraId="2AA9D8B2" w14:textId="77777777" w:rsidTr="001C6A15">
        <w:tc>
          <w:tcPr>
            <w:tcW w:w="1805" w:type="dxa"/>
          </w:tcPr>
          <w:p w14:paraId="75B38154" w14:textId="6C73FC32" w:rsidR="00CD33A4" w:rsidRPr="00C4270B" w:rsidRDefault="00E52FAE" w:rsidP="00E36A49">
            <w:pPr>
              <w:pStyle w:val="BodyCopy"/>
              <w:rPr>
                <w:sz w:val="20"/>
                <w:szCs w:val="20"/>
              </w:rPr>
            </w:pPr>
            <w:r w:rsidRPr="00C4270B">
              <w:rPr>
                <w:sz w:val="20"/>
                <w:szCs w:val="20"/>
              </w:rPr>
              <w:t>NSW</w:t>
            </w:r>
          </w:p>
        </w:tc>
        <w:tc>
          <w:tcPr>
            <w:tcW w:w="1805" w:type="dxa"/>
          </w:tcPr>
          <w:p w14:paraId="176C5EAD" w14:textId="77777777" w:rsidR="00CD33A4" w:rsidRPr="00C4270B" w:rsidRDefault="00B519CF" w:rsidP="00E36A49">
            <w:pPr>
              <w:pStyle w:val="BodyCopy"/>
              <w:rPr>
                <w:sz w:val="20"/>
                <w:szCs w:val="20"/>
              </w:rPr>
            </w:pPr>
            <w:r w:rsidRPr="00C4270B">
              <w:rPr>
                <w:sz w:val="20"/>
                <w:szCs w:val="20"/>
              </w:rPr>
              <w:t xml:space="preserve">11 rigid trucks </w:t>
            </w:r>
          </w:p>
          <w:p w14:paraId="027572BF" w14:textId="07CB8536" w:rsidR="00B519CF" w:rsidRPr="00C4270B" w:rsidRDefault="00F657A5" w:rsidP="00E36A49">
            <w:pPr>
              <w:pStyle w:val="BodyCopy"/>
              <w:rPr>
                <w:sz w:val="20"/>
                <w:szCs w:val="20"/>
              </w:rPr>
            </w:pPr>
            <w:r w:rsidRPr="00C4270B">
              <w:rPr>
                <w:sz w:val="20"/>
                <w:szCs w:val="20"/>
              </w:rPr>
              <w:t>11 buses</w:t>
            </w:r>
          </w:p>
        </w:tc>
        <w:tc>
          <w:tcPr>
            <w:tcW w:w="1805" w:type="dxa"/>
          </w:tcPr>
          <w:p w14:paraId="4B010CBE" w14:textId="77777777" w:rsidR="00CD33A4" w:rsidRPr="00C4270B" w:rsidRDefault="00F431EA" w:rsidP="00E36A49">
            <w:pPr>
              <w:pStyle w:val="BodyCopy"/>
              <w:rPr>
                <w:sz w:val="20"/>
                <w:szCs w:val="20"/>
              </w:rPr>
            </w:pPr>
            <w:r w:rsidRPr="00C4270B">
              <w:rPr>
                <w:sz w:val="20"/>
                <w:szCs w:val="20"/>
              </w:rPr>
              <w:t>80 trucks</w:t>
            </w:r>
          </w:p>
          <w:p w14:paraId="6EBFCD58" w14:textId="5C3B1484" w:rsidR="00F431EA" w:rsidRPr="00C4270B" w:rsidRDefault="00F431EA" w:rsidP="00E36A49">
            <w:pPr>
              <w:pStyle w:val="BodyCopy"/>
              <w:rPr>
                <w:sz w:val="20"/>
                <w:szCs w:val="20"/>
              </w:rPr>
            </w:pPr>
            <w:r w:rsidRPr="00C4270B">
              <w:rPr>
                <w:sz w:val="20"/>
                <w:szCs w:val="20"/>
              </w:rPr>
              <w:t>2 prime movers</w:t>
            </w:r>
          </w:p>
        </w:tc>
        <w:tc>
          <w:tcPr>
            <w:tcW w:w="1806" w:type="dxa"/>
          </w:tcPr>
          <w:p w14:paraId="4F359F82" w14:textId="5162A76E" w:rsidR="00CD33A4" w:rsidRPr="00C4270B" w:rsidRDefault="00A72B19" w:rsidP="00E36A49">
            <w:pPr>
              <w:pStyle w:val="BodyCopy"/>
              <w:rPr>
                <w:sz w:val="20"/>
                <w:szCs w:val="20"/>
              </w:rPr>
            </w:pPr>
            <w:r w:rsidRPr="00C4270B">
              <w:rPr>
                <w:sz w:val="20"/>
                <w:szCs w:val="20"/>
              </w:rPr>
              <w:t>104 all types</w:t>
            </w:r>
          </w:p>
        </w:tc>
        <w:tc>
          <w:tcPr>
            <w:tcW w:w="1806" w:type="dxa"/>
          </w:tcPr>
          <w:p w14:paraId="5735166B" w14:textId="0CCFCE15" w:rsidR="00CD33A4" w:rsidRPr="00C4270B" w:rsidRDefault="00393580" w:rsidP="001C6A15">
            <w:pPr>
              <w:pStyle w:val="BodyCopy"/>
              <w:jc w:val="right"/>
              <w:rPr>
                <w:sz w:val="20"/>
                <w:szCs w:val="20"/>
              </w:rPr>
            </w:pPr>
            <w:r w:rsidRPr="00C4270B">
              <w:rPr>
                <w:sz w:val="20"/>
                <w:szCs w:val="20"/>
              </w:rPr>
              <w:t>142,878</w:t>
            </w:r>
          </w:p>
        </w:tc>
      </w:tr>
      <w:tr w:rsidR="00CD33A4" w14:paraId="31DF897E" w14:textId="77777777" w:rsidTr="001C6A15">
        <w:tc>
          <w:tcPr>
            <w:tcW w:w="1805" w:type="dxa"/>
          </w:tcPr>
          <w:p w14:paraId="50EAE5A0" w14:textId="77BE2FB6" w:rsidR="00CD33A4" w:rsidRPr="00C4270B" w:rsidRDefault="006A7360" w:rsidP="00E36A49">
            <w:pPr>
              <w:pStyle w:val="BodyCopy"/>
              <w:rPr>
                <w:sz w:val="20"/>
                <w:szCs w:val="20"/>
              </w:rPr>
            </w:pPr>
            <w:r w:rsidRPr="00C4270B">
              <w:rPr>
                <w:sz w:val="20"/>
                <w:szCs w:val="20"/>
              </w:rPr>
              <w:t>WA</w:t>
            </w:r>
          </w:p>
        </w:tc>
        <w:tc>
          <w:tcPr>
            <w:tcW w:w="1805" w:type="dxa"/>
          </w:tcPr>
          <w:p w14:paraId="62E159B5" w14:textId="77777777" w:rsidR="00CD33A4" w:rsidRPr="00C4270B" w:rsidRDefault="00A545E5" w:rsidP="00E36A49">
            <w:pPr>
              <w:pStyle w:val="BodyCopy"/>
              <w:rPr>
                <w:sz w:val="20"/>
                <w:szCs w:val="20"/>
              </w:rPr>
            </w:pPr>
            <w:r w:rsidRPr="00C4270B">
              <w:rPr>
                <w:sz w:val="20"/>
                <w:szCs w:val="20"/>
              </w:rPr>
              <w:t>3 rigid trucks</w:t>
            </w:r>
          </w:p>
          <w:p w14:paraId="20788512" w14:textId="77777777" w:rsidR="00A545E5" w:rsidRPr="00C4270B" w:rsidRDefault="00A545E5" w:rsidP="00E36A49">
            <w:pPr>
              <w:pStyle w:val="BodyCopy"/>
              <w:rPr>
                <w:sz w:val="20"/>
                <w:szCs w:val="20"/>
              </w:rPr>
            </w:pPr>
            <w:r w:rsidRPr="00C4270B">
              <w:rPr>
                <w:sz w:val="20"/>
                <w:szCs w:val="20"/>
              </w:rPr>
              <w:t>1 prime mover</w:t>
            </w:r>
          </w:p>
          <w:p w14:paraId="5E781778" w14:textId="5533F42E" w:rsidR="003B17C5" w:rsidRPr="00C4270B" w:rsidRDefault="003B17C5" w:rsidP="00E36A49">
            <w:pPr>
              <w:pStyle w:val="BodyCopy"/>
              <w:rPr>
                <w:sz w:val="20"/>
                <w:szCs w:val="20"/>
              </w:rPr>
            </w:pPr>
            <w:r w:rsidRPr="00C4270B">
              <w:rPr>
                <w:sz w:val="20"/>
                <w:szCs w:val="20"/>
              </w:rPr>
              <w:t xml:space="preserve">1 special vehicle </w:t>
            </w:r>
          </w:p>
        </w:tc>
        <w:tc>
          <w:tcPr>
            <w:tcW w:w="1805" w:type="dxa"/>
          </w:tcPr>
          <w:p w14:paraId="0799E982" w14:textId="77777777" w:rsidR="00CD33A4" w:rsidRPr="00C4270B" w:rsidRDefault="000E2A4A" w:rsidP="00E36A49">
            <w:pPr>
              <w:pStyle w:val="BodyCopy"/>
              <w:rPr>
                <w:sz w:val="20"/>
                <w:szCs w:val="20"/>
              </w:rPr>
            </w:pPr>
            <w:r w:rsidRPr="00C4270B">
              <w:rPr>
                <w:sz w:val="20"/>
                <w:szCs w:val="20"/>
              </w:rPr>
              <w:t>1 rigid truck</w:t>
            </w:r>
          </w:p>
          <w:p w14:paraId="2C447A6E" w14:textId="77777777" w:rsidR="000E2A4A" w:rsidRPr="00C4270B" w:rsidRDefault="000E2A4A" w:rsidP="00E36A49">
            <w:pPr>
              <w:pStyle w:val="BodyCopy"/>
              <w:rPr>
                <w:sz w:val="20"/>
                <w:szCs w:val="20"/>
              </w:rPr>
            </w:pPr>
            <w:r w:rsidRPr="00C4270B">
              <w:rPr>
                <w:sz w:val="20"/>
                <w:szCs w:val="20"/>
              </w:rPr>
              <w:t>2 prime movers</w:t>
            </w:r>
          </w:p>
          <w:p w14:paraId="40294976" w14:textId="0F533627" w:rsidR="000E2A4A" w:rsidRPr="00C4270B" w:rsidRDefault="000E2A4A" w:rsidP="00E36A49">
            <w:pPr>
              <w:pStyle w:val="BodyCopy"/>
              <w:rPr>
                <w:sz w:val="20"/>
                <w:szCs w:val="20"/>
              </w:rPr>
            </w:pPr>
            <w:r w:rsidRPr="00C4270B">
              <w:rPr>
                <w:sz w:val="20"/>
                <w:szCs w:val="20"/>
              </w:rPr>
              <w:t xml:space="preserve">11 special vehicles </w:t>
            </w:r>
          </w:p>
        </w:tc>
        <w:tc>
          <w:tcPr>
            <w:tcW w:w="1806" w:type="dxa"/>
          </w:tcPr>
          <w:p w14:paraId="0AF3F8CE" w14:textId="4FB3E565" w:rsidR="00CD33A4" w:rsidRPr="00C4270B" w:rsidRDefault="000517FC" w:rsidP="00E36A49">
            <w:pPr>
              <w:pStyle w:val="BodyCopy"/>
              <w:rPr>
                <w:sz w:val="20"/>
                <w:szCs w:val="20"/>
              </w:rPr>
            </w:pPr>
            <w:r w:rsidRPr="00C4270B">
              <w:rPr>
                <w:sz w:val="20"/>
                <w:szCs w:val="20"/>
              </w:rPr>
              <w:t>19 all types</w:t>
            </w:r>
          </w:p>
        </w:tc>
        <w:tc>
          <w:tcPr>
            <w:tcW w:w="1806" w:type="dxa"/>
          </w:tcPr>
          <w:p w14:paraId="4C9CAE82" w14:textId="53A4375A" w:rsidR="00CD33A4" w:rsidRPr="00C4270B" w:rsidRDefault="00393580" w:rsidP="001C6A15">
            <w:pPr>
              <w:pStyle w:val="BodyCopy"/>
              <w:jc w:val="right"/>
              <w:rPr>
                <w:sz w:val="20"/>
                <w:szCs w:val="20"/>
              </w:rPr>
            </w:pPr>
            <w:r w:rsidRPr="00C4270B">
              <w:rPr>
                <w:sz w:val="20"/>
                <w:szCs w:val="20"/>
              </w:rPr>
              <w:t>85,752</w:t>
            </w:r>
          </w:p>
        </w:tc>
      </w:tr>
      <w:tr w:rsidR="00C9627D" w14:paraId="7DAB567A" w14:textId="77777777" w:rsidTr="001C6A15">
        <w:tc>
          <w:tcPr>
            <w:tcW w:w="1805" w:type="dxa"/>
          </w:tcPr>
          <w:p w14:paraId="49C896F8" w14:textId="40F94E0A" w:rsidR="00C9627D" w:rsidRPr="00C4270B" w:rsidRDefault="00C9627D" w:rsidP="00E36A49">
            <w:pPr>
              <w:pStyle w:val="BodyCopy"/>
              <w:rPr>
                <w:sz w:val="20"/>
                <w:szCs w:val="20"/>
              </w:rPr>
            </w:pPr>
            <w:r>
              <w:rPr>
                <w:sz w:val="20"/>
                <w:szCs w:val="20"/>
              </w:rPr>
              <w:t>V</w:t>
            </w:r>
            <w:r w:rsidR="00347C57">
              <w:rPr>
                <w:sz w:val="20"/>
                <w:szCs w:val="20"/>
              </w:rPr>
              <w:t>ic</w:t>
            </w:r>
          </w:p>
        </w:tc>
        <w:tc>
          <w:tcPr>
            <w:tcW w:w="1805" w:type="dxa"/>
          </w:tcPr>
          <w:p w14:paraId="2F54781E" w14:textId="2FD03035" w:rsidR="00C9627D" w:rsidRPr="00C4270B" w:rsidRDefault="002C3755" w:rsidP="00E36A49">
            <w:pPr>
              <w:pStyle w:val="BodyCopy"/>
              <w:rPr>
                <w:sz w:val="20"/>
                <w:szCs w:val="20"/>
              </w:rPr>
            </w:pPr>
            <w:r>
              <w:rPr>
                <w:sz w:val="20"/>
                <w:szCs w:val="20"/>
              </w:rPr>
              <w:t>3 buses</w:t>
            </w:r>
          </w:p>
        </w:tc>
        <w:tc>
          <w:tcPr>
            <w:tcW w:w="1805" w:type="dxa"/>
          </w:tcPr>
          <w:p w14:paraId="5690F070" w14:textId="225DCEFD" w:rsidR="00C9627D" w:rsidRPr="00C4270B" w:rsidRDefault="002C3755" w:rsidP="00E36A49">
            <w:pPr>
              <w:pStyle w:val="BodyCopy"/>
              <w:rPr>
                <w:sz w:val="20"/>
                <w:szCs w:val="20"/>
              </w:rPr>
            </w:pPr>
            <w:r>
              <w:rPr>
                <w:sz w:val="20"/>
                <w:szCs w:val="20"/>
              </w:rPr>
              <w:t>22 trucks</w:t>
            </w:r>
          </w:p>
        </w:tc>
        <w:tc>
          <w:tcPr>
            <w:tcW w:w="1806" w:type="dxa"/>
          </w:tcPr>
          <w:p w14:paraId="1164D4DA" w14:textId="1C06F577" w:rsidR="00C9627D" w:rsidRPr="00C4270B" w:rsidRDefault="002C3755" w:rsidP="00E36A49">
            <w:pPr>
              <w:pStyle w:val="BodyCopy"/>
              <w:rPr>
                <w:sz w:val="20"/>
                <w:szCs w:val="20"/>
              </w:rPr>
            </w:pPr>
            <w:r>
              <w:rPr>
                <w:sz w:val="20"/>
                <w:szCs w:val="20"/>
              </w:rPr>
              <w:t>25 all types</w:t>
            </w:r>
          </w:p>
        </w:tc>
        <w:tc>
          <w:tcPr>
            <w:tcW w:w="1806" w:type="dxa"/>
          </w:tcPr>
          <w:p w14:paraId="644672B4" w14:textId="7C4293D2" w:rsidR="00C9627D" w:rsidRPr="00C4270B" w:rsidRDefault="002C3755" w:rsidP="001C6A15">
            <w:pPr>
              <w:pStyle w:val="BodyCopy"/>
              <w:jc w:val="right"/>
              <w:rPr>
                <w:sz w:val="20"/>
                <w:szCs w:val="20"/>
              </w:rPr>
            </w:pPr>
            <w:r>
              <w:rPr>
                <w:sz w:val="20"/>
                <w:szCs w:val="20"/>
              </w:rPr>
              <w:t>137,506</w:t>
            </w:r>
          </w:p>
        </w:tc>
      </w:tr>
      <w:tr w:rsidR="00CD33A4" w14:paraId="5EC6A9A9" w14:textId="77777777" w:rsidTr="001C6A15">
        <w:tc>
          <w:tcPr>
            <w:tcW w:w="1805" w:type="dxa"/>
          </w:tcPr>
          <w:p w14:paraId="67AA7F90" w14:textId="41E8077B" w:rsidR="00CD33A4" w:rsidRPr="00C4270B" w:rsidRDefault="00675F8B" w:rsidP="00E36A49">
            <w:pPr>
              <w:pStyle w:val="BodyCopy"/>
              <w:rPr>
                <w:sz w:val="20"/>
                <w:szCs w:val="20"/>
              </w:rPr>
            </w:pPr>
            <w:r w:rsidRPr="00C4270B">
              <w:rPr>
                <w:sz w:val="20"/>
                <w:szCs w:val="20"/>
              </w:rPr>
              <w:t>NT</w:t>
            </w:r>
          </w:p>
        </w:tc>
        <w:tc>
          <w:tcPr>
            <w:tcW w:w="1805" w:type="dxa"/>
          </w:tcPr>
          <w:p w14:paraId="12EC9A85" w14:textId="388874B1" w:rsidR="00CD33A4" w:rsidRPr="00C4270B" w:rsidRDefault="00903B1D" w:rsidP="00E36A49">
            <w:pPr>
              <w:pStyle w:val="BodyCopy"/>
              <w:rPr>
                <w:sz w:val="20"/>
                <w:szCs w:val="20"/>
              </w:rPr>
            </w:pPr>
            <w:r w:rsidRPr="00C4270B">
              <w:rPr>
                <w:sz w:val="20"/>
                <w:szCs w:val="20"/>
              </w:rPr>
              <w:t>2 special vehicles</w:t>
            </w:r>
          </w:p>
        </w:tc>
        <w:tc>
          <w:tcPr>
            <w:tcW w:w="1805" w:type="dxa"/>
          </w:tcPr>
          <w:p w14:paraId="48708C0A" w14:textId="77777777" w:rsidR="00CD33A4" w:rsidRPr="00C4270B" w:rsidRDefault="00304D3F" w:rsidP="00E36A49">
            <w:pPr>
              <w:pStyle w:val="BodyCopy"/>
              <w:rPr>
                <w:sz w:val="20"/>
                <w:szCs w:val="20"/>
              </w:rPr>
            </w:pPr>
            <w:r w:rsidRPr="00C4270B">
              <w:rPr>
                <w:sz w:val="20"/>
                <w:szCs w:val="20"/>
              </w:rPr>
              <w:t>1 rigid truck</w:t>
            </w:r>
          </w:p>
          <w:p w14:paraId="19F0A6AD" w14:textId="60472B8F" w:rsidR="00304D3F" w:rsidRPr="00C4270B" w:rsidRDefault="00304D3F" w:rsidP="00E36A49">
            <w:pPr>
              <w:pStyle w:val="BodyCopy"/>
              <w:rPr>
                <w:sz w:val="20"/>
                <w:szCs w:val="20"/>
              </w:rPr>
            </w:pPr>
          </w:p>
        </w:tc>
        <w:tc>
          <w:tcPr>
            <w:tcW w:w="1806" w:type="dxa"/>
          </w:tcPr>
          <w:p w14:paraId="403703D4" w14:textId="6C698F0B" w:rsidR="00CD33A4" w:rsidRPr="00C4270B" w:rsidRDefault="00304D3F" w:rsidP="00E36A49">
            <w:pPr>
              <w:pStyle w:val="BodyCopy"/>
              <w:rPr>
                <w:sz w:val="20"/>
                <w:szCs w:val="20"/>
              </w:rPr>
            </w:pPr>
            <w:r w:rsidRPr="00C4270B">
              <w:rPr>
                <w:sz w:val="20"/>
                <w:szCs w:val="20"/>
              </w:rPr>
              <w:t>3 all types</w:t>
            </w:r>
          </w:p>
        </w:tc>
        <w:tc>
          <w:tcPr>
            <w:tcW w:w="1806" w:type="dxa"/>
          </w:tcPr>
          <w:p w14:paraId="199AB2B6" w14:textId="2F7943EB" w:rsidR="00CD33A4" w:rsidRPr="00C4270B" w:rsidRDefault="003C11DA" w:rsidP="001C6A15">
            <w:pPr>
              <w:pStyle w:val="BodyCopy"/>
              <w:jc w:val="right"/>
              <w:rPr>
                <w:sz w:val="20"/>
                <w:szCs w:val="20"/>
              </w:rPr>
            </w:pPr>
            <w:r w:rsidRPr="00C4270B">
              <w:rPr>
                <w:sz w:val="20"/>
                <w:szCs w:val="20"/>
              </w:rPr>
              <w:t>7,023</w:t>
            </w:r>
          </w:p>
        </w:tc>
      </w:tr>
      <w:tr w:rsidR="00675F8B" w14:paraId="35378F64" w14:textId="77777777" w:rsidTr="001C6A15">
        <w:tc>
          <w:tcPr>
            <w:tcW w:w="1805" w:type="dxa"/>
          </w:tcPr>
          <w:p w14:paraId="29B048D0" w14:textId="2562ED91" w:rsidR="00675F8B" w:rsidRPr="00C4270B" w:rsidRDefault="00675F8B" w:rsidP="00E36A49">
            <w:pPr>
              <w:pStyle w:val="BodyCopy"/>
              <w:rPr>
                <w:sz w:val="20"/>
                <w:szCs w:val="20"/>
              </w:rPr>
            </w:pPr>
            <w:r w:rsidRPr="00C4270B">
              <w:rPr>
                <w:sz w:val="20"/>
                <w:szCs w:val="20"/>
              </w:rPr>
              <w:t>ACT</w:t>
            </w:r>
          </w:p>
        </w:tc>
        <w:tc>
          <w:tcPr>
            <w:tcW w:w="1805" w:type="dxa"/>
          </w:tcPr>
          <w:p w14:paraId="6AE61CEA" w14:textId="1E1F4F0F" w:rsidR="00675F8B" w:rsidRPr="00C4270B" w:rsidRDefault="00854397" w:rsidP="00E36A49">
            <w:pPr>
              <w:pStyle w:val="BodyCopy"/>
              <w:rPr>
                <w:sz w:val="20"/>
                <w:szCs w:val="20"/>
              </w:rPr>
            </w:pPr>
            <w:r w:rsidRPr="00C4270B">
              <w:rPr>
                <w:sz w:val="20"/>
                <w:szCs w:val="20"/>
              </w:rPr>
              <w:t>2 buses</w:t>
            </w:r>
          </w:p>
        </w:tc>
        <w:tc>
          <w:tcPr>
            <w:tcW w:w="1805" w:type="dxa"/>
          </w:tcPr>
          <w:p w14:paraId="18F0368B" w14:textId="77777777" w:rsidR="00675F8B" w:rsidRPr="00C4270B" w:rsidRDefault="00675F8B" w:rsidP="00E36A49">
            <w:pPr>
              <w:pStyle w:val="BodyCopy"/>
              <w:rPr>
                <w:sz w:val="20"/>
                <w:szCs w:val="20"/>
              </w:rPr>
            </w:pPr>
          </w:p>
        </w:tc>
        <w:tc>
          <w:tcPr>
            <w:tcW w:w="1806" w:type="dxa"/>
          </w:tcPr>
          <w:p w14:paraId="52693DF3" w14:textId="543D086B" w:rsidR="00675F8B" w:rsidRPr="00C4270B" w:rsidRDefault="00854397" w:rsidP="00E36A49">
            <w:pPr>
              <w:pStyle w:val="BodyCopy"/>
              <w:rPr>
                <w:sz w:val="20"/>
                <w:szCs w:val="20"/>
              </w:rPr>
            </w:pPr>
            <w:r w:rsidRPr="00C4270B">
              <w:rPr>
                <w:sz w:val="20"/>
                <w:szCs w:val="20"/>
              </w:rPr>
              <w:t>2 all types</w:t>
            </w:r>
          </w:p>
        </w:tc>
        <w:tc>
          <w:tcPr>
            <w:tcW w:w="1806" w:type="dxa"/>
          </w:tcPr>
          <w:p w14:paraId="2A7A69BF" w14:textId="0131C5DB" w:rsidR="00675F8B" w:rsidRPr="00C4270B" w:rsidRDefault="003C11DA" w:rsidP="001C6A15">
            <w:pPr>
              <w:pStyle w:val="BodyCopy"/>
              <w:jc w:val="right"/>
              <w:rPr>
                <w:sz w:val="20"/>
                <w:szCs w:val="20"/>
              </w:rPr>
            </w:pPr>
            <w:r w:rsidRPr="00C4270B">
              <w:rPr>
                <w:sz w:val="20"/>
                <w:szCs w:val="20"/>
              </w:rPr>
              <w:t>2,586</w:t>
            </w:r>
          </w:p>
        </w:tc>
      </w:tr>
      <w:tr w:rsidR="001B4C18" w14:paraId="690B9CE4" w14:textId="77777777" w:rsidTr="001C6A15">
        <w:tc>
          <w:tcPr>
            <w:tcW w:w="1805" w:type="dxa"/>
          </w:tcPr>
          <w:p w14:paraId="7B6B2FB4" w14:textId="0F21A306" w:rsidR="001B4C18" w:rsidRPr="00C4270B" w:rsidRDefault="0079175E" w:rsidP="00E36A49">
            <w:pPr>
              <w:pStyle w:val="BodyCopy"/>
              <w:rPr>
                <w:sz w:val="20"/>
                <w:szCs w:val="20"/>
              </w:rPr>
            </w:pPr>
            <w:r w:rsidRPr="00C4270B">
              <w:rPr>
                <w:sz w:val="20"/>
                <w:szCs w:val="20"/>
              </w:rPr>
              <w:t>Q</w:t>
            </w:r>
            <w:r w:rsidR="00C4270B" w:rsidRPr="00C4270B">
              <w:rPr>
                <w:sz w:val="20"/>
                <w:szCs w:val="20"/>
              </w:rPr>
              <w:t>ld</w:t>
            </w:r>
            <w:r w:rsidRPr="00C4270B">
              <w:rPr>
                <w:sz w:val="20"/>
                <w:szCs w:val="20"/>
              </w:rPr>
              <w:t xml:space="preserve"> </w:t>
            </w:r>
          </w:p>
        </w:tc>
        <w:tc>
          <w:tcPr>
            <w:tcW w:w="1805" w:type="dxa"/>
          </w:tcPr>
          <w:p w14:paraId="5A11F7E9" w14:textId="77777777" w:rsidR="001B4C18" w:rsidRPr="00C4270B" w:rsidRDefault="001B4C18" w:rsidP="00E36A49">
            <w:pPr>
              <w:pStyle w:val="BodyCopy"/>
              <w:rPr>
                <w:sz w:val="20"/>
                <w:szCs w:val="20"/>
              </w:rPr>
            </w:pPr>
          </w:p>
        </w:tc>
        <w:tc>
          <w:tcPr>
            <w:tcW w:w="1805" w:type="dxa"/>
          </w:tcPr>
          <w:p w14:paraId="7E6098A8" w14:textId="77777777" w:rsidR="001B4C18" w:rsidRPr="00C4270B" w:rsidRDefault="001B4C18" w:rsidP="00E36A49">
            <w:pPr>
              <w:pStyle w:val="BodyCopy"/>
              <w:rPr>
                <w:sz w:val="20"/>
                <w:szCs w:val="20"/>
              </w:rPr>
            </w:pPr>
          </w:p>
        </w:tc>
        <w:tc>
          <w:tcPr>
            <w:tcW w:w="1806" w:type="dxa"/>
          </w:tcPr>
          <w:p w14:paraId="5ACD5E44" w14:textId="71454F96" w:rsidR="001B4C18" w:rsidRPr="00C4270B" w:rsidRDefault="0079175E" w:rsidP="00E36A49">
            <w:pPr>
              <w:pStyle w:val="BodyCopy"/>
              <w:rPr>
                <w:sz w:val="20"/>
                <w:szCs w:val="20"/>
              </w:rPr>
            </w:pPr>
            <w:r w:rsidRPr="00C4270B">
              <w:rPr>
                <w:sz w:val="20"/>
                <w:szCs w:val="20"/>
              </w:rPr>
              <w:t xml:space="preserve">None listed </w:t>
            </w:r>
          </w:p>
        </w:tc>
        <w:tc>
          <w:tcPr>
            <w:tcW w:w="1806" w:type="dxa"/>
          </w:tcPr>
          <w:p w14:paraId="13A62CA6" w14:textId="53BE491B" w:rsidR="001B4C18" w:rsidRPr="00C4270B" w:rsidRDefault="00393580" w:rsidP="001C6A15">
            <w:pPr>
              <w:pStyle w:val="BodyCopy"/>
              <w:jc w:val="right"/>
              <w:rPr>
                <w:sz w:val="20"/>
                <w:szCs w:val="20"/>
              </w:rPr>
            </w:pPr>
            <w:r w:rsidRPr="00C4270B">
              <w:rPr>
                <w:sz w:val="20"/>
                <w:szCs w:val="20"/>
              </w:rPr>
              <w:t>114</w:t>
            </w:r>
            <w:r w:rsidR="00497816" w:rsidRPr="00C4270B">
              <w:rPr>
                <w:sz w:val="20"/>
                <w:szCs w:val="20"/>
              </w:rPr>
              <w:t>,963</w:t>
            </w:r>
          </w:p>
        </w:tc>
      </w:tr>
      <w:tr w:rsidR="00F870CD" w14:paraId="6F87E9E2" w14:textId="77777777" w:rsidTr="001C6A15">
        <w:tc>
          <w:tcPr>
            <w:tcW w:w="1805" w:type="dxa"/>
          </w:tcPr>
          <w:p w14:paraId="093F681E" w14:textId="71BD16B5" w:rsidR="00F870CD" w:rsidRPr="00C4270B" w:rsidRDefault="00F870CD" w:rsidP="00E36A49">
            <w:pPr>
              <w:pStyle w:val="BodyCopy"/>
              <w:rPr>
                <w:sz w:val="20"/>
                <w:szCs w:val="20"/>
              </w:rPr>
            </w:pPr>
            <w:r w:rsidRPr="00C4270B">
              <w:rPr>
                <w:sz w:val="20"/>
                <w:szCs w:val="20"/>
              </w:rPr>
              <w:t>SA</w:t>
            </w:r>
          </w:p>
        </w:tc>
        <w:tc>
          <w:tcPr>
            <w:tcW w:w="1805" w:type="dxa"/>
          </w:tcPr>
          <w:p w14:paraId="608A047D" w14:textId="77777777" w:rsidR="00F870CD" w:rsidRPr="00C4270B" w:rsidRDefault="00F870CD" w:rsidP="00E36A49">
            <w:pPr>
              <w:pStyle w:val="BodyCopy"/>
              <w:rPr>
                <w:sz w:val="20"/>
                <w:szCs w:val="20"/>
              </w:rPr>
            </w:pPr>
          </w:p>
        </w:tc>
        <w:tc>
          <w:tcPr>
            <w:tcW w:w="1805" w:type="dxa"/>
          </w:tcPr>
          <w:p w14:paraId="29DB1517" w14:textId="77777777" w:rsidR="00F870CD" w:rsidRPr="00C4270B" w:rsidRDefault="00F870CD" w:rsidP="00E36A49">
            <w:pPr>
              <w:pStyle w:val="BodyCopy"/>
              <w:rPr>
                <w:sz w:val="20"/>
                <w:szCs w:val="20"/>
              </w:rPr>
            </w:pPr>
          </w:p>
        </w:tc>
        <w:tc>
          <w:tcPr>
            <w:tcW w:w="1806" w:type="dxa"/>
          </w:tcPr>
          <w:p w14:paraId="54C4D97D" w14:textId="3ED265B0" w:rsidR="00F870CD" w:rsidRPr="00C4270B" w:rsidRDefault="009A3AAF" w:rsidP="00E36A49">
            <w:pPr>
              <w:pStyle w:val="BodyCopy"/>
              <w:rPr>
                <w:sz w:val="20"/>
                <w:szCs w:val="20"/>
              </w:rPr>
            </w:pPr>
            <w:r w:rsidRPr="00C4270B">
              <w:rPr>
                <w:sz w:val="20"/>
                <w:szCs w:val="20"/>
              </w:rPr>
              <w:t>Not recorded</w:t>
            </w:r>
            <w:r w:rsidR="00C5683D" w:rsidRPr="00C4270B">
              <w:rPr>
                <w:sz w:val="20"/>
                <w:szCs w:val="20"/>
              </w:rPr>
              <w:t xml:space="preserve"> yet but will be in fut</w:t>
            </w:r>
            <w:r w:rsidR="0091759B" w:rsidRPr="00C4270B">
              <w:rPr>
                <w:sz w:val="20"/>
                <w:szCs w:val="20"/>
              </w:rPr>
              <w:t>ure</w:t>
            </w:r>
          </w:p>
        </w:tc>
        <w:tc>
          <w:tcPr>
            <w:tcW w:w="1806" w:type="dxa"/>
          </w:tcPr>
          <w:p w14:paraId="1ED86ADA" w14:textId="2FE04325" w:rsidR="00F870CD" w:rsidRPr="00C4270B" w:rsidRDefault="008A435A" w:rsidP="001C6A15">
            <w:pPr>
              <w:pStyle w:val="BodyCopy"/>
              <w:jc w:val="right"/>
              <w:rPr>
                <w:sz w:val="20"/>
                <w:szCs w:val="20"/>
              </w:rPr>
            </w:pPr>
            <w:r w:rsidRPr="00C4270B">
              <w:rPr>
                <w:sz w:val="20"/>
                <w:szCs w:val="20"/>
              </w:rPr>
              <w:t>39,734</w:t>
            </w:r>
          </w:p>
        </w:tc>
      </w:tr>
      <w:tr w:rsidR="001B4C18" w14:paraId="08DDEDCF" w14:textId="77777777" w:rsidTr="001C6A15">
        <w:tc>
          <w:tcPr>
            <w:tcW w:w="1805" w:type="dxa"/>
          </w:tcPr>
          <w:p w14:paraId="7D8EC6B1" w14:textId="1C0F4F5E" w:rsidR="001B4C18" w:rsidRPr="00C4270B" w:rsidRDefault="00675F8B" w:rsidP="00E36A49">
            <w:pPr>
              <w:pStyle w:val="BodyCopy"/>
              <w:rPr>
                <w:sz w:val="20"/>
                <w:szCs w:val="20"/>
              </w:rPr>
            </w:pPr>
            <w:r w:rsidRPr="00C4270B">
              <w:rPr>
                <w:sz w:val="20"/>
                <w:szCs w:val="20"/>
              </w:rPr>
              <w:t>T</w:t>
            </w:r>
            <w:r w:rsidR="00C4270B" w:rsidRPr="00C4270B">
              <w:rPr>
                <w:sz w:val="20"/>
                <w:szCs w:val="20"/>
              </w:rPr>
              <w:t>as</w:t>
            </w:r>
          </w:p>
        </w:tc>
        <w:tc>
          <w:tcPr>
            <w:tcW w:w="1805" w:type="dxa"/>
          </w:tcPr>
          <w:p w14:paraId="69697BC5" w14:textId="77777777" w:rsidR="001B4C18" w:rsidRPr="00C4270B" w:rsidRDefault="001B4C18" w:rsidP="00E36A49">
            <w:pPr>
              <w:pStyle w:val="BodyCopy"/>
              <w:rPr>
                <w:sz w:val="20"/>
                <w:szCs w:val="20"/>
              </w:rPr>
            </w:pPr>
          </w:p>
        </w:tc>
        <w:tc>
          <w:tcPr>
            <w:tcW w:w="1805" w:type="dxa"/>
          </w:tcPr>
          <w:p w14:paraId="0EBE1DFE" w14:textId="77777777" w:rsidR="001B4C18" w:rsidRPr="00C4270B" w:rsidRDefault="001B4C18" w:rsidP="00E36A49">
            <w:pPr>
              <w:pStyle w:val="BodyCopy"/>
              <w:rPr>
                <w:sz w:val="20"/>
                <w:szCs w:val="20"/>
              </w:rPr>
            </w:pPr>
          </w:p>
        </w:tc>
        <w:tc>
          <w:tcPr>
            <w:tcW w:w="1806" w:type="dxa"/>
          </w:tcPr>
          <w:p w14:paraId="2E91628E" w14:textId="1B7413AB" w:rsidR="001B4C18" w:rsidRPr="00C4270B" w:rsidRDefault="0079175E" w:rsidP="00E36A49">
            <w:pPr>
              <w:pStyle w:val="BodyCopy"/>
              <w:rPr>
                <w:sz w:val="20"/>
                <w:szCs w:val="20"/>
              </w:rPr>
            </w:pPr>
            <w:r w:rsidRPr="00C4270B">
              <w:rPr>
                <w:sz w:val="20"/>
                <w:szCs w:val="20"/>
              </w:rPr>
              <w:t>No response</w:t>
            </w:r>
            <w:r w:rsidR="00C76362" w:rsidRPr="00C4270B">
              <w:rPr>
                <w:sz w:val="20"/>
                <w:szCs w:val="20"/>
              </w:rPr>
              <w:t xml:space="preserve"> (may not be </w:t>
            </w:r>
            <w:r w:rsidR="00093DF6" w:rsidRPr="00C4270B">
              <w:rPr>
                <w:sz w:val="20"/>
                <w:szCs w:val="20"/>
              </w:rPr>
              <w:t>identified</w:t>
            </w:r>
            <w:r w:rsidR="00C76362" w:rsidRPr="00C4270B">
              <w:rPr>
                <w:sz w:val="20"/>
                <w:szCs w:val="20"/>
              </w:rPr>
              <w:t>)</w:t>
            </w:r>
          </w:p>
        </w:tc>
        <w:tc>
          <w:tcPr>
            <w:tcW w:w="1806" w:type="dxa"/>
          </w:tcPr>
          <w:p w14:paraId="1A7EADCA" w14:textId="79CE4AFA" w:rsidR="008D7087" w:rsidRPr="00C4270B" w:rsidRDefault="008D7087" w:rsidP="001C6A15">
            <w:pPr>
              <w:pStyle w:val="BodyCopy"/>
              <w:jc w:val="right"/>
              <w:rPr>
                <w:sz w:val="20"/>
                <w:szCs w:val="20"/>
              </w:rPr>
            </w:pPr>
            <w:r w:rsidRPr="00C4270B">
              <w:rPr>
                <w:sz w:val="20"/>
                <w:szCs w:val="20"/>
              </w:rPr>
              <w:t xml:space="preserve"> 14,298</w:t>
            </w:r>
          </w:p>
        </w:tc>
      </w:tr>
      <w:tr w:rsidR="00CD33A4" w14:paraId="61AD4E99" w14:textId="77777777" w:rsidTr="001C6A15">
        <w:tc>
          <w:tcPr>
            <w:tcW w:w="1805" w:type="dxa"/>
          </w:tcPr>
          <w:p w14:paraId="0667A56B" w14:textId="382C5489" w:rsidR="00CD33A4" w:rsidRPr="00CD6B04" w:rsidRDefault="00995DC6" w:rsidP="00E36A49">
            <w:pPr>
              <w:pStyle w:val="BodyCopy"/>
              <w:rPr>
                <w:b/>
                <w:bCs/>
                <w:sz w:val="20"/>
                <w:szCs w:val="20"/>
              </w:rPr>
            </w:pPr>
            <w:r w:rsidRPr="00CD6B04">
              <w:rPr>
                <w:b/>
                <w:bCs/>
                <w:sz w:val="20"/>
                <w:szCs w:val="20"/>
              </w:rPr>
              <w:t xml:space="preserve">Total </w:t>
            </w:r>
          </w:p>
        </w:tc>
        <w:tc>
          <w:tcPr>
            <w:tcW w:w="1805" w:type="dxa"/>
          </w:tcPr>
          <w:p w14:paraId="5141B85C" w14:textId="77777777" w:rsidR="00CD33A4" w:rsidRPr="00CD6B04" w:rsidRDefault="00CD33A4" w:rsidP="00E36A49">
            <w:pPr>
              <w:pStyle w:val="BodyCopy"/>
              <w:rPr>
                <w:b/>
                <w:bCs/>
                <w:sz w:val="20"/>
                <w:szCs w:val="20"/>
              </w:rPr>
            </w:pPr>
          </w:p>
        </w:tc>
        <w:tc>
          <w:tcPr>
            <w:tcW w:w="1805" w:type="dxa"/>
          </w:tcPr>
          <w:p w14:paraId="614A8DFE" w14:textId="77777777" w:rsidR="00CD33A4" w:rsidRPr="00CD6B04" w:rsidRDefault="00CD33A4" w:rsidP="00E36A49">
            <w:pPr>
              <w:pStyle w:val="BodyCopy"/>
              <w:rPr>
                <w:b/>
                <w:bCs/>
                <w:sz w:val="20"/>
                <w:szCs w:val="20"/>
              </w:rPr>
            </w:pPr>
          </w:p>
        </w:tc>
        <w:tc>
          <w:tcPr>
            <w:tcW w:w="1806" w:type="dxa"/>
          </w:tcPr>
          <w:p w14:paraId="04362AAF" w14:textId="55677A0A" w:rsidR="00CD33A4" w:rsidRPr="00CD6B04" w:rsidRDefault="002C3755" w:rsidP="00E36A49">
            <w:pPr>
              <w:pStyle w:val="BodyCopy"/>
              <w:rPr>
                <w:b/>
                <w:bCs/>
                <w:sz w:val="20"/>
                <w:szCs w:val="20"/>
              </w:rPr>
            </w:pPr>
            <w:r>
              <w:rPr>
                <w:b/>
                <w:bCs/>
                <w:sz w:val="20"/>
                <w:szCs w:val="20"/>
              </w:rPr>
              <w:t>153</w:t>
            </w:r>
          </w:p>
        </w:tc>
        <w:tc>
          <w:tcPr>
            <w:tcW w:w="1806" w:type="dxa"/>
          </w:tcPr>
          <w:p w14:paraId="2D103426" w14:textId="173A678B" w:rsidR="00CD33A4" w:rsidRPr="00CD6B04" w:rsidRDefault="00497816" w:rsidP="001C6A15">
            <w:pPr>
              <w:pStyle w:val="BodyCopy"/>
              <w:jc w:val="right"/>
              <w:rPr>
                <w:b/>
                <w:bCs/>
                <w:sz w:val="20"/>
                <w:szCs w:val="20"/>
              </w:rPr>
            </w:pPr>
            <w:r w:rsidRPr="00CD6B04">
              <w:rPr>
                <w:b/>
                <w:bCs/>
                <w:sz w:val="20"/>
                <w:szCs w:val="20"/>
              </w:rPr>
              <w:t>543,740</w:t>
            </w:r>
          </w:p>
        </w:tc>
      </w:tr>
    </w:tbl>
    <w:p w14:paraId="24485E17" w14:textId="584AB03C" w:rsidR="00CD33A4" w:rsidRDefault="0048222A" w:rsidP="00E36A49">
      <w:pPr>
        <w:pStyle w:val="BodyCopy"/>
      </w:pPr>
      <w:r>
        <w:t xml:space="preserve">Based on the table above there are </w:t>
      </w:r>
      <w:r w:rsidR="00A3433E">
        <w:t xml:space="preserve">currently </w:t>
      </w:r>
      <w:r>
        <w:t>only 1</w:t>
      </w:r>
      <w:r w:rsidR="002C3755">
        <w:t>53</w:t>
      </w:r>
      <w:r>
        <w:t xml:space="preserve"> </w:t>
      </w:r>
      <w:r w:rsidR="00F2750D">
        <w:t xml:space="preserve">heavy vehicles that are solely electric or </w:t>
      </w:r>
      <w:r w:rsidR="004C00F6">
        <w:t>hybrid</w:t>
      </w:r>
      <w:r w:rsidR="004240BE">
        <w:t>-</w:t>
      </w:r>
      <w:r w:rsidR="004C00F6">
        <w:t xml:space="preserve">powered. This represents just </w:t>
      </w:r>
      <w:r w:rsidR="00690446">
        <w:t>0.0</w:t>
      </w:r>
      <w:r w:rsidR="002C3755">
        <w:t>3</w:t>
      </w:r>
      <w:r w:rsidR="00690446">
        <w:t xml:space="preserve"> per cent of the </w:t>
      </w:r>
      <w:r w:rsidR="001D562F">
        <w:t>national heavy vehicle fleet</w:t>
      </w:r>
      <w:r w:rsidR="00EB20A1">
        <w:t xml:space="preserve">. The travel of such a small component of the heavy vehicle fleet </w:t>
      </w:r>
      <w:r w:rsidR="00560A8A">
        <w:t xml:space="preserve">would </w:t>
      </w:r>
      <w:r w:rsidR="009F786C">
        <w:t>be insignif</w:t>
      </w:r>
      <w:r w:rsidR="00720ECF">
        <w:t>icant and would have no impact on the heavy vehicle cost base.</w:t>
      </w:r>
    </w:p>
    <w:p w14:paraId="50888913" w14:textId="787AF4EF" w:rsidR="007029DA" w:rsidRDefault="00347C57" w:rsidP="00E36A49">
      <w:pPr>
        <w:pStyle w:val="BodyCopy"/>
      </w:pPr>
      <w:r>
        <w:t>E</w:t>
      </w:r>
      <w:r w:rsidR="007029DA">
        <w:t xml:space="preserve">lectric heavy vehicles will </w:t>
      </w:r>
      <w:r w:rsidR="00846632">
        <w:t>become</w:t>
      </w:r>
      <w:r w:rsidR="004A69D4">
        <w:t xml:space="preserve"> more important as time goes by</w:t>
      </w:r>
      <w:r w:rsidR="004240BE">
        <w:t>,</w:t>
      </w:r>
      <w:r w:rsidR="004A69D4">
        <w:t xml:space="preserve"> and the NTC is aware of </w:t>
      </w:r>
      <w:r w:rsidR="0020685E">
        <w:t xml:space="preserve">international truck and prime mover </w:t>
      </w:r>
      <w:r w:rsidR="00092376">
        <w:t>manufacture</w:t>
      </w:r>
      <w:r w:rsidR="00E229D4">
        <w:t>r</w:t>
      </w:r>
      <w:r w:rsidR="00092376">
        <w:t xml:space="preserve">s investing in </w:t>
      </w:r>
      <w:r w:rsidR="008A7A33">
        <w:t>electric heavy vehicles.</w:t>
      </w:r>
    </w:p>
    <w:p w14:paraId="25E4793F" w14:textId="55BDDEB3" w:rsidR="00DA1BDF" w:rsidRDefault="00DA1BDF" w:rsidP="00DA1BDF">
      <w:pPr>
        <w:pStyle w:val="Heading3"/>
      </w:pPr>
      <w:bookmarkStart w:id="284" w:name="_Toc86158468"/>
      <w:r w:rsidRPr="00DA1BDF">
        <w:lastRenderedPageBreak/>
        <w:t>Summary of submissions</w:t>
      </w:r>
      <w:bookmarkEnd w:id="284"/>
    </w:p>
    <w:p w14:paraId="70154B99" w14:textId="2435E5DC" w:rsidR="00DA1BDF" w:rsidRPr="00DA1BDF" w:rsidRDefault="17918BBC" w:rsidP="00DA1BDF">
      <w:pPr>
        <w:pStyle w:val="BodyCopy"/>
      </w:pPr>
      <w:r>
        <w:t>The submissions agreed with the NTC’s position on electric heavy vehicles for this deter</w:t>
      </w:r>
      <w:r w:rsidR="36643757">
        <w:t>mination</w:t>
      </w:r>
      <w:r w:rsidR="08CCE48F">
        <w:t xml:space="preserve"> </w:t>
      </w:r>
      <w:r w:rsidR="00066B57">
        <w:t>(e.g.</w:t>
      </w:r>
      <w:r w:rsidR="08CCE48F">
        <w:t xml:space="preserve"> the ATA, Nat</w:t>
      </w:r>
      <w:r w:rsidR="361785B3">
        <w:t>R</w:t>
      </w:r>
      <w:r w:rsidR="08CCE48F">
        <w:t xml:space="preserve">oad, </w:t>
      </w:r>
      <w:r w:rsidR="0032461D">
        <w:t xml:space="preserve">the </w:t>
      </w:r>
      <w:r w:rsidR="08CCE48F">
        <w:t>BIC and the NHVR</w:t>
      </w:r>
      <w:r w:rsidR="00066B57">
        <w:t>)</w:t>
      </w:r>
      <w:r w:rsidR="08CCE48F">
        <w:t>.</w:t>
      </w:r>
      <w:r w:rsidR="36643757">
        <w:t xml:space="preserve"> However, they all noted the future potential of electric vehicles and the need for a road pricing system to </w:t>
      </w:r>
      <w:r w:rsidR="502F83E1">
        <w:t>accommodate these vehicles</w:t>
      </w:r>
      <w:r w:rsidR="00066B57">
        <w:t>.</w:t>
      </w:r>
      <w:r w:rsidR="502F83E1">
        <w:t xml:space="preserve"> </w:t>
      </w:r>
    </w:p>
    <w:p w14:paraId="00F8F57C" w14:textId="5829358C" w:rsidR="008A7A33" w:rsidRDefault="005472CF" w:rsidP="00C12646">
      <w:pPr>
        <w:pStyle w:val="Heading3"/>
      </w:pPr>
      <w:bookmarkStart w:id="285" w:name="_Toc86158469"/>
      <w:r>
        <w:t>Conclusion and r</w:t>
      </w:r>
      <w:r w:rsidR="00C12646">
        <w:t>ecommen</w:t>
      </w:r>
      <w:r w:rsidR="00FD148A">
        <w:t>d</w:t>
      </w:r>
      <w:r w:rsidR="00C12646">
        <w:t>ation</w:t>
      </w:r>
      <w:r>
        <w:t>s</w:t>
      </w:r>
      <w:bookmarkEnd w:id="285"/>
    </w:p>
    <w:p w14:paraId="37AEDEC9" w14:textId="7245854A" w:rsidR="00FD148A" w:rsidRDefault="004240BE" w:rsidP="00FD148A">
      <w:pPr>
        <w:pStyle w:val="BodyCopy"/>
      </w:pPr>
      <w:r>
        <w:t xml:space="preserve">Given </w:t>
      </w:r>
      <w:r w:rsidR="006A0984">
        <w:t xml:space="preserve">the electric heavy vehicle fleet is </w:t>
      </w:r>
      <w:r>
        <w:t xml:space="preserve">currently </w:t>
      </w:r>
      <w:r w:rsidR="006A0984">
        <w:t>insignificant</w:t>
      </w:r>
      <w:r>
        <w:t>,</w:t>
      </w:r>
      <w:r w:rsidR="006A0984">
        <w:t xml:space="preserve"> it is proposed that no adjustments be made </w:t>
      </w:r>
      <w:r w:rsidR="006E289F">
        <w:t xml:space="preserve">to </w:t>
      </w:r>
      <w:r w:rsidR="006A0984">
        <w:t>the PAYGO model for the 2021 determination.</w:t>
      </w:r>
      <w:r w:rsidR="00A0434B">
        <w:t xml:space="preserve"> However, given the increasing importance of electric vehicles, and the potential implications for cost recovery from heavy vehicles, we recommend </w:t>
      </w:r>
      <w:r w:rsidR="000C41C0">
        <w:t>that the NTC start</w:t>
      </w:r>
      <w:r w:rsidR="00AE1B83">
        <w:t>s</w:t>
      </w:r>
      <w:r w:rsidR="000C41C0">
        <w:t xml:space="preserve"> collecting data on electric vehicles, assess</w:t>
      </w:r>
      <w:r w:rsidR="00AE1B83">
        <w:t>es</w:t>
      </w:r>
      <w:r w:rsidR="000C41C0">
        <w:t xml:space="preserve"> the likely implications under the current heavy vehicle charges</w:t>
      </w:r>
      <w:r w:rsidR="00C02B9E">
        <w:t xml:space="preserve"> and provide</w:t>
      </w:r>
      <w:r w:rsidR="00AE1B83">
        <w:t>s</w:t>
      </w:r>
      <w:r w:rsidR="00C02B9E">
        <w:t xml:space="preserve"> an update to ITMM in 2024, so that any conclusions can be taken into account at the end of the first three-year fixed</w:t>
      </w:r>
      <w:r w:rsidR="00C415CC">
        <w:t xml:space="preserve"> </w:t>
      </w:r>
      <w:r w:rsidR="00C02B9E">
        <w:t>price charging period</w:t>
      </w:r>
      <w:r w:rsidR="00B82862">
        <w:t>, if agreed by ITMM</w:t>
      </w:r>
      <w:r w:rsidR="00C02B9E">
        <w:t>.</w:t>
      </w:r>
      <w:r w:rsidR="009E61AA">
        <w:t xml:space="preserve"> </w:t>
      </w:r>
    </w:p>
    <w:p w14:paraId="12CF08B9" w14:textId="05A8B114" w:rsidR="00093C53" w:rsidRDefault="00093C53" w:rsidP="00FD148A">
      <w:pPr>
        <w:pStyle w:val="BodyCopy"/>
      </w:pPr>
      <w:r>
        <w:t>The NTC recommends that:</w:t>
      </w:r>
    </w:p>
    <w:p w14:paraId="6BA20918" w14:textId="339DFD7F" w:rsidR="00093C53" w:rsidRDefault="0057636B" w:rsidP="00504C81">
      <w:pPr>
        <w:pStyle w:val="List-bulletlvl1"/>
      </w:pPr>
      <w:r>
        <w:t>s</w:t>
      </w:r>
      <w:r w:rsidR="00504C81">
        <w:t xml:space="preserve">tate and territory road agencies </w:t>
      </w:r>
      <w:r w:rsidR="005B1EE5">
        <w:t>regularly provide data to the NTC on electric vehicles by type</w:t>
      </w:r>
    </w:p>
    <w:p w14:paraId="67FCFD36" w14:textId="0BBF1E12" w:rsidR="00A67BF2" w:rsidRPr="00A67BF2" w:rsidRDefault="0057636B" w:rsidP="00A67BF2">
      <w:pPr>
        <w:pStyle w:val="List-bulletlvl1"/>
      </w:pPr>
      <w:r>
        <w:t>t</w:t>
      </w:r>
      <w:r w:rsidR="00E00979">
        <w:t>he NTC monitor</w:t>
      </w:r>
      <w:r w:rsidR="00AE1B83">
        <w:t>s</w:t>
      </w:r>
      <w:r w:rsidR="00E00979">
        <w:t xml:space="preserve"> the number of electric vehicles</w:t>
      </w:r>
      <w:r w:rsidR="001A7CB6">
        <w:t xml:space="preserve"> over time and assess</w:t>
      </w:r>
      <w:r w:rsidR="00AE1B83">
        <w:t>es</w:t>
      </w:r>
      <w:r w:rsidR="001A7CB6">
        <w:t xml:space="preserve"> their impact on cost recovery for heavy vehicles under the current heavy vehicle charges</w:t>
      </w:r>
      <w:r w:rsidR="00AF1F04">
        <w:t xml:space="preserve"> over time</w:t>
      </w:r>
    </w:p>
    <w:p w14:paraId="0DEC348A" w14:textId="3C314DBC" w:rsidR="00C02B9E" w:rsidRDefault="0057636B" w:rsidP="00504C81">
      <w:pPr>
        <w:pStyle w:val="List-bulletlvl1"/>
      </w:pPr>
      <w:r>
        <w:t>t</w:t>
      </w:r>
      <w:r w:rsidR="00C02B9E">
        <w:t xml:space="preserve">he NTC </w:t>
      </w:r>
      <w:r w:rsidR="00E81EEB">
        <w:t>make</w:t>
      </w:r>
      <w:r w:rsidR="00AE1B83">
        <w:t>s</w:t>
      </w:r>
      <w:r w:rsidR="00E81EEB">
        <w:t xml:space="preserve"> this information available to</w:t>
      </w:r>
      <w:r w:rsidR="00C81279">
        <w:t xml:space="preserve"> states, territories and the Commonwealth through</w:t>
      </w:r>
      <w:r w:rsidR="00E81EEB">
        <w:t xml:space="preserve"> </w:t>
      </w:r>
      <w:r w:rsidR="0018474A">
        <w:t>ITMM</w:t>
      </w:r>
    </w:p>
    <w:p w14:paraId="02F5C4CA" w14:textId="169AB83B" w:rsidR="00460B05" w:rsidRDefault="0057636B" w:rsidP="00357D40">
      <w:pPr>
        <w:pStyle w:val="List-bulletlvl1"/>
      </w:pPr>
      <w:r>
        <w:t>t</w:t>
      </w:r>
      <w:r w:rsidR="00464FE1">
        <w:t>he NTC p</w:t>
      </w:r>
      <w:r w:rsidR="00AF1F04">
        <w:t>rovide</w:t>
      </w:r>
      <w:r w:rsidR="00AE1B83">
        <w:t>s</w:t>
      </w:r>
      <w:r w:rsidR="00AF1F04">
        <w:t xml:space="preserve"> an update to ITMM </w:t>
      </w:r>
      <w:r w:rsidR="0015047E">
        <w:t>at the end of 202</w:t>
      </w:r>
      <w:r w:rsidR="00D5203A">
        <w:t>4.</w:t>
      </w:r>
      <w:r w:rsidR="009E61AA">
        <w:t xml:space="preserve"> </w:t>
      </w:r>
    </w:p>
    <w:p w14:paraId="43D87962" w14:textId="2E68CE02" w:rsidR="00460B05" w:rsidRDefault="00262FB8" w:rsidP="00004A2E">
      <w:pPr>
        <w:pStyle w:val="Heading2"/>
      </w:pPr>
      <w:bookmarkStart w:id="286" w:name="_Ref58416330"/>
      <w:bookmarkStart w:id="287" w:name="_Toc86158470"/>
      <w:r>
        <w:t xml:space="preserve">Recovery of </w:t>
      </w:r>
      <w:r w:rsidR="002F68B0">
        <w:t>r</w:t>
      </w:r>
      <w:r>
        <w:t xml:space="preserve">egulatory </w:t>
      </w:r>
      <w:r w:rsidR="002F68B0">
        <w:t>c</w:t>
      </w:r>
      <w:r>
        <w:t>osts</w:t>
      </w:r>
      <w:bookmarkEnd w:id="286"/>
      <w:bookmarkEnd w:id="287"/>
    </w:p>
    <w:p w14:paraId="696F0F90" w14:textId="35840DF0" w:rsidR="00262FB8" w:rsidRDefault="00262FB8" w:rsidP="00262FB8">
      <w:pPr>
        <w:pStyle w:val="Heading3"/>
      </w:pPr>
      <w:bookmarkStart w:id="288" w:name="_Toc86158471"/>
      <w:r>
        <w:t>Background</w:t>
      </w:r>
      <w:bookmarkEnd w:id="288"/>
    </w:p>
    <w:p w14:paraId="261783BC" w14:textId="5720B961" w:rsidR="00262FB8" w:rsidRDefault="0037622E" w:rsidP="00262FB8">
      <w:pPr>
        <w:pStyle w:val="BodyCopy"/>
      </w:pPr>
      <w:r>
        <w:t xml:space="preserve">When the NHVR was established, the intergovernmental agreement stipulated that the ongoing cost of operating the </w:t>
      </w:r>
      <w:r w:rsidR="004240BE">
        <w:t xml:space="preserve">regulator </w:t>
      </w:r>
      <w:r>
        <w:t xml:space="preserve">would be recovered from heavy vehicle operators through a new regulatory component of registration charges. </w:t>
      </w:r>
    </w:p>
    <w:p w14:paraId="17B705D0" w14:textId="48036A7C" w:rsidR="00AB672A" w:rsidRDefault="00AB672A" w:rsidP="00262FB8">
      <w:pPr>
        <w:pStyle w:val="BodyCopy"/>
      </w:pPr>
      <w:r>
        <w:t>This applies only to heavy vehicles registered in participating states and territories. Registration charges applying in Western Australia and the Northern Territory are set independently from the PAYGO model and reflect regulatory costs of those jurisdictions.</w:t>
      </w:r>
      <w:r w:rsidR="00830D17">
        <w:t xml:space="preserve"> </w:t>
      </w:r>
    </w:p>
    <w:p w14:paraId="25B6D3FA" w14:textId="496AD45A" w:rsidR="00495CB9" w:rsidRDefault="00272899" w:rsidP="00262FB8">
      <w:pPr>
        <w:pStyle w:val="BodyCopy"/>
      </w:pPr>
      <w:r>
        <w:t xml:space="preserve">The approach for setting the regulatory component of registration charges was first set as part of the </w:t>
      </w:r>
      <w:r w:rsidR="00B74BF7">
        <w:t>2014</w:t>
      </w:r>
      <w:r>
        <w:t xml:space="preserve"> determination. However, a separate regulatory component of registration charges was first colle</w:t>
      </w:r>
      <w:r w:rsidR="00495CB9">
        <w:t>cted in 2016</w:t>
      </w:r>
      <w:r w:rsidR="00D66039">
        <w:t>–</w:t>
      </w:r>
      <w:r w:rsidR="00495CB9">
        <w:t>17.</w:t>
      </w:r>
      <w:r w:rsidR="00830D17">
        <w:t xml:space="preserve"> </w:t>
      </w:r>
    </w:p>
    <w:p w14:paraId="0B61D18A" w14:textId="2AC728C3" w:rsidR="00580C96" w:rsidRDefault="00580C96" w:rsidP="00262FB8">
      <w:pPr>
        <w:pStyle w:val="BodyCopy"/>
      </w:pPr>
      <w:r>
        <w:t>As part of this determination, we have reviewed the current approach to ensure it meets the following key objectives of ensuring that:</w:t>
      </w:r>
    </w:p>
    <w:p w14:paraId="2F589A52" w14:textId="62800FE6" w:rsidR="00580C96" w:rsidRDefault="00580C96" w:rsidP="00AF7B68">
      <w:pPr>
        <w:pStyle w:val="List-bulletlvl1"/>
      </w:pPr>
      <w:r>
        <w:t xml:space="preserve">the regulatory component of registration charges continues to provide the NHVR with </w:t>
      </w:r>
      <w:r w:rsidR="004240BE">
        <w:t xml:space="preserve">enough </w:t>
      </w:r>
      <w:r>
        <w:t>revenue to fund its approved budget</w:t>
      </w:r>
    </w:p>
    <w:p w14:paraId="0375F3C4" w14:textId="5A05B0A0" w:rsidR="00580C96" w:rsidRDefault="00580C96" w:rsidP="00AF7B68">
      <w:pPr>
        <w:pStyle w:val="List-bulletlvl1"/>
      </w:pPr>
      <w:r>
        <w:t>the costs of operating the NHVR are allocated between different heavy vehicle types on a reasonable basis.</w:t>
      </w:r>
    </w:p>
    <w:p w14:paraId="7ABF8325" w14:textId="78D7400D" w:rsidR="00262FB8" w:rsidRDefault="003769B6" w:rsidP="003769B6">
      <w:pPr>
        <w:pStyle w:val="Heading3"/>
      </w:pPr>
      <w:bookmarkStart w:id="289" w:name="_Toc86158472"/>
      <w:r>
        <w:lastRenderedPageBreak/>
        <w:t>Current approach</w:t>
      </w:r>
      <w:bookmarkEnd w:id="289"/>
    </w:p>
    <w:p w14:paraId="1D7D9585" w14:textId="469B9626" w:rsidR="00580C96" w:rsidRDefault="00580C96" w:rsidP="00580C96">
      <w:pPr>
        <w:pStyle w:val="BodyCopy"/>
      </w:pPr>
      <w:r>
        <w:t xml:space="preserve">The current approach was developed as part of the </w:t>
      </w:r>
      <w:r w:rsidR="00B74BF7">
        <w:t>2014</w:t>
      </w:r>
      <w:r>
        <w:t xml:space="preserve"> determination. Under this approach, regulatory components of registration charges are set for each individual truck and trailer type as follows:</w:t>
      </w:r>
    </w:p>
    <w:p w14:paraId="17FC5393" w14:textId="49F93216" w:rsidR="00580C96" w:rsidRDefault="00580C96" w:rsidP="00AF7B68">
      <w:pPr>
        <w:pStyle w:val="List-bulletlvl1"/>
      </w:pPr>
      <w:r>
        <w:t>25</w:t>
      </w:r>
      <w:r w:rsidR="00272BD6">
        <w:t xml:space="preserve"> per cent</w:t>
      </w:r>
      <w:r>
        <w:t xml:space="preserve"> of the total budget is allocated on a fixed, per vehicle basis. The intention is to reflect a relationship between the NHVR’s costs and the overall size of the heavy vehicle fleet</w:t>
      </w:r>
      <w:r w:rsidR="00EC4D84">
        <w:t>.</w:t>
      </w:r>
    </w:p>
    <w:p w14:paraId="23BCF14B" w14:textId="1AB56EB5" w:rsidR="00580C96" w:rsidRDefault="00580C96" w:rsidP="00AF7B68">
      <w:pPr>
        <w:pStyle w:val="List-bulletlvl1"/>
      </w:pPr>
      <w:r>
        <w:t>45</w:t>
      </w:r>
      <w:r w:rsidR="00272BD6">
        <w:t xml:space="preserve"> per cent</w:t>
      </w:r>
      <w:r>
        <w:t xml:space="preserve"> of the total budget is allocated on the basis of </w:t>
      </w:r>
      <w:r w:rsidR="004240BE">
        <w:t>AGM</w:t>
      </w:r>
      <w:r>
        <w:t xml:space="preserve"> for this particular vehicle type, representing the concept that the overall risk imposed by heavy vehicles increases with weight</w:t>
      </w:r>
      <w:r w:rsidR="00EC4D84">
        <w:t>.</w:t>
      </w:r>
    </w:p>
    <w:p w14:paraId="2C750139" w14:textId="088CC9A7" w:rsidR="00580C96" w:rsidRDefault="00580C96" w:rsidP="00AF7B68">
      <w:pPr>
        <w:pStyle w:val="List-bulletlvl1"/>
      </w:pPr>
      <w:r>
        <w:t>30</w:t>
      </w:r>
      <w:r w:rsidR="00272BD6">
        <w:t xml:space="preserve"> per cent</w:t>
      </w:r>
      <w:r>
        <w:t xml:space="preserve"> of the total budget is allocated on the basis of </w:t>
      </w:r>
      <w:r w:rsidR="00B25452">
        <w:t>VKT</w:t>
      </w:r>
      <w:r>
        <w:t xml:space="preserve"> for each vehicle type, representing the concept that those vehicle types making greater use of the road network should pay a greater proportion of the NHV</w:t>
      </w:r>
      <w:r w:rsidR="00AB672A">
        <w:t>R’s costs</w:t>
      </w:r>
      <w:r w:rsidR="00EC4D84">
        <w:t>.</w:t>
      </w:r>
    </w:p>
    <w:p w14:paraId="26C2935B" w14:textId="3459F962" w:rsidR="00AB672A" w:rsidRDefault="00AB672A" w:rsidP="00AF7B68">
      <w:pPr>
        <w:pStyle w:val="List-bulletlvl1"/>
      </w:pPr>
      <w:r>
        <w:t xml:space="preserve">Each trailer is charged a fixed </w:t>
      </w:r>
      <w:r w:rsidR="009B3BAB">
        <w:t xml:space="preserve">fee </w:t>
      </w:r>
      <w:r>
        <w:t>($55 in 2020</w:t>
      </w:r>
      <w:r w:rsidR="00272BD6">
        <w:t>–2</w:t>
      </w:r>
      <w:r>
        <w:t>1), recognising the modular nature of the vehicle fleet where trailers can be part of a range of different vehicle types.</w:t>
      </w:r>
    </w:p>
    <w:p w14:paraId="7470296F" w14:textId="62CB98FD" w:rsidR="00AB672A" w:rsidRDefault="00AB672A" w:rsidP="00AB672A">
      <w:pPr>
        <w:pStyle w:val="BodyCopy"/>
      </w:pPr>
      <w:r>
        <w:t>The percentages above were not set based on a quantitative analysis of cost drivers. They were primarily chosen to achieve a reasonable progression of total registration charges across different types of heavy vehicles.</w:t>
      </w:r>
      <w:r w:rsidR="00830D17">
        <w:t xml:space="preserve"> </w:t>
      </w:r>
    </w:p>
    <w:p w14:paraId="78BF8D64" w14:textId="6CF9DFB8" w:rsidR="00AB672A" w:rsidRDefault="001A7FD4" w:rsidP="00AB672A">
      <w:pPr>
        <w:pStyle w:val="BodyCopy"/>
      </w:pPr>
      <w:r>
        <w:fldChar w:fldCharType="begin"/>
      </w:r>
      <w:r>
        <w:instrText xml:space="preserve"> REF _Ref64035545 \r \h </w:instrText>
      </w:r>
      <w:r>
        <w:fldChar w:fldCharType="separate"/>
      </w:r>
      <w:r w:rsidR="00225EEA">
        <w:t>Table 17</w:t>
      </w:r>
      <w:r>
        <w:fldChar w:fldCharType="end"/>
      </w:r>
      <w:r w:rsidR="00AB672A">
        <w:t xml:space="preserve"> shows the roads and regulatory components of registration charges applying to common heavy vehicle types in 2020</w:t>
      </w:r>
      <w:r w:rsidR="00272BD6">
        <w:t>–2</w:t>
      </w:r>
      <w:r w:rsidR="00AB672A">
        <w:t>1.</w:t>
      </w:r>
      <w:r w:rsidR="00830D17">
        <w:t xml:space="preserve"> </w:t>
      </w:r>
    </w:p>
    <w:p w14:paraId="1202E919" w14:textId="755CED95" w:rsidR="008D26DB" w:rsidRDefault="008D26DB" w:rsidP="008D26DB">
      <w:pPr>
        <w:pStyle w:val="Tabletitle"/>
      </w:pPr>
      <w:bookmarkStart w:id="290" w:name="_Ref64035545"/>
      <w:bookmarkStart w:id="291" w:name="_Toc86158556"/>
      <w:r>
        <w:t>Roads and regulatory components of registration charges in 2020</w:t>
      </w:r>
      <w:r w:rsidR="00272BD6">
        <w:t>–2</w:t>
      </w:r>
      <w:r>
        <w:t>1</w:t>
      </w:r>
      <w:bookmarkEnd w:id="290"/>
      <w:bookmarkEnd w:id="291"/>
    </w:p>
    <w:tbl>
      <w:tblPr>
        <w:tblStyle w:val="NTCtable"/>
        <w:tblW w:w="9424" w:type="dxa"/>
        <w:tblLayout w:type="fixed"/>
        <w:tblLook w:val="04A0" w:firstRow="1" w:lastRow="0" w:firstColumn="1" w:lastColumn="0" w:noHBand="0" w:noVBand="1"/>
      </w:tblPr>
      <w:tblGrid>
        <w:gridCol w:w="3402"/>
        <w:gridCol w:w="1701"/>
        <w:gridCol w:w="1440"/>
        <w:gridCol w:w="1440"/>
        <w:gridCol w:w="1441"/>
      </w:tblGrid>
      <w:tr w:rsidR="00746B42" w:rsidRPr="00035E77" w14:paraId="1FAE1CE1" w14:textId="77777777" w:rsidTr="00C4270B">
        <w:trPr>
          <w:cnfStyle w:val="100000000000" w:firstRow="1" w:lastRow="0" w:firstColumn="0" w:lastColumn="0" w:oddVBand="0" w:evenVBand="0" w:oddHBand="0" w:evenHBand="0" w:firstRowFirstColumn="0" w:firstRowLastColumn="0" w:lastRowFirstColumn="0" w:lastRowLastColumn="0"/>
          <w:trHeight w:val="300"/>
          <w:tblHeader/>
        </w:trPr>
        <w:tc>
          <w:tcPr>
            <w:tcW w:w="3402" w:type="dxa"/>
            <w:noWrap/>
            <w:hideMark/>
          </w:tcPr>
          <w:p w14:paraId="62341007" w14:textId="1C3C6D8D" w:rsidR="00746B42" w:rsidRPr="00CD6B04" w:rsidRDefault="00746B42" w:rsidP="003F2731">
            <w:pPr>
              <w:pStyle w:val="BodyCopy"/>
              <w:rPr>
                <w:b/>
                <w:bCs/>
                <w:sz w:val="20"/>
                <w:szCs w:val="22"/>
              </w:rPr>
            </w:pPr>
            <w:r w:rsidRPr="00CD6B04">
              <w:rPr>
                <w:b/>
                <w:bCs/>
                <w:sz w:val="20"/>
                <w:szCs w:val="22"/>
              </w:rPr>
              <w:t xml:space="preserve">Vehicle </w:t>
            </w:r>
            <w:r w:rsidR="00D36E2D" w:rsidRPr="00CD6B04">
              <w:rPr>
                <w:b/>
                <w:bCs/>
                <w:sz w:val="20"/>
                <w:szCs w:val="22"/>
              </w:rPr>
              <w:t>t</w:t>
            </w:r>
            <w:r w:rsidRPr="00CD6B04">
              <w:rPr>
                <w:b/>
                <w:bCs/>
                <w:sz w:val="20"/>
                <w:szCs w:val="22"/>
              </w:rPr>
              <w:t>ype</w:t>
            </w:r>
          </w:p>
        </w:tc>
        <w:tc>
          <w:tcPr>
            <w:tcW w:w="1701" w:type="dxa"/>
            <w:noWrap/>
            <w:hideMark/>
          </w:tcPr>
          <w:p w14:paraId="0257BC9C" w14:textId="77777777" w:rsidR="00746B42" w:rsidRPr="00CD6B04" w:rsidRDefault="00746B42" w:rsidP="003F2731">
            <w:pPr>
              <w:pStyle w:val="BodyCopy"/>
              <w:rPr>
                <w:b/>
                <w:bCs/>
                <w:sz w:val="20"/>
                <w:szCs w:val="22"/>
              </w:rPr>
            </w:pPr>
            <w:r w:rsidRPr="00CD6B04">
              <w:rPr>
                <w:b/>
                <w:bCs/>
                <w:sz w:val="20"/>
                <w:szCs w:val="22"/>
              </w:rPr>
              <w:t>Mass rating for charging</w:t>
            </w:r>
          </w:p>
        </w:tc>
        <w:tc>
          <w:tcPr>
            <w:tcW w:w="1440" w:type="dxa"/>
            <w:noWrap/>
          </w:tcPr>
          <w:p w14:paraId="7AEB4B8A" w14:textId="77777777" w:rsidR="00746B42" w:rsidRPr="00CD6B04" w:rsidRDefault="00746B42" w:rsidP="003F2731">
            <w:pPr>
              <w:pStyle w:val="BodyCopy"/>
              <w:rPr>
                <w:b/>
                <w:bCs/>
                <w:sz w:val="20"/>
                <w:szCs w:val="22"/>
              </w:rPr>
            </w:pPr>
            <w:r w:rsidRPr="00CD6B04">
              <w:rPr>
                <w:b/>
                <w:bCs/>
                <w:sz w:val="20"/>
                <w:szCs w:val="22"/>
              </w:rPr>
              <w:t>Roads component ($)</w:t>
            </w:r>
          </w:p>
        </w:tc>
        <w:tc>
          <w:tcPr>
            <w:tcW w:w="1440" w:type="dxa"/>
            <w:noWrap/>
          </w:tcPr>
          <w:p w14:paraId="2FBDE70B" w14:textId="77777777" w:rsidR="00746B42" w:rsidRPr="00CD6B04" w:rsidRDefault="00746B42" w:rsidP="003F2731">
            <w:pPr>
              <w:pStyle w:val="BodyCopy"/>
              <w:rPr>
                <w:b/>
                <w:bCs/>
                <w:sz w:val="20"/>
                <w:szCs w:val="22"/>
              </w:rPr>
            </w:pPr>
            <w:r w:rsidRPr="00CD6B04">
              <w:rPr>
                <w:b/>
                <w:bCs/>
                <w:sz w:val="20"/>
                <w:szCs w:val="22"/>
              </w:rPr>
              <w:t>Regulatory component ($)</w:t>
            </w:r>
          </w:p>
        </w:tc>
        <w:tc>
          <w:tcPr>
            <w:tcW w:w="1441" w:type="dxa"/>
            <w:noWrap/>
          </w:tcPr>
          <w:p w14:paraId="23556FC8" w14:textId="77777777" w:rsidR="00746B42" w:rsidRPr="00CD6B04" w:rsidRDefault="00746B42" w:rsidP="003F2731">
            <w:pPr>
              <w:pStyle w:val="BodyCopy"/>
              <w:rPr>
                <w:b/>
                <w:bCs/>
                <w:sz w:val="20"/>
                <w:szCs w:val="22"/>
              </w:rPr>
            </w:pPr>
            <w:r w:rsidRPr="00CD6B04">
              <w:rPr>
                <w:b/>
                <w:bCs/>
                <w:sz w:val="20"/>
                <w:szCs w:val="22"/>
              </w:rPr>
              <w:t>Total registration charge ($)</w:t>
            </w:r>
          </w:p>
        </w:tc>
      </w:tr>
      <w:tr w:rsidR="00746B42" w:rsidRPr="00035E77" w14:paraId="2D8D305E" w14:textId="77777777" w:rsidTr="003F2731">
        <w:trPr>
          <w:trHeight w:val="283"/>
        </w:trPr>
        <w:tc>
          <w:tcPr>
            <w:tcW w:w="3402" w:type="dxa"/>
            <w:vMerge w:val="restart"/>
            <w:noWrap/>
          </w:tcPr>
          <w:p w14:paraId="7596B9AE"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44" behindDoc="0" locked="0" layoutInCell="1" allowOverlap="1" wp14:anchorId="6C622AA1" wp14:editId="02E644E1">
                  <wp:simplePos x="0" y="0"/>
                  <wp:positionH relativeFrom="column">
                    <wp:posOffset>-68580</wp:posOffset>
                  </wp:positionH>
                  <wp:positionV relativeFrom="paragraph">
                    <wp:posOffset>69215</wp:posOffset>
                  </wp:positionV>
                  <wp:extent cx="683212" cy="266700"/>
                  <wp:effectExtent l="0" t="0" r="3175" b="0"/>
                  <wp:wrapNone/>
                  <wp:docPr id="151"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01" w:type="dxa"/>
            <w:vAlign w:val="center"/>
          </w:tcPr>
          <w:p w14:paraId="325E2F2A" w14:textId="79AFCC65"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12.0</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624427E9" w14:textId="77777777" w:rsidR="00746B42" w:rsidRPr="00C4270B" w:rsidRDefault="00746B42" w:rsidP="003F2731">
            <w:pPr>
              <w:pStyle w:val="BodyCopy"/>
              <w:spacing w:before="0" w:after="0"/>
              <w:rPr>
                <w:sz w:val="20"/>
                <w:szCs w:val="22"/>
              </w:rPr>
            </w:pPr>
            <w:r w:rsidRPr="00C4270B">
              <w:rPr>
                <w:sz w:val="20"/>
                <w:szCs w:val="22"/>
              </w:rPr>
              <w:t>412</w:t>
            </w:r>
          </w:p>
        </w:tc>
        <w:tc>
          <w:tcPr>
            <w:tcW w:w="1440" w:type="dxa"/>
            <w:noWrap/>
          </w:tcPr>
          <w:p w14:paraId="6BBC04B0" w14:textId="77777777" w:rsidR="00746B42" w:rsidRPr="00C4270B" w:rsidRDefault="00746B42" w:rsidP="003F2731">
            <w:pPr>
              <w:pStyle w:val="BodyCopy"/>
              <w:spacing w:before="0" w:after="0"/>
              <w:rPr>
                <w:sz w:val="20"/>
                <w:szCs w:val="22"/>
              </w:rPr>
            </w:pPr>
            <w:r w:rsidRPr="00C4270B">
              <w:rPr>
                <w:sz w:val="20"/>
                <w:szCs w:val="22"/>
              </w:rPr>
              <w:t>195</w:t>
            </w:r>
          </w:p>
        </w:tc>
        <w:tc>
          <w:tcPr>
            <w:tcW w:w="1441" w:type="dxa"/>
            <w:noWrap/>
          </w:tcPr>
          <w:p w14:paraId="270CB51F" w14:textId="77777777" w:rsidR="00746B42" w:rsidRPr="00C4270B" w:rsidRDefault="00746B42" w:rsidP="003F2731">
            <w:pPr>
              <w:pStyle w:val="BodyCopy"/>
              <w:spacing w:before="0" w:after="0"/>
              <w:rPr>
                <w:sz w:val="20"/>
                <w:szCs w:val="22"/>
              </w:rPr>
            </w:pPr>
            <w:r w:rsidRPr="00C4270B">
              <w:rPr>
                <w:sz w:val="20"/>
                <w:szCs w:val="22"/>
              </w:rPr>
              <w:t>607</w:t>
            </w:r>
          </w:p>
        </w:tc>
      </w:tr>
      <w:tr w:rsidR="00746B42" w:rsidRPr="00035E77" w14:paraId="7132AA37" w14:textId="77777777" w:rsidTr="003F2731">
        <w:trPr>
          <w:trHeight w:val="283"/>
        </w:trPr>
        <w:tc>
          <w:tcPr>
            <w:tcW w:w="3402" w:type="dxa"/>
            <w:vMerge/>
          </w:tcPr>
          <w:p w14:paraId="1C855247" w14:textId="77777777" w:rsidR="00746B42" w:rsidRPr="00C4270B" w:rsidRDefault="00746B42" w:rsidP="003F2731">
            <w:pPr>
              <w:pStyle w:val="BodyCopy"/>
              <w:spacing w:before="0" w:after="0"/>
              <w:rPr>
                <w:sz w:val="20"/>
                <w:szCs w:val="22"/>
              </w:rPr>
            </w:pPr>
          </w:p>
        </w:tc>
        <w:tc>
          <w:tcPr>
            <w:tcW w:w="1701" w:type="dxa"/>
            <w:vAlign w:val="center"/>
          </w:tcPr>
          <w:p w14:paraId="41B23640" w14:textId="12C8613F"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12.0</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6CD80186" w14:textId="77777777" w:rsidR="00746B42" w:rsidRPr="00C4270B" w:rsidRDefault="00746B42" w:rsidP="003F2731">
            <w:pPr>
              <w:pStyle w:val="BodyCopy"/>
              <w:spacing w:before="0" w:after="0"/>
              <w:rPr>
                <w:sz w:val="20"/>
                <w:szCs w:val="22"/>
              </w:rPr>
            </w:pPr>
            <w:r w:rsidRPr="00C4270B">
              <w:rPr>
                <w:sz w:val="20"/>
                <w:szCs w:val="22"/>
              </w:rPr>
              <w:t>720</w:t>
            </w:r>
          </w:p>
        </w:tc>
        <w:tc>
          <w:tcPr>
            <w:tcW w:w="1440" w:type="dxa"/>
            <w:noWrap/>
          </w:tcPr>
          <w:p w14:paraId="35BF6E70" w14:textId="77777777" w:rsidR="00746B42" w:rsidRPr="00C4270B" w:rsidRDefault="00746B42" w:rsidP="003F2731">
            <w:pPr>
              <w:pStyle w:val="BodyCopy"/>
              <w:spacing w:before="0" w:after="0"/>
              <w:rPr>
                <w:sz w:val="20"/>
                <w:szCs w:val="22"/>
              </w:rPr>
            </w:pPr>
            <w:r w:rsidRPr="00C4270B">
              <w:rPr>
                <w:sz w:val="20"/>
                <w:szCs w:val="22"/>
              </w:rPr>
              <w:t>255</w:t>
            </w:r>
          </w:p>
        </w:tc>
        <w:tc>
          <w:tcPr>
            <w:tcW w:w="1441" w:type="dxa"/>
            <w:noWrap/>
          </w:tcPr>
          <w:p w14:paraId="0BFC82CD" w14:textId="77777777" w:rsidR="00746B42" w:rsidRPr="00C4270B" w:rsidRDefault="00746B42" w:rsidP="003F2731">
            <w:pPr>
              <w:pStyle w:val="BodyCopy"/>
              <w:spacing w:before="0" w:after="0"/>
              <w:rPr>
                <w:sz w:val="20"/>
                <w:szCs w:val="22"/>
              </w:rPr>
            </w:pPr>
            <w:r w:rsidRPr="00C4270B">
              <w:rPr>
                <w:sz w:val="20"/>
                <w:szCs w:val="22"/>
              </w:rPr>
              <w:t>975</w:t>
            </w:r>
          </w:p>
        </w:tc>
      </w:tr>
      <w:tr w:rsidR="00746B42" w:rsidRPr="00035E77" w14:paraId="2A194D27" w14:textId="77777777" w:rsidTr="003F2731">
        <w:trPr>
          <w:trHeight w:val="283"/>
        </w:trPr>
        <w:tc>
          <w:tcPr>
            <w:tcW w:w="3402" w:type="dxa"/>
            <w:noWrap/>
          </w:tcPr>
          <w:p w14:paraId="3FB90594"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43" behindDoc="0" locked="0" layoutInCell="1" allowOverlap="1" wp14:anchorId="61B29B0B" wp14:editId="50CA99F8">
                  <wp:simplePos x="0" y="0"/>
                  <wp:positionH relativeFrom="column">
                    <wp:posOffset>-68580</wp:posOffset>
                  </wp:positionH>
                  <wp:positionV relativeFrom="paragraph">
                    <wp:posOffset>-24765</wp:posOffset>
                  </wp:positionV>
                  <wp:extent cx="967740" cy="266700"/>
                  <wp:effectExtent l="0" t="0" r="3810" b="0"/>
                  <wp:wrapNone/>
                  <wp:docPr id="152" name="Picture 152"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152" name="Picture 152"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5"/>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vAlign w:val="center"/>
          </w:tcPr>
          <w:p w14:paraId="3817D383" w14:textId="56C219E7"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42.5</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051A0CC7" w14:textId="77777777" w:rsidR="00746B42" w:rsidRPr="00C4270B" w:rsidRDefault="00746B42" w:rsidP="003F2731">
            <w:pPr>
              <w:pStyle w:val="BodyCopy"/>
              <w:spacing w:before="0" w:after="0"/>
              <w:rPr>
                <w:sz w:val="20"/>
                <w:szCs w:val="22"/>
              </w:rPr>
            </w:pPr>
            <w:r w:rsidRPr="00C4270B">
              <w:rPr>
                <w:sz w:val="20"/>
                <w:szCs w:val="22"/>
              </w:rPr>
              <w:t>1,944</w:t>
            </w:r>
          </w:p>
        </w:tc>
        <w:tc>
          <w:tcPr>
            <w:tcW w:w="1440" w:type="dxa"/>
            <w:noWrap/>
          </w:tcPr>
          <w:p w14:paraId="5368ED02" w14:textId="77777777" w:rsidR="00746B42" w:rsidRPr="00C4270B" w:rsidRDefault="00746B42" w:rsidP="003F2731">
            <w:pPr>
              <w:pStyle w:val="BodyCopy"/>
              <w:spacing w:before="0" w:after="0"/>
              <w:rPr>
                <w:sz w:val="20"/>
                <w:szCs w:val="22"/>
              </w:rPr>
            </w:pPr>
            <w:r w:rsidRPr="00C4270B">
              <w:rPr>
                <w:sz w:val="20"/>
                <w:szCs w:val="22"/>
              </w:rPr>
              <w:t>341</w:t>
            </w:r>
          </w:p>
        </w:tc>
        <w:tc>
          <w:tcPr>
            <w:tcW w:w="1441" w:type="dxa"/>
            <w:noWrap/>
          </w:tcPr>
          <w:p w14:paraId="7B5940D6" w14:textId="77777777" w:rsidR="00746B42" w:rsidRPr="00C4270B" w:rsidRDefault="00746B42" w:rsidP="003F2731">
            <w:pPr>
              <w:pStyle w:val="BodyCopy"/>
              <w:spacing w:before="0" w:after="0"/>
              <w:rPr>
                <w:sz w:val="20"/>
                <w:szCs w:val="22"/>
              </w:rPr>
            </w:pPr>
            <w:r w:rsidRPr="00C4270B">
              <w:rPr>
                <w:sz w:val="20"/>
                <w:szCs w:val="22"/>
              </w:rPr>
              <w:t>2,285</w:t>
            </w:r>
          </w:p>
        </w:tc>
      </w:tr>
      <w:tr w:rsidR="00746B42" w:rsidRPr="00035E77" w14:paraId="48D0E1F9" w14:textId="77777777" w:rsidTr="003F2731">
        <w:trPr>
          <w:trHeight w:val="283"/>
        </w:trPr>
        <w:tc>
          <w:tcPr>
            <w:tcW w:w="3402" w:type="dxa"/>
            <w:vMerge w:val="restart"/>
          </w:tcPr>
          <w:p w14:paraId="27B18AF1"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51" behindDoc="0" locked="0" layoutInCell="1" allowOverlap="1" wp14:anchorId="5159A6D9" wp14:editId="32BF0BC2">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153"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01" w:type="dxa"/>
            <w:vAlign w:val="center"/>
          </w:tcPr>
          <w:p w14:paraId="612BF4C0" w14:textId="116AEE68"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16.5</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6E59423D" w14:textId="77777777" w:rsidR="00746B42" w:rsidRPr="00C4270B" w:rsidRDefault="00746B42" w:rsidP="003F2731">
            <w:pPr>
              <w:pStyle w:val="BodyCopy"/>
              <w:spacing w:before="0" w:after="0"/>
              <w:rPr>
                <w:sz w:val="20"/>
                <w:szCs w:val="22"/>
              </w:rPr>
            </w:pPr>
            <w:r w:rsidRPr="00C4270B">
              <w:rPr>
                <w:sz w:val="20"/>
                <w:szCs w:val="22"/>
              </w:rPr>
              <w:t>720</w:t>
            </w:r>
          </w:p>
        </w:tc>
        <w:tc>
          <w:tcPr>
            <w:tcW w:w="1440" w:type="dxa"/>
            <w:noWrap/>
          </w:tcPr>
          <w:p w14:paraId="714F0BDA" w14:textId="77777777" w:rsidR="00746B42" w:rsidRPr="00C4270B" w:rsidRDefault="00746B42" w:rsidP="003F2731">
            <w:pPr>
              <w:pStyle w:val="BodyCopy"/>
              <w:spacing w:before="0" w:after="0"/>
              <w:rPr>
                <w:sz w:val="20"/>
                <w:szCs w:val="22"/>
              </w:rPr>
            </w:pPr>
            <w:r w:rsidRPr="00C4270B">
              <w:rPr>
                <w:sz w:val="20"/>
                <w:szCs w:val="22"/>
              </w:rPr>
              <w:t>230</w:t>
            </w:r>
          </w:p>
        </w:tc>
        <w:tc>
          <w:tcPr>
            <w:tcW w:w="1441" w:type="dxa"/>
            <w:noWrap/>
          </w:tcPr>
          <w:p w14:paraId="0086A768" w14:textId="77777777" w:rsidR="00746B42" w:rsidRPr="00C4270B" w:rsidRDefault="00746B42" w:rsidP="003F2731">
            <w:pPr>
              <w:pStyle w:val="BodyCopy"/>
              <w:spacing w:before="0" w:after="0"/>
              <w:rPr>
                <w:sz w:val="20"/>
                <w:szCs w:val="22"/>
              </w:rPr>
            </w:pPr>
            <w:r w:rsidRPr="00C4270B">
              <w:rPr>
                <w:sz w:val="20"/>
                <w:szCs w:val="22"/>
              </w:rPr>
              <w:t>950</w:t>
            </w:r>
          </w:p>
        </w:tc>
      </w:tr>
      <w:tr w:rsidR="00746B42" w:rsidRPr="00035E77" w14:paraId="33541476" w14:textId="77777777" w:rsidTr="003F2731">
        <w:trPr>
          <w:trHeight w:val="283"/>
        </w:trPr>
        <w:tc>
          <w:tcPr>
            <w:tcW w:w="3402" w:type="dxa"/>
            <w:vMerge/>
          </w:tcPr>
          <w:p w14:paraId="1079F935" w14:textId="77777777" w:rsidR="00746B42" w:rsidRPr="00C4270B" w:rsidRDefault="00746B42" w:rsidP="003F2731">
            <w:pPr>
              <w:pStyle w:val="BodyCopy"/>
              <w:spacing w:before="0" w:after="0"/>
              <w:rPr>
                <w:sz w:val="20"/>
                <w:szCs w:val="22"/>
              </w:rPr>
            </w:pPr>
          </w:p>
        </w:tc>
        <w:tc>
          <w:tcPr>
            <w:tcW w:w="1701" w:type="dxa"/>
            <w:vAlign w:val="center"/>
          </w:tcPr>
          <w:p w14:paraId="325A2CD6" w14:textId="312D7359"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16.5</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4876EBA1" w14:textId="77777777" w:rsidR="00746B42" w:rsidRPr="00C4270B" w:rsidRDefault="00746B42" w:rsidP="003F2731">
            <w:pPr>
              <w:pStyle w:val="BodyCopy"/>
              <w:spacing w:before="0" w:after="0"/>
              <w:rPr>
                <w:sz w:val="20"/>
                <w:szCs w:val="22"/>
              </w:rPr>
            </w:pPr>
            <w:r w:rsidRPr="00C4270B">
              <w:rPr>
                <w:sz w:val="20"/>
                <w:szCs w:val="22"/>
              </w:rPr>
              <w:t>817</w:t>
            </w:r>
          </w:p>
        </w:tc>
        <w:tc>
          <w:tcPr>
            <w:tcW w:w="1440" w:type="dxa"/>
            <w:noWrap/>
          </w:tcPr>
          <w:p w14:paraId="153A49D2" w14:textId="77777777" w:rsidR="00746B42" w:rsidRPr="00C4270B" w:rsidRDefault="00746B42" w:rsidP="003F2731">
            <w:pPr>
              <w:pStyle w:val="BodyCopy"/>
              <w:spacing w:before="0" w:after="0"/>
              <w:rPr>
                <w:sz w:val="20"/>
                <w:szCs w:val="22"/>
              </w:rPr>
            </w:pPr>
            <w:r w:rsidRPr="00C4270B">
              <w:rPr>
                <w:sz w:val="20"/>
                <w:szCs w:val="22"/>
              </w:rPr>
              <w:t>325</w:t>
            </w:r>
          </w:p>
        </w:tc>
        <w:tc>
          <w:tcPr>
            <w:tcW w:w="1441" w:type="dxa"/>
            <w:noWrap/>
          </w:tcPr>
          <w:p w14:paraId="782EB7F4" w14:textId="77777777" w:rsidR="00746B42" w:rsidRPr="00C4270B" w:rsidRDefault="00746B42" w:rsidP="003F2731">
            <w:pPr>
              <w:pStyle w:val="BodyCopy"/>
              <w:spacing w:before="0" w:after="0"/>
              <w:rPr>
                <w:sz w:val="20"/>
                <w:szCs w:val="22"/>
              </w:rPr>
            </w:pPr>
            <w:r w:rsidRPr="00C4270B">
              <w:rPr>
                <w:sz w:val="20"/>
                <w:szCs w:val="22"/>
              </w:rPr>
              <w:t>1,142</w:t>
            </w:r>
          </w:p>
        </w:tc>
      </w:tr>
      <w:tr w:rsidR="00746B42" w:rsidRPr="00035E77" w14:paraId="1AFE87EB" w14:textId="77777777" w:rsidTr="003F2731">
        <w:trPr>
          <w:trHeight w:val="283"/>
        </w:trPr>
        <w:tc>
          <w:tcPr>
            <w:tcW w:w="3402" w:type="dxa"/>
            <w:vMerge w:val="restart"/>
          </w:tcPr>
          <w:p w14:paraId="3BA1C06B"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54" behindDoc="0" locked="0" layoutInCell="1" allowOverlap="1" wp14:anchorId="1F72F510" wp14:editId="2C0F3F41">
                  <wp:simplePos x="0" y="0"/>
                  <wp:positionH relativeFrom="column">
                    <wp:posOffset>-68580</wp:posOffset>
                  </wp:positionH>
                  <wp:positionV relativeFrom="paragraph">
                    <wp:posOffset>9525</wp:posOffset>
                  </wp:positionV>
                  <wp:extent cx="1394460" cy="354407"/>
                  <wp:effectExtent l="0" t="0" r="0" b="0"/>
                  <wp:wrapNone/>
                  <wp:docPr id="154"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9281" b="-19281"/>
                          <a:stretch>
                            <a:fillRect/>
                          </a:stretch>
                        </pic:blipFill>
                        <pic:spPr bwMode="auto">
                          <a:xfrm>
                            <a:off x="0" y="0"/>
                            <a:ext cx="1394460" cy="354407"/>
                          </a:xfrm>
                          <a:prstGeom prst="rect">
                            <a:avLst/>
                          </a:prstGeom>
                          <a:noFill/>
                        </pic:spPr>
                      </pic:pic>
                    </a:graphicData>
                  </a:graphic>
                </wp:anchor>
              </w:drawing>
            </w:r>
          </w:p>
        </w:tc>
        <w:tc>
          <w:tcPr>
            <w:tcW w:w="1701" w:type="dxa"/>
            <w:vAlign w:val="center"/>
          </w:tcPr>
          <w:p w14:paraId="475FA2A3" w14:textId="774E45C7"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42.5</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3AEF11EB" w14:textId="77777777" w:rsidR="00746B42" w:rsidRPr="00C4270B" w:rsidRDefault="00746B42" w:rsidP="003F2731">
            <w:pPr>
              <w:pStyle w:val="BodyCopy"/>
              <w:spacing w:before="0" w:after="0"/>
              <w:rPr>
                <w:sz w:val="20"/>
                <w:szCs w:val="22"/>
              </w:rPr>
            </w:pPr>
            <w:r w:rsidRPr="00C4270B">
              <w:rPr>
                <w:sz w:val="20"/>
                <w:szCs w:val="22"/>
              </w:rPr>
              <w:t>2,653</w:t>
            </w:r>
          </w:p>
        </w:tc>
        <w:tc>
          <w:tcPr>
            <w:tcW w:w="1440" w:type="dxa"/>
            <w:noWrap/>
          </w:tcPr>
          <w:p w14:paraId="008F41E3" w14:textId="77777777" w:rsidR="00746B42" w:rsidRPr="00C4270B" w:rsidRDefault="00746B42" w:rsidP="003F2731">
            <w:pPr>
              <w:pStyle w:val="BodyCopy"/>
              <w:spacing w:before="0" w:after="0"/>
              <w:rPr>
                <w:sz w:val="20"/>
                <w:szCs w:val="22"/>
              </w:rPr>
            </w:pPr>
            <w:r w:rsidRPr="00C4270B">
              <w:rPr>
                <w:sz w:val="20"/>
                <w:szCs w:val="22"/>
              </w:rPr>
              <w:t>416</w:t>
            </w:r>
          </w:p>
        </w:tc>
        <w:tc>
          <w:tcPr>
            <w:tcW w:w="1441" w:type="dxa"/>
            <w:noWrap/>
          </w:tcPr>
          <w:p w14:paraId="12DF48F5" w14:textId="77777777" w:rsidR="00746B42" w:rsidRPr="00C4270B" w:rsidRDefault="00746B42" w:rsidP="003F2731">
            <w:pPr>
              <w:pStyle w:val="BodyCopy"/>
              <w:spacing w:before="0" w:after="0"/>
              <w:rPr>
                <w:sz w:val="20"/>
                <w:szCs w:val="22"/>
              </w:rPr>
            </w:pPr>
            <w:r w:rsidRPr="00C4270B">
              <w:rPr>
                <w:sz w:val="20"/>
                <w:szCs w:val="22"/>
              </w:rPr>
              <w:t>3,069</w:t>
            </w:r>
          </w:p>
        </w:tc>
      </w:tr>
      <w:tr w:rsidR="00746B42" w:rsidRPr="00035E77" w14:paraId="07E72D75" w14:textId="77777777" w:rsidTr="003F2731">
        <w:trPr>
          <w:trHeight w:val="283"/>
        </w:trPr>
        <w:tc>
          <w:tcPr>
            <w:tcW w:w="3402" w:type="dxa"/>
            <w:vMerge/>
          </w:tcPr>
          <w:p w14:paraId="31B10818" w14:textId="77777777" w:rsidR="00746B42" w:rsidRPr="00C4270B" w:rsidRDefault="00746B42" w:rsidP="003F2731">
            <w:pPr>
              <w:pStyle w:val="BodyCopy"/>
              <w:spacing w:before="0" w:after="0"/>
              <w:rPr>
                <w:sz w:val="20"/>
                <w:szCs w:val="22"/>
              </w:rPr>
            </w:pPr>
          </w:p>
        </w:tc>
        <w:tc>
          <w:tcPr>
            <w:tcW w:w="1701" w:type="dxa"/>
            <w:vAlign w:val="center"/>
          </w:tcPr>
          <w:p w14:paraId="6F904803" w14:textId="0E7528BA"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42.5</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0D2781A2" w14:textId="77777777" w:rsidR="00746B42" w:rsidRPr="00C4270B" w:rsidRDefault="00746B42" w:rsidP="003F2731">
            <w:pPr>
              <w:pStyle w:val="BodyCopy"/>
              <w:spacing w:before="0" w:after="0"/>
              <w:rPr>
                <w:sz w:val="20"/>
                <w:szCs w:val="22"/>
              </w:rPr>
            </w:pPr>
            <w:r w:rsidRPr="00C4270B">
              <w:rPr>
                <w:sz w:val="20"/>
                <w:szCs w:val="22"/>
              </w:rPr>
              <w:t>10,742</w:t>
            </w:r>
          </w:p>
        </w:tc>
        <w:tc>
          <w:tcPr>
            <w:tcW w:w="1440" w:type="dxa"/>
            <w:noWrap/>
          </w:tcPr>
          <w:p w14:paraId="3FA4DA53" w14:textId="77777777" w:rsidR="00746B42" w:rsidRPr="00C4270B" w:rsidRDefault="00746B42" w:rsidP="003F2731">
            <w:pPr>
              <w:pStyle w:val="BodyCopy"/>
              <w:spacing w:before="0" w:after="0"/>
              <w:rPr>
                <w:sz w:val="20"/>
                <w:szCs w:val="22"/>
              </w:rPr>
            </w:pPr>
            <w:r w:rsidRPr="00C4270B">
              <w:rPr>
                <w:sz w:val="20"/>
                <w:szCs w:val="22"/>
              </w:rPr>
              <w:t>702</w:t>
            </w:r>
          </w:p>
        </w:tc>
        <w:tc>
          <w:tcPr>
            <w:tcW w:w="1441" w:type="dxa"/>
            <w:noWrap/>
          </w:tcPr>
          <w:p w14:paraId="32587E04" w14:textId="77777777" w:rsidR="00746B42" w:rsidRPr="00C4270B" w:rsidRDefault="00746B42" w:rsidP="003F2731">
            <w:pPr>
              <w:pStyle w:val="BodyCopy"/>
              <w:spacing w:before="0" w:after="0"/>
              <w:rPr>
                <w:sz w:val="20"/>
                <w:szCs w:val="22"/>
              </w:rPr>
            </w:pPr>
            <w:r w:rsidRPr="00C4270B">
              <w:rPr>
                <w:sz w:val="20"/>
                <w:szCs w:val="22"/>
              </w:rPr>
              <w:t>11,444</w:t>
            </w:r>
          </w:p>
        </w:tc>
      </w:tr>
      <w:tr w:rsidR="00746B42" w:rsidRPr="00035E77" w14:paraId="611CF82A" w14:textId="77777777" w:rsidTr="003F2731">
        <w:trPr>
          <w:trHeight w:val="283"/>
        </w:trPr>
        <w:tc>
          <w:tcPr>
            <w:tcW w:w="3402" w:type="dxa"/>
            <w:noWrap/>
          </w:tcPr>
          <w:p w14:paraId="4AC7985A"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45" behindDoc="0" locked="0" layoutInCell="1" allowOverlap="1" wp14:anchorId="0CB1A96A" wp14:editId="0A29DEB5">
                  <wp:simplePos x="0" y="0"/>
                  <wp:positionH relativeFrom="column">
                    <wp:posOffset>-68580</wp:posOffset>
                  </wp:positionH>
                  <wp:positionV relativeFrom="paragraph">
                    <wp:posOffset>-15875</wp:posOffset>
                  </wp:positionV>
                  <wp:extent cx="1013460" cy="213360"/>
                  <wp:effectExtent l="0" t="0" r="0" b="0"/>
                  <wp:wrapNone/>
                  <wp:docPr id="155" name="Picture 155"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155" name="Picture 155"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8"/>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vAlign w:val="center"/>
          </w:tcPr>
          <w:p w14:paraId="662C8D09" w14:textId="4FAF98EA"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42.5</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562B7207" w14:textId="77777777" w:rsidR="00746B42" w:rsidRPr="00C4270B" w:rsidRDefault="00746B42" w:rsidP="003F2731">
            <w:pPr>
              <w:pStyle w:val="BodyCopy"/>
              <w:spacing w:before="0" w:after="0"/>
              <w:rPr>
                <w:sz w:val="20"/>
                <w:szCs w:val="22"/>
              </w:rPr>
            </w:pPr>
            <w:r w:rsidRPr="00C4270B">
              <w:rPr>
                <w:sz w:val="20"/>
                <w:szCs w:val="22"/>
              </w:rPr>
              <w:t>11,354</w:t>
            </w:r>
          </w:p>
        </w:tc>
        <w:tc>
          <w:tcPr>
            <w:tcW w:w="1440" w:type="dxa"/>
            <w:noWrap/>
          </w:tcPr>
          <w:p w14:paraId="5BC255A0" w14:textId="77777777" w:rsidR="00746B42" w:rsidRPr="00C4270B" w:rsidRDefault="00746B42" w:rsidP="003F2731">
            <w:pPr>
              <w:pStyle w:val="BodyCopy"/>
              <w:spacing w:before="0" w:after="0"/>
              <w:rPr>
                <w:sz w:val="20"/>
                <w:szCs w:val="22"/>
              </w:rPr>
            </w:pPr>
            <w:r w:rsidRPr="00C4270B">
              <w:rPr>
                <w:sz w:val="20"/>
                <w:szCs w:val="22"/>
              </w:rPr>
              <w:t>704</w:t>
            </w:r>
          </w:p>
        </w:tc>
        <w:tc>
          <w:tcPr>
            <w:tcW w:w="1441" w:type="dxa"/>
            <w:noWrap/>
          </w:tcPr>
          <w:p w14:paraId="495BC838" w14:textId="77777777" w:rsidR="00746B42" w:rsidRPr="00C4270B" w:rsidRDefault="00746B42" w:rsidP="003F2731">
            <w:pPr>
              <w:pStyle w:val="BodyCopy"/>
              <w:spacing w:before="0" w:after="0"/>
              <w:rPr>
                <w:sz w:val="20"/>
                <w:szCs w:val="22"/>
              </w:rPr>
            </w:pPr>
            <w:r w:rsidRPr="00C4270B">
              <w:rPr>
                <w:sz w:val="20"/>
                <w:szCs w:val="22"/>
              </w:rPr>
              <w:t>12,058</w:t>
            </w:r>
          </w:p>
        </w:tc>
      </w:tr>
      <w:tr w:rsidR="00746B42" w:rsidRPr="00035E77" w14:paraId="108AD7E9" w14:textId="77777777" w:rsidTr="003F2731">
        <w:trPr>
          <w:trHeight w:val="283"/>
        </w:trPr>
        <w:tc>
          <w:tcPr>
            <w:tcW w:w="3402" w:type="dxa"/>
            <w:vMerge w:val="restart"/>
          </w:tcPr>
          <w:p w14:paraId="2F694BB6"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52" behindDoc="0" locked="0" layoutInCell="1" allowOverlap="1" wp14:anchorId="6BEC9C18" wp14:editId="09DC2EC8">
                  <wp:simplePos x="0" y="0"/>
                  <wp:positionH relativeFrom="column">
                    <wp:posOffset>-68580</wp:posOffset>
                  </wp:positionH>
                  <wp:positionV relativeFrom="paragraph">
                    <wp:posOffset>81915</wp:posOffset>
                  </wp:positionV>
                  <wp:extent cx="693420" cy="245234"/>
                  <wp:effectExtent l="0" t="0" r="0" b="2540"/>
                  <wp:wrapNone/>
                  <wp:docPr id="156"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701" w:type="dxa"/>
            <w:vAlign w:val="center"/>
          </w:tcPr>
          <w:p w14:paraId="758A4088" w14:textId="3B2AA300"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20.0</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53DAA32E" w14:textId="77777777" w:rsidR="00746B42" w:rsidRPr="00C4270B" w:rsidRDefault="00746B42" w:rsidP="003F2731">
            <w:pPr>
              <w:pStyle w:val="BodyCopy"/>
              <w:spacing w:before="0" w:after="0"/>
              <w:rPr>
                <w:sz w:val="20"/>
                <w:szCs w:val="22"/>
              </w:rPr>
            </w:pPr>
            <w:r w:rsidRPr="00C4270B">
              <w:rPr>
                <w:sz w:val="20"/>
                <w:szCs w:val="22"/>
              </w:rPr>
              <w:t>720</w:t>
            </w:r>
          </w:p>
        </w:tc>
        <w:tc>
          <w:tcPr>
            <w:tcW w:w="1440" w:type="dxa"/>
            <w:noWrap/>
          </w:tcPr>
          <w:p w14:paraId="05B30CA2" w14:textId="77777777" w:rsidR="00746B42" w:rsidRPr="00C4270B" w:rsidRDefault="00746B42" w:rsidP="003F2731">
            <w:pPr>
              <w:pStyle w:val="BodyCopy"/>
              <w:spacing w:before="0" w:after="0"/>
              <w:rPr>
                <w:sz w:val="20"/>
                <w:szCs w:val="22"/>
              </w:rPr>
            </w:pPr>
            <w:r w:rsidRPr="00C4270B">
              <w:rPr>
                <w:sz w:val="20"/>
                <w:szCs w:val="22"/>
              </w:rPr>
              <w:t>245</w:t>
            </w:r>
          </w:p>
        </w:tc>
        <w:tc>
          <w:tcPr>
            <w:tcW w:w="1441" w:type="dxa"/>
            <w:noWrap/>
          </w:tcPr>
          <w:p w14:paraId="40F84C10" w14:textId="77777777" w:rsidR="00746B42" w:rsidRPr="00C4270B" w:rsidRDefault="00746B42" w:rsidP="003F2731">
            <w:pPr>
              <w:pStyle w:val="BodyCopy"/>
              <w:spacing w:before="0" w:after="0"/>
              <w:rPr>
                <w:sz w:val="20"/>
                <w:szCs w:val="22"/>
              </w:rPr>
            </w:pPr>
            <w:r w:rsidRPr="00C4270B">
              <w:rPr>
                <w:sz w:val="20"/>
                <w:szCs w:val="22"/>
              </w:rPr>
              <w:t>965</w:t>
            </w:r>
          </w:p>
        </w:tc>
      </w:tr>
      <w:tr w:rsidR="00746B42" w:rsidRPr="00035E77" w14:paraId="201C779D" w14:textId="77777777" w:rsidTr="003F2731">
        <w:trPr>
          <w:trHeight w:val="283"/>
        </w:trPr>
        <w:tc>
          <w:tcPr>
            <w:tcW w:w="3402" w:type="dxa"/>
            <w:vMerge/>
          </w:tcPr>
          <w:p w14:paraId="3989ADCF" w14:textId="77777777" w:rsidR="00746B42" w:rsidRPr="00C4270B" w:rsidRDefault="00746B42" w:rsidP="003F2731">
            <w:pPr>
              <w:pStyle w:val="BodyCopy"/>
              <w:spacing w:before="0" w:after="0"/>
              <w:rPr>
                <w:sz w:val="20"/>
                <w:szCs w:val="22"/>
              </w:rPr>
            </w:pPr>
          </w:p>
        </w:tc>
        <w:tc>
          <w:tcPr>
            <w:tcW w:w="1701" w:type="dxa"/>
            <w:vAlign w:val="center"/>
          </w:tcPr>
          <w:p w14:paraId="71DD9F76" w14:textId="61DED448"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20.0</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5E3B53B9" w14:textId="77777777" w:rsidR="00746B42" w:rsidRPr="00C4270B" w:rsidRDefault="00746B42" w:rsidP="003F2731">
            <w:pPr>
              <w:pStyle w:val="BodyCopy"/>
              <w:spacing w:before="0" w:after="0"/>
              <w:rPr>
                <w:sz w:val="20"/>
                <w:szCs w:val="22"/>
              </w:rPr>
            </w:pPr>
            <w:r w:rsidRPr="00C4270B">
              <w:rPr>
                <w:sz w:val="20"/>
                <w:szCs w:val="22"/>
              </w:rPr>
              <w:t>817</w:t>
            </w:r>
          </w:p>
        </w:tc>
        <w:tc>
          <w:tcPr>
            <w:tcW w:w="1440" w:type="dxa"/>
            <w:noWrap/>
          </w:tcPr>
          <w:p w14:paraId="2507C2BD" w14:textId="77777777" w:rsidR="00746B42" w:rsidRPr="00C4270B" w:rsidRDefault="00746B42" w:rsidP="003F2731">
            <w:pPr>
              <w:pStyle w:val="BodyCopy"/>
              <w:spacing w:before="0" w:after="0"/>
              <w:rPr>
                <w:sz w:val="20"/>
                <w:szCs w:val="22"/>
              </w:rPr>
            </w:pPr>
            <w:r w:rsidRPr="00C4270B">
              <w:rPr>
                <w:sz w:val="20"/>
                <w:szCs w:val="22"/>
              </w:rPr>
              <w:t>346</w:t>
            </w:r>
          </w:p>
        </w:tc>
        <w:tc>
          <w:tcPr>
            <w:tcW w:w="1441" w:type="dxa"/>
            <w:noWrap/>
          </w:tcPr>
          <w:p w14:paraId="35C6A108" w14:textId="77777777" w:rsidR="00746B42" w:rsidRPr="00C4270B" w:rsidRDefault="00746B42" w:rsidP="003F2731">
            <w:pPr>
              <w:pStyle w:val="BodyCopy"/>
              <w:spacing w:before="0" w:after="0"/>
              <w:rPr>
                <w:sz w:val="20"/>
                <w:szCs w:val="22"/>
              </w:rPr>
            </w:pPr>
            <w:r w:rsidRPr="00C4270B">
              <w:rPr>
                <w:sz w:val="20"/>
                <w:szCs w:val="22"/>
              </w:rPr>
              <w:t>1,163</w:t>
            </w:r>
          </w:p>
        </w:tc>
      </w:tr>
      <w:tr w:rsidR="00746B42" w:rsidRPr="00035E77" w14:paraId="6C7156B8" w14:textId="77777777" w:rsidTr="003F2731">
        <w:trPr>
          <w:trHeight w:val="283"/>
        </w:trPr>
        <w:tc>
          <w:tcPr>
            <w:tcW w:w="3402" w:type="dxa"/>
            <w:vMerge w:val="restart"/>
            <w:noWrap/>
          </w:tcPr>
          <w:p w14:paraId="7F25955A"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53" behindDoc="0" locked="0" layoutInCell="1" allowOverlap="1" wp14:anchorId="3549F409" wp14:editId="6F15897A">
                  <wp:simplePos x="0" y="0"/>
                  <wp:positionH relativeFrom="column">
                    <wp:posOffset>-68580</wp:posOffset>
                  </wp:positionH>
                  <wp:positionV relativeFrom="paragraph">
                    <wp:posOffset>71755</wp:posOffset>
                  </wp:positionV>
                  <wp:extent cx="899160" cy="264160"/>
                  <wp:effectExtent l="0" t="0" r="0" b="2540"/>
                  <wp:wrapNone/>
                  <wp:docPr id="157" name="Picture 157"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wo axle b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701" w:type="dxa"/>
            <w:vAlign w:val="center"/>
          </w:tcPr>
          <w:p w14:paraId="5FDF9D4C" w14:textId="7049FC6A"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12.0</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20A25357" w14:textId="77777777" w:rsidR="00746B42" w:rsidRPr="00C4270B" w:rsidRDefault="00746B42" w:rsidP="003F2731">
            <w:pPr>
              <w:pStyle w:val="BodyCopy"/>
              <w:spacing w:before="0" w:after="0"/>
              <w:rPr>
                <w:sz w:val="20"/>
                <w:szCs w:val="22"/>
              </w:rPr>
            </w:pPr>
            <w:r w:rsidRPr="00C4270B">
              <w:rPr>
                <w:sz w:val="20"/>
                <w:szCs w:val="22"/>
              </w:rPr>
              <w:t>309</w:t>
            </w:r>
          </w:p>
        </w:tc>
        <w:tc>
          <w:tcPr>
            <w:tcW w:w="1440" w:type="dxa"/>
            <w:noWrap/>
          </w:tcPr>
          <w:p w14:paraId="0E63E535" w14:textId="77777777" w:rsidR="00746B42" w:rsidRPr="00C4270B" w:rsidRDefault="00746B42" w:rsidP="003F2731">
            <w:pPr>
              <w:pStyle w:val="BodyCopy"/>
              <w:spacing w:before="0" w:after="0"/>
              <w:rPr>
                <w:sz w:val="20"/>
                <w:szCs w:val="22"/>
              </w:rPr>
            </w:pPr>
            <w:r w:rsidRPr="00C4270B">
              <w:rPr>
                <w:sz w:val="20"/>
                <w:szCs w:val="22"/>
              </w:rPr>
              <w:t>204</w:t>
            </w:r>
          </w:p>
        </w:tc>
        <w:tc>
          <w:tcPr>
            <w:tcW w:w="1441" w:type="dxa"/>
            <w:noWrap/>
          </w:tcPr>
          <w:p w14:paraId="295CE95D" w14:textId="77777777" w:rsidR="00746B42" w:rsidRPr="00C4270B" w:rsidRDefault="00746B42" w:rsidP="003F2731">
            <w:pPr>
              <w:pStyle w:val="BodyCopy"/>
              <w:spacing w:before="0" w:after="0"/>
              <w:rPr>
                <w:sz w:val="20"/>
                <w:szCs w:val="22"/>
              </w:rPr>
            </w:pPr>
            <w:r w:rsidRPr="00C4270B">
              <w:rPr>
                <w:sz w:val="20"/>
                <w:szCs w:val="22"/>
              </w:rPr>
              <w:t>513</w:t>
            </w:r>
          </w:p>
        </w:tc>
      </w:tr>
      <w:tr w:rsidR="00746B42" w:rsidRPr="00035E77" w14:paraId="6A3B0FBF" w14:textId="77777777" w:rsidTr="003F2731">
        <w:trPr>
          <w:trHeight w:val="283"/>
        </w:trPr>
        <w:tc>
          <w:tcPr>
            <w:tcW w:w="3402" w:type="dxa"/>
            <w:vMerge/>
          </w:tcPr>
          <w:p w14:paraId="5318CB0D" w14:textId="77777777" w:rsidR="00746B42" w:rsidRPr="00C4270B" w:rsidRDefault="00746B42" w:rsidP="003F2731">
            <w:pPr>
              <w:pStyle w:val="BodyCopy"/>
              <w:spacing w:before="0" w:after="0"/>
              <w:rPr>
                <w:sz w:val="20"/>
                <w:szCs w:val="22"/>
              </w:rPr>
            </w:pPr>
          </w:p>
        </w:tc>
        <w:tc>
          <w:tcPr>
            <w:tcW w:w="1701" w:type="dxa"/>
            <w:vAlign w:val="center"/>
          </w:tcPr>
          <w:p w14:paraId="79329573" w14:textId="1D36BD25"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12.0</w:t>
            </w:r>
            <w:r w:rsidR="00D36E2D" w:rsidRP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1440" w:type="dxa"/>
            <w:noWrap/>
          </w:tcPr>
          <w:p w14:paraId="249C53EA" w14:textId="77777777" w:rsidR="00746B42" w:rsidRPr="00C4270B" w:rsidRDefault="00746B42" w:rsidP="003F2731">
            <w:pPr>
              <w:pStyle w:val="BodyCopy"/>
              <w:spacing w:before="0" w:after="0"/>
              <w:rPr>
                <w:sz w:val="20"/>
                <w:szCs w:val="22"/>
              </w:rPr>
            </w:pPr>
            <w:r w:rsidRPr="00C4270B">
              <w:rPr>
                <w:sz w:val="20"/>
                <w:szCs w:val="22"/>
              </w:rPr>
              <w:t>309</w:t>
            </w:r>
          </w:p>
        </w:tc>
        <w:tc>
          <w:tcPr>
            <w:tcW w:w="1440" w:type="dxa"/>
            <w:noWrap/>
          </w:tcPr>
          <w:p w14:paraId="1C4C0AA8" w14:textId="77777777" w:rsidR="00746B42" w:rsidRPr="00C4270B" w:rsidRDefault="00746B42" w:rsidP="003F2731">
            <w:pPr>
              <w:pStyle w:val="BodyCopy"/>
              <w:spacing w:before="0" w:after="0"/>
              <w:rPr>
                <w:sz w:val="20"/>
                <w:szCs w:val="22"/>
              </w:rPr>
            </w:pPr>
            <w:r w:rsidRPr="00C4270B">
              <w:rPr>
                <w:sz w:val="20"/>
                <w:szCs w:val="22"/>
              </w:rPr>
              <w:t>334</w:t>
            </w:r>
          </w:p>
        </w:tc>
        <w:tc>
          <w:tcPr>
            <w:tcW w:w="1441" w:type="dxa"/>
            <w:noWrap/>
          </w:tcPr>
          <w:p w14:paraId="2C418FEC" w14:textId="77777777" w:rsidR="00746B42" w:rsidRPr="00C4270B" w:rsidRDefault="00746B42" w:rsidP="003F2731">
            <w:pPr>
              <w:pStyle w:val="BodyCopy"/>
              <w:spacing w:before="0" w:after="0"/>
              <w:rPr>
                <w:sz w:val="20"/>
                <w:szCs w:val="22"/>
              </w:rPr>
            </w:pPr>
            <w:r w:rsidRPr="00C4270B">
              <w:rPr>
                <w:sz w:val="20"/>
                <w:szCs w:val="22"/>
              </w:rPr>
              <w:t>643</w:t>
            </w:r>
          </w:p>
        </w:tc>
      </w:tr>
      <w:tr w:rsidR="00746B42" w:rsidRPr="00035E77" w14:paraId="44D844F9" w14:textId="77777777" w:rsidTr="003F2731">
        <w:trPr>
          <w:trHeight w:val="283"/>
        </w:trPr>
        <w:tc>
          <w:tcPr>
            <w:tcW w:w="3402" w:type="dxa"/>
            <w:noWrap/>
          </w:tcPr>
          <w:p w14:paraId="76D8095F"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47" behindDoc="0" locked="0" layoutInCell="1" allowOverlap="1" wp14:anchorId="068D2405" wp14:editId="428D78A5">
                  <wp:simplePos x="0" y="0"/>
                  <wp:positionH relativeFrom="column">
                    <wp:posOffset>-68580</wp:posOffset>
                  </wp:positionH>
                  <wp:positionV relativeFrom="paragraph">
                    <wp:posOffset>229235</wp:posOffset>
                  </wp:positionV>
                  <wp:extent cx="751632" cy="190500"/>
                  <wp:effectExtent l="0" t="0" r="0" b="0"/>
                  <wp:wrapNone/>
                  <wp:docPr id="158"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2"/>
                <w:lang w:eastAsia="en-AU"/>
              </w:rPr>
              <w:drawing>
                <wp:anchor distT="0" distB="0" distL="114300" distR="114300" simplePos="0" relativeHeight="251658246" behindDoc="0" locked="0" layoutInCell="1" allowOverlap="1" wp14:anchorId="241B86C8" wp14:editId="43A41E01">
                  <wp:simplePos x="0" y="0"/>
                  <wp:positionH relativeFrom="column">
                    <wp:posOffset>-68580</wp:posOffset>
                  </wp:positionH>
                  <wp:positionV relativeFrom="paragraph">
                    <wp:posOffset>15875</wp:posOffset>
                  </wp:positionV>
                  <wp:extent cx="594360" cy="196302"/>
                  <wp:effectExtent l="0" t="0" r="0" b="0"/>
                  <wp:wrapNone/>
                  <wp:docPr id="159"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2"/>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vAlign w:val="center"/>
          </w:tcPr>
          <w:p w14:paraId="58EC6C6F"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1440" w:type="dxa"/>
            <w:noWrap/>
          </w:tcPr>
          <w:p w14:paraId="0108BFF6" w14:textId="77777777" w:rsidR="00746B42" w:rsidRPr="00C4270B" w:rsidRDefault="00746B42" w:rsidP="003F2731">
            <w:pPr>
              <w:pStyle w:val="BodyCopy"/>
              <w:spacing w:before="0" w:after="0"/>
              <w:rPr>
                <w:sz w:val="20"/>
                <w:szCs w:val="22"/>
              </w:rPr>
            </w:pPr>
            <w:r w:rsidRPr="00C4270B">
              <w:rPr>
                <w:sz w:val="20"/>
                <w:szCs w:val="22"/>
              </w:rPr>
              <w:t>2,260</w:t>
            </w:r>
          </w:p>
        </w:tc>
        <w:tc>
          <w:tcPr>
            <w:tcW w:w="1440" w:type="dxa"/>
            <w:noWrap/>
          </w:tcPr>
          <w:p w14:paraId="47B8E77B" w14:textId="77777777" w:rsidR="00746B42" w:rsidRPr="00C4270B" w:rsidRDefault="00746B42" w:rsidP="003F2731">
            <w:pPr>
              <w:pStyle w:val="BodyCopy"/>
              <w:spacing w:before="0" w:after="0"/>
              <w:rPr>
                <w:sz w:val="20"/>
                <w:szCs w:val="22"/>
              </w:rPr>
            </w:pPr>
            <w:r w:rsidRPr="00C4270B">
              <w:rPr>
                <w:sz w:val="20"/>
                <w:szCs w:val="22"/>
              </w:rPr>
              <w:t>414</w:t>
            </w:r>
          </w:p>
        </w:tc>
        <w:tc>
          <w:tcPr>
            <w:tcW w:w="1441" w:type="dxa"/>
            <w:noWrap/>
          </w:tcPr>
          <w:p w14:paraId="1B952C7C" w14:textId="77777777" w:rsidR="00746B42" w:rsidRPr="00C4270B" w:rsidRDefault="00746B42" w:rsidP="003F2731">
            <w:pPr>
              <w:pStyle w:val="BodyCopy"/>
              <w:spacing w:before="0" w:after="0"/>
              <w:rPr>
                <w:sz w:val="20"/>
                <w:szCs w:val="22"/>
              </w:rPr>
            </w:pPr>
            <w:r w:rsidRPr="00C4270B">
              <w:rPr>
                <w:sz w:val="20"/>
                <w:szCs w:val="22"/>
              </w:rPr>
              <w:t>2,674</w:t>
            </w:r>
          </w:p>
        </w:tc>
      </w:tr>
      <w:tr w:rsidR="00746B42" w:rsidRPr="00035E77" w14:paraId="60BBFA21" w14:textId="77777777" w:rsidTr="003F2731">
        <w:trPr>
          <w:trHeight w:val="283"/>
        </w:trPr>
        <w:tc>
          <w:tcPr>
            <w:tcW w:w="3402" w:type="dxa"/>
          </w:tcPr>
          <w:p w14:paraId="37DAD994" w14:textId="77777777" w:rsidR="00746B42" w:rsidRPr="00C4270B" w:rsidRDefault="00746B42" w:rsidP="003F2731">
            <w:pPr>
              <w:pStyle w:val="BodyCopy"/>
              <w:spacing w:before="0" w:after="0"/>
              <w:rPr>
                <w:b/>
                <w:bCs/>
                <w:sz w:val="20"/>
                <w:szCs w:val="22"/>
              </w:rPr>
            </w:pPr>
          </w:p>
        </w:tc>
        <w:tc>
          <w:tcPr>
            <w:tcW w:w="1701" w:type="dxa"/>
            <w:vAlign w:val="center"/>
          </w:tcPr>
          <w:p w14:paraId="61D9C36D"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1440" w:type="dxa"/>
            <w:noWrap/>
          </w:tcPr>
          <w:p w14:paraId="7A2B236E" w14:textId="77777777" w:rsidR="00746B42" w:rsidRPr="00C4270B" w:rsidRDefault="00746B42" w:rsidP="003F2731">
            <w:pPr>
              <w:pStyle w:val="BodyCopy"/>
              <w:spacing w:before="0" w:after="0"/>
              <w:rPr>
                <w:sz w:val="20"/>
                <w:szCs w:val="22"/>
              </w:rPr>
            </w:pPr>
            <w:r w:rsidRPr="00C4270B">
              <w:rPr>
                <w:sz w:val="20"/>
                <w:szCs w:val="22"/>
              </w:rPr>
              <w:t>5,767</w:t>
            </w:r>
          </w:p>
        </w:tc>
        <w:tc>
          <w:tcPr>
            <w:tcW w:w="1440" w:type="dxa"/>
            <w:noWrap/>
          </w:tcPr>
          <w:p w14:paraId="63FB364F" w14:textId="77777777" w:rsidR="00746B42" w:rsidRPr="00C4270B" w:rsidRDefault="00746B42" w:rsidP="003F2731">
            <w:pPr>
              <w:pStyle w:val="BodyCopy"/>
              <w:spacing w:before="0" w:after="0"/>
              <w:rPr>
                <w:sz w:val="20"/>
                <w:szCs w:val="22"/>
              </w:rPr>
            </w:pPr>
            <w:r w:rsidRPr="00C4270B">
              <w:rPr>
                <w:sz w:val="20"/>
                <w:szCs w:val="22"/>
              </w:rPr>
              <w:t>458</w:t>
            </w:r>
          </w:p>
        </w:tc>
        <w:tc>
          <w:tcPr>
            <w:tcW w:w="1441" w:type="dxa"/>
            <w:noWrap/>
          </w:tcPr>
          <w:p w14:paraId="375F5E93" w14:textId="77777777" w:rsidR="00746B42" w:rsidRPr="00C4270B" w:rsidRDefault="00746B42" w:rsidP="003F2731">
            <w:pPr>
              <w:pStyle w:val="BodyCopy"/>
              <w:spacing w:before="0" w:after="0"/>
              <w:rPr>
                <w:sz w:val="20"/>
                <w:szCs w:val="22"/>
              </w:rPr>
            </w:pPr>
            <w:r w:rsidRPr="00C4270B">
              <w:rPr>
                <w:sz w:val="20"/>
                <w:szCs w:val="22"/>
              </w:rPr>
              <w:t>6,225</w:t>
            </w:r>
          </w:p>
        </w:tc>
      </w:tr>
      <w:tr w:rsidR="00746B42" w:rsidRPr="00035E77" w14:paraId="6C18C245" w14:textId="77777777" w:rsidTr="003F2731">
        <w:trPr>
          <w:trHeight w:val="283"/>
        </w:trPr>
        <w:tc>
          <w:tcPr>
            <w:tcW w:w="3402" w:type="dxa"/>
            <w:noWrap/>
          </w:tcPr>
          <w:p w14:paraId="26779DD4"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49" behindDoc="0" locked="0" layoutInCell="1" allowOverlap="1" wp14:anchorId="752E95D0" wp14:editId="132A34FC">
                  <wp:simplePos x="0" y="0"/>
                  <wp:positionH relativeFrom="column">
                    <wp:posOffset>-68580</wp:posOffset>
                  </wp:positionH>
                  <wp:positionV relativeFrom="paragraph">
                    <wp:posOffset>207645</wp:posOffset>
                  </wp:positionV>
                  <wp:extent cx="1082040" cy="248285"/>
                  <wp:effectExtent l="0" t="0" r="3810" b="0"/>
                  <wp:wrapNone/>
                  <wp:docPr id="160"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2"/>
                <w:lang w:eastAsia="en-AU"/>
              </w:rPr>
              <w:drawing>
                <wp:anchor distT="0" distB="0" distL="114300" distR="114300" simplePos="0" relativeHeight="251658248" behindDoc="0" locked="0" layoutInCell="1" allowOverlap="1" wp14:anchorId="18349813" wp14:editId="13005C30">
                  <wp:simplePos x="0" y="0"/>
                  <wp:positionH relativeFrom="column">
                    <wp:posOffset>-68580</wp:posOffset>
                  </wp:positionH>
                  <wp:positionV relativeFrom="paragraph">
                    <wp:posOffset>1905</wp:posOffset>
                  </wp:positionV>
                  <wp:extent cx="944880" cy="209968"/>
                  <wp:effectExtent l="0" t="0" r="7620" b="0"/>
                  <wp:wrapNone/>
                  <wp:docPr id="161"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4"/>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vAlign w:val="center"/>
          </w:tcPr>
          <w:p w14:paraId="55EE9FB0" w14:textId="77777777" w:rsidR="00746B42" w:rsidRPr="00C4270B" w:rsidRDefault="00746B42" w:rsidP="003F2731">
            <w:pPr>
              <w:pStyle w:val="BodyCopy"/>
              <w:spacing w:before="0" w:after="0"/>
              <w:rPr>
                <w:b/>
                <w:bCs/>
                <w:sz w:val="20"/>
                <w:szCs w:val="22"/>
              </w:rPr>
            </w:pPr>
            <w:r w:rsidRPr="00C4270B">
              <w:rPr>
                <w:rFonts w:ascii="Calibri" w:hAnsi="Calibri" w:cs="Calibri"/>
                <w:b/>
                <w:bCs/>
                <w:sz w:val="20"/>
                <w:szCs w:val="22"/>
              </w:rPr>
              <w:t> </w:t>
            </w:r>
          </w:p>
        </w:tc>
        <w:tc>
          <w:tcPr>
            <w:tcW w:w="1440" w:type="dxa"/>
            <w:noWrap/>
          </w:tcPr>
          <w:p w14:paraId="3E70FC54" w14:textId="77777777" w:rsidR="00746B42" w:rsidRPr="00C4270B" w:rsidRDefault="00746B42" w:rsidP="003F2731">
            <w:pPr>
              <w:pStyle w:val="BodyCopy"/>
              <w:spacing w:before="0" w:after="0"/>
              <w:rPr>
                <w:sz w:val="20"/>
                <w:szCs w:val="22"/>
              </w:rPr>
            </w:pPr>
            <w:r w:rsidRPr="00C4270B">
              <w:rPr>
                <w:sz w:val="20"/>
                <w:szCs w:val="22"/>
              </w:rPr>
              <w:t>13,739</w:t>
            </w:r>
          </w:p>
        </w:tc>
        <w:tc>
          <w:tcPr>
            <w:tcW w:w="1440" w:type="dxa"/>
            <w:noWrap/>
          </w:tcPr>
          <w:p w14:paraId="0F8CF0BE" w14:textId="77777777" w:rsidR="00746B42" w:rsidRPr="00C4270B" w:rsidRDefault="00746B42" w:rsidP="003F2731">
            <w:pPr>
              <w:pStyle w:val="BodyCopy"/>
              <w:spacing w:before="0" w:after="0"/>
              <w:rPr>
                <w:sz w:val="20"/>
                <w:szCs w:val="22"/>
              </w:rPr>
            </w:pPr>
            <w:r w:rsidRPr="00C4270B">
              <w:rPr>
                <w:sz w:val="20"/>
                <w:szCs w:val="22"/>
              </w:rPr>
              <w:t>1,020</w:t>
            </w:r>
          </w:p>
        </w:tc>
        <w:tc>
          <w:tcPr>
            <w:tcW w:w="1441" w:type="dxa"/>
            <w:noWrap/>
          </w:tcPr>
          <w:p w14:paraId="2CFC74C7" w14:textId="77777777" w:rsidR="00746B42" w:rsidRPr="00C4270B" w:rsidRDefault="00746B42" w:rsidP="003F2731">
            <w:pPr>
              <w:pStyle w:val="BodyCopy"/>
              <w:spacing w:before="0" w:after="0"/>
              <w:rPr>
                <w:sz w:val="20"/>
                <w:szCs w:val="22"/>
              </w:rPr>
            </w:pPr>
            <w:r w:rsidRPr="00C4270B">
              <w:rPr>
                <w:sz w:val="20"/>
                <w:szCs w:val="22"/>
              </w:rPr>
              <w:t>14,759</w:t>
            </w:r>
          </w:p>
        </w:tc>
      </w:tr>
      <w:tr w:rsidR="00746B42" w:rsidRPr="00035E77" w14:paraId="31A6F65D" w14:textId="77777777" w:rsidTr="003F2731">
        <w:trPr>
          <w:trHeight w:val="283"/>
        </w:trPr>
        <w:tc>
          <w:tcPr>
            <w:tcW w:w="3402" w:type="dxa"/>
          </w:tcPr>
          <w:p w14:paraId="0CE1B1F4" w14:textId="77777777" w:rsidR="00746B42" w:rsidRPr="00C4270B" w:rsidRDefault="00746B42" w:rsidP="003F2731">
            <w:pPr>
              <w:pStyle w:val="BodyCopy"/>
              <w:spacing w:before="0" w:after="0"/>
              <w:rPr>
                <w:sz w:val="20"/>
                <w:szCs w:val="22"/>
              </w:rPr>
            </w:pPr>
          </w:p>
        </w:tc>
        <w:tc>
          <w:tcPr>
            <w:tcW w:w="1701" w:type="dxa"/>
            <w:vAlign w:val="center"/>
          </w:tcPr>
          <w:p w14:paraId="49748BDF"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1440" w:type="dxa"/>
            <w:noWrap/>
          </w:tcPr>
          <w:p w14:paraId="1726C6A0" w14:textId="77777777" w:rsidR="00746B42" w:rsidRPr="00C4270B" w:rsidRDefault="00746B42" w:rsidP="003F2731">
            <w:pPr>
              <w:pStyle w:val="BodyCopy"/>
              <w:spacing w:before="0" w:after="0"/>
              <w:rPr>
                <w:sz w:val="20"/>
                <w:szCs w:val="22"/>
              </w:rPr>
            </w:pPr>
            <w:r w:rsidRPr="00C4270B">
              <w:rPr>
                <w:sz w:val="20"/>
                <w:szCs w:val="22"/>
              </w:rPr>
              <w:t>13,739</w:t>
            </w:r>
          </w:p>
        </w:tc>
        <w:tc>
          <w:tcPr>
            <w:tcW w:w="1440" w:type="dxa"/>
            <w:noWrap/>
          </w:tcPr>
          <w:p w14:paraId="459EAF15" w14:textId="77777777" w:rsidR="00746B42" w:rsidRPr="00C4270B" w:rsidRDefault="00746B42" w:rsidP="003F2731">
            <w:pPr>
              <w:pStyle w:val="BodyCopy"/>
              <w:spacing w:before="0" w:after="0"/>
              <w:rPr>
                <w:sz w:val="20"/>
                <w:szCs w:val="22"/>
              </w:rPr>
            </w:pPr>
            <w:r w:rsidRPr="00C4270B">
              <w:rPr>
                <w:sz w:val="20"/>
                <w:szCs w:val="22"/>
              </w:rPr>
              <w:t>1,076</w:t>
            </w:r>
          </w:p>
        </w:tc>
        <w:tc>
          <w:tcPr>
            <w:tcW w:w="1441" w:type="dxa"/>
            <w:noWrap/>
          </w:tcPr>
          <w:p w14:paraId="73AF92FD" w14:textId="77777777" w:rsidR="00746B42" w:rsidRPr="00C4270B" w:rsidRDefault="00746B42" w:rsidP="003F2731">
            <w:pPr>
              <w:pStyle w:val="BodyCopy"/>
              <w:spacing w:before="0" w:after="0"/>
              <w:rPr>
                <w:sz w:val="20"/>
                <w:szCs w:val="22"/>
              </w:rPr>
            </w:pPr>
            <w:r w:rsidRPr="00C4270B">
              <w:rPr>
                <w:sz w:val="20"/>
                <w:szCs w:val="22"/>
              </w:rPr>
              <w:t>14,815</w:t>
            </w:r>
          </w:p>
        </w:tc>
      </w:tr>
      <w:tr w:rsidR="00746B42" w:rsidRPr="00035E77" w14:paraId="4F5E369E" w14:textId="77777777" w:rsidTr="003F2731">
        <w:trPr>
          <w:trHeight w:val="283"/>
        </w:trPr>
        <w:tc>
          <w:tcPr>
            <w:tcW w:w="3402" w:type="dxa"/>
          </w:tcPr>
          <w:p w14:paraId="6D460A66"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50" behindDoc="0" locked="0" layoutInCell="1" allowOverlap="1" wp14:anchorId="7E6553E1" wp14:editId="7F105530">
                  <wp:simplePos x="0" y="0"/>
                  <wp:positionH relativeFrom="column">
                    <wp:posOffset>-67310</wp:posOffset>
                  </wp:positionH>
                  <wp:positionV relativeFrom="paragraph">
                    <wp:posOffset>-12065</wp:posOffset>
                  </wp:positionV>
                  <wp:extent cx="1348740" cy="253513"/>
                  <wp:effectExtent l="0" t="0" r="3810" b="0"/>
                  <wp:wrapNone/>
                  <wp:docPr id="162"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701" w:type="dxa"/>
            <w:vAlign w:val="center"/>
          </w:tcPr>
          <w:p w14:paraId="3309E93C"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1440" w:type="dxa"/>
            <w:noWrap/>
          </w:tcPr>
          <w:p w14:paraId="1E457825" w14:textId="77777777" w:rsidR="00746B42" w:rsidRPr="00C4270B" w:rsidRDefault="00746B42" w:rsidP="003F2731">
            <w:pPr>
              <w:pStyle w:val="BodyCopy"/>
              <w:spacing w:before="0" w:after="0"/>
              <w:rPr>
                <w:sz w:val="20"/>
                <w:szCs w:val="22"/>
              </w:rPr>
            </w:pPr>
            <w:r w:rsidRPr="00C4270B">
              <w:rPr>
                <w:sz w:val="20"/>
                <w:szCs w:val="22"/>
              </w:rPr>
              <w:t>15,398</w:t>
            </w:r>
          </w:p>
        </w:tc>
        <w:tc>
          <w:tcPr>
            <w:tcW w:w="1440" w:type="dxa"/>
            <w:noWrap/>
          </w:tcPr>
          <w:p w14:paraId="6A1ED2A5" w14:textId="77777777" w:rsidR="00746B42" w:rsidRPr="00C4270B" w:rsidRDefault="00746B42" w:rsidP="003F2731">
            <w:pPr>
              <w:pStyle w:val="BodyCopy"/>
              <w:spacing w:before="0" w:after="0"/>
              <w:rPr>
                <w:sz w:val="20"/>
                <w:szCs w:val="22"/>
              </w:rPr>
            </w:pPr>
            <w:r w:rsidRPr="00C4270B">
              <w:rPr>
                <w:sz w:val="20"/>
                <w:szCs w:val="22"/>
              </w:rPr>
              <w:t>1,186</w:t>
            </w:r>
          </w:p>
        </w:tc>
        <w:tc>
          <w:tcPr>
            <w:tcW w:w="1441" w:type="dxa"/>
            <w:noWrap/>
          </w:tcPr>
          <w:p w14:paraId="3B83EE6A" w14:textId="77777777" w:rsidR="00746B42" w:rsidRPr="00C4270B" w:rsidRDefault="00746B42" w:rsidP="003F2731">
            <w:pPr>
              <w:pStyle w:val="BodyCopy"/>
              <w:spacing w:before="0" w:after="0"/>
              <w:rPr>
                <w:sz w:val="20"/>
                <w:szCs w:val="22"/>
              </w:rPr>
            </w:pPr>
            <w:r w:rsidRPr="00C4270B">
              <w:rPr>
                <w:sz w:val="20"/>
                <w:szCs w:val="22"/>
              </w:rPr>
              <w:t>16,584</w:t>
            </w:r>
          </w:p>
        </w:tc>
      </w:tr>
    </w:tbl>
    <w:p w14:paraId="7C3E0B94" w14:textId="271B2D9B" w:rsidR="00AB672A" w:rsidRDefault="00AB672A">
      <w:pPr>
        <w:pStyle w:val="BodyCopy"/>
      </w:pPr>
      <w:r>
        <w:lastRenderedPageBreak/>
        <w:t>Since 2016</w:t>
      </w:r>
      <w:r w:rsidR="00D66039">
        <w:t>–</w:t>
      </w:r>
      <w:r>
        <w:t>17, regulatory components of registration charges have been adjusted by scaling up or down to reflect changes in the NHVR budget and the size and composition of the heavy vehicle fleet.</w:t>
      </w:r>
      <w:r w:rsidR="00830D17">
        <w:t xml:space="preserve"> </w:t>
      </w:r>
    </w:p>
    <w:p w14:paraId="24BE769D" w14:textId="569F7051" w:rsidR="003769B6" w:rsidRDefault="00AB672A" w:rsidP="00AF7B68">
      <w:pPr>
        <w:pStyle w:val="Heading3"/>
      </w:pPr>
      <w:bookmarkStart w:id="292" w:name="_Toc86158473"/>
      <w:r>
        <w:t>Issues</w:t>
      </w:r>
      <w:bookmarkEnd w:id="292"/>
    </w:p>
    <w:p w14:paraId="3F918EB3" w14:textId="36107CE8" w:rsidR="00AB672A" w:rsidRDefault="00AB672A" w:rsidP="003769B6">
      <w:pPr>
        <w:pStyle w:val="BodyCopy"/>
      </w:pPr>
      <w:r>
        <w:t xml:space="preserve">The current approach has been successful in providing the NHVR with </w:t>
      </w:r>
      <w:r w:rsidR="004240BE">
        <w:t xml:space="preserve">enough </w:t>
      </w:r>
      <w:r>
        <w:t>revenue to cover its approved budget. Arguably, the process of scaling regulatory charges up or down to reflect changes in the NHVR’s budget or the vehicle fleet have also worked.</w:t>
      </w:r>
      <w:r w:rsidR="00830D17">
        <w:t xml:space="preserve"> </w:t>
      </w:r>
    </w:p>
    <w:p w14:paraId="6D8DA216" w14:textId="03A3C1D5" w:rsidR="00AB672A" w:rsidRDefault="00AB672A" w:rsidP="003769B6">
      <w:pPr>
        <w:pStyle w:val="BodyCopy"/>
      </w:pPr>
      <w:r>
        <w:t xml:space="preserve">The process of asking </w:t>
      </w:r>
      <w:r w:rsidR="004240BE">
        <w:t>m</w:t>
      </w:r>
      <w:r>
        <w:t>inisters to approve both the NHVR’s budget and, subsequently</w:t>
      </w:r>
      <w:r w:rsidR="004240BE">
        <w:t>,</w:t>
      </w:r>
      <w:r>
        <w:t xml:space="preserve"> the resulting regulatory charges, has proven to be </w:t>
      </w:r>
      <w:r w:rsidR="0009726C">
        <w:t xml:space="preserve">relatively onerous. It could be desirable to develop a process </w:t>
      </w:r>
      <w:r w:rsidR="004240BE">
        <w:t xml:space="preserve">that </w:t>
      </w:r>
      <w:r w:rsidR="0009726C">
        <w:t xml:space="preserve">would automatically adjust regulatory charges to recover the approved NHVR budget. </w:t>
      </w:r>
    </w:p>
    <w:p w14:paraId="5A91DE21" w14:textId="10EC6E61" w:rsidR="00AB672A" w:rsidRDefault="0009726C" w:rsidP="003769B6">
      <w:pPr>
        <w:pStyle w:val="BodyCopy"/>
      </w:pPr>
      <w:r>
        <w:t>Also, given updated usage data, it would also be desirable to consider whether the level of regulatory charges for each vehicle type should be reset.</w:t>
      </w:r>
      <w:r w:rsidR="00830D17">
        <w:t xml:space="preserve"> </w:t>
      </w:r>
    </w:p>
    <w:p w14:paraId="3D2C97D3" w14:textId="4696196C" w:rsidR="003769B6" w:rsidRDefault="0084514E" w:rsidP="003769B6">
      <w:pPr>
        <w:pStyle w:val="Heading3"/>
      </w:pPr>
      <w:bookmarkStart w:id="293" w:name="_Toc16675776"/>
      <w:bookmarkStart w:id="294" w:name="_Toc16844193"/>
      <w:bookmarkStart w:id="295" w:name="_Toc16854250"/>
      <w:bookmarkStart w:id="296" w:name="_Toc16855073"/>
      <w:bookmarkStart w:id="297" w:name="_Toc16855899"/>
      <w:bookmarkStart w:id="298" w:name="_Toc16856720"/>
      <w:bookmarkStart w:id="299" w:name="_Toc16675777"/>
      <w:bookmarkStart w:id="300" w:name="_Toc16844194"/>
      <w:bookmarkStart w:id="301" w:name="_Toc16854251"/>
      <w:bookmarkStart w:id="302" w:name="_Toc16855074"/>
      <w:bookmarkStart w:id="303" w:name="_Toc16855900"/>
      <w:bookmarkStart w:id="304" w:name="_Toc16856721"/>
      <w:bookmarkStart w:id="305" w:name="_Toc16675778"/>
      <w:bookmarkStart w:id="306" w:name="_Toc16844195"/>
      <w:bookmarkStart w:id="307" w:name="_Toc16854252"/>
      <w:bookmarkStart w:id="308" w:name="_Toc16855075"/>
      <w:bookmarkStart w:id="309" w:name="_Toc16855901"/>
      <w:bookmarkStart w:id="310" w:name="_Toc16856722"/>
      <w:bookmarkStart w:id="311" w:name="_Toc16675779"/>
      <w:bookmarkStart w:id="312" w:name="_Toc16844196"/>
      <w:bookmarkStart w:id="313" w:name="_Toc16854253"/>
      <w:bookmarkStart w:id="314" w:name="_Toc16855076"/>
      <w:bookmarkStart w:id="315" w:name="_Toc16855902"/>
      <w:bookmarkStart w:id="316" w:name="_Toc16856723"/>
      <w:bookmarkStart w:id="317" w:name="_Toc16675780"/>
      <w:bookmarkStart w:id="318" w:name="_Toc16844197"/>
      <w:bookmarkStart w:id="319" w:name="_Toc16854254"/>
      <w:bookmarkStart w:id="320" w:name="_Toc16855077"/>
      <w:bookmarkStart w:id="321" w:name="_Toc16855903"/>
      <w:bookmarkStart w:id="322" w:name="_Toc16856724"/>
      <w:bookmarkStart w:id="323" w:name="_Toc16675781"/>
      <w:bookmarkStart w:id="324" w:name="_Toc16844198"/>
      <w:bookmarkStart w:id="325" w:name="_Toc16854255"/>
      <w:bookmarkStart w:id="326" w:name="_Toc16855078"/>
      <w:bookmarkStart w:id="327" w:name="_Toc16855904"/>
      <w:bookmarkStart w:id="328" w:name="_Toc16856725"/>
      <w:bookmarkStart w:id="329" w:name="_Toc16675782"/>
      <w:bookmarkStart w:id="330" w:name="_Toc16844199"/>
      <w:bookmarkStart w:id="331" w:name="_Toc16854256"/>
      <w:bookmarkStart w:id="332" w:name="_Toc16855079"/>
      <w:bookmarkStart w:id="333" w:name="_Toc16855905"/>
      <w:bookmarkStart w:id="334" w:name="_Toc16856726"/>
      <w:bookmarkStart w:id="335" w:name="_Toc16675783"/>
      <w:bookmarkStart w:id="336" w:name="_Toc16844200"/>
      <w:bookmarkStart w:id="337" w:name="_Toc16854257"/>
      <w:bookmarkStart w:id="338" w:name="_Toc16855080"/>
      <w:bookmarkStart w:id="339" w:name="_Toc16855906"/>
      <w:bookmarkStart w:id="340" w:name="_Toc16856727"/>
      <w:bookmarkStart w:id="341" w:name="_Toc16193071"/>
      <w:bookmarkStart w:id="342" w:name="_Toc16198059"/>
      <w:bookmarkStart w:id="343" w:name="_Toc16675784"/>
      <w:bookmarkStart w:id="344" w:name="_Toc16844201"/>
      <w:bookmarkStart w:id="345" w:name="_Toc16854258"/>
      <w:bookmarkStart w:id="346" w:name="_Toc16855081"/>
      <w:bookmarkStart w:id="347" w:name="_Toc16855907"/>
      <w:bookmarkStart w:id="348" w:name="_Toc16856728"/>
      <w:bookmarkStart w:id="349" w:name="_Toc16675785"/>
      <w:bookmarkStart w:id="350" w:name="_Toc16844202"/>
      <w:bookmarkStart w:id="351" w:name="_Toc16854259"/>
      <w:bookmarkStart w:id="352" w:name="_Toc16855082"/>
      <w:bookmarkStart w:id="353" w:name="_Toc16855908"/>
      <w:bookmarkStart w:id="354" w:name="_Toc16856729"/>
      <w:bookmarkStart w:id="355" w:name="_Toc16675786"/>
      <w:bookmarkStart w:id="356" w:name="_Toc16844203"/>
      <w:bookmarkStart w:id="357" w:name="_Toc16854260"/>
      <w:bookmarkStart w:id="358" w:name="_Toc16855083"/>
      <w:bookmarkStart w:id="359" w:name="_Toc16855909"/>
      <w:bookmarkStart w:id="360" w:name="_Toc16856730"/>
      <w:bookmarkStart w:id="361" w:name="_Toc16675787"/>
      <w:bookmarkStart w:id="362" w:name="_Toc16844204"/>
      <w:bookmarkStart w:id="363" w:name="_Toc16854261"/>
      <w:bookmarkStart w:id="364" w:name="_Toc16855084"/>
      <w:bookmarkStart w:id="365" w:name="_Toc16855910"/>
      <w:bookmarkStart w:id="366" w:name="_Toc16856731"/>
      <w:bookmarkStart w:id="367" w:name="_Toc16675788"/>
      <w:bookmarkStart w:id="368" w:name="_Toc16844205"/>
      <w:bookmarkStart w:id="369" w:name="_Toc16854262"/>
      <w:bookmarkStart w:id="370" w:name="_Toc16855085"/>
      <w:bookmarkStart w:id="371" w:name="_Toc16855911"/>
      <w:bookmarkStart w:id="372" w:name="_Toc16856732"/>
      <w:bookmarkStart w:id="373" w:name="_Toc16675789"/>
      <w:bookmarkStart w:id="374" w:name="_Toc16844206"/>
      <w:bookmarkStart w:id="375" w:name="_Toc16854263"/>
      <w:bookmarkStart w:id="376" w:name="_Toc16855086"/>
      <w:bookmarkStart w:id="377" w:name="_Toc16855912"/>
      <w:bookmarkStart w:id="378" w:name="_Toc16856733"/>
      <w:bookmarkStart w:id="379" w:name="_Toc16675790"/>
      <w:bookmarkStart w:id="380" w:name="_Toc16844207"/>
      <w:bookmarkStart w:id="381" w:name="_Toc16854264"/>
      <w:bookmarkStart w:id="382" w:name="_Toc16855087"/>
      <w:bookmarkStart w:id="383" w:name="_Toc16855913"/>
      <w:bookmarkStart w:id="384" w:name="_Toc16856734"/>
      <w:bookmarkStart w:id="385" w:name="_Toc16675791"/>
      <w:bookmarkStart w:id="386" w:name="_Toc16844208"/>
      <w:bookmarkStart w:id="387" w:name="_Toc16854265"/>
      <w:bookmarkStart w:id="388" w:name="_Toc16855088"/>
      <w:bookmarkStart w:id="389" w:name="_Toc16855914"/>
      <w:bookmarkStart w:id="390" w:name="_Toc16856735"/>
      <w:bookmarkStart w:id="391" w:name="_Toc16675792"/>
      <w:bookmarkStart w:id="392" w:name="_Toc16844209"/>
      <w:bookmarkStart w:id="393" w:name="_Toc16854266"/>
      <w:bookmarkStart w:id="394" w:name="_Toc16855089"/>
      <w:bookmarkStart w:id="395" w:name="_Toc16855915"/>
      <w:bookmarkStart w:id="396" w:name="_Toc16856736"/>
      <w:bookmarkStart w:id="397" w:name="_Toc16675793"/>
      <w:bookmarkStart w:id="398" w:name="_Toc16844210"/>
      <w:bookmarkStart w:id="399" w:name="_Toc16854267"/>
      <w:bookmarkStart w:id="400" w:name="_Toc16855090"/>
      <w:bookmarkStart w:id="401" w:name="_Toc16855916"/>
      <w:bookmarkStart w:id="402" w:name="_Toc16856737"/>
      <w:bookmarkStart w:id="403" w:name="_Toc16675794"/>
      <w:bookmarkStart w:id="404" w:name="_Toc16844211"/>
      <w:bookmarkStart w:id="405" w:name="_Toc16854268"/>
      <w:bookmarkStart w:id="406" w:name="_Toc16855091"/>
      <w:bookmarkStart w:id="407" w:name="_Toc16855917"/>
      <w:bookmarkStart w:id="408" w:name="_Toc16856738"/>
      <w:bookmarkStart w:id="409" w:name="_Toc16675795"/>
      <w:bookmarkStart w:id="410" w:name="_Toc16844212"/>
      <w:bookmarkStart w:id="411" w:name="_Toc16854269"/>
      <w:bookmarkStart w:id="412" w:name="_Toc16855092"/>
      <w:bookmarkStart w:id="413" w:name="_Toc16855918"/>
      <w:bookmarkStart w:id="414" w:name="_Toc16856739"/>
      <w:bookmarkStart w:id="415" w:name="_Toc16675796"/>
      <w:bookmarkStart w:id="416" w:name="_Toc16844213"/>
      <w:bookmarkStart w:id="417" w:name="_Toc16854270"/>
      <w:bookmarkStart w:id="418" w:name="_Toc16855093"/>
      <w:bookmarkStart w:id="419" w:name="_Toc16855919"/>
      <w:bookmarkStart w:id="420" w:name="_Toc16856740"/>
      <w:bookmarkStart w:id="421" w:name="_Ref63867209"/>
      <w:bookmarkStart w:id="422" w:name="_Toc86158474"/>
      <w:bookmarkStart w:id="423" w:name="_Ref22652913"/>
      <w:bookmarkStart w:id="424" w:name="_Ref22653148"/>
      <w:bookmarkStart w:id="425" w:name="_Hlk11510461"/>
      <w:bookmarkStart w:id="426" w:name="_Toc481659240"/>
      <w:bookmarkStart w:id="427" w:name="_Toc496689333"/>
      <w:bookmarkEnd w:id="11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t>O</w:t>
      </w:r>
      <w:r w:rsidR="00ED3D73">
        <w:t>ptions</w:t>
      </w:r>
      <w:bookmarkEnd w:id="421"/>
      <w:bookmarkEnd w:id="422"/>
      <w:r w:rsidR="000A7991">
        <w:t xml:space="preserve"> </w:t>
      </w:r>
    </w:p>
    <w:p w14:paraId="179027A2" w14:textId="67F75D25" w:rsidR="003769B6" w:rsidRDefault="00952D84" w:rsidP="003769B6">
      <w:pPr>
        <w:pStyle w:val="BodyCopy"/>
      </w:pPr>
      <w:r>
        <w:t>There are three options for setting regulatory charges in future years:</w:t>
      </w:r>
    </w:p>
    <w:p w14:paraId="17BD51F3" w14:textId="64F58DA8" w:rsidR="00952D84" w:rsidRDefault="00952D84" w:rsidP="00952D84">
      <w:pPr>
        <w:pStyle w:val="BodyCopy"/>
        <w:numPr>
          <w:ilvl w:val="0"/>
          <w:numId w:val="72"/>
        </w:numPr>
      </w:pPr>
      <w:r>
        <w:t>Retain the current regulatory charges but scale up or down to reflect changes in the NHVR’s budget</w:t>
      </w:r>
      <w:r w:rsidR="004240BE">
        <w:t>.</w:t>
      </w:r>
    </w:p>
    <w:p w14:paraId="577997CE" w14:textId="1F7D707D" w:rsidR="00952D84" w:rsidRDefault="00952D84" w:rsidP="00952D84">
      <w:pPr>
        <w:pStyle w:val="BodyCopy"/>
        <w:numPr>
          <w:ilvl w:val="0"/>
          <w:numId w:val="72"/>
        </w:numPr>
      </w:pPr>
      <w:r>
        <w:t>Reset the regulatory charges using the existing methodology with updated information on weight (AGM) and distance travelled (VKT)</w:t>
      </w:r>
      <w:r w:rsidR="00374A8D">
        <w:t xml:space="preserve"> and the registered heavy vehicle fleet</w:t>
      </w:r>
      <w:r w:rsidR="004240BE">
        <w:t>.</w:t>
      </w:r>
    </w:p>
    <w:p w14:paraId="549C7A01" w14:textId="618EC05D" w:rsidR="00952D84" w:rsidRDefault="00952D84" w:rsidP="00952D84">
      <w:pPr>
        <w:pStyle w:val="BodyCopy"/>
        <w:numPr>
          <w:ilvl w:val="0"/>
          <w:numId w:val="72"/>
        </w:numPr>
      </w:pPr>
      <w:r>
        <w:t>Develop a new, alternative approach to setting regulatory charges.</w:t>
      </w:r>
    </w:p>
    <w:p w14:paraId="744CA7AE" w14:textId="2264BD6D" w:rsidR="00952D84" w:rsidRDefault="00952D84" w:rsidP="00952D84">
      <w:pPr>
        <w:pStyle w:val="BodyCopy"/>
      </w:pPr>
      <w:r>
        <w:t>In addition, there are two possible approaches to adjusting regulatory charges each year to ensure the NHVR’s approved budget continues to be recovered:</w:t>
      </w:r>
    </w:p>
    <w:p w14:paraId="0DC3C6E8" w14:textId="05096517" w:rsidR="00952D84" w:rsidRDefault="002E1663" w:rsidP="00B47A33">
      <w:pPr>
        <w:pStyle w:val="List-bulletlvl1"/>
      </w:pPr>
      <w:r>
        <w:t>c</w:t>
      </w:r>
      <w:r w:rsidR="00952D84">
        <w:t>ontinue with the current approach of ministers approving the regulatory charges each year</w:t>
      </w:r>
    </w:p>
    <w:p w14:paraId="6A1BE853" w14:textId="2657189D" w:rsidR="00952D84" w:rsidRDefault="002E1663" w:rsidP="00B47A33">
      <w:pPr>
        <w:pStyle w:val="List-bulletlvl1"/>
      </w:pPr>
      <w:r>
        <w:t>i</w:t>
      </w:r>
      <w:r w:rsidR="00952D84">
        <w:t>mplement an automatic indexation mechanism that would scale the regulatory charges up or down each year to reflect changes in the NHVR’s budget and changes in the heavy vehicle fleet.</w:t>
      </w:r>
      <w:r w:rsidR="00830D17">
        <w:t xml:space="preserve"> </w:t>
      </w:r>
    </w:p>
    <w:p w14:paraId="11E1A25C" w14:textId="08FE914E" w:rsidR="003769B6" w:rsidRDefault="003769B6" w:rsidP="003769B6">
      <w:pPr>
        <w:pStyle w:val="Heading3"/>
      </w:pPr>
      <w:bookmarkStart w:id="428" w:name="_Toc86158475"/>
      <w:r>
        <w:t>Assessment</w:t>
      </w:r>
      <w:bookmarkEnd w:id="428"/>
    </w:p>
    <w:p w14:paraId="37F75BDF" w14:textId="0D227A29" w:rsidR="00974910" w:rsidRDefault="00952D84" w:rsidP="003769B6">
      <w:pPr>
        <w:pStyle w:val="BodyCopy"/>
      </w:pPr>
      <w:r>
        <w:t xml:space="preserve">The key consideration when deciding how to set regulatory charges for future years is whether there is </w:t>
      </w:r>
      <w:r w:rsidR="00381D14">
        <w:t xml:space="preserve">enough </w:t>
      </w:r>
      <w:r>
        <w:t xml:space="preserve">trust that the current approach is working appropriately. While there is no </w:t>
      </w:r>
      <w:r w:rsidR="000F4B96">
        <w:t xml:space="preserve">empirical research of cost drivers underpinning the allocation percentages, the regulatory charges </w:t>
      </w:r>
      <w:r w:rsidR="00974910">
        <w:t xml:space="preserve">have successfully recovered the cost of operating the NHVR. From this perspective, the NTC considers there is limited benefit in developing a completely new methodology. This view also reflects that regulatory charges are only a relatively small part of total heavy vehicle charges and the impact of any change is likely to be </w:t>
      </w:r>
      <w:r w:rsidR="00381D14">
        <w:t>minimal</w:t>
      </w:r>
      <w:r w:rsidR="00974910">
        <w:t>.</w:t>
      </w:r>
      <w:r w:rsidR="00830D17">
        <w:t xml:space="preserve"> </w:t>
      </w:r>
    </w:p>
    <w:p w14:paraId="4A6CEE73" w14:textId="69E416EE" w:rsidR="00B35E85" w:rsidRDefault="00981C24" w:rsidP="00E30B83">
      <w:pPr>
        <w:pStyle w:val="BodyCopy"/>
      </w:pPr>
      <w:r>
        <w:fldChar w:fldCharType="begin"/>
      </w:r>
      <w:r>
        <w:instrText xml:space="preserve"> REF _Ref64035826 \r \h </w:instrText>
      </w:r>
      <w:r>
        <w:fldChar w:fldCharType="separate"/>
      </w:r>
      <w:r w:rsidR="00225EEA">
        <w:t>Table 18</w:t>
      </w:r>
      <w:r>
        <w:fldChar w:fldCharType="end"/>
      </w:r>
      <w:r w:rsidR="004C4651">
        <w:t xml:space="preserve"> shows the </w:t>
      </w:r>
      <w:r w:rsidR="00E06CA0">
        <w:t>current</w:t>
      </w:r>
      <w:r w:rsidR="004C4651">
        <w:t xml:space="preserve"> regulatory charges </w:t>
      </w:r>
      <w:r w:rsidR="00E06CA0">
        <w:t>and those</w:t>
      </w:r>
      <w:r w:rsidR="004C4651">
        <w:t xml:space="preserve"> that would apply on the basis of the NHVR’s approved budget for 202</w:t>
      </w:r>
      <w:r w:rsidR="00E06CA0">
        <w:t>2</w:t>
      </w:r>
      <w:r w:rsidR="00272BD6">
        <w:t>–2</w:t>
      </w:r>
      <w:r w:rsidR="00E06CA0">
        <w:t>3</w:t>
      </w:r>
      <w:r w:rsidR="004C4651">
        <w:t xml:space="preserve">. </w:t>
      </w:r>
    </w:p>
    <w:p w14:paraId="12CA5A2B" w14:textId="7F46B046" w:rsidR="008D26DB" w:rsidRDefault="008D26DB" w:rsidP="008D26DB">
      <w:pPr>
        <w:pStyle w:val="Tabletitle"/>
      </w:pPr>
      <w:bookmarkStart w:id="429" w:name="_Ref64035826"/>
      <w:bookmarkStart w:id="430" w:name="_Toc86158557"/>
      <w:r>
        <w:lastRenderedPageBreak/>
        <w:t>Recalculated regulatory components of registration charges</w:t>
      </w:r>
      <w:bookmarkEnd w:id="429"/>
      <w:bookmarkEnd w:id="430"/>
    </w:p>
    <w:tbl>
      <w:tblPr>
        <w:tblStyle w:val="NTCtable"/>
        <w:tblW w:w="8820" w:type="dxa"/>
        <w:tblLayout w:type="fixed"/>
        <w:tblLook w:val="04A0" w:firstRow="1" w:lastRow="0" w:firstColumn="1" w:lastColumn="0" w:noHBand="0" w:noVBand="1"/>
      </w:tblPr>
      <w:tblGrid>
        <w:gridCol w:w="2552"/>
        <w:gridCol w:w="1318"/>
        <w:gridCol w:w="1350"/>
        <w:gridCol w:w="1530"/>
        <w:gridCol w:w="1046"/>
        <w:gridCol w:w="1024"/>
      </w:tblGrid>
      <w:tr w:rsidR="00746B42" w:rsidRPr="00035E77" w14:paraId="6285DD49" w14:textId="77777777" w:rsidTr="00C4270B">
        <w:trPr>
          <w:cnfStyle w:val="100000000000" w:firstRow="1" w:lastRow="0" w:firstColumn="0" w:lastColumn="0" w:oddVBand="0" w:evenVBand="0" w:oddHBand="0" w:evenHBand="0" w:firstRowFirstColumn="0" w:firstRowLastColumn="0" w:lastRowFirstColumn="0" w:lastRowLastColumn="0"/>
          <w:trHeight w:val="300"/>
          <w:tblHeader/>
        </w:trPr>
        <w:tc>
          <w:tcPr>
            <w:tcW w:w="2552" w:type="dxa"/>
            <w:noWrap/>
            <w:hideMark/>
          </w:tcPr>
          <w:p w14:paraId="1BBB2C54" w14:textId="0DB216AD" w:rsidR="00746B42" w:rsidRPr="00CD6B04" w:rsidRDefault="00746B42" w:rsidP="003F2731">
            <w:pPr>
              <w:pStyle w:val="BodyCopy"/>
              <w:rPr>
                <w:b/>
                <w:bCs/>
                <w:sz w:val="20"/>
                <w:szCs w:val="22"/>
              </w:rPr>
            </w:pPr>
            <w:r w:rsidRPr="00CD6B04">
              <w:rPr>
                <w:b/>
                <w:bCs/>
                <w:sz w:val="20"/>
                <w:szCs w:val="22"/>
              </w:rPr>
              <w:t xml:space="preserve">Vehicle </w:t>
            </w:r>
            <w:r w:rsidR="00EC4D84" w:rsidRPr="00CD6B04">
              <w:rPr>
                <w:b/>
                <w:bCs/>
                <w:sz w:val="20"/>
                <w:szCs w:val="22"/>
              </w:rPr>
              <w:t>t</w:t>
            </w:r>
            <w:r w:rsidRPr="00CD6B04">
              <w:rPr>
                <w:b/>
                <w:bCs/>
                <w:sz w:val="20"/>
                <w:szCs w:val="22"/>
              </w:rPr>
              <w:t>ype</w:t>
            </w:r>
          </w:p>
        </w:tc>
        <w:tc>
          <w:tcPr>
            <w:tcW w:w="1318" w:type="dxa"/>
            <w:noWrap/>
            <w:hideMark/>
          </w:tcPr>
          <w:p w14:paraId="76A049F6" w14:textId="77777777" w:rsidR="00746B42" w:rsidRPr="00CD6B04" w:rsidRDefault="00746B42" w:rsidP="003F2731">
            <w:pPr>
              <w:pStyle w:val="BodyCopy"/>
              <w:rPr>
                <w:b/>
                <w:bCs/>
                <w:sz w:val="20"/>
                <w:szCs w:val="22"/>
              </w:rPr>
            </w:pPr>
            <w:r w:rsidRPr="00CD6B04">
              <w:rPr>
                <w:b/>
                <w:bCs/>
                <w:sz w:val="20"/>
                <w:szCs w:val="22"/>
              </w:rPr>
              <w:t>Mass rating for charging</w:t>
            </w:r>
          </w:p>
        </w:tc>
        <w:tc>
          <w:tcPr>
            <w:tcW w:w="1350" w:type="dxa"/>
            <w:noWrap/>
          </w:tcPr>
          <w:p w14:paraId="7E424C16" w14:textId="268421E9" w:rsidR="00746B42" w:rsidRPr="00CD6B04" w:rsidRDefault="00746B42" w:rsidP="003F2731">
            <w:pPr>
              <w:pStyle w:val="BodyCopy"/>
              <w:rPr>
                <w:b/>
                <w:bCs/>
                <w:sz w:val="20"/>
                <w:szCs w:val="22"/>
              </w:rPr>
            </w:pPr>
            <w:r w:rsidRPr="00CD6B04">
              <w:rPr>
                <w:b/>
                <w:bCs/>
                <w:sz w:val="20"/>
                <w:szCs w:val="22"/>
              </w:rPr>
              <w:t>Current regulatory component scaled</w:t>
            </w:r>
            <w:r w:rsidR="00830D17" w:rsidRPr="00CD6B04">
              <w:rPr>
                <w:b/>
                <w:bCs/>
                <w:sz w:val="20"/>
                <w:szCs w:val="22"/>
              </w:rPr>
              <w:t xml:space="preserve"> </w:t>
            </w:r>
            <w:r w:rsidRPr="00CD6B04">
              <w:rPr>
                <w:b/>
                <w:bCs/>
                <w:sz w:val="20"/>
                <w:szCs w:val="22"/>
              </w:rPr>
              <w:t>($)</w:t>
            </w:r>
          </w:p>
        </w:tc>
        <w:tc>
          <w:tcPr>
            <w:tcW w:w="1530" w:type="dxa"/>
            <w:noWrap/>
          </w:tcPr>
          <w:p w14:paraId="506DF395" w14:textId="77777777" w:rsidR="00746B42" w:rsidRPr="00CD6B04" w:rsidRDefault="00746B42" w:rsidP="003F2731">
            <w:pPr>
              <w:pStyle w:val="BodyCopy"/>
              <w:rPr>
                <w:b/>
                <w:bCs/>
                <w:sz w:val="20"/>
                <w:szCs w:val="22"/>
              </w:rPr>
            </w:pPr>
            <w:r w:rsidRPr="00CD6B04">
              <w:rPr>
                <w:b/>
                <w:bCs/>
                <w:sz w:val="20"/>
                <w:szCs w:val="22"/>
              </w:rPr>
              <w:t>Re-calculated regulatory component ($)</w:t>
            </w:r>
          </w:p>
        </w:tc>
        <w:tc>
          <w:tcPr>
            <w:tcW w:w="1046" w:type="dxa"/>
            <w:noWrap/>
          </w:tcPr>
          <w:p w14:paraId="25268441" w14:textId="77777777" w:rsidR="00746B42" w:rsidRPr="00CD6B04" w:rsidRDefault="00746B42" w:rsidP="003F2731">
            <w:pPr>
              <w:pStyle w:val="BodyCopy"/>
              <w:rPr>
                <w:b/>
                <w:bCs/>
                <w:sz w:val="20"/>
                <w:szCs w:val="22"/>
              </w:rPr>
            </w:pPr>
            <w:r w:rsidRPr="00CD6B04">
              <w:rPr>
                <w:b/>
                <w:bCs/>
                <w:sz w:val="20"/>
                <w:szCs w:val="22"/>
              </w:rPr>
              <w:t>Change ($)</w:t>
            </w:r>
          </w:p>
        </w:tc>
        <w:tc>
          <w:tcPr>
            <w:tcW w:w="1024" w:type="dxa"/>
          </w:tcPr>
          <w:p w14:paraId="51AC8562" w14:textId="77777777" w:rsidR="00746B42" w:rsidRPr="00CD6B04" w:rsidRDefault="00746B42" w:rsidP="003F2731">
            <w:pPr>
              <w:pStyle w:val="BodyCopy"/>
              <w:rPr>
                <w:b/>
                <w:bCs/>
                <w:sz w:val="20"/>
                <w:szCs w:val="22"/>
              </w:rPr>
            </w:pPr>
            <w:r w:rsidRPr="00CD6B04">
              <w:rPr>
                <w:b/>
                <w:bCs/>
                <w:sz w:val="20"/>
                <w:szCs w:val="22"/>
              </w:rPr>
              <w:t>Change (%)</w:t>
            </w:r>
          </w:p>
        </w:tc>
      </w:tr>
      <w:tr w:rsidR="00746B42" w:rsidRPr="00035E77" w14:paraId="3327A2C1" w14:textId="77777777" w:rsidTr="00BD61D2">
        <w:trPr>
          <w:trHeight w:val="283"/>
        </w:trPr>
        <w:tc>
          <w:tcPr>
            <w:tcW w:w="0" w:type="dxa"/>
            <w:vMerge w:val="restart"/>
            <w:noWrap/>
          </w:tcPr>
          <w:p w14:paraId="44872DCF"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2" behindDoc="0" locked="0" layoutInCell="1" allowOverlap="1" wp14:anchorId="68F1E9D2" wp14:editId="5E256C36">
                  <wp:simplePos x="0" y="0"/>
                  <wp:positionH relativeFrom="column">
                    <wp:posOffset>-68580</wp:posOffset>
                  </wp:positionH>
                  <wp:positionV relativeFrom="paragraph">
                    <wp:posOffset>69215</wp:posOffset>
                  </wp:positionV>
                  <wp:extent cx="683212" cy="266700"/>
                  <wp:effectExtent l="0" t="0" r="3175" b="0"/>
                  <wp:wrapNone/>
                  <wp:docPr id="139"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dxa"/>
            <w:vAlign w:val="center"/>
          </w:tcPr>
          <w:p w14:paraId="10F53472" w14:textId="6A6827EC"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12.0</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29E9AF84" w14:textId="55E56996" w:rsidR="00746B42" w:rsidRPr="00C4270B" w:rsidRDefault="001B47C2" w:rsidP="00CD6B04">
            <w:pPr>
              <w:pStyle w:val="BodyCopy"/>
              <w:spacing w:before="0" w:after="0"/>
              <w:jc w:val="center"/>
              <w:rPr>
                <w:sz w:val="20"/>
                <w:szCs w:val="22"/>
              </w:rPr>
            </w:pPr>
            <w:r w:rsidRPr="00BD61D2">
              <w:rPr>
                <w:sz w:val="20"/>
                <w:szCs w:val="22"/>
              </w:rPr>
              <w:t>195</w:t>
            </w:r>
          </w:p>
        </w:tc>
        <w:tc>
          <w:tcPr>
            <w:tcW w:w="0" w:type="dxa"/>
            <w:noWrap/>
            <w:vAlign w:val="center"/>
          </w:tcPr>
          <w:p w14:paraId="04FF13FA" w14:textId="5D107895" w:rsidR="00746B42" w:rsidRPr="00C4270B" w:rsidRDefault="00A473A1" w:rsidP="00CD6B04">
            <w:pPr>
              <w:pStyle w:val="BodyCopy"/>
              <w:spacing w:before="0" w:after="0"/>
              <w:jc w:val="center"/>
              <w:rPr>
                <w:sz w:val="20"/>
                <w:szCs w:val="22"/>
              </w:rPr>
            </w:pPr>
            <w:r w:rsidRPr="00BD61D2">
              <w:rPr>
                <w:sz w:val="20"/>
                <w:szCs w:val="22"/>
              </w:rPr>
              <w:t>202</w:t>
            </w:r>
          </w:p>
        </w:tc>
        <w:tc>
          <w:tcPr>
            <w:tcW w:w="0" w:type="dxa"/>
            <w:noWrap/>
            <w:vAlign w:val="center"/>
          </w:tcPr>
          <w:p w14:paraId="48AE1A10" w14:textId="5BEEC4D8" w:rsidR="00746B42" w:rsidRPr="00C4270B" w:rsidRDefault="001B47C2" w:rsidP="003F2731">
            <w:pPr>
              <w:pStyle w:val="BodyCopy"/>
              <w:spacing w:before="0" w:after="0"/>
              <w:jc w:val="center"/>
              <w:rPr>
                <w:sz w:val="20"/>
                <w:szCs w:val="22"/>
              </w:rPr>
            </w:pPr>
            <w:r w:rsidRPr="00BD61D2">
              <w:rPr>
                <w:sz w:val="20"/>
                <w:szCs w:val="22"/>
              </w:rPr>
              <w:t>7</w:t>
            </w:r>
          </w:p>
        </w:tc>
        <w:tc>
          <w:tcPr>
            <w:tcW w:w="0" w:type="dxa"/>
            <w:vAlign w:val="center"/>
          </w:tcPr>
          <w:p w14:paraId="5A2AB326" w14:textId="72026EB4" w:rsidR="00746B42" w:rsidRPr="00C4270B" w:rsidRDefault="00E6017B" w:rsidP="007D6D2F">
            <w:pPr>
              <w:pStyle w:val="BodyCopy"/>
              <w:spacing w:before="0" w:after="0"/>
              <w:jc w:val="center"/>
              <w:rPr>
                <w:sz w:val="20"/>
                <w:szCs w:val="22"/>
              </w:rPr>
            </w:pPr>
            <w:r w:rsidRPr="00BD61D2">
              <w:rPr>
                <w:sz w:val="20"/>
                <w:szCs w:val="22"/>
              </w:rPr>
              <w:t>4</w:t>
            </w:r>
          </w:p>
        </w:tc>
      </w:tr>
      <w:tr w:rsidR="00746B42" w:rsidRPr="00035E77" w14:paraId="0F6C6A5B" w14:textId="77777777" w:rsidTr="00BD61D2">
        <w:trPr>
          <w:trHeight w:val="283"/>
        </w:trPr>
        <w:tc>
          <w:tcPr>
            <w:tcW w:w="0" w:type="dxa"/>
            <w:vMerge/>
          </w:tcPr>
          <w:p w14:paraId="129B99D0" w14:textId="77777777" w:rsidR="00746B42" w:rsidRPr="00C4270B" w:rsidRDefault="00746B42" w:rsidP="003F2731">
            <w:pPr>
              <w:pStyle w:val="BodyCopy"/>
              <w:spacing w:before="0" w:after="0"/>
              <w:rPr>
                <w:sz w:val="20"/>
                <w:szCs w:val="22"/>
              </w:rPr>
            </w:pPr>
          </w:p>
        </w:tc>
        <w:tc>
          <w:tcPr>
            <w:tcW w:w="0" w:type="dxa"/>
            <w:vAlign w:val="center"/>
          </w:tcPr>
          <w:p w14:paraId="76686FEA" w14:textId="1DD9AE31"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12.0</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1F9A5C6B" w14:textId="625DE03B" w:rsidR="00746B42" w:rsidRPr="00C4270B" w:rsidRDefault="001B47C2" w:rsidP="00CD6B04">
            <w:pPr>
              <w:pStyle w:val="BodyCopy"/>
              <w:spacing w:before="0" w:after="0"/>
              <w:jc w:val="center"/>
              <w:rPr>
                <w:sz w:val="20"/>
                <w:szCs w:val="22"/>
              </w:rPr>
            </w:pPr>
            <w:r w:rsidRPr="00BD61D2">
              <w:rPr>
                <w:sz w:val="20"/>
                <w:szCs w:val="22"/>
              </w:rPr>
              <w:t>255</w:t>
            </w:r>
          </w:p>
        </w:tc>
        <w:tc>
          <w:tcPr>
            <w:tcW w:w="0" w:type="dxa"/>
            <w:noWrap/>
            <w:vAlign w:val="center"/>
          </w:tcPr>
          <w:p w14:paraId="7FD84ACF" w14:textId="4670268D" w:rsidR="00746B42" w:rsidRPr="00C4270B" w:rsidRDefault="00A473A1" w:rsidP="00CD6B04">
            <w:pPr>
              <w:pStyle w:val="BodyCopy"/>
              <w:spacing w:before="0" w:after="0"/>
              <w:jc w:val="center"/>
              <w:rPr>
                <w:sz w:val="20"/>
                <w:szCs w:val="22"/>
              </w:rPr>
            </w:pPr>
            <w:r w:rsidRPr="00BD61D2">
              <w:rPr>
                <w:sz w:val="20"/>
                <w:szCs w:val="22"/>
              </w:rPr>
              <w:t>262</w:t>
            </w:r>
          </w:p>
        </w:tc>
        <w:tc>
          <w:tcPr>
            <w:tcW w:w="0" w:type="dxa"/>
            <w:noWrap/>
            <w:vAlign w:val="center"/>
          </w:tcPr>
          <w:p w14:paraId="27BAF484" w14:textId="5783D75F" w:rsidR="00746B42" w:rsidRPr="00C4270B" w:rsidRDefault="001B47C2" w:rsidP="003F2731">
            <w:pPr>
              <w:pStyle w:val="BodyCopy"/>
              <w:spacing w:before="0" w:after="0"/>
              <w:jc w:val="center"/>
              <w:rPr>
                <w:sz w:val="20"/>
                <w:szCs w:val="22"/>
              </w:rPr>
            </w:pPr>
            <w:r w:rsidRPr="00BD61D2">
              <w:rPr>
                <w:sz w:val="20"/>
                <w:szCs w:val="22"/>
              </w:rPr>
              <w:t>7</w:t>
            </w:r>
          </w:p>
        </w:tc>
        <w:tc>
          <w:tcPr>
            <w:tcW w:w="0" w:type="dxa"/>
            <w:vAlign w:val="center"/>
          </w:tcPr>
          <w:p w14:paraId="4A43359B" w14:textId="77EA43C8" w:rsidR="00746B42" w:rsidRPr="00C4270B" w:rsidRDefault="00E6017B" w:rsidP="007D6D2F">
            <w:pPr>
              <w:pStyle w:val="BodyCopy"/>
              <w:spacing w:before="0" w:after="0"/>
              <w:jc w:val="center"/>
              <w:rPr>
                <w:sz w:val="20"/>
                <w:szCs w:val="22"/>
              </w:rPr>
            </w:pPr>
            <w:r w:rsidRPr="00BD61D2">
              <w:rPr>
                <w:sz w:val="20"/>
                <w:szCs w:val="22"/>
              </w:rPr>
              <w:t>3</w:t>
            </w:r>
          </w:p>
        </w:tc>
      </w:tr>
      <w:tr w:rsidR="00746B42" w:rsidRPr="00035E77" w14:paraId="2F6E0CC3" w14:textId="77777777" w:rsidTr="00BD61D2">
        <w:trPr>
          <w:trHeight w:val="283"/>
        </w:trPr>
        <w:tc>
          <w:tcPr>
            <w:tcW w:w="0" w:type="dxa"/>
            <w:noWrap/>
          </w:tcPr>
          <w:p w14:paraId="4D38DFE0"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1" behindDoc="0" locked="0" layoutInCell="1" allowOverlap="1" wp14:anchorId="6976C32B" wp14:editId="051B004B">
                  <wp:simplePos x="0" y="0"/>
                  <wp:positionH relativeFrom="column">
                    <wp:posOffset>-68580</wp:posOffset>
                  </wp:positionH>
                  <wp:positionV relativeFrom="paragraph">
                    <wp:posOffset>-24765</wp:posOffset>
                  </wp:positionV>
                  <wp:extent cx="967740" cy="266700"/>
                  <wp:effectExtent l="0" t="0" r="3810" b="0"/>
                  <wp:wrapNone/>
                  <wp:docPr id="140" name="Picture 140"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140" name="Picture 140"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5"/>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0" w:type="dxa"/>
            <w:vAlign w:val="center"/>
          </w:tcPr>
          <w:p w14:paraId="19F184C5" w14:textId="3F058D31"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42.5</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617F3EB9" w14:textId="71373B8D" w:rsidR="00746B42" w:rsidRPr="00C4270B" w:rsidRDefault="001B47C2" w:rsidP="00CD6B04">
            <w:pPr>
              <w:pStyle w:val="BodyCopy"/>
              <w:spacing w:before="0" w:after="0"/>
              <w:jc w:val="center"/>
              <w:rPr>
                <w:sz w:val="20"/>
                <w:szCs w:val="22"/>
              </w:rPr>
            </w:pPr>
            <w:r w:rsidRPr="00BD61D2">
              <w:rPr>
                <w:sz w:val="20"/>
                <w:szCs w:val="22"/>
              </w:rPr>
              <w:t>341</w:t>
            </w:r>
          </w:p>
        </w:tc>
        <w:tc>
          <w:tcPr>
            <w:tcW w:w="0" w:type="dxa"/>
            <w:noWrap/>
            <w:vAlign w:val="center"/>
          </w:tcPr>
          <w:p w14:paraId="69963225" w14:textId="6EF47FA3" w:rsidR="00746B42" w:rsidRPr="00C4270B" w:rsidRDefault="00A473A1" w:rsidP="00CD6B04">
            <w:pPr>
              <w:pStyle w:val="BodyCopy"/>
              <w:spacing w:before="0" w:after="0"/>
              <w:jc w:val="center"/>
              <w:rPr>
                <w:sz w:val="20"/>
                <w:szCs w:val="22"/>
              </w:rPr>
            </w:pPr>
            <w:r w:rsidRPr="00BD61D2">
              <w:rPr>
                <w:sz w:val="20"/>
                <w:szCs w:val="22"/>
              </w:rPr>
              <w:t>334</w:t>
            </w:r>
          </w:p>
        </w:tc>
        <w:tc>
          <w:tcPr>
            <w:tcW w:w="0" w:type="dxa"/>
            <w:noWrap/>
            <w:vAlign w:val="center"/>
          </w:tcPr>
          <w:p w14:paraId="420EA7B5" w14:textId="575B7CFF"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7</w:t>
            </w:r>
          </w:p>
        </w:tc>
        <w:tc>
          <w:tcPr>
            <w:tcW w:w="0" w:type="dxa"/>
            <w:vAlign w:val="center"/>
          </w:tcPr>
          <w:p w14:paraId="4744A4AB" w14:textId="026D6C9F"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2</w:t>
            </w:r>
          </w:p>
        </w:tc>
      </w:tr>
      <w:tr w:rsidR="00746B42" w:rsidRPr="00035E77" w14:paraId="644B7950" w14:textId="77777777" w:rsidTr="00BD61D2">
        <w:trPr>
          <w:trHeight w:val="283"/>
        </w:trPr>
        <w:tc>
          <w:tcPr>
            <w:tcW w:w="0" w:type="dxa"/>
            <w:vMerge w:val="restart"/>
          </w:tcPr>
          <w:p w14:paraId="2BEC6A1C"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9" behindDoc="0" locked="0" layoutInCell="1" allowOverlap="1" wp14:anchorId="4AC5F484" wp14:editId="185568FB">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141"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dxa"/>
            <w:vAlign w:val="center"/>
          </w:tcPr>
          <w:p w14:paraId="27AF82C6" w14:textId="18443BFE"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16.5</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1338AE2A" w14:textId="375E5272" w:rsidR="00746B42" w:rsidRPr="00C4270B" w:rsidRDefault="001B47C2" w:rsidP="00CD6B04">
            <w:pPr>
              <w:pStyle w:val="BodyCopy"/>
              <w:spacing w:before="0" w:after="0"/>
              <w:jc w:val="center"/>
              <w:rPr>
                <w:sz w:val="20"/>
                <w:szCs w:val="22"/>
              </w:rPr>
            </w:pPr>
            <w:r w:rsidRPr="00BD61D2">
              <w:rPr>
                <w:sz w:val="20"/>
                <w:szCs w:val="22"/>
              </w:rPr>
              <w:t>230</w:t>
            </w:r>
          </w:p>
        </w:tc>
        <w:tc>
          <w:tcPr>
            <w:tcW w:w="0" w:type="dxa"/>
            <w:noWrap/>
            <w:vAlign w:val="center"/>
          </w:tcPr>
          <w:p w14:paraId="007E38A2" w14:textId="388DAA91" w:rsidR="00746B42" w:rsidRPr="00C4270B" w:rsidRDefault="00A473A1" w:rsidP="00CD6B04">
            <w:pPr>
              <w:pStyle w:val="BodyCopy"/>
              <w:spacing w:before="0" w:after="0"/>
              <w:jc w:val="center"/>
              <w:rPr>
                <w:sz w:val="20"/>
                <w:szCs w:val="22"/>
              </w:rPr>
            </w:pPr>
            <w:r w:rsidRPr="00BD61D2">
              <w:rPr>
                <w:sz w:val="20"/>
                <w:szCs w:val="22"/>
              </w:rPr>
              <w:t>236</w:t>
            </w:r>
          </w:p>
        </w:tc>
        <w:tc>
          <w:tcPr>
            <w:tcW w:w="0" w:type="dxa"/>
            <w:noWrap/>
            <w:vAlign w:val="center"/>
          </w:tcPr>
          <w:p w14:paraId="054F5B3F" w14:textId="2DD55DA2" w:rsidR="00746B42" w:rsidRPr="00C4270B" w:rsidRDefault="001B47C2" w:rsidP="003F2731">
            <w:pPr>
              <w:pStyle w:val="BodyCopy"/>
              <w:spacing w:before="0" w:after="0"/>
              <w:jc w:val="center"/>
              <w:rPr>
                <w:sz w:val="20"/>
                <w:szCs w:val="22"/>
              </w:rPr>
            </w:pPr>
            <w:r w:rsidRPr="00BD61D2">
              <w:rPr>
                <w:sz w:val="20"/>
                <w:szCs w:val="22"/>
              </w:rPr>
              <w:t>6</w:t>
            </w:r>
          </w:p>
        </w:tc>
        <w:tc>
          <w:tcPr>
            <w:tcW w:w="0" w:type="dxa"/>
            <w:vAlign w:val="center"/>
          </w:tcPr>
          <w:p w14:paraId="506C42CC" w14:textId="6D75EB56" w:rsidR="00746B42" w:rsidRPr="00C4270B" w:rsidRDefault="00E6017B" w:rsidP="007D6D2F">
            <w:pPr>
              <w:pStyle w:val="BodyCopy"/>
              <w:spacing w:before="0" w:after="0"/>
              <w:jc w:val="center"/>
              <w:rPr>
                <w:sz w:val="20"/>
                <w:szCs w:val="22"/>
              </w:rPr>
            </w:pPr>
            <w:r w:rsidRPr="00BD61D2">
              <w:rPr>
                <w:sz w:val="20"/>
                <w:szCs w:val="22"/>
              </w:rPr>
              <w:t>3</w:t>
            </w:r>
          </w:p>
        </w:tc>
      </w:tr>
      <w:tr w:rsidR="00746B42" w:rsidRPr="00035E77" w14:paraId="2EBBF8FC" w14:textId="77777777" w:rsidTr="00BD61D2">
        <w:trPr>
          <w:trHeight w:val="283"/>
        </w:trPr>
        <w:tc>
          <w:tcPr>
            <w:tcW w:w="0" w:type="dxa"/>
            <w:vMerge/>
          </w:tcPr>
          <w:p w14:paraId="3E79CD8D" w14:textId="77777777" w:rsidR="00746B42" w:rsidRPr="00C4270B" w:rsidRDefault="00746B42" w:rsidP="003F2731">
            <w:pPr>
              <w:pStyle w:val="BodyCopy"/>
              <w:spacing w:before="0" w:after="0"/>
              <w:rPr>
                <w:sz w:val="20"/>
                <w:szCs w:val="22"/>
              </w:rPr>
            </w:pPr>
          </w:p>
        </w:tc>
        <w:tc>
          <w:tcPr>
            <w:tcW w:w="0" w:type="dxa"/>
            <w:vAlign w:val="center"/>
          </w:tcPr>
          <w:p w14:paraId="61CF6BBE" w14:textId="2D1F396A"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16.5</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6D6549D6" w14:textId="5FD23A20" w:rsidR="00746B42" w:rsidRPr="00C4270B" w:rsidRDefault="001B47C2" w:rsidP="00CD6B04">
            <w:pPr>
              <w:pStyle w:val="BodyCopy"/>
              <w:spacing w:before="0" w:after="0"/>
              <w:jc w:val="center"/>
              <w:rPr>
                <w:sz w:val="20"/>
                <w:szCs w:val="22"/>
              </w:rPr>
            </w:pPr>
            <w:r w:rsidRPr="00BD61D2">
              <w:rPr>
                <w:sz w:val="20"/>
                <w:szCs w:val="22"/>
              </w:rPr>
              <w:t>325</w:t>
            </w:r>
          </w:p>
        </w:tc>
        <w:tc>
          <w:tcPr>
            <w:tcW w:w="0" w:type="dxa"/>
            <w:noWrap/>
            <w:vAlign w:val="center"/>
          </w:tcPr>
          <w:p w14:paraId="61CE9392" w14:textId="1F0CCF72" w:rsidR="00746B42" w:rsidRPr="00C4270B" w:rsidRDefault="00A473A1" w:rsidP="00CD6B04">
            <w:pPr>
              <w:pStyle w:val="BodyCopy"/>
              <w:spacing w:before="0" w:after="0"/>
              <w:jc w:val="center"/>
              <w:rPr>
                <w:sz w:val="20"/>
                <w:szCs w:val="22"/>
              </w:rPr>
            </w:pPr>
            <w:r w:rsidRPr="00BD61D2">
              <w:rPr>
                <w:sz w:val="20"/>
                <w:szCs w:val="22"/>
              </w:rPr>
              <w:t>335</w:t>
            </w:r>
          </w:p>
        </w:tc>
        <w:tc>
          <w:tcPr>
            <w:tcW w:w="0" w:type="dxa"/>
            <w:noWrap/>
            <w:vAlign w:val="center"/>
          </w:tcPr>
          <w:p w14:paraId="4D00398E" w14:textId="497EF885" w:rsidR="00746B42" w:rsidRPr="00C4270B" w:rsidRDefault="001B47C2" w:rsidP="003F2731">
            <w:pPr>
              <w:pStyle w:val="BodyCopy"/>
              <w:spacing w:before="0" w:after="0"/>
              <w:jc w:val="center"/>
              <w:rPr>
                <w:sz w:val="20"/>
                <w:szCs w:val="22"/>
              </w:rPr>
            </w:pPr>
            <w:r w:rsidRPr="00BD61D2">
              <w:rPr>
                <w:sz w:val="20"/>
                <w:szCs w:val="22"/>
              </w:rPr>
              <w:t>10</w:t>
            </w:r>
          </w:p>
        </w:tc>
        <w:tc>
          <w:tcPr>
            <w:tcW w:w="0" w:type="dxa"/>
            <w:vAlign w:val="center"/>
          </w:tcPr>
          <w:p w14:paraId="1CACDD8C" w14:textId="2710D152" w:rsidR="00746B42" w:rsidRPr="00C4270B" w:rsidRDefault="00E6017B" w:rsidP="007D6D2F">
            <w:pPr>
              <w:pStyle w:val="BodyCopy"/>
              <w:spacing w:before="0" w:after="0"/>
              <w:jc w:val="center"/>
              <w:rPr>
                <w:sz w:val="20"/>
                <w:szCs w:val="22"/>
              </w:rPr>
            </w:pPr>
            <w:r w:rsidRPr="00BD61D2">
              <w:rPr>
                <w:sz w:val="20"/>
                <w:szCs w:val="22"/>
              </w:rPr>
              <w:t>3</w:t>
            </w:r>
          </w:p>
        </w:tc>
      </w:tr>
      <w:tr w:rsidR="00746B42" w:rsidRPr="00035E77" w14:paraId="1EF50558" w14:textId="77777777" w:rsidTr="00BD61D2">
        <w:trPr>
          <w:trHeight w:val="283"/>
        </w:trPr>
        <w:tc>
          <w:tcPr>
            <w:tcW w:w="0" w:type="dxa"/>
            <w:vMerge w:val="restart"/>
          </w:tcPr>
          <w:p w14:paraId="7C4BAD11"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302" behindDoc="0" locked="0" layoutInCell="1" allowOverlap="1" wp14:anchorId="36D23385" wp14:editId="4E03DA0E">
                  <wp:simplePos x="0" y="0"/>
                  <wp:positionH relativeFrom="column">
                    <wp:posOffset>-68580</wp:posOffset>
                  </wp:positionH>
                  <wp:positionV relativeFrom="paragraph">
                    <wp:posOffset>9525</wp:posOffset>
                  </wp:positionV>
                  <wp:extent cx="1394460" cy="354407"/>
                  <wp:effectExtent l="0" t="0" r="0" b="0"/>
                  <wp:wrapNone/>
                  <wp:docPr id="142"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9281" b="-19281"/>
                          <a:stretch>
                            <a:fillRect/>
                          </a:stretch>
                        </pic:blipFill>
                        <pic:spPr bwMode="auto">
                          <a:xfrm>
                            <a:off x="0" y="0"/>
                            <a:ext cx="1394460" cy="354407"/>
                          </a:xfrm>
                          <a:prstGeom prst="rect">
                            <a:avLst/>
                          </a:prstGeom>
                          <a:noFill/>
                        </pic:spPr>
                      </pic:pic>
                    </a:graphicData>
                  </a:graphic>
                </wp:anchor>
              </w:drawing>
            </w:r>
          </w:p>
        </w:tc>
        <w:tc>
          <w:tcPr>
            <w:tcW w:w="0" w:type="dxa"/>
            <w:vAlign w:val="center"/>
          </w:tcPr>
          <w:p w14:paraId="7E3B56FD" w14:textId="6BF3920D"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42.5</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458524D1" w14:textId="4B3B09CF" w:rsidR="00746B42" w:rsidRPr="00C4270B" w:rsidRDefault="001B47C2" w:rsidP="00CD6B04">
            <w:pPr>
              <w:pStyle w:val="BodyCopy"/>
              <w:spacing w:before="0" w:after="0"/>
              <w:jc w:val="center"/>
              <w:rPr>
                <w:sz w:val="20"/>
                <w:szCs w:val="22"/>
              </w:rPr>
            </w:pPr>
            <w:r w:rsidRPr="00BD61D2">
              <w:rPr>
                <w:sz w:val="20"/>
                <w:szCs w:val="22"/>
              </w:rPr>
              <w:t>416</w:t>
            </w:r>
          </w:p>
        </w:tc>
        <w:tc>
          <w:tcPr>
            <w:tcW w:w="0" w:type="dxa"/>
            <w:noWrap/>
            <w:vAlign w:val="center"/>
          </w:tcPr>
          <w:p w14:paraId="1FE237F9" w14:textId="32F42DEE" w:rsidR="00746B42" w:rsidRPr="00C4270B" w:rsidRDefault="00A473A1" w:rsidP="00CD6B04">
            <w:pPr>
              <w:pStyle w:val="BodyCopy"/>
              <w:spacing w:before="0" w:after="0"/>
              <w:jc w:val="center"/>
              <w:rPr>
                <w:sz w:val="20"/>
                <w:szCs w:val="22"/>
              </w:rPr>
            </w:pPr>
            <w:r w:rsidRPr="00BD61D2">
              <w:rPr>
                <w:sz w:val="20"/>
                <w:szCs w:val="22"/>
              </w:rPr>
              <w:t>403</w:t>
            </w:r>
          </w:p>
        </w:tc>
        <w:tc>
          <w:tcPr>
            <w:tcW w:w="0" w:type="dxa"/>
            <w:noWrap/>
            <w:vAlign w:val="center"/>
          </w:tcPr>
          <w:p w14:paraId="448A2153" w14:textId="3D214751"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13</w:t>
            </w:r>
          </w:p>
        </w:tc>
        <w:tc>
          <w:tcPr>
            <w:tcW w:w="0" w:type="dxa"/>
            <w:vAlign w:val="center"/>
          </w:tcPr>
          <w:p w14:paraId="022D4D24" w14:textId="5A2CF874"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3</w:t>
            </w:r>
          </w:p>
        </w:tc>
      </w:tr>
      <w:tr w:rsidR="00746B42" w:rsidRPr="00035E77" w14:paraId="7F62FBC1" w14:textId="77777777" w:rsidTr="00BD61D2">
        <w:trPr>
          <w:trHeight w:val="283"/>
        </w:trPr>
        <w:tc>
          <w:tcPr>
            <w:tcW w:w="0" w:type="dxa"/>
            <w:vMerge/>
          </w:tcPr>
          <w:p w14:paraId="38DABB57" w14:textId="77777777" w:rsidR="00746B42" w:rsidRPr="00C4270B" w:rsidRDefault="00746B42" w:rsidP="003F2731">
            <w:pPr>
              <w:pStyle w:val="BodyCopy"/>
              <w:spacing w:before="0" w:after="0"/>
              <w:rPr>
                <w:sz w:val="20"/>
                <w:szCs w:val="22"/>
              </w:rPr>
            </w:pPr>
          </w:p>
        </w:tc>
        <w:tc>
          <w:tcPr>
            <w:tcW w:w="0" w:type="dxa"/>
            <w:vAlign w:val="center"/>
          </w:tcPr>
          <w:p w14:paraId="3A51D631" w14:textId="02589588"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42.5</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7092EA9E" w14:textId="315F29FD" w:rsidR="00746B42" w:rsidRPr="00C4270B" w:rsidRDefault="001B47C2" w:rsidP="00CD6B04">
            <w:pPr>
              <w:pStyle w:val="BodyCopy"/>
              <w:spacing w:before="0" w:after="0"/>
              <w:jc w:val="center"/>
              <w:rPr>
                <w:sz w:val="20"/>
                <w:szCs w:val="22"/>
              </w:rPr>
            </w:pPr>
            <w:r w:rsidRPr="00BD61D2">
              <w:rPr>
                <w:sz w:val="20"/>
                <w:szCs w:val="22"/>
              </w:rPr>
              <w:t>702</w:t>
            </w:r>
          </w:p>
        </w:tc>
        <w:tc>
          <w:tcPr>
            <w:tcW w:w="0" w:type="dxa"/>
            <w:noWrap/>
            <w:vAlign w:val="center"/>
          </w:tcPr>
          <w:p w14:paraId="4F3FA0EA" w14:textId="2ADAA17C" w:rsidR="00746B42" w:rsidRPr="00C4270B" w:rsidRDefault="00A473A1" w:rsidP="00CD6B04">
            <w:pPr>
              <w:pStyle w:val="BodyCopy"/>
              <w:spacing w:before="0" w:after="0"/>
              <w:jc w:val="center"/>
              <w:rPr>
                <w:sz w:val="20"/>
                <w:szCs w:val="22"/>
              </w:rPr>
            </w:pPr>
            <w:r w:rsidRPr="00BD61D2">
              <w:rPr>
                <w:sz w:val="20"/>
                <w:szCs w:val="22"/>
              </w:rPr>
              <w:t>706</w:t>
            </w:r>
          </w:p>
        </w:tc>
        <w:tc>
          <w:tcPr>
            <w:tcW w:w="0" w:type="dxa"/>
            <w:noWrap/>
            <w:vAlign w:val="center"/>
          </w:tcPr>
          <w:p w14:paraId="570D120A" w14:textId="2071CBF8" w:rsidR="00746B42" w:rsidRPr="00C4270B" w:rsidRDefault="001B47C2" w:rsidP="003F2731">
            <w:pPr>
              <w:pStyle w:val="BodyCopy"/>
              <w:spacing w:before="0" w:after="0"/>
              <w:jc w:val="center"/>
              <w:rPr>
                <w:sz w:val="20"/>
                <w:szCs w:val="22"/>
              </w:rPr>
            </w:pPr>
            <w:r w:rsidRPr="00BD61D2">
              <w:rPr>
                <w:sz w:val="20"/>
                <w:szCs w:val="22"/>
              </w:rPr>
              <w:t>4</w:t>
            </w:r>
          </w:p>
        </w:tc>
        <w:tc>
          <w:tcPr>
            <w:tcW w:w="0" w:type="dxa"/>
            <w:vAlign w:val="center"/>
          </w:tcPr>
          <w:p w14:paraId="2B79EC17" w14:textId="48AAAC3B" w:rsidR="00746B42" w:rsidRPr="00C4270B" w:rsidRDefault="00E6017B" w:rsidP="007D6D2F">
            <w:pPr>
              <w:pStyle w:val="BodyCopy"/>
              <w:spacing w:before="0" w:after="0"/>
              <w:jc w:val="center"/>
              <w:rPr>
                <w:sz w:val="20"/>
                <w:szCs w:val="22"/>
              </w:rPr>
            </w:pPr>
            <w:r w:rsidRPr="00BD61D2">
              <w:rPr>
                <w:sz w:val="20"/>
                <w:szCs w:val="22"/>
              </w:rPr>
              <w:t>1</w:t>
            </w:r>
          </w:p>
        </w:tc>
      </w:tr>
      <w:tr w:rsidR="00746B42" w:rsidRPr="00035E77" w14:paraId="4B6D2646" w14:textId="77777777" w:rsidTr="00BD61D2">
        <w:trPr>
          <w:trHeight w:val="283"/>
        </w:trPr>
        <w:tc>
          <w:tcPr>
            <w:tcW w:w="0" w:type="dxa"/>
            <w:noWrap/>
          </w:tcPr>
          <w:p w14:paraId="13610D4F"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3" behindDoc="0" locked="0" layoutInCell="1" allowOverlap="1" wp14:anchorId="19515ABE" wp14:editId="7F5D1F28">
                  <wp:simplePos x="0" y="0"/>
                  <wp:positionH relativeFrom="column">
                    <wp:posOffset>-68580</wp:posOffset>
                  </wp:positionH>
                  <wp:positionV relativeFrom="paragraph">
                    <wp:posOffset>-15875</wp:posOffset>
                  </wp:positionV>
                  <wp:extent cx="1013460" cy="213360"/>
                  <wp:effectExtent l="0" t="0" r="0" b="0"/>
                  <wp:wrapNone/>
                  <wp:docPr id="143" name="Picture 143"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143" name="Picture 143"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8"/>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0" w:type="dxa"/>
            <w:vAlign w:val="center"/>
          </w:tcPr>
          <w:p w14:paraId="0D483C49" w14:textId="420866EB"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42.5</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273D72EB" w14:textId="569E23AE" w:rsidR="00746B42" w:rsidRPr="00C4270B" w:rsidRDefault="001B47C2" w:rsidP="00CD6B04">
            <w:pPr>
              <w:pStyle w:val="BodyCopy"/>
              <w:spacing w:before="0" w:after="0"/>
              <w:jc w:val="center"/>
              <w:rPr>
                <w:sz w:val="20"/>
                <w:szCs w:val="22"/>
              </w:rPr>
            </w:pPr>
            <w:r w:rsidRPr="00BD61D2">
              <w:rPr>
                <w:sz w:val="20"/>
                <w:szCs w:val="22"/>
              </w:rPr>
              <w:t>704</w:t>
            </w:r>
          </w:p>
        </w:tc>
        <w:tc>
          <w:tcPr>
            <w:tcW w:w="0" w:type="dxa"/>
            <w:noWrap/>
            <w:vAlign w:val="center"/>
          </w:tcPr>
          <w:p w14:paraId="7B6E7643" w14:textId="0BCBB8A9" w:rsidR="00746B42" w:rsidRPr="00C4270B" w:rsidRDefault="00A473A1" w:rsidP="00CD6B04">
            <w:pPr>
              <w:pStyle w:val="BodyCopy"/>
              <w:spacing w:before="0" w:after="0"/>
              <w:jc w:val="center"/>
              <w:rPr>
                <w:sz w:val="20"/>
                <w:szCs w:val="22"/>
              </w:rPr>
            </w:pPr>
            <w:r w:rsidRPr="00BD61D2">
              <w:rPr>
                <w:sz w:val="20"/>
                <w:szCs w:val="22"/>
              </w:rPr>
              <w:t>708</w:t>
            </w:r>
          </w:p>
        </w:tc>
        <w:tc>
          <w:tcPr>
            <w:tcW w:w="0" w:type="dxa"/>
            <w:noWrap/>
            <w:vAlign w:val="center"/>
          </w:tcPr>
          <w:p w14:paraId="57BBE0D3" w14:textId="2177D4D5" w:rsidR="00746B42" w:rsidRPr="00C4270B" w:rsidRDefault="001B47C2" w:rsidP="003F2731">
            <w:pPr>
              <w:pStyle w:val="BodyCopy"/>
              <w:spacing w:before="0" w:after="0"/>
              <w:jc w:val="center"/>
              <w:rPr>
                <w:sz w:val="20"/>
                <w:szCs w:val="22"/>
              </w:rPr>
            </w:pPr>
            <w:r w:rsidRPr="00BD61D2">
              <w:rPr>
                <w:sz w:val="20"/>
                <w:szCs w:val="22"/>
              </w:rPr>
              <w:t>4</w:t>
            </w:r>
          </w:p>
        </w:tc>
        <w:tc>
          <w:tcPr>
            <w:tcW w:w="0" w:type="dxa"/>
            <w:vAlign w:val="center"/>
          </w:tcPr>
          <w:p w14:paraId="5DACDB7D" w14:textId="0D2CB404" w:rsidR="00746B42" w:rsidRPr="00C4270B" w:rsidRDefault="00E6017B" w:rsidP="007D6D2F">
            <w:pPr>
              <w:pStyle w:val="BodyCopy"/>
              <w:spacing w:before="0" w:after="0"/>
              <w:jc w:val="center"/>
              <w:rPr>
                <w:sz w:val="20"/>
                <w:szCs w:val="22"/>
              </w:rPr>
            </w:pPr>
            <w:r w:rsidRPr="00BD61D2">
              <w:rPr>
                <w:sz w:val="20"/>
                <w:szCs w:val="22"/>
              </w:rPr>
              <w:t>1</w:t>
            </w:r>
          </w:p>
        </w:tc>
      </w:tr>
      <w:tr w:rsidR="00746B42" w:rsidRPr="00035E77" w14:paraId="02BE0374" w14:textId="77777777" w:rsidTr="00BD61D2">
        <w:trPr>
          <w:trHeight w:val="283"/>
        </w:trPr>
        <w:tc>
          <w:tcPr>
            <w:tcW w:w="0" w:type="dxa"/>
            <w:vMerge w:val="restart"/>
          </w:tcPr>
          <w:p w14:paraId="3562196E"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300" behindDoc="0" locked="0" layoutInCell="1" allowOverlap="1" wp14:anchorId="2F08027B" wp14:editId="354C3CD4">
                  <wp:simplePos x="0" y="0"/>
                  <wp:positionH relativeFrom="column">
                    <wp:posOffset>-68580</wp:posOffset>
                  </wp:positionH>
                  <wp:positionV relativeFrom="paragraph">
                    <wp:posOffset>81915</wp:posOffset>
                  </wp:positionV>
                  <wp:extent cx="693420" cy="245234"/>
                  <wp:effectExtent l="0" t="0" r="0" b="2540"/>
                  <wp:wrapNone/>
                  <wp:docPr id="144"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0" w:type="dxa"/>
            <w:vAlign w:val="center"/>
          </w:tcPr>
          <w:p w14:paraId="0F766E2D" w14:textId="535FC432"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20.0</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4D6D6653" w14:textId="0702BF9E" w:rsidR="00746B42" w:rsidRPr="00C4270B" w:rsidRDefault="001B47C2" w:rsidP="00CD6B04">
            <w:pPr>
              <w:pStyle w:val="BodyCopy"/>
              <w:spacing w:before="0" w:after="0"/>
              <w:jc w:val="center"/>
              <w:rPr>
                <w:sz w:val="20"/>
                <w:szCs w:val="22"/>
              </w:rPr>
            </w:pPr>
            <w:r w:rsidRPr="00BD61D2">
              <w:rPr>
                <w:sz w:val="20"/>
                <w:szCs w:val="22"/>
              </w:rPr>
              <w:t>245</w:t>
            </w:r>
          </w:p>
        </w:tc>
        <w:tc>
          <w:tcPr>
            <w:tcW w:w="0" w:type="dxa"/>
            <w:noWrap/>
            <w:vAlign w:val="center"/>
          </w:tcPr>
          <w:p w14:paraId="78FB5DE8" w14:textId="0F7DD2CA" w:rsidR="00746B42" w:rsidRPr="00C4270B" w:rsidRDefault="00A473A1" w:rsidP="00CD6B04">
            <w:pPr>
              <w:pStyle w:val="BodyCopy"/>
              <w:spacing w:before="0" w:after="0"/>
              <w:jc w:val="center"/>
              <w:rPr>
                <w:sz w:val="20"/>
                <w:szCs w:val="22"/>
              </w:rPr>
            </w:pPr>
            <w:r w:rsidRPr="00BD61D2">
              <w:rPr>
                <w:sz w:val="20"/>
                <w:szCs w:val="22"/>
              </w:rPr>
              <w:t>268</w:t>
            </w:r>
          </w:p>
        </w:tc>
        <w:tc>
          <w:tcPr>
            <w:tcW w:w="0" w:type="dxa"/>
            <w:noWrap/>
            <w:vAlign w:val="center"/>
          </w:tcPr>
          <w:p w14:paraId="5E4E92BA" w14:textId="690C404F" w:rsidR="00746B42" w:rsidRPr="00C4270B" w:rsidRDefault="001B47C2" w:rsidP="003F2731">
            <w:pPr>
              <w:pStyle w:val="BodyCopy"/>
              <w:spacing w:before="0" w:after="0"/>
              <w:jc w:val="center"/>
              <w:rPr>
                <w:sz w:val="20"/>
                <w:szCs w:val="22"/>
              </w:rPr>
            </w:pPr>
            <w:r w:rsidRPr="00BD61D2">
              <w:rPr>
                <w:sz w:val="20"/>
                <w:szCs w:val="22"/>
              </w:rPr>
              <w:t>23</w:t>
            </w:r>
          </w:p>
        </w:tc>
        <w:tc>
          <w:tcPr>
            <w:tcW w:w="0" w:type="dxa"/>
            <w:vAlign w:val="center"/>
          </w:tcPr>
          <w:p w14:paraId="075FD6BF" w14:textId="160C07FE" w:rsidR="00746B42" w:rsidRPr="00C4270B" w:rsidRDefault="00E6017B" w:rsidP="007D6D2F">
            <w:pPr>
              <w:pStyle w:val="BodyCopy"/>
              <w:spacing w:before="0" w:after="0"/>
              <w:jc w:val="center"/>
              <w:rPr>
                <w:sz w:val="20"/>
                <w:szCs w:val="22"/>
              </w:rPr>
            </w:pPr>
            <w:r w:rsidRPr="00BD61D2">
              <w:rPr>
                <w:sz w:val="20"/>
                <w:szCs w:val="22"/>
              </w:rPr>
              <w:t>9</w:t>
            </w:r>
          </w:p>
        </w:tc>
      </w:tr>
      <w:tr w:rsidR="00746B42" w:rsidRPr="00035E77" w14:paraId="052DDF54" w14:textId="77777777" w:rsidTr="00BD61D2">
        <w:trPr>
          <w:trHeight w:val="283"/>
        </w:trPr>
        <w:tc>
          <w:tcPr>
            <w:tcW w:w="0" w:type="dxa"/>
            <w:vMerge/>
          </w:tcPr>
          <w:p w14:paraId="4E97371B" w14:textId="77777777" w:rsidR="00746B42" w:rsidRPr="00C4270B" w:rsidRDefault="00746B42" w:rsidP="003F2731">
            <w:pPr>
              <w:pStyle w:val="BodyCopy"/>
              <w:spacing w:before="0" w:after="0"/>
              <w:rPr>
                <w:sz w:val="20"/>
                <w:szCs w:val="22"/>
              </w:rPr>
            </w:pPr>
          </w:p>
        </w:tc>
        <w:tc>
          <w:tcPr>
            <w:tcW w:w="0" w:type="dxa"/>
            <w:vAlign w:val="center"/>
          </w:tcPr>
          <w:p w14:paraId="1A29E8F8" w14:textId="51940D29"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20.0</w:t>
            </w:r>
            <w:r w:rsidR="00381D14">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54DB3AA0" w14:textId="669B6753" w:rsidR="00746B42" w:rsidRPr="00C4270B" w:rsidRDefault="001B47C2" w:rsidP="00CD6B04">
            <w:pPr>
              <w:pStyle w:val="BodyCopy"/>
              <w:spacing w:before="0" w:after="0"/>
              <w:jc w:val="center"/>
              <w:rPr>
                <w:sz w:val="20"/>
                <w:szCs w:val="22"/>
              </w:rPr>
            </w:pPr>
            <w:r w:rsidRPr="00BD61D2">
              <w:rPr>
                <w:sz w:val="20"/>
                <w:szCs w:val="22"/>
              </w:rPr>
              <w:t>346</w:t>
            </w:r>
          </w:p>
        </w:tc>
        <w:tc>
          <w:tcPr>
            <w:tcW w:w="0" w:type="dxa"/>
            <w:noWrap/>
            <w:vAlign w:val="center"/>
          </w:tcPr>
          <w:p w14:paraId="7964DF5E" w14:textId="72D7C300" w:rsidR="00746B42" w:rsidRPr="00C4270B" w:rsidRDefault="00A473A1" w:rsidP="00CD6B04">
            <w:pPr>
              <w:pStyle w:val="BodyCopy"/>
              <w:spacing w:before="0" w:after="0"/>
              <w:jc w:val="center"/>
              <w:rPr>
                <w:sz w:val="20"/>
                <w:szCs w:val="22"/>
              </w:rPr>
            </w:pPr>
            <w:r w:rsidRPr="00BD61D2">
              <w:rPr>
                <w:sz w:val="20"/>
                <w:szCs w:val="22"/>
              </w:rPr>
              <w:t>381</w:t>
            </w:r>
          </w:p>
        </w:tc>
        <w:tc>
          <w:tcPr>
            <w:tcW w:w="0" w:type="dxa"/>
            <w:noWrap/>
            <w:vAlign w:val="center"/>
          </w:tcPr>
          <w:p w14:paraId="2DDA11C9" w14:textId="5A60CDC3" w:rsidR="00746B42" w:rsidRPr="00C4270B" w:rsidRDefault="001B47C2" w:rsidP="003F2731">
            <w:pPr>
              <w:pStyle w:val="BodyCopy"/>
              <w:spacing w:before="0" w:after="0"/>
              <w:jc w:val="center"/>
              <w:rPr>
                <w:sz w:val="20"/>
                <w:szCs w:val="22"/>
              </w:rPr>
            </w:pPr>
            <w:r w:rsidRPr="00BD61D2">
              <w:rPr>
                <w:sz w:val="20"/>
                <w:szCs w:val="22"/>
              </w:rPr>
              <w:t>35</w:t>
            </w:r>
          </w:p>
        </w:tc>
        <w:tc>
          <w:tcPr>
            <w:tcW w:w="0" w:type="dxa"/>
            <w:vAlign w:val="center"/>
          </w:tcPr>
          <w:p w14:paraId="21E91095" w14:textId="4EC287EF" w:rsidR="00746B42" w:rsidRPr="00C4270B" w:rsidRDefault="00E6017B" w:rsidP="007D6D2F">
            <w:pPr>
              <w:pStyle w:val="BodyCopy"/>
              <w:spacing w:before="0" w:after="0"/>
              <w:jc w:val="center"/>
              <w:rPr>
                <w:sz w:val="20"/>
                <w:szCs w:val="22"/>
              </w:rPr>
            </w:pPr>
            <w:r w:rsidRPr="00BD61D2">
              <w:rPr>
                <w:sz w:val="20"/>
                <w:szCs w:val="22"/>
              </w:rPr>
              <w:t>10</w:t>
            </w:r>
          </w:p>
        </w:tc>
      </w:tr>
      <w:tr w:rsidR="00746B42" w:rsidRPr="00035E77" w14:paraId="5F44335A" w14:textId="77777777" w:rsidTr="00BD61D2">
        <w:trPr>
          <w:trHeight w:val="283"/>
        </w:trPr>
        <w:tc>
          <w:tcPr>
            <w:tcW w:w="0" w:type="dxa"/>
            <w:vMerge w:val="restart"/>
            <w:noWrap/>
          </w:tcPr>
          <w:p w14:paraId="4BDD39A9"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301" behindDoc="0" locked="0" layoutInCell="1" allowOverlap="1" wp14:anchorId="6B260C10" wp14:editId="180EF2A7">
                  <wp:simplePos x="0" y="0"/>
                  <wp:positionH relativeFrom="column">
                    <wp:posOffset>-68580</wp:posOffset>
                  </wp:positionH>
                  <wp:positionV relativeFrom="paragraph">
                    <wp:posOffset>71755</wp:posOffset>
                  </wp:positionV>
                  <wp:extent cx="899160" cy="264160"/>
                  <wp:effectExtent l="0" t="0" r="0" b="2540"/>
                  <wp:wrapNone/>
                  <wp:docPr id="145" name="Picture 145"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wo axle b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0" w:type="dxa"/>
            <w:vAlign w:val="center"/>
          </w:tcPr>
          <w:p w14:paraId="00F9DF51" w14:textId="63A98D20"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12.0</w:t>
            </w:r>
            <w:r w:rsid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0CF8CE84" w14:textId="17E5AA5A" w:rsidR="00746B42" w:rsidRPr="00C4270B" w:rsidRDefault="001B47C2" w:rsidP="00CD6B04">
            <w:pPr>
              <w:pStyle w:val="BodyCopy"/>
              <w:spacing w:before="0" w:after="0"/>
              <w:jc w:val="center"/>
              <w:rPr>
                <w:sz w:val="20"/>
                <w:szCs w:val="22"/>
              </w:rPr>
            </w:pPr>
            <w:r w:rsidRPr="00BD61D2">
              <w:rPr>
                <w:sz w:val="20"/>
                <w:szCs w:val="22"/>
              </w:rPr>
              <w:t>204</w:t>
            </w:r>
          </w:p>
        </w:tc>
        <w:tc>
          <w:tcPr>
            <w:tcW w:w="0" w:type="dxa"/>
            <w:noWrap/>
            <w:vAlign w:val="center"/>
          </w:tcPr>
          <w:p w14:paraId="40175840" w14:textId="60C4FFF5" w:rsidR="00746B42" w:rsidRPr="00C4270B" w:rsidRDefault="00A473A1" w:rsidP="00CD6B04">
            <w:pPr>
              <w:pStyle w:val="BodyCopy"/>
              <w:spacing w:before="0" w:after="0"/>
              <w:jc w:val="center"/>
              <w:rPr>
                <w:sz w:val="20"/>
                <w:szCs w:val="22"/>
              </w:rPr>
            </w:pPr>
            <w:r w:rsidRPr="00BD61D2">
              <w:rPr>
                <w:sz w:val="20"/>
                <w:szCs w:val="22"/>
              </w:rPr>
              <w:t>197</w:t>
            </w:r>
          </w:p>
        </w:tc>
        <w:tc>
          <w:tcPr>
            <w:tcW w:w="0" w:type="dxa"/>
            <w:noWrap/>
            <w:vAlign w:val="center"/>
          </w:tcPr>
          <w:p w14:paraId="5AA15A5D" w14:textId="676CCD5B"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7</w:t>
            </w:r>
          </w:p>
        </w:tc>
        <w:tc>
          <w:tcPr>
            <w:tcW w:w="0" w:type="dxa"/>
            <w:vAlign w:val="center"/>
          </w:tcPr>
          <w:p w14:paraId="7B149279" w14:textId="06D2FC44"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3</w:t>
            </w:r>
          </w:p>
        </w:tc>
      </w:tr>
      <w:tr w:rsidR="00746B42" w:rsidRPr="00035E77" w14:paraId="7A9E0C8A" w14:textId="77777777" w:rsidTr="00BD61D2">
        <w:trPr>
          <w:trHeight w:val="283"/>
        </w:trPr>
        <w:tc>
          <w:tcPr>
            <w:tcW w:w="0" w:type="dxa"/>
            <w:vMerge/>
          </w:tcPr>
          <w:p w14:paraId="5672E63A" w14:textId="77777777" w:rsidR="00746B42" w:rsidRPr="00C4270B" w:rsidRDefault="00746B42" w:rsidP="003F2731">
            <w:pPr>
              <w:pStyle w:val="BodyCopy"/>
              <w:spacing w:before="0" w:after="0"/>
              <w:rPr>
                <w:sz w:val="20"/>
                <w:szCs w:val="22"/>
              </w:rPr>
            </w:pPr>
          </w:p>
        </w:tc>
        <w:tc>
          <w:tcPr>
            <w:tcW w:w="0" w:type="dxa"/>
            <w:vAlign w:val="center"/>
          </w:tcPr>
          <w:p w14:paraId="10F71371" w14:textId="39AA0BC6" w:rsidR="00746B42" w:rsidRPr="00C4270B" w:rsidRDefault="00746B42" w:rsidP="003F2731">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12.0</w:t>
            </w:r>
            <w:r w:rsidR="00C4270B">
              <w:rPr>
                <w:rFonts w:asciiTheme="majorHAnsi" w:hAnsiTheme="majorHAnsi" w:cstheme="majorHAnsi"/>
                <w:sz w:val="20"/>
                <w:szCs w:val="22"/>
              </w:rPr>
              <w:t xml:space="preserve"> </w:t>
            </w:r>
            <w:r w:rsidRPr="00C4270B">
              <w:rPr>
                <w:rFonts w:asciiTheme="majorHAnsi" w:hAnsiTheme="majorHAnsi" w:cstheme="majorHAnsi"/>
                <w:sz w:val="20"/>
                <w:szCs w:val="22"/>
              </w:rPr>
              <w:t>t</w:t>
            </w:r>
          </w:p>
        </w:tc>
        <w:tc>
          <w:tcPr>
            <w:tcW w:w="0" w:type="dxa"/>
            <w:noWrap/>
            <w:vAlign w:val="center"/>
          </w:tcPr>
          <w:p w14:paraId="71B19DC1" w14:textId="66A99CAA" w:rsidR="00746B42" w:rsidRPr="00C4270B" w:rsidRDefault="001B47C2" w:rsidP="00CD6B04">
            <w:pPr>
              <w:pStyle w:val="BodyCopy"/>
              <w:spacing w:before="0" w:after="0"/>
              <w:jc w:val="center"/>
              <w:rPr>
                <w:sz w:val="20"/>
                <w:szCs w:val="22"/>
              </w:rPr>
            </w:pPr>
            <w:r w:rsidRPr="00BD61D2">
              <w:rPr>
                <w:sz w:val="20"/>
                <w:szCs w:val="22"/>
              </w:rPr>
              <w:t>334</w:t>
            </w:r>
          </w:p>
        </w:tc>
        <w:tc>
          <w:tcPr>
            <w:tcW w:w="0" w:type="dxa"/>
            <w:noWrap/>
            <w:vAlign w:val="center"/>
          </w:tcPr>
          <w:p w14:paraId="45FDEECC" w14:textId="13EC1897" w:rsidR="00746B42" w:rsidRPr="00C4270B" w:rsidRDefault="00A473A1" w:rsidP="00CD6B04">
            <w:pPr>
              <w:pStyle w:val="BodyCopy"/>
              <w:spacing w:before="0" w:after="0"/>
              <w:jc w:val="center"/>
              <w:rPr>
                <w:sz w:val="20"/>
                <w:szCs w:val="22"/>
              </w:rPr>
            </w:pPr>
            <w:r w:rsidRPr="00BD61D2">
              <w:rPr>
                <w:sz w:val="20"/>
                <w:szCs w:val="22"/>
              </w:rPr>
              <w:t>358</w:t>
            </w:r>
          </w:p>
        </w:tc>
        <w:tc>
          <w:tcPr>
            <w:tcW w:w="0" w:type="dxa"/>
            <w:noWrap/>
            <w:vAlign w:val="center"/>
          </w:tcPr>
          <w:p w14:paraId="39BEE15A" w14:textId="63780729" w:rsidR="00746B42" w:rsidRPr="00C4270B" w:rsidRDefault="001B47C2" w:rsidP="003F2731">
            <w:pPr>
              <w:pStyle w:val="BodyCopy"/>
              <w:spacing w:before="0" w:after="0"/>
              <w:jc w:val="center"/>
              <w:rPr>
                <w:sz w:val="20"/>
                <w:szCs w:val="22"/>
              </w:rPr>
            </w:pPr>
            <w:r w:rsidRPr="00BD61D2">
              <w:rPr>
                <w:sz w:val="20"/>
                <w:szCs w:val="22"/>
              </w:rPr>
              <w:t>24</w:t>
            </w:r>
          </w:p>
        </w:tc>
        <w:tc>
          <w:tcPr>
            <w:tcW w:w="0" w:type="dxa"/>
            <w:vAlign w:val="center"/>
          </w:tcPr>
          <w:p w14:paraId="6AD7F9FB" w14:textId="0EB7937A" w:rsidR="00746B42" w:rsidRPr="00C4270B" w:rsidRDefault="00E6017B" w:rsidP="007D6D2F">
            <w:pPr>
              <w:pStyle w:val="BodyCopy"/>
              <w:spacing w:before="0" w:after="0"/>
              <w:jc w:val="center"/>
              <w:rPr>
                <w:sz w:val="20"/>
                <w:szCs w:val="22"/>
              </w:rPr>
            </w:pPr>
            <w:r w:rsidRPr="00BD61D2">
              <w:rPr>
                <w:sz w:val="20"/>
                <w:szCs w:val="22"/>
              </w:rPr>
              <w:t>7</w:t>
            </w:r>
          </w:p>
        </w:tc>
      </w:tr>
      <w:tr w:rsidR="00746B42" w:rsidRPr="00035E77" w14:paraId="100EF97B" w14:textId="77777777" w:rsidTr="00BD61D2">
        <w:trPr>
          <w:trHeight w:val="283"/>
        </w:trPr>
        <w:tc>
          <w:tcPr>
            <w:tcW w:w="0" w:type="dxa"/>
            <w:noWrap/>
          </w:tcPr>
          <w:p w14:paraId="1C53FBCD"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5" behindDoc="0" locked="0" layoutInCell="1" allowOverlap="1" wp14:anchorId="607A13C1" wp14:editId="06D8F145">
                  <wp:simplePos x="0" y="0"/>
                  <wp:positionH relativeFrom="column">
                    <wp:posOffset>-68580</wp:posOffset>
                  </wp:positionH>
                  <wp:positionV relativeFrom="paragraph">
                    <wp:posOffset>229235</wp:posOffset>
                  </wp:positionV>
                  <wp:extent cx="751632" cy="190500"/>
                  <wp:effectExtent l="0" t="0" r="0" b="0"/>
                  <wp:wrapNone/>
                  <wp:docPr id="146"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2"/>
                <w:lang w:eastAsia="en-AU"/>
              </w:rPr>
              <w:drawing>
                <wp:anchor distT="0" distB="0" distL="114300" distR="114300" simplePos="0" relativeHeight="251658294" behindDoc="0" locked="0" layoutInCell="1" allowOverlap="1" wp14:anchorId="3E52C693" wp14:editId="7EBC87B2">
                  <wp:simplePos x="0" y="0"/>
                  <wp:positionH relativeFrom="column">
                    <wp:posOffset>-68580</wp:posOffset>
                  </wp:positionH>
                  <wp:positionV relativeFrom="paragraph">
                    <wp:posOffset>15875</wp:posOffset>
                  </wp:positionV>
                  <wp:extent cx="594360" cy="196302"/>
                  <wp:effectExtent l="0" t="0" r="0" b="0"/>
                  <wp:wrapNone/>
                  <wp:docPr id="147"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2"/>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0" w:type="dxa"/>
            <w:vAlign w:val="center"/>
          </w:tcPr>
          <w:p w14:paraId="5CEFB014"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0" w:type="dxa"/>
            <w:noWrap/>
            <w:vAlign w:val="center"/>
          </w:tcPr>
          <w:p w14:paraId="7242C97A" w14:textId="33A17228" w:rsidR="00746B42" w:rsidRPr="00C4270B" w:rsidRDefault="001B47C2" w:rsidP="00CD6B04">
            <w:pPr>
              <w:pStyle w:val="BodyCopy"/>
              <w:spacing w:before="0" w:after="0"/>
              <w:jc w:val="center"/>
              <w:rPr>
                <w:sz w:val="20"/>
                <w:szCs w:val="22"/>
              </w:rPr>
            </w:pPr>
            <w:r w:rsidRPr="00BD61D2">
              <w:rPr>
                <w:sz w:val="20"/>
                <w:szCs w:val="22"/>
              </w:rPr>
              <w:t>414</w:t>
            </w:r>
          </w:p>
        </w:tc>
        <w:tc>
          <w:tcPr>
            <w:tcW w:w="0" w:type="dxa"/>
            <w:noWrap/>
            <w:vAlign w:val="center"/>
          </w:tcPr>
          <w:p w14:paraId="073841D6" w14:textId="53A54345" w:rsidR="00746B42" w:rsidRPr="00C4270B" w:rsidRDefault="00A473A1" w:rsidP="00CD6B04">
            <w:pPr>
              <w:pStyle w:val="BodyCopy"/>
              <w:spacing w:before="0" w:after="0"/>
              <w:jc w:val="center"/>
              <w:rPr>
                <w:sz w:val="20"/>
                <w:szCs w:val="22"/>
              </w:rPr>
            </w:pPr>
            <w:r w:rsidRPr="00BD61D2">
              <w:rPr>
                <w:sz w:val="20"/>
                <w:szCs w:val="22"/>
              </w:rPr>
              <w:t>409</w:t>
            </w:r>
          </w:p>
        </w:tc>
        <w:tc>
          <w:tcPr>
            <w:tcW w:w="0" w:type="dxa"/>
            <w:noWrap/>
            <w:vAlign w:val="center"/>
          </w:tcPr>
          <w:p w14:paraId="1442739B" w14:textId="5F81E96E"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5</w:t>
            </w:r>
          </w:p>
        </w:tc>
        <w:tc>
          <w:tcPr>
            <w:tcW w:w="0" w:type="dxa"/>
            <w:vAlign w:val="center"/>
          </w:tcPr>
          <w:p w14:paraId="5459B203" w14:textId="5707CDFE"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1</w:t>
            </w:r>
          </w:p>
        </w:tc>
      </w:tr>
      <w:tr w:rsidR="00746B42" w:rsidRPr="00035E77" w14:paraId="44B94235" w14:textId="77777777" w:rsidTr="00BD61D2">
        <w:trPr>
          <w:trHeight w:val="283"/>
        </w:trPr>
        <w:tc>
          <w:tcPr>
            <w:tcW w:w="0" w:type="dxa"/>
          </w:tcPr>
          <w:p w14:paraId="298595BD" w14:textId="77777777" w:rsidR="00746B42" w:rsidRPr="00C4270B" w:rsidRDefault="00746B42" w:rsidP="003F2731">
            <w:pPr>
              <w:pStyle w:val="BodyCopy"/>
              <w:spacing w:before="0" w:after="0"/>
              <w:rPr>
                <w:b/>
                <w:bCs/>
                <w:sz w:val="20"/>
                <w:szCs w:val="22"/>
              </w:rPr>
            </w:pPr>
          </w:p>
        </w:tc>
        <w:tc>
          <w:tcPr>
            <w:tcW w:w="0" w:type="dxa"/>
            <w:vAlign w:val="center"/>
          </w:tcPr>
          <w:p w14:paraId="04CE3407"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0" w:type="dxa"/>
            <w:noWrap/>
            <w:vAlign w:val="center"/>
          </w:tcPr>
          <w:p w14:paraId="75AEA524" w14:textId="4A754DD5" w:rsidR="00746B42" w:rsidRPr="00C4270B" w:rsidRDefault="001B47C2" w:rsidP="00CD6B04">
            <w:pPr>
              <w:pStyle w:val="BodyCopy"/>
              <w:spacing w:before="0" w:after="0"/>
              <w:jc w:val="center"/>
              <w:rPr>
                <w:sz w:val="20"/>
                <w:szCs w:val="22"/>
              </w:rPr>
            </w:pPr>
            <w:r w:rsidRPr="00BD61D2">
              <w:rPr>
                <w:sz w:val="20"/>
                <w:szCs w:val="22"/>
              </w:rPr>
              <w:t>458</w:t>
            </w:r>
          </w:p>
        </w:tc>
        <w:tc>
          <w:tcPr>
            <w:tcW w:w="0" w:type="dxa"/>
            <w:noWrap/>
            <w:vAlign w:val="center"/>
          </w:tcPr>
          <w:p w14:paraId="4802438C" w14:textId="1137B561" w:rsidR="00746B42" w:rsidRPr="00C4270B" w:rsidRDefault="00A473A1" w:rsidP="00CD6B04">
            <w:pPr>
              <w:pStyle w:val="BodyCopy"/>
              <w:spacing w:before="0" w:after="0"/>
              <w:jc w:val="center"/>
              <w:rPr>
                <w:sz w:val="20"/>
                <w:szCs w:val="22"/>
              </w:rPr>
            </w:pPr>
            <w:r w:rsidRPr="00BD61D2">
              <w:rPr>
                <w:sz w:val="20"/>
                <w:szCs w:val="22"/>
              </w:rPr>
              <w:t>439</w:t>
            </w:r>
          </w:p>
        </w:tc>
        <w:tc>
          <w:tcPr>
            <w:tcW w:w="0" w:type="dxa"/>
            <w:noWrap/>
            <w:vAlign w:val="center"/>
          </w:tcPr>
          <w:p w14:paraId="19E63A3D" w14:textId="50D1D064"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19</w:t>
            </w:r>
          </w:p>
        </w:tc>
        <w:tc>
          <w:tcPr>
            <w:tcW w:w="0" w:type="dxa"/>
            <w:vAlign w:val="center"/>
          </w:tcPr>
          <w:p w14:paraId="3054EA9C" w14:textId="249FF8A1"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4</w:t>
            </w:r>
          </w:p>
        </w:tc>
      </w:tr>
      <w:tr w:rsidR="00746B42" w:rsidRPr="00035E77" w14:paraId="2BF5E74F" w14:textId="77777777" w:rsidTr="00BD61D2">
        <w:trPr>
          <w:trHeight w:val="283"/>
        </w:trPr>
        <w:tc>
          <w:tcPr>
            <w:tcW w:w="0" w:type="dxa"/>
            <w:noWrap/>
          </w:tcPr>
          <w:p w14:paraId="122DB570"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7" behindDoc="0" locked="0" layoutInCell="1" allowOverlap="1" wp14:anchorId="678A43C2" wp14:editId="48A21CDB">
                  <wp:simplePos x="0" y="0"/>
                  <wp:positionH relativeFrom="column">
                    <wp:posOffset>-68580</wp:posOffset>
                  </wp:positionH>
                  <wp:positionV relativeFrom="paragraph">
                    <wp:posOffset>207645</wp:posOffset>
                  </wp:positionV>
                  <wp:extent cx="1082040" cy="248285"/>
                  <wp:effectExtent l="0" t="0" r="3810" b="0"/>
                  <wp:wrapNone/>
                  <wp:docPr id="148"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2"/>
                <w:lang w:eastAsia="en-AU"/>
              </w:rPr>
              <w:drawing>
                <wp:anchor distT="0" distB="0" distL="114300" distR="114300" simplePos="0" relativeHeight="251658296" behindDoc="0" locked="0" layoutInCell="1" allowOverlap="1" wp14:anchorId="0EC5E793" wp14:editId="5C62FF0C">
                  <wp:simplePos x="0" y="0"/>
                  <wp:positionH relativeFrom="column">
                    <wp:posOffset>-68580</wp:posOffset>
                  </wp:positionH>
                  <wp:positionV relativeFrom="paragraph">
                    <wp:posOffset>1905</wp:posOffset>
                  </wp:positionV>
                  <wp:extent cx="944880" cy="209968"/>
                  <wp:effectExtent l="0" t="0" r="7620" b="0"/>
                  <wp:wrapNone/>
                  <wp:docPr id="149"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4"/>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0" w:type="dxa"/>
            <w:vAlign w:val="center"/>
          </w:tcPr>
          <w:p w14:paraId="7E96366B" w14:textId="77777777" w:rsidR="00746B42" w:rsidRPr="00C4270B" w:rsidRDefault="00746B42" w:rsidP="003F2731">
            <w:pPr>
              <w:pStyle w:val="BodyCopy"/>
              <w:spacing w:before="0" w:after="0"/>
              <w:rPr>
                <w:b/>
                <w:bCs/>
                <w:sz w:val="20"/>
                <w:szCs w:val="22"/>
              </w:rPr>
            </w:pPr>
            <w:r w:rsidRPr="00C4270B">
              <w:rPr>
                <w:rFonts w:ascii="Calibri" w:hAnsi="Calibri" w:cs="Calibri"/>
                <w:b/>
                <w:bCs/>
                <w:sz w:val="20"/>
                <w:szCs w:val="22"/>
              </w:rPr>
              <w:t> </w:t>
            </w:r>
          </w:p>
        </w:tc>
        <w:tc>
          <w:tcPr>
            <w:tcW w:w="0" w:type="dxa"/>
            <w:noWrap/>
            <w:vAlign w:val="center"/>
          </w:tcPr>
          <w:p w14:paraId="63B29191" w14:textId="609557E3" w:rsidR="00746B42" w:rsidRPr="00C4270B" w:rsidRDefault="001B47C2" w:rsidP="00CD6B04">
            <w:pPr>
              <w:pStyle w:val="BodyCopy"/>
              <w:spacing w:before="0" w:after="0"/>
              <w:jc w:val="center"/>
              <w:rPr>
                <w:sz w:val="20"/>
                <w:szCs w:val="22"/>
              </w:rPr>
            </w:pPr>
            <w:r w:rsidRPr="00BD61D2">
              <w:rPr>
                <w:sz w:val="20"/>
                <w:szCs w:val="22"/>
              </w:rPr>
              <w:t>1,020</w:t>
            </w:r>
          </w:p>
        </w:tc>
        <w:tc>
          <w:tcPr>
            <w:tcW w:w="0" w:type="dxa"/>
            <w:noWrap/>
            <w:vAlign w:val="center"/>
          </w:tcPr>
          <w:p w14:paraId="54875AB1" w14:textId="5C59897D" w:rsidR="00746B42" w:rsidRPr="00C4270B" w:rsidRDefault="00A473A1" w:rsidP="00CD6B04">
            <w:pPr>
              <w:pStyle w:val="BodyCopy"/>
              <w:spacing w:before="0" w:after="0"/>
              <w:jc w:val="center"/>
              <w:rPr>
                <w:sz w:val="20"/>
                <w:szCs w:val="22"/>
              </w:rPr>
            </w:pPr>
            <w:r w:rsidRPr="00BD61D2">
              <w:rPr>
                <w:sz w:val="20"/>
                <w:szCs w:val="22"/>
              </w:rPr>
              <w:t>978</w:t>
            </w:r>
          </w:p>
        </w:tc>
        <w:tc>
          <w:tcPr>
            <w:tcW w:w="0" w:type="dxa"/>
            <w:noWrap/>
            <w:vAlign w:val="center"/>
          </w:tcPr>
          <w:p w14:paraId="67AF0B2B" w14:textId="1EC0C1F9"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42</w:t>
            </w:r>
          </w:p>
        </w:tc>
        <w:tc>
          <w:tcPr>
            <w:tcW w:w="0" w:type="dxa"/>
            <w:vAlign w:val="center"/>
          </w:tcPr>
          <w:p w14:paraId="414C6CC7" w14:textId="44532D58"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4</w:t>
            </w:r>
          </w:p>
        </w:tc>
      </w:tr>
      <w:tr w:rsidR="00746B42" w:rsidRPr="00035E77" w14:paraId="211527FD" w14:textId="77777777" w:rsidTr="00BD61D2">
        <w:trPr>
          <w:trHeight w:val="283"/>
        </w:trPr>
        <w:tc>
          <w:tcPr>
            <w:tcW w:w="0" w:type="dxa"/>
          </w:tcPr>
          <w:p w14:paraId="13B79373" w14:textId="77777777" w:rsidR="00746B42" w:rsidRPr="00C4270B" w:rsidRDefault="00746B42" w:rsidP="003F2731">
            <w:pPr>
              <w:pStyle w:val="BodyCopy"/>
              <w:spacing w:before="0" w:after="0"/>
              <w:rPr>
                <w:sz w:val="20"/>
                <w:szCs w:val="22"/>
              </w:rPr>
            </w:pPr>
          </w:p>
        </w:tc>
        <w:tc>
          <w:tcPr>
            <w:tcW w:w="0" w:type="dxa"/>
            <w:vAlign w:val="center"/>
          </w:tcPr>
          <w:p w14:paraId="04A05CC7"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0" w:type="dxa"/>
            <w:noWrap/>
            <w:vAlign w:val="center"/>
          </w:tcPr>
          <w:p w14:paraId="1713E209" w14:textId="56DC47D8" w:rsidR="00746B42" w:rsidRPr="00C4270B" w:rsidRDefault="001B47C2" w:rsidP="00CD6B04">
            <w:pPr>
              <w:pStyle w:val="BodyCopy"/>
              <w:spacing w:before="0" w:after="0"/>
              <w:jc w:val="center"/>
              <w:rPr>
                <w:sz w:val="20"/>
                <w:szCs w:val="22"/>
              </w:rPr>
            </w:pPr>
            <w:r w:rsidRPr="00BD61D2">
              <w:rPr>
                <w:sz w:val="20"/>
                <w:szCs w:val="22"/>
              </w:rPr>
              <w:t>1,076</w:t>
            </w:r>
          </w:p>
        </w:tc>
        <w:tc>
          <w:tcPr>
            <w:tcW w:w="0" w:type="dxa"/>
            <w:noWrap/>
            <w:vAlign w:val="center"/>
          </w:tcPr>
          <w:p w14:paraId="70D33F65" w14:textId="5BBCFC30" w:rsidR="00746B42" w:rsidRPr="00C4270B" w:rsidRDefault="00A473A1" w:rsidP="00CD6B04">
            <w:pPr>
              <w:pStyle w:val="BodyCopy"/>
              <w:spacing w:before="0" w:after="0"/>
              <w:jc w:val="center"/>
              <w:rPr>
                <w:sz w:val="20"/>
                <w:szCs w:val="22"/>
              </w:rPr>
            </w:pPr>
            <w:r w:rsidRPr="00BD61D2">
              <w:rPr>
                <w:sz w:val="20"/>
                <w:szCs w:val="22"/>
              </w:rPr>
              <w:t>1,034</w:t>
            </w:r>
          </w:p>
        </w:tc>
        <w:tc>
          <w:tcPr>
            <w:tcW w:w="0" w:type="dxa"/>
            <w:noWrap/>
            <w:vAlign w:val="center"/>
          </w:tcPr>
          <w:p w14:paraId="7333F482" w14:textId="3FBD67C3"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42</w:t>
            </w:r>
          </w:p>
        </w:tc>
        <w:tc>
          <w:tcPr>
            <w:tcW w:w="0" w:type="dxa"/>
            <w:vAlign w:val="center"/>
          </w:tcPr>
          <w:p w14:paraId="2B3811F2" w14:textId="64684C9C"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4</w:t>
            </w:r>
          </w:p>
        </w:tc>
      </w:tr>
      <w:tr w:rsidR="00746B42" w:rsidRPr="00035E77" w14:paraId="5FD77D61" w14:textId="77777777" w:rsidTr="00BD61D2">
        <w:trPr>
          <w:trHeight w:val="283"/>
        </w:trPr>
        <w:tc>
          <w:tcPr>
            <w:tcW w:w="0" w:type="dxa"/>
          </w:tcPr>
          <w:p w14:paraId="43ABDBCB" w14:textId="77777777" w:rsidR="00746B42" w:rsidRPr="00C4270B" w:rsidRDefault="00746B42" w:rsidP="003F2731">
            <w:pPr>
              <w:pStyle w:val="BodyCopy"/>
              <w:spacing w:before="0" w:after="0"/>
              <w:rPr>
                <w:sz w:val="20"/>
                <w:szCs w:val="22"/>
              </w:rPr>
            </w:pPr>
            <w:r w:rsidRPr="00C4270B">
              <w:rPr>
                <w:noProof/>
                <w:sz w:val="20"/>
                <w:szCs w:val="22"/>
                <w:lang w:eastAsia="en-AU"/>
              </w:rPr>
              <w:drawing>
                <wp:anchor distT="0" distB="0" distL="114300" distR="114300" simplePos="0" relativeHeight="251658298" behindDoc="0" locked="0" layoutInCell="1" allowOverlap="1" wp14:anchorId="2DA5CB48" wp14:editId="1466E815">
                  <wp:simplePos x="0" y="0"/>
                  <wp:positionH relativeFrom="column">
                    <wp:posOffset>-67310</wp:posOffset>
                  </wp:positionH>
                  <wp:positionV relativeFrom="paragraph">
                    <wp:posOffset>-12065</wp:posOffset>
                  </wp:positionV>
                  <wp:extent cx="1348740" cy="253513"/>
                  <wp:effectExtent l="0" t="0" r="3810" b="0"/>
                  <wp:wrapNone/>
                  <wp:docPr id="150"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dxa"/>
            <w:vAlign w:val="center"/>
          </w:tcPr>
          <w:p w14:paraId="331BCE24" w14:textId="77777777" w:rsidR="00746B42" w:rsidRPr="00C4270B" w:rsidRDefault="00746B42" w:rsidP="003F2731">
            <w:pPr>
              <w:pStyle w:val="BodyCopy"/>
              <w:spacing w:before="0" w:after="0"/>
              <w:rPr>
                <w:sz w:val="20"/>
                <w:szCs w:val="22"/>
              </w:rPr>
            </w:pPr>
            <w:r w:rsidRPr="00C4270B">
              <w:rPr>
                <w:rFonts w:ascii="Calibri" w:hAnsi="Calibri" w:cs="Calibri"/>
                <w:sz w:val="20"/>
                <w:szCs w:val="22"/>
              </w:rPr>
              <w:t> </w:t>
            </w:r>
          </w:p>
        </w:tc>
        <w:tc>
          <w:tcPr>
            <w:tcW w:w="0" w:type="dxa"/>
            <w:noWrap/>
            <w:vAlign w:val="center"/>
          </w:tcPr>
          <w:p w14:paraId="4CC01B49" w14:textId="6714E8AE" w:rsidR="00746B42" w:rsidRPr="00C4270B" w:rsidRDefault="001B47C2" w:rsidP="00CD6B04">
            <w:pPr>
              <w:pStyle w:val="BodyCopy"/>
              <w:spacing w:before="0" w:after="0"/>
              <w:jc w:val="center"/>
              <w:rPr>
                <w:sz w:val="20"/>
                <w:szCs w:val="22"/>
              </w:rPr>
            </w:pPr>
            <w:r w:rsidRPr="00BD61D2">
              <w:rPr>
                <w:sz w:val="20"/>
                <w:szCs w:val="22"/>
              </w:rPr>
              <w:t>1,186</w:t>
            </w:r>
          </w:p>
        </w:tc>
        <w:tc>
          <w:tcPr>
            <w:tcW w:w="0" w:type="dxa"/>
            <w:noWrap/>
            <w:vAlign w:val="center"/>
          </w:tcPr>
          <w:p w14:paraId="00E3A20E" w14:textId="282F54F4" w:rsidR="00746B42" w:rsidRPr="00C4270B" w:rsidRDefault="00A473A1" w:rsidP="00CD6B04">
            <w:pPr>
              <w:pStyle w:val="BodyCopy"/>
              <w:spacing w:before="0" w:after="0"/>
              <w:jc w:val="center"/>
              <w:rPr>
                <w:sz w:val="20"/>
                <w:szCs w:val="22"/>
              </w:rPr>
            </w:pPr>
            <w:r w:rsidRPr="00BD61D2">
              <w:rPr>
                <w:sz w:val="20"/>
                <w:szCs w:val="22"/>
              </w:rPr>
              <w:t>1,144</w:t>
            </w:r>
          </w:p>
        </w:tc>
        <w:tc>
          <w:tcPr>
            <w:tcW w:w="0" w:type="dxa"/>
            <w:noWrap/>
            <w:vAlign w:val="center"/>
          </w:tcPr>
          <w:p w14:paraId="37CCA118" w14:textId="4DF4EA04" w:rsidR="00746B42" w:rsidRPr="00C4270B" w:rsidRDefault="00042483" w:rsidP="003F2731">
            <w:pPr>
              <w:pStyle w:val="BodyCopy"/>
              <w:spacing w:before="0" w:after="0"/>
              <w:jc w:val="center"/>
              <w:rPr>
                <w:sz w:val="20"/>
                <w:szCs w:val="22"/>
              </w:rPr>
            </w:pPr>
            <w:r>
              <w:rPr>
                <w:sz w:val="20"/>
                <w:szCs w:val="22"/>
              </w:rPr>
              <w:t>–</w:t>
            </w:r>
            <w:r w:rsidR="001B47C2" w:rsidRPr="00BD61D2">
              <w:rPr>
                <w:sz w:val="20"/>
                <w:szCs w:val="22"/>
              </w:rPr>
              <w:t>42</w:t>
            </w:r>
          </w:p>
        </w:tc>
        <w:tc>
          <w:tcPr>
            <w:tcW w:w="0" w:type="dxa"/>
            <w:vAlign w:val="center"/>
          </w:tcPr>
          <w:p w14:paraId="404CDD6D" w14:textId="62D615BA" w:rsidR="00746B42" w:rsidRPr="00C4270B" w:rsidRDefault="00042483" w:rsidP="007D6D2F">
            <w:pPr>
              <w:pStyle w:val="BodyCopy"/>
              <w:spacing w:before="0" w:after="0"/>
              <w:jc w:val="center"/>
              <w:rPr>
                <w:sz w:val="20"/>
                <w:szCs w:val="22"/>
              </w:rPr>
            </w:pPr>
            <w:r>
              <w:rPr>
                <w:sz w:val="20"/>
                <w:szCs w:val="22"/>
              </w:rPr>
              <w:t>–</w:t>
            </w:r>
            <w:r w:rsidR="00E6017B" w:rsidRPr="00BD61D2">
              <w:rPr>
                <w:sz w:val="20"/>
                <w:szCs w:val="22"/>
              </w:rPr>
              <w:t>4</w:t>
            </w:r>
          </w:p>
        </w:tc>
      </w:tr>
    </w:tbl>
    <w:p w14:paraId="3DE780AE" w14:textId="26A87BD6" w:rsidR="00374A8D" w:rsidRDefault="00381D14" w:rsidP="004C4651">
      <w:pPr>
        <w:pStyle w:val="BodyCopy"/>
      </w:pPr>
      <w:r>
        <w:t xml:space="preserve">Given </w:t>
      </w:r>
      <w:r w:rsidR="004C4651">
        <w:t xml:space="preserve">all other aspects of the PAYGO model are being updated to reflect the latest expenditure and usage data, we consider that it would be inconsistent not to update the calculation of regulatory charges at the same time. Therefore, the NTC </w:t>
      </w:r>
      <w:r w:rsidR="00374A8D">
        <w:t>recommends</w:t>
      </w:r>
      <w:r w:rsidR="004C4651">
        <w:t xml:space="preserve"> the second option outlined in </w:t>
      </w:r>
      <w:r>
        <w:t>s</w:t>
      </w:r>
      <w:r w:rsidR="004C4651">
        <w:t xml:space="preserve">ection </w:t>
      </w:r>
      <w:r w:rsidR="004C4651">
        <w:fldChar w:fldCharType="begin"/>
      </w:r>
      <w:r w:rsidR="004C4651">
        <w:instrText xml:space="preserve"> REF _Ref63867209 \r \h </w:instrText>
      </w:r>
      <w:r w:rsidR="004C4651">
        <w:fldChar w:fldCharType="separate"/>
      </w:r>
      <w:r w:rsidR="00225EEA">
        <w:t>4.14.4</w:t>
      </w:r>
      <w:r w:rsidR="004C4651">
        <w:fldChar w:fldCharType="end"/>
      </w:r>
      <w:r w:rsidR="00374A8D">
        <w:t xml:space="preserve"> – to reset the regulatory charges using updated information</w:t>
      </w:r>
      <w:r w:rsidR="004C4651">
        <w:t>.</w:t>
      </w:r>
    </w:p>
    <w:p w14:paraId="79F45702" w14:textId="0198792D" w:rsidR="003769B6" w:rsidRDefault="00374A8D" w:rsidP="003769B6">
      <w:pPr>
        <w:pStyle w:val="BodyCopy"/>
      </w:pPr>
      <w:r>
        <w:t>The current approach for periodically resetting regulatory charges involves ministers making regular decisions to reset regulatory charges. This process is cumbersome and administratively inefficient. The NTC recommends that regulatory charges be automatically adjusted each year to reflect the approved NHVR budget by scaling the initial set of regulatory charges up or down. This will avoid unnecessary administrative effort. Ministers will retain complete control over regulatory charges through approving the NHVR’s budget. This can be achieved through changes to the model law.</w:t>
      </w:r>
    </w:p>
    <w:p w14:paraId="2051B001" w14:textId="1943CBFC" w:rsidR="00130997" w:rsidRDefault="00130997" w:rsidP="00130997">
      <w:pPr>
        <w:pStyle w:val="Heading3"/>
      </w:pPr>
      <w:bookmarkStart w:id="431" w:name="_Toc86158476"/>
      <w:r w:rsidRPr="00130997">
        <w:t>Summary of submissions</w:t>
      </w:r>
      <w:bookmarkEnd w:id="431"/>
    </w:p>
    <w:p w14:paraId="7B9AAC46" w14:textId="15A569DB" w:rsidR="00951384" w:rsidRPr="00951384" w:rsidRDefault="003700F8" w:rsidP="00951384">
      <w:pPr>
        <w:pStyle w:val="BodyCopy"/>
      </w:pPr>
      <w:r>
        <w:t xml:space="preserve">Only </w:t>
      </w:r>
      <w:r w:rsidR="009C039F">
        <w:t>t</w:t>
      </w:r>
      <w:r w:rsidR="004A077D">
        <w:t xml:space="preserve">he BIC </w:t>
      </w:r>
      <w:r w:rsidR="009C039F">
        <w:t>specifically co</w:t>
      </w:r>
      <w:r w:rsidR="00916104">
        <w:t xml:space="preserve">mmented on this </w:t>
      </w:r>
      <w:r w:rsidR="00514336">
        <w:t xml:space="preserve">topic. It </w:t>
      </w:r>
      <w:r w:rsidR="00720F54">
        <w:t xml:space="preserve">submitted that the </w:t>
      </w:r>
      <w:r w:rsidR="00720F54" w:rsidRPr="00720F54">
        <w:t>formula</w:t>
      </w:r>
      <w:r w:rsidR="00183AAE">
        <w:t xml:space="preserve"> requires more thought </w:t>
      </w:r>
      <w:r w:rsidR="002E1663">
        <w:t xml:space="preserve">because </w:t>
      </w:r>
      <w:r w:rsidR="00183AAE">
        <w:t xml:space="preserve">it </w:t>
      </w:r>
      <w:r w:rsidR="00720F54" w:rsidRPr="00720F54">
        <w:t xml:space="preserve">imposes the highest relative registration cost share on </w:t>
      </w:r>
      <w:r w:rsidR="002E1663">
        <w:t>two</w:t>
      </w:r>
      <w:r w:rsidR="00720F54" w:rsidRPr="00720F54">
        <w:t xml:space="preserve"> classes of buses</w:t>
      </w:r>
      <w:r w:rsidR="00183AAE">
        <w:t>. It argued that this</w:t>
      </w:r>
      <w:r w:rsidR="00720F54" w:rsidRPr="00720F54">
        <w:t xml:space="preserve"> seems the opposite of what a cost-driven approach should produce. </w:t>
      </w:r>
      <w:r w:rsidR="00A917EB">
        <w:t>It questioned why</w:t>
      </w:r>
      <w:r w:rsidR="00720F54" w:rsidRPr="00720F54">
        <w:t xml:space="preserve"> a relatively safe mode</w:t>
      </w:r>
      <w:r w:rsidR="00A917EB">
        <w:t xml:space="preserve"> such as buses, </w:t>
      </w:r>
      <w:r w:rsidR="00720F54" w:rsidRPr="00720F54">
        <w:t xml:space="preserve">with established safety systems (including accreditation in most cases) </w:t>
      </w:r>
      <w:r w:rsidR="00F10C60">
        <w:t>is</w:t>
      </w:r>
      <w:r w:rsidR="00720F54" w:rsidRPr="00720F54">
        <w:t xml:space="preserve"> hit hard by the costs for a regulator</w:t>
      </w:r>
      <w:r w:rsidR="00B87B9B">
        <w:t>.</w:t>
      </w:r>
      <w:r w:rsidR="00720F54" w:rsidRPr="00720F54">
        <w:t xml:space="preserve"> </w:t>
      </w:r>
      <w:r w:rsidR="00A917EB">
        <w:t>Instead,</w:t>
      </w:r>
      <w:r w:rsidR="00F10C60">
        <w:t xml:space="preserve"> it submitted that</w:t>
      </w:r>
      <w:r w:rsidR="00A917EB">
        <w:t xml:space="preserve"> t</w:t>
      </w:r>
      <w:r w:rsidR="00720F54" w:rsidRPr="00720F54">
        <w:t>he costs for a regulator should be highest on those who most need to be regulated, for reasons such as their poor safety record</w:t>
      </w:r>
      <w:r w:rsidR="005A6A55">
        <w:t>.</w:t>
      </w:r>
      <w:r w:rsidR="009E61AA">
        <w:t xml:space="preserve"> </w:t>
      </w:r>
    </w:p>
    <w:p w14:paraId="38FE7C8E" w14:textId="4BEB8441" w:rsidR="003769B6" w:rsidRPr="003769B6" w:rsidRDefault="00577830" w:rsidP="003769B6">
      <w:pPr>
        <w:pStyle w:val="Heading3"/>
      </w:pPr>
      <w:bookmarkStart w:id="432" w:name="_Toc86158477"/>
      <w:r>
        <w:lastRenderedPageBreak/>
        <w:t>Conclusion and r</w:t>
      </w:r>
      <w:r w:rsidR="003769B6">
        <w:t>ecommendations</w:t>
      </w:r>
      <w:bookmarkEnd w:id="432"/>
    </w:p>
    <w:p w14:paraId="5C02787C" w14:textId="77777777" w:rsidR="00272F4F" w:rsidRDefault="00421209" w:rsidP="00262FB8">
      <w:pPr>
        <w:pStyle w:val="BodyCopy"/>
      </w:pPr>
      <w:r w:rsidRPr="00421209">
        <w:t xml:space="preserve">It is important to note that introducing a regulatory component of registration charges was introduced primarily as a mechanism to recover the cost of the NHVR's operations that are not subject to cost recovery through </w:t>
      </w:r>
      <w:r w:rsidR="00DC0274">
        <w:t>a set of yearly fees applying</w:t>
      </w:r>
      <w:r w:rsidRPr="00421209">
        <w:t xml:space="preserve"> across the heavy vehicle fleet. </w:t>
      </w:r>
      <w:r w:rsidR="00EF6871">
        <w:t>O</w:t>
      </w:r>
      <w:r w:rsidR="006E267C">
        <w:t xml:space="preserve">ne of the </w:t>
      </w:r>
      <w:r w:rsidR="00C07E8A">
        <w:t xml:space="preserve">tasks that needed to be performed was to break the </w:t>
      </w:r>
      <w:r w:rsidR="001F5039">
        <w:t>then existing registration charges into two components</w:t>
      </w:r>
      <w:r w:rsidR="00D205E7">
        <w:t xml:space="preserve"> while separating out </w:t>
      </w:r>
      <w:r w:rsidR="00272F4F">
        <w:t xml:space="preserve">regulatory costs. </w:t>
      </w:r>
    </w:p>
    <w:p w14:paraId="0558D4F1" w14:textId="14C1706B" w:rsidR="00C36F5C" w:rsidRDefault="00421209" w:rsidP="00262FB8">
      <w:pPr>
        <w:pStyle w:val="BodyCopy"/>
      </w:pPr>
      <w:r w:rsidRPr="00421209">
        <w:t xml:space="preserve">The formula to calculate the regulatory component of registration charges for each vehicle class was designed with the primary aim of achieving a reasonable outcome while maintaining the broad relativities of total registration charges between different vehicle classes. </w:t>
      </w:r>
    </w:p>
    <w:p w14:paraId="6F85D3A1" w14:textId="2C5FFFBE" w:rsidR="00C36F5C" w:rsidRDefault="00C36F5C" w:rsidP="00262FB8">
      <w:pPr>
        <w:pStyle w:val="BodyCopy"/>
      </w:pPr>
      <w:r>
        <w:t>The formula, and the resulting regulatory components of regulatory charges</w:t>
      </w:r>
      <w:r w:rsidR="002E1663">
        <w:t>,</w:t>
      </w:r>
      <w:r>
        <w:t xml:space="preserve"> w</w:t>
      </w:r>
      <w:r w:rsidR="002E1663">
        <w:t>as</w:t>
      </w:r>
      <w:r w:rsidR="00421209" w:rsidRPr="00421209">
        <w:t xml:space="preserve"> never intended to deliver an accurate price signal reflecting the safety record or other attributes of individual operators or types of operators. </w:t>
      </w:r>
      <w:r w:rsidR="00970E01">
        <w:t>This is a goal that the current system could never achieve.</w:t>
      </w:r>
      <w:r w:rsidR="009E61AA">
        <w:t xml:space="preserve"> </w:t>
      </w:r>
    </w:p>
    <w:p w14:paraId="22CDAC78" w14:textId="5D9B7F0B" w:rsidR="00421209" w:rsidRDefault="00421209" w:rsidP="00262FB8">
      <w:pPr>
        <w:pStyle w:val="BodyCopy"/>
      </w:pPr>
      <w:r w:rsidRPr="00421209">
        <w:t>Therefore, the NTC continues to believe that the current mechanism achieves appropriate outcomes given the broad aim of the formula and the available data.</w:t>
      </w:r>
      <w:r w:rsidR="009E61AA">
        <w:t xml:space="preserve"> </w:t>
      </w:r>
    </w:p>
    <w:p w14:paraId="0CC85555" w14:textId="253D9139" w:rsidR="00262FB8" w:rsidRDefault="00FE04F7" w:rsidP="00262FB8">
      <w:pPr>
        <w:pStyle w:val="BodyCopy"/>
      </w:pPr>
      <w:r>
        <w:t xml:space="preserve">The NTC </w:t>
      </w:r>
      <w:r w:rsidR="00374A8D">
        <w:t>recommend</w:t>
      </w:r>
      <w:r>
        <w:t>s</w:t>
      </w:r>
      <w:r w:rsidR="00374A8D">
        <w:t xml:space="preserve"> that:</w:t>
      </w:r>
    </w:p>
    <w:p w14:paraId="0245B827" w14:textId="15959943" w:rsidR="00374A8D" w:rsidRDefault="00FE04F7" w:rsidP="00357D40">
      <w:pPr>
        <w:pStyle w:val="List-bulletlvl1"/>
      </w:pPr>
      <w:r>
        <w:t>r</w:t>
      </w:r>
      <w:r w:rsidR="00374A8D">
        <w:t>egulatory charges for 2022</w:t>
      </w:r>
      <w:r w:rsidR="00272BD6">
        <w:t>–2</w:t>
      </w:r>
      <w:r w:rsidR="00374A8D">
        <w:t>3 be reset using the existing methodology and the latest available information on weight (AGM), distance travelled (VKT) and the registered heavy vehicle fleet</w:t>
      </w:r>
    </w:p>
    <w:p w14:paraId="5BB062D2" w14:textId="1699E913" w:rsidR="00374A8D" w:rsidRDefault="00374A8D" w:rsidP="00357D40">
      <w:pPr>
        <w:pStyle w:val="List-bulletlvl1"/>
      </w:pPr>
      <w:r>
        <w:t xml:space="preserve">regulatory charges for subsequent years be automatically adjusted by scaling the </w:t>
      </w:r>
      <w:r w:rsidR="00851BE5">
        <w:br/>
      </w:r>
      <w:r>
        <w:t>2022</w:t>
      </w:r>
      <w:r w:rsidR="00272BD6">
        <w:t>–2</w:t>
      </w:r>
      <w:r>
        <w:t>3 regulatory charges up or down to recover the NHVR’s approved budget</w:t>
      </w:r>
    </w:p>
    <w:p w14:paraId="20BBABAF" w14:textId="69AFB131" w:rsidR="00374A8D" w:rsidRDefault="00374A8D" w:rsidP="00357D40">
      <w:pPr>
        <w:pStyle w:val="List-bulletlvl1"/>
      </w:pPr>
      <w:r>
        <w:t>the model law be updated to include processes and formulae necessary to implement the automatic update of regulatory charges</w:t>
      </w:r>
      <w:r w:rsidR="00381D14">
        <w:t>.</w:t>
      </w:r>
    </w:p>
    <w:p w14:paraId="4CAFDE81" w14:textId="43BA0B13" w:rsidR="00F346D4" w:rsidRDefault="00F346D4" w:rsidP="00302ED9">
      <w:pPr>
        <w:pStyle w:val="Heading1"/>
      </w:pPr>
      <w:bookmarkStart w:id="433" w:name="_Toc22650368"/>
      <w:bookmarkStart w:id="434" w:name="_Ref59450851"/>
      <w:bookmarkStart w:id="435" w:name="_Ref82003464"/>
      <w:bookmarkStart w:id="436" w:name="_Toc86158478"/>
      <w:bookmarkEnd w:id="423"/>
      <w:bookmarkEnd w:id="424"/>
      <w:bookmarkEnd w:id="433"/>
      <w:r>
        <w:lastRenderedPageBreak/>
        <w:t xml:space="preserve">Determination </w:t>
      </w:r>
      <w:r w:rsidR="002F68B0">
        <w:t>o</w:t>
      </w:r>
      <w:r>
        <w:t>ptions</w:t>
      </w:r>
      <w:bookmarkEnd w:id="434"/>
      <w:bookmarkEnd w:id="435"/>
      <w:bookmarkEnd w:id="436"/>
    </w:p>
    <w:p w14:paraId="549268C6" w14:textId="4E0414B1" w:rsidR="1D4C455C" w:rsidRDefault="009F29CC" w:rsidP="004C53B0">
      <w:pPr>
        <w:pStyle w:val="Heading2"/>
      </w:pPr>
      <w:bookmarkStart w:id="437" w:name="_Toc86158479"/>
      <w:r>
        <w:t xml:space="preserve">Options for </w:t>
      </w:r>
      <w:r w:rsidR="002F68B0">
        <w:t>c</w:t>
      </w:r>
      <w:r>
        <w:t>onsideration</w:t>
      </w:r>
      <w:bookmarkEnd w:id="437"/>
      <w:r w:rsidR="00B51B4A">
        <w:t xml:space="preserve"> </w:t>
      </w:r>
    </w:p>
    <w:p w14:paraId="7331C98A" w14:textId="28C645AC" w:rsidR="00C247E2" w:rsidRDefault="00306752" w:rsidP="00655C7C">
      <w:pPr>
        <w:pStyle w:val="BodyCopy"/>
      </w:pPr>
      <w:r>
        <w:t xml:space="preserve">The options for this </w:t>
      </w:r>
      <w:r w:rsidR="007129B3">
        <w:t>d</w:t>
      </w:r>
      <w:r>
        <w:t>etermination</w:t>
      </w:r>
      <w:r w:rsidR="00C32EDB">
        <w:t xml:space="preserve"> we</w:t>
      </w:r>
      <w:r>
        <w:t>re derived by combining all the re</w:t>
      </w:r>
      <w:r w:rsidR="00413302">
        <w:t>c</w:t>
      </w:r>
      <w:r>
        <w:t xml:space="preserve">ommended changes outlined in </w:t>
      </w:r>
      <w:r w:rsidR="00EC4D84">
        <w:t>c</w:t>
      </w:r>
      <w:r w:rsidR="00B51B4A">
        <w:t xml:space="preserve">hapter </w:t>
      </w:r>
      <w:r w:rsidR="007129B3">
        <w:fldChar w:fldCharType="begin"/>
      </w:r>
      <w:r w:rsidR="007129B3">
        <w:instrText xml:space="preserve"> REF _Ref59548332 \r \h </w:instrText>
      </w:r>
      <w:r w:rsidR="007129B3">
        <w:fldChar w:fldCharType="separate"/>
      </w:r>
      <w:r w:rsidR="00225EEA">
        <w:t>4</w:t>
      </w:r>
      <w:r w:rsidR="007129B3">
        <w:fldChar w:fldCharType="end"/>
      </w:r>
      <w:r w:rsidR="00B51B4A">
        <w:t xml:space="preserve"> </w:t>
      </w:r>
      <w:r w:rsidR="00C247E2">
        <w:t xml:space="preserve">with the three key options for cost allocation explored in </w:t>
      </w:r>
      <w:r w:rsidR="00C32EDB">
        <w:t>s</w:t>
      </w:r>
      <w:r w:rsidR="000A77FD">
        <w:t xml:space="preserve">ection </w:t>
      </w:r>
      <w:r w:rsidR="00FF32ED">
        <w:fldChar w:fldCharType="begin"/>
      </w:r>
      <w:r w:rsidR="00FF32ED">
        <w:instrText xml:space="preserve"> REF _Ref66366790 \r \h </w:instrText>
      </w:r>
      <w:r w:rsidR="00FF32ED">
        <w:fldChar w:fldCharType="separate"/>
      </w:r>
      <w:r w:rsidR="00225EEA">
        <w:t>4.7.3</w:t>
      </w:r>
      <w:r w:rsidR="00FF32ED">
        <w:fldChar w:fldCharType="end"/>
      </w:r>
      <w:r w:rsidR="00C247E2">
        <w:t xml:space="preserve">. </w:t>
      </w:r>
    </w:p>
    <w:p w14:paraId="66C30F1D" w14:textId="1305D442" w:rsidR="009759B5" w:rsidRDefault="00C247E2" w:rsidP="00655C7C">
      <w:pPr>
        <w:pStyle w:val="BodyCopy"/>
      </w:pPr>
      <w:r>
        <w:t>The main reason for this approach is that</w:t>
      </w:r>
      <w:r w:rsidR="004F5066">
        <w:t>, as explored in section</w:t>
      </w:r>
      <w:r w:rsidR="00FF32ED">
        <w:t xml:space="preserve"> </w:t>
      </w:r>
      <w:r w:rsidR="00FF32ED">
        <w:fldChar w:fldCharType="begin"/>
      </w:r>
      <w:r w:rsidR="00FF32ED">
        <w:instrText xml:space="preserve"> REF _Ref66366850 \r \h </w:instrText>
      </w:r>
      <w:r w:rsidR="00FF32ED">
        <w:fldChar w:fldCharType="separate"/>
      </w:r>
      <w:r w:rsidR="00225EEA">
        <w:t>4.7.5</w:t>
      </w:r>
      <w:r w:rsidR="00FF32ED">
        <w:fldChar w:fldCharType="end"/>
      </w:r>
      <w:r w:rsidR="004F5066">
        <w:t>,</w:t>
      </w:r>
      <w:r>
        <w:t xml:space="preserve"> </w:t>
      </w:r>
      <w:r w:rsidR="00E17C15">
        <w:t>none of the three options for cost allocation</w:t>
      </w:r>
      <w:r w:rsidR="00A0060C">
        <w:t xml:space="preserve"> is clearly and objectively superior to any other</w:t>
      </w:r>
      <w:r w:rsidR="009759B5">
        <w:t xml:space="preserve">. </w:t>
      </w:r>
    </w:p>
    <w:p w14:paraId="71599E1E" w14:textId="38B461B5" w:rsidR="007B1137" w:rsidRPr="007B1137" w:rsidRDefault="00BD29EB" w:rsidP="007B1137">
      <w:pPr>
        <w:pStyle w:val="BodyCopy"/>
      </w:pPr>
      <w:r>
        <w:t>Therefore, this determination will evaluate a choice between</w:t>
      </w:r>
      <w:r w:rsidR="005A25BC">
        <w:t xml:space="preserve"> the status quo and</w:t>
      </w:r>
      <w:r>
        <w:t xml:space="preserve"> </w:t>
      </w:r>
      <w:r w:rsidR="00521AEB">
        <w:t>three</w:t>
      </w:r>
      <w:r w:rsidR="00B51E7E">
        <w:t xml:space="preserve"> alternative</w:t>
      </w:r>
      <w:r w:rsidR="00521AEB">
        <w:t xml:space="preserve"> options</w:t>
      </w:r>
      <w:r w:rsidR="004F5066">
        <w:t xml:space="preserve">, based mainly on the </w:t>
      </w:r>
      <w:r w:rsidR="00F26256">
        <w:t xml:space="preserve">likely impact on </w:t>
      </w:r>
      <w:r w:rsidR="004F5066">
        <w:t>heavy vehicle operators and governments</w:t>
      </w:r>
      <w:r w:rsidR="00C32EDB">
        <w:t xml:space="preserve"> (</w:t>
      </w:r>
      <w:r w:rsidR="00F503DC">
        <w:fldChar w:fldCharType="begin"/>
      </w:r>
      <w:r w:rsidR="00F503DC">
        <w:instrText xml:space="preserve"> REF _Ref81991288 \r \h </w:instrText>
      </w:r>
      <w:r w:rsidR="00F503DC">
        <w:fldChar w:fldCharType="separate"/>
      </w:r>
      <w:r w:rsidR="00225EEA">
        <w:t>Table 19</w:t>
      </w:r>
      <w:r w:rsidR="00F503DC">
        <w:fldChar w:fldCharType="end"/>
      </w:r>
      <w:r w:rsidR="00C32EDB">
        <w:t>)</w:t>
      </w:r>
      <w:r w:rsidR="002E5218">
        <w:t>.</w:t>
      </w:r>
    </w:p>
    <w:p w14:paraId="2EA285F8" w14:textId="0732AFE7" w:rsidR="00811B1D" w:rsidRDefault="009B369D" w:rsidP="00A24955">
      <w:pPr>
        <w:pStyle w:val="Tabletitle"/>
      </w:pPr>
      <w:bookmarkStart w:id="438" w:name="_Toc59436397"/>
      <w:bookmarkStart w:id="439" w:name="_Ref81991288"/>
      <w:bookmarkStart w:id="440" w:name="_Toc86158558"/>
      <w:r>
        <w:t xml:space="preserve">Key </w:t>
      </w:r>
      <w:r w:rsidR="002F68B0">
        <w:t>d</w:t>
      </w:r>
      <w:r>
        <w:t xml:space="preserve">etermination </w:t>
      </w:r>
      <w:r w:rsidR="002F68B0">
        <w:t>o</w:t>
      </w:r>
      <w:r>
        <w:t>ptions</w:t>
      </w:r>
      <w:bookmarkEnd w:id="438"/>
      <w:bookmarkEnd w:id="439"/>
      <w:bookmarkEnd w:id="440"/>
    </w:p>
    <w:tbl>
      <w:tblPr>
        <w:tblStyle w:val="NTCtable"/>
        <w:tblW w:w="9072" w:type="dxa"/>
        <w:tblLayout w:type="fixed"/>
        <w:tblLook w:val="04A0" w:firstRow="1" w:lastRow="0" w:firstColumn="1" w:lastColumn="0" w:noHBand="0" w:noVBand="1"/>
      </w:tblPr>
      <w:tblGrid>
        <w:gridCol w:w="2610"/>
        <w:gridCol w:w="2253"/>
        <w:gridCol w:w="1052"/>
        <w:gridCol w:w="1052"/>
        <w:gridCol w:w="1052"/>
        <w:gridCol w:w="1053"/>
      </w:tblGrid>
      <w:tr w:rsidR="005A25BC" w14:paraId="76608F95" w14:textId="77777777" w:rsidTr="00FF32ED">
        <w:trPr>
          <w:cnfStyle w:val="100000000000" w:firstRow="1" w:lastRow="0" w:firstColumn="0" w:lastColumn="0" w:oddVBand="0" w:evenVBand="0" w:oddHBand="0" w:evenHBand="0" w:firstRowFirstColumn="0" w:firstRowLastColumn="0" w:lastRowFirstColumn="0" w:lastRowLastColumn="0"/>
          <w:tblHeader/>
        </w:trPr>
        <w:tc>
          <w:tcPr>
            <w:tcW w:w="2610" w:type="dxa"/>
          </w:tcPr>
          <w:p w14:paraId="6DB971AB" w14:textId="7229D964" w:rsidR="005A25BC" w:rsidRDefault="0074009C" w:rsidP="00877541">
            <w:pPr>
              <w:pStyle w:val="BodyCopy"/>
              <w:spacing w:before="120"/>
            </w:pPr>
            <w:r w:rsidRPr="002A61B5">
              <w:rPr>
                <w:b/>
                <w:bCs/>
                <w:sz w:val="20"/>
                <w:szCs w:val="22"/>
              </w:rPr>
              <w:t>Action</w:t>
            </w:r>
          </w:p>
        </w:tc>
        <w:tc>
          <w:tcPr>
            <w:tcW w:w="2253" w:type="dxa"/>
          </w:tcPr>
          <w:p w14:paraId="44F4B11D" w14:textId="6B1A43D8" w:rsidR="005A25BC" w:rsidRPr="00CD6B04" w:rsidRDefault="005A25BC" w:rsidP="00877541">
            <w:pPr>
              <w:pStyle w:val="BodyCopy"/>
              <w:spacing w:before="120"/>
              <w:rPr>
                <w:b/>
                <w:bCs/>
                <w:sz w:val="20"/>
                <w:szCs w:val="22"/>
              </w:rPr>
            </w:pPr>
            <w:r w:rsidRPr="00CD6B04">
              <w:rPr>
                <w:b/>
                <w:bCs/>
                <w:sz w:val="20"/>
                <w:szCs w:val="22"/>
              </w:rPr>
              <w:t>Detailed analysis and recommendations</w:t>
            </w:r>
          </w:p>
        </w:tc>
        <w:tc>
          <w:tcPr>
            <w:tcW w:w="1052" w:type="dxa"/>
          </w:tcPr>
          <w:p w14:paraId="688C9774" w14:textId="1E171159" w:rsidR="005A25BC" w:rsidRPr="00CD6B04" w:rsidRDefault="005A25BC" w:rsidP="00877541">
            <w:pPr>
              <w:pStyle w:val="BodyCopy"/>
              <w:spacing w:before="120"/>
              <w:rPr>
                <w:b/>
                <w:bCs/>
                <w:sz w:val="20"/>
                <w:szCs w:val="22"/>
              </w:rPr>
            </w:pPr>
            <w:r w:rsidRPr="00CD6B04">
              <w:rPr>
                <w:b/>
                <w:bCs/>
                <w:sz w:val="20"/>
                <w:szCs w:val="22"/>
              </w:rPr>
              <w:t xml:space="preserve">Status </w:t>
            </w:r>
            <w:r w:rsidR="002F68B0" w:rsidRPr="00CD6B04">
              <w:rPr>
                <w:b/>
                <w:bCs/>
                <w:sz w:val="20"/>
                <w:szCs w:val="22"/>
              </w:rPr>
              <w:t>q</w:t>
            </w:r>
            <w:r w:rsidRPr="00CD6B04">
              <w:rPr>
                <w:b/>
                <w:bCs/>
                <w:sz w:val="20"/>
                <w:szCs w:val="22"/>
              </w:rPr>
              <w:t>uo</w:t>
            </w:r>
          </w:p>
        </w:tc>
        <w:tc>
          <w:tcPr>
            <w:tcW w:w="1052" w:type="dxa"/>
          </w:tcPr>
          <w:p w14:paraId="7E4AA501" w14:textId="1E4C19F5" w:rsidR="005A25BC" w:rsidRPr="00CD6B04" w:rsidRDefault="005A25BC" w:rsidP="00877541">
            <w:pPr>
              <w:pStyle w:val="BodyCopy"/>
              <w:spacing w:before="120"/>
              <w:rPr>
                <w:b/>
                <w:bCs/>
                <w:sz w:val="20"/>
                <w:szCs w:val="22"/>
              </w:rPr>
            </w:pPr>
            <w:r w:rsidRPr="00CD6B04">
              <w:rPr>
                <w:b/>
                <w:bCs/>
                <w:sz w:val="20"/>
                <w:szCs w:val="22"/>
              </w:rPr>
              <w:t>Option A</w:t>
            </w:r>
          </w:p>
        </w:tc>
        <w:tc>
          <w:tcPr>
            <w:tcW w:w="1052" w:type="dxa"/>
          </w:tcPr>
          <w:p w14:paraId="10A9092F" w14:textId="4CF36800" w:rsidR="005A25BC" w:rsidRPr="00CD6B04" w:rsidRDefault="005A25BC" w:rsidP="00877541">
            <w:pPr>
              <w:pStyle w:val="BodyCopy"/>
              <w:spacing w:before="120"/>
              <w:rPr>
                <w:b/>
                <w:bCs/>
                <w:sz w:val="20"/>
                <w:szCs w:val="22"/>
              </w:rPr>
            </w:pPr>
            <w:r w:rsidRPr="00CD6B04">
              <w:rPr>
                <w:b/>
                <w:bCs/>
                <w:sz w:val="20"/>
                <w:szCs w:val="22"/>
              </w:rPr>
              <w:t>Option B</w:t>
            </w:r>
          </w:p>
        </w:tc>
        <w:tc>
          <w:tcPr>
            <w:tcW w:w="1053" w:type="dxa"/>
          </w:tcPr>
          <w:p w14:paraId="3FD20041" w14:textId="0373FB2E" w:rsidR="005A25BC" w:rsidRPr="00CD6B04" w:rsidRDefault="005A25BC" w:rsidP="00877541">
            <w:pPr>
              <w:pStyle w:val="BodyCopy"/>
              <w:spacing w:before="120"/>
              <w:rPr>
                <w:b/>
                <w:bCs/>
                <w:sz w:val="20"/>
                <w:szCs w:val="22"/>
              </w:rPr>
            </w:pPr>
            <w:r w:rsidRPr="00CD6B04">
              <w:rPr>
                <w:b/>
                <w:bCs/>
                <w:sz w:val="20"/>
                <w:szCs w:val="22"/>
              </w:rPr>
              <w:t>Option C</w:t>
            </w:r>
          </w:p>
        </w:tc>
      </w:tr>
      <w:tr w:rsidR="005A25BC" w14:paraId="087AA451" w14:textId="77777777" w:rsidTr="00FF32ED">
        <w:trPr>
          <w:trHeight w:val="567"/>
        </w:trPr>
        <w:tc>
          <w:tcPr>
            <w:tcW w:w="2610" w:type="dxa"/>
          </w:tcPr>
          <w:p w14:paraId="71713C64" w14:textId="0A716B62" w:rsidR="005A25BC" w:rsidRPr="00C4270B" w:rsidRDefault="005A25BC" w:rsidP="00877541">
            <w:pPr>
              <w:pStyle w:val="BodyCopy"/>
              <w:spacing w:before="120"/>
              <w:rPr>
                <w:sz w:val="20"/>
                <w:szCs w:val="20"/>
              </w:rPr>
            </w:pPr>
            <w:r w:rsidRPr="00C4270B">
              <w:rPr>
                <w:sz w:val="20"/>
                <w:szCs w:val="20"/>
              </w:rPr>
              <w:t>Updated treatment of innovative funding and financing mechanisms</w:t>
            </w:r>
          </w:p>
        </w:tc>
        <w:tc>
          <w:tcPr>
            <w:tcW w:w="2253" w:type="dxa"/>
          </w:tcPr>
          <w:p w14:paraId="6C575C1F" w14:textId="74EB18C5" w:rsidR="005A25BC" w:rsidRPr="00C4270B" w:rsidRDefault="005A25BC" w:rsidP="00877541">
            <w:pPr>
              <w:pStyle w:val="BodyCopy"/>
              <w:spacing w:before="120"/>
              <w:rPr>
                <w:sz w:val="20"/>
                <w:szCs w:val="20"/>
              </w:rPr>
            </w:pPr>
            <w:r w:rsidRPr="00C4270B">
              <w:rPr>
                <w:sz w:val="20"/>
                <w:szCs w:val="20"/>
              </w:rPr>
              <w:t>Section</w:t>
            </w:r>
            <w:r w:rsidR="00A436D9" w:rsidRPr="00C4270B">
              <w:rPr>
                <w:sz w:val="20"/>
                <w:szCs w:val="20"/>
              </w:rPr>
              <w:t xml:space="preserve"> </w:t>
            </w:r>
            <w:r w:rsidR="00A436D9" w:rsidRPr="00C4270B">
              <w:rPr>
                <w:sz w:val="20"/>
                <w:szCs w:val="20"/>
              </w:rPr>
              <w:fldChar w:fldCharType="begin"/>
            </w:r>
            <w:r w:rsidR="00A436D9" w:rsidRPr="00C4270B">
              <w:rPr>
                <w:sz w:val="20"/>
                <w:szCs w:val="20"/>
              </w:rPr>
              <w:instrText xml:space="preserve"> REF _Ref64880985 \r \h </w:instrText>
            </w:r>
            <w:r w:rsidR="00C4270B">
              <w:rPr>
                <w:sz w:val="20"/>
                <w:szCs w:val="20"/>
              </w:rPr>
              <w:instrText xml:space="preserve"> \* MERGEFORMAT </w:instrText>
            </w:r>
            <w:r w:rsidR="00A436D9" w:rsidRPr="00C4270B">
              <w:rPr>
                <w:sz w:val="20"/>
                <w:szCs w:val="20"/>
              </w:rPr>
            </w:r>
            <w:r w:rsidR="00A436D9" w:rsidRPr="00C4270B">
              <w:rPr>
                <w:sz w:val="20"/>
                <w:szCs w:val="20"/>
              </w:rPr>
              <w:fldChar w:fldCharType="separate"/>
            </w:r>
            <w:r w:rsidR="00225EEA">
              <w:rPr>
                <w:sz w:val="20"/>
                <w:szCs w:val="20"/>
              </w:rPr>
              <w:t>4.4</w:t>
            </w:r>
            <w:r w:rsidR="00A436D9" w:rsidRPr="00C4270B">
              <w:rPr>
                <w:sz w:val="20"/>
                <w:szCs w:val="20"/>
              </w:rPr>
              <w:fldChar w:fldCharType="end"/>
            </w:r>
          </w:p>
        </w:tc>
        <w:tc>
          <w:tcPr>
            <w:tcW w:w="1052" w:type="dxa"/>
            <w:vAlign w:val="center"/>
          </w:tcPr>
          <w:p w14:paraId="020BD077" w14:textId="08B1802C"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2026AC82" w14:textId="749B39F8" w:rsidR="005A25BC" w:rsidRDefault="005A25BC" w:rsidP="00877541">
            <w:pPr>
              <w:pStyle w:val="BodyCopy"/>
              <w:spacing w:before="120"/>
              <w:jc w:val="center"/>
            </w:pPr>
            <w:r>
              <w:rPr>
                <w:noProof/>
                <w:lang w:eastAsia="en-AU"/>
              </w:rPr>
              <w:drawing>
                <wp:inline distT="0" distB="0" distL="0" distR="0" wp14:anchorId="74DB8723" wp14:editId="42FE3BF6">
                  <wp:extent cx="274320" cy="274320"/>
                  <wp:effectExtent l="0" t="0" r="3810" b="3810"/>
                  <wp:docPr id="12" name="Graphic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06B4CB86" w14:textId="26310F34" w:rsidR="005A25BC" w:rsidRDefault="005A25BC" w:rsidP="00877541">
            <w:pPr>
              <w:pStyle w:val="BodyCopy"/>
              <w:spacing w:before="120"/>
              <w:jc w:val="center"/>
            </w:pPr>
            <w:r w:rsidRPr="00080D84">
              <w:rPr>
                <w:noProof/>
                <w:lang w:eastAsia="en-AU"/>
              </w:rPr>
              <w:drawing>
                <wp:inline distT="0" distB="0" distL="0" distR="0" wp14:anchorId="4320FC9B" wp14:editId="6387A16B">
                  <wp:extent cx="274320" cy="274320"/>
                  <wp:effectExtent l="0" t="0" r="0" b="0"/>
                  <wp:docPr id="13" name="Graphic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60F0946B" w14:textId="65488147" w:rsidR="005A25BC" w:rsidRDefault="005A25BC" w:rsidP="00877541">
            <w:pPr>
              <w:pStyle w:val="BodyCopy"/>
              <w:spacing w:before="120"/>
              <w:jc w:val="center"/>
            </w:pPr>
            <w:r w:rsidRPr="00080D84">
              <w:rPr>
                <w:noProof/>
                <w:lang w:eastAsia="en-AU"/>
              </w:rPr>
              <w:drawing>
                <wp:inline distT="0" distB="0" distL="0" distR="0" wp14:anchorId="299460DA" wp14:editId="5BE83CED">
                  <wp:extent cx="274320" cy="274320"/>
                  <wp:effectExtent l="0" t="0" r="7620" b="7620"/>
                  <wp:docPr id="14" name="Graphic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4241967E" w14:textId="77777777" w:rsidTr="00FF32ED">
        <w:tc>
          <w:tcPr>
            <w:tcW w:w="2610" w:type="dxa"/>
          </w:tcPr>
          <w:p w14:paraId="63FE69ED" w14:textId="09DB8641" w:rsidR="005A25BC" w:rsidRPr="00C4270B" w:rsidRDefault="005A25BC" w:rsidP="00877541">
            <w:pPr>
              <w:pStyle w:val="BodyCopy"/>
              <w:spacing w:before="120"/>
              <w:rPr>
                <w:sz w:val="20"/>
                <w:szCs w:val="20"/>
              </w:rPr>
            </w:pPr>
            <w:r w:rsidRPr="00C4270B">
              <w:rPr>
                <w:sz w:val="20"/>
                <w:szCs w:val="20"/>
              </w:rPr>
              <w:t>Removal of MaxMan module</w:t>
            </w:r>
          </w:p>
        </w:tc>
        <w:tc>
          <w:tcPr>
            <w:tcW w:w="2253" w:type="dxa"/>
          </w:tcPr>
          <w:p w14:paraId="0283B2A9" w14:textId="0F6BF786" w:rsidR="005A25BC" w:rsidRPr="00C4270B" w:rsidRDefault="005A25BC" w:rsidP="00877541">
            <w:pPr>
              <w:pStyle w:val="BodyCopy"/>
              <w:spacing w:before="120"/>
              <w:rPr>
                <w:sz w:val="20"/>
                <w:szCs w:val="20"/>
              </w:rPr>
            </w:pPr>
            <w:r w:rsidRPr="00C4270B">
              <w:rPr>
                <w:sz w:val="20"/>
                <w:szCs w:val="20"/>
              </w:rPr>
              <w:t>Section</w:t>
            </w:r>
            <w:r w:rsidR="00A436D9" w:rsidRPr="00C4270B">
              <w:rPr>
                <w:sz w:val="20"/>
                <w:szCs w:val="20"/>
              </w:rPr>
              <w:t xml:space="preserve"> </w:t>
            </w:r>
            <w:r w:rsidR="00A436D9" w:rsidRPr="00C4270B">
              <w:rPr>
                <w:sz w:val="20"/>
                <w:szCs w:val="20"/>
              </w:rPr>
              <w:fldChar w:fldCharType="begin"/>
            </w:r>
            <w:r w:rsidR="00A436D9" w:rsidRPr="00C4270B">
              <w:rPr>
                <w:sz w:val="20"/>
                <w:szCs w:val="20"/>
              </w:rPr>
              <w:instrText xml:space="preserve"> REF _Ref64881058 \r \h </w:instrText>
            </w:r>
            <w:r w:rsidR="00C4270B">
              <w:rPr>
                <w:sz w:val="20"/>
                <w:szCs w:val="20"/>
              </w:rPr>
              <w:instrText xml:space="preserve"> \* MERGEFORMAT </w:instrText>
            </w:r>
            <w:r w:rsidR="00A436D9" w:rsidRPr="00C4270B">
              <w:rPr>
                <w:sz w:val="20"/>
                <w:szCs w:val="20"/>
              </w:rPr>
            </w:r>
            <w:r w:rsidR="00A436D9" w:rsidRPr="00C4270B">
              <w:rPr>
                <w:sz w:val="20"/>
                <w:szCs w:val="20"/>
              </w:rPr>
              <w:fldChar w:fldCharType="separate"/>
            </w:r>
            <w:r w:rsidR="00225EEA">
              <w:rPr>
                <w:sz w:val="20"/>
                <w:szCs w:val="20"/>
              </w:rPr>
              <w:t>4.8</w:t>
            </w:r>
            <w:r w:rsidR="00A436D9" w:rsidRPr="00C4270B">
              <w:rPr>
                <w:sz w:val="20"/>
                <w:szCs w:val="20"/>
              </w:rPr>
              <w:fldChar w:fldCharType="end"/>
            </w:r>
          </w:p>
        </w:tc>
        <w:tc>
          <w:tcPr>
            <w:tcW w:w="1052" w:type="dxa"/>
            <w:vAlign w:val="center"/>
          </w:tcPr>
          <w:p w14:paraId="0042F512" w14:textId="3C926AF6"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32329346" w14:textId="1A4911F7" w:rsidR="005A25BC" w:rsidRDefault="005A25BC" w:rsidP="00877541">
            <w:pPr>
              <w:pStyle w:val="BodyCopy"/>
              <w:spacing w:before="120"/>
              <w:jc w:val="center"/>
            </w:pPr>
            <w:r>
              <w:rPr>
                <w:noProof/>
                <w:lang w:eastAsia="en-AU"/>
              </w:rPr>
              <w:drawing>
                <wp:inline distT="0" distB="0" distL="0" distR="0" wp14:anchorId="7462491A" wp14:editId="799B5810">
                  <wp:extent cx="274320" cy="274320"/>
                  <wp:effectExtent l="0" t="0" r="0" b="0"/>
                  <wp:docPr id="15" name="Graphic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5948A6AA" w14:textId="02A813AD" w:rsidR="005A25BC" w:rsidRDefault="005A25BC" w:rsidP="00877541">
            <w:pPr>
              <w:pStyle w:val="BodyCopy"/>
              <w:spacing w:before="120"/>
              <w:jc w:val="center"/>
            </w:pPr>
            <w:r>
              <w:rPr>
                <w:noProof/>
                <w:lang w:eastAsia="en-AU"/>
              </w:rPr>
              <w:drawing>
                <wp:inline distT="0" distB="0" distL="0" distR="0" wp14:anchorId="05078E25" wp14:editId="0DE4E110">
                  <wp:extent cx="274320" cy="274320"/>
                  <wp:effectExtent l="0" t="0" r="0" b="0"/>
                  <wp:docPr id="16" name="Graphic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532EB77A" w14:textId="45DD9032" w:rsidR="005A25BC" w:rsidRDefault="005A25BC" w:rsidP="00877541">
            <w:pPr>
              <w:pStyle w:val="BodyCopy"/>
              <w:spacing w:before="120"/>
              <w:jc w:val="center"/>
            </w:pPr>
            <w:r>
              <w:rPr>
                <w:noProof/>
                <w:lang w:eastAsia="en-AU"/>
              </w:rPr>
              <w:drawing>
                <wp:inline distT="0" distB="0" distL="0" distR="0" wp14:anchorId="5FF19D5D" wp14:editId="532ED266">
                  <wp:extent cx="274320" cy="274320"/>
                  <wp:effectExtent l="0" t="0" r="0" b="0"/>
                  <wp:docPr id="1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72D54D49" w14:textId="77777777" w:rsidTr="00FF32ED">
        <w:tc>
          <w:tcPr>
            <w:tcW w:w="2610" w:type="dxa"/>
          </w:tcPr>
          <w:p w14:paraId="69372B13" w14:textId="48963500" w:rsidR="005A25BC" w:rsidRPr="00C4270B" w:rsidRDefault="005A25BC" w:rsidP="00877541">
            <w:pPr>
              <w:pStyle w:val="BodyCopy"/>
              <w:spacing w:before="120"/>
              <w:rPr>
                <w:sz w:val="20"/>
                <w:szCs w:val="20"/>
              </w:rPr>
            </w:pPr>
            <w:r w:rsidRPr="00C4270B">
              <w:rPr>
                <w:sz w:val="20"/>
                <w:szCs w:val="20"/>
              </w:rPr>
              <w:t>Adjustment for RUC leakages</w:t>
            </w:r>
          </w:p>
        </w:tc>
        <w:tc>
          <w:tcPr>
            <w:tcW w:w="2253" w:type="dxa"/>
          </w:tcPr>
          <w:p w14:paraId="7BD40F4B" w14:textId="6D07EFFF" w:rsidR="005A25BC" w:rsidRPr="00C4270B" w:rsidRDefault="005A25BC" w:rsidP="00877541">
            <w:pPr>
              <w:pStyle w:val="BodyCopy"/>
              <w:spacing w:before="120"/>
              <w:rPr>
                <w:sz w:val="20"/>
                <w:szCs w:val="20"/>
              </w:rPr>
            </w:pPr>
            <w:r w:rsidRPr="00C4270B">
              <w:rPr>
                <w:sz w:val="20"/>
                <w:szCs w:val="20"/>
              </w:rPr>
              <w:t>Section</w:t>
            </w:r>
            <w:r w:rsidR="00A436D9" w:rsidRPr="00C4270B">
              <w:rPr>
                <w:sz w:val="20"/>
                <w:szCs w:val="20"/>
              </w:rPr>
              <w:t xml:space="preserve"> </w:t>
            </w:r>
            <w:r w:rsidR="00A436D9" w:rsidRPr="00C4270B">
              <w:rPr>
                <w:sz w:val="20"/>
                <w:szCs w:val="20"/>
              </w:rPr>
              <w:fldChar w:fldCharType="begin"/>
            </w:r>
            <w:r w:rsidR="00A436D9" w:rsidRPr="00C4270B">
              <w:rPr>
                <w:sz w:val="20"/>
                <w:szCs w:val="20"/>
              </w:rPr>
              <w:instrText xml:space="preserve"> REF _Ref64881068 \r \h </w:instrText>
            </w:r>
            <w:r w:rsidR="00C4270B">
              <w:rPr>
                <w:sz w:val="20"/>
                <w:szCs w:val="20"/>
              </w:rPr>
              <w:instrText xml:space="preserve"> \* MERGEFORMAT </w:instrText>
            </w:r>
            <w:r w:rsidR="00A436D9" w:rsidRPr="00C4270B">
              <w:rPr>
                <w:sz w:val="20"/>
                <w:szCs w:val="20"/>
              </w:rPr>
            </w:r>
            <w:r w:rsidR="00A436D9" w:rsidRPr="00C4270B">
              <w:rPr>
                <w:sz w:val="20"/>
                <w:szCs w:val="20"/>
              </w:rPr>
              <w:fldChar w:fldCharType="separate"/>
            </w:r>
            <w:r w:rsidR="00225EEA">
              <w:rPr>
                <w:sz w:val="20"/>
                <w:szCs w:val="20"/>
              </w:rPr>
              <w:t>4.9</w:t>
            </w:r>
            <w:r w:rsidR="00A436D9" w:rsidRPr="00C4270B">
              <w:rPr>
                <w:sz w:val="20"/>
                <w:szCs w:val="20"/>
              </w:rPr>
              <w:fldChar w:fldCharType="end"/>
            </w:r>
          </w:p>
        </w:tc>
        <w:tc>
          <w:tcPr>
            <w:tcW w:w="1052" w:type="dxa"/>
            <w:vAlign w:val="center"/>
          </w:tcPr>
          <w:p w14:paraId="28B56530" w14:textId="7878E66C"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047C66CD" w14:textId="23C070D5" w:rsidR="005A25BC" w:rsidRDefault="005A25BC" w:rsidP="00877541">
            <w:pPr>
              <w:pStyle w:val="BodyCopy"/>
              <w:spacing w:before="120"/>
              <w:jc w:val="center"/>
            </w:pPr>
            <w:r>
              <w:rPr>
                <w:noProof/>
                <w:lang w:eastAsia="en-AU"/>
              </w:rPr>
              <w:drawing>
                <wp:inline distT="0" distB="0" distL="0" distR="0" wp14:anchorId="51EB3EA0" wp14:editId="48CE60B5">
                  <wp:extent cx="274320" cy="274320"/>
                  <wp:effectExtent l="0" t="0" r="0" b="0"/>
                  <wp:docPr id="27" name="Graphic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3380735B" w14:textId="3060DEC4" w:rsidR="005A25BC" w:rsidRDefault="005A25BC" w:rsidP="00877541">
            <w:pPr>
              <w:pStyle w:val="BodyCopy"/>
              <w:spacing w:before="120"/>
              <w:jc w:val="center"/>
            </w:pPr>
            <w:r>
              <w:rPr>
                <w:noProof/>
                <w:lang w:eastAsia="en-AU"/>
              </w:rPr>
              <w:drawing>
                <wp:inline distT="0" distB="0" distL="0" distR="0" wp14:anchorId="0F4EC4F8" wp14:editId="5BE727AC">
                  <wp:extent cx="274320" cy="274320"/>
                  <wp:effectExtent l="0" t="0" r="0" b="0"/>
                  <wp:docPr id="28" name="Graphic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61D63C54" w14:textId="4DE9D98F" w:rsidR="005A25BC" w:rsidRDefault="005A25BC" w:rsidP="00877541">
            <w:pPr>
              <w:pStyle w:val="BodyCopy"/>
              <w:spacing w:before="120"/>
              <w:jc w:val="center"/>
            </w:pPr>
            <w:r>
              <w:rPr>
                <w:noProof/>
                <w:lang w:eastAsia="en-AU"/>
              </w:rPr>
              <w:drawing>
                <wp:inline distT="0" distB="0" distL="0" distR="0" wp14:anchorId="1F4C2841" wp14:editId="47B10F45">
                  <wp:extent cx="274320" cy="274320"/>
                  <wp:effectExtent l="0" t="0" r="0" b="0"/>
                  <wp:docPr id="29" name="Graphic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3E7F23FF" w14:textId="77777777" w:rsidTr="00FF32ED">
        <w:tc>
          <w:tcPr>
            <w:tcW w:w="2610" w:type="dxa"/>
          </w:tcPr>
          <w:p w14:paraId="7C02E380" w14:textId="6B046593" w:rsidR="005A25BC" w:rsidRPr="00C4270B" w:rsidRDefault="005A25BC" w:rsidP="00877541">
            <w:pPr>
              <w:pStyle w:val="BodyCopy"/>
              <w:spacing w:before="120"/>
              <w:rPr>
                <w:sz w:val="20"/>
                <w:szCs w:val="20"/>
              </w:rPr>
            </w:pPr>
            <w:r w:rsidRPr="00C4270B">
              <w:rPr>
                <w:sz w:val="20"/>
                <w:szCs w:val="20"/>
              </w:rPr>
              <w:t xml:space="preserve">Updated ESA values </w:t>
            </w:r>
          </w:p>
        </w:tc>
        <w:tc>
          <w:tcPr>
            <w:tcW w:w="2253" w:type="dxa"/>
          </w:tcPr>
          <w:p w14:paraId="411446EC" w14:textId="5A68BDAB" w:rsidR="005A25BC" w:rsidRPr="00C4270B" w:rsidRDefault="005A25BC" w:rsidP="00877541">
            <w:pPr>
              <w:pStyle w:val="BodyCopy"/>
              <w:spacing w:before="120"/>
              <w:rPr>
                <w:sz w:val="20"/>
                <w:szCs w:val="20"/>
              </w:rPr>
            </w:pPr>
            <w:r w:rsidRPr="00C4270B">
              <w:rPr>
                <w:sz w:val="20"/>
                <w:szCs w:val="20"/>
              </w:rPr>
              <w:t>Section</w:t>
            </w:r>
            <w:r w:rsidR="003E3621">
              <w:rPr>
                <w:sz w:val="20"/>
                <w:szCs w:val="20"/>
              </w:rPr>
              <w:t xml:space="preserve"> </w:t>
            </w:r>
            <w:r w:rsidR="003E3621">
              <w:rPr>
                <w:sz w:val="20"/>
                <w:szCs w:val="20"/>
              </w:rPr>
              <w:fldChar w:fldCharType="begin"/>
            </w:r>
            <w:r w:rsidR="003E3621">
              <w:rPr>
                <w:sz w:val="20"/>
                <w:szCs w:val="20"/>
              </w:rPr>
              <w:instrText xml:space="preserve"> REF _Ref81902690 \r \h </w:instrText>
            </w:r>
            <w:r w:rsidR="003E3621">
              <w:rPr>
                <w:sz w:val="20"/>
                <w:szCs w:val="20"/>
              </w:rPr>
            </w:r>
            <w:r w:rsidR="003E3621">
              <w:rPr>
                <w:sz w:val="20"/>
                <w:szCs w:val="20"/>
              </w:rPr>
              <w:fldChar w:fldCharType="separate"/>
            </w:r>
            <w:r w:rsidR="00225EEA">
              <w:rPr>
                <w:sz w:val="20"/>
                <w:szCs w:val="20"/>
              </w:rPr>
              <w:t>4.6</w:t>
            </w:r>
            <w:r w:rsidR="003E3621">
              <w:rPr>
                <w:sz w:val="20"/>
                <w:szCs w:val="20"/>
              </w:rPr>
              <w:fldChar w:fldCharType="end"/>
            </w:r>
          </w:p>
        </w:tc>
        <w:tc>
          <w:tcPr>
            <w:tcW w:w="1052" w:type="dxa"/>
            <w:vAlign w:val="center"/>
          </w:tcPr>
          <w:p w14:paraId="23EB506A" w14:textId="23A0475F"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15DE9A9E" w14:textId="51F7A114" w:rsidR="005A25BC" w:rsidRDefault="005A25BC" w:rsidP="00877541">
            <w:pPr>
              <w:pStyle w:val="BodyCopy"/>
              <w:spacing w:before="120"/>
              <w:jc w:val="center"/>
            </w:pPr>
            <w:r>
              <w:rPr>
                <w:noProof/>
                <w:lang w:eastAsia="en-AU"/>
              </w:rPr>
              <w:drawing>
                <wp:inline distT="0" distB="0" distL="0" distR="0" wp14:anchorId="0A3E2246" wp14:editId="0CB59852">
                  <wp:extent cx="274320" cy="274320"/>
                  <wp:effectExtent l="0" t="0" r="0" b="0"/>
                  <wp:docPr id="18" name="Graphic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17DE4F48" w14:textId="209ACF17" w:rsidR="005A25BC" w:rsidRDefault="005A25BC" w:rsidP="00877541">
            <w:pPr>
              <w:pStyle w:val="BodyCopy"/>
              <w:spacing w:before="120"/>
              <w:jc w:val="center"/>
            </w:pPr>
            <w:r>
              <w:rPr>
                <w:noProof/>
                <w:lang w:eastAsia="en-AU"/>
              </w:rPr>
              <w:drawing>
                <wp:inline distT="0" distB="0" distL="0" distR="0" wp14:anchorId="6E0756FE" wp14:editId="2AA14839">
                  <wp:extent cx="274320" cy="274320"/>
                  <wp:effectExtent l="0" t="0" r="0" b="0"/>
                  <wp:docPr id="19" name="Graphic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46943341" w14:textId="464A762F" w:rsidR="005A25BC" w:rsidRDefault="005A25BC" w:rsidP="00877541">
            <w:pPr>
              <w:pStyle w:val="BodyCopy"/>
              <w:spacing w:before="120"/>
              <w:jc w:val="center"/>
            </w:pPr>
            <w:r>
              <w:rPr>
                <w:noProof/>
                <w:lang w:eastAsia="en-AU"/>
              </w:rPr>
              <w:drawing>
                <wp:inline distT="0" distB="0" distL="0" distR="0" wp14:anchorId="31A4CED4" wp14:editId="1A9F681F">
                  <wp:extent cx="274320" cy="274320"/>
                  <wp:effectExtent l="0" t="0" r="0" b="0"/>
                  <wp:docPr id="20" name="Graphic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27CFAD79" w14:textId="77777777" w:rsidTr="00FF32ED">
        <w:tc>
          <w:tcPr>
            <w:tcW w:w="2610" w:type="dxa"/>
          </w:tcPr>
          <w:p w14:paraId="2E94D03E" w14:textId="62770FD4" w:rsidR="005A25BC" w:rsidRPr="00C4270B" w:rsidRDefault="005A25BC" w:rsidP="00877541">
            <w:pPr>
              <w:pStyle w:val="BodyCopy"/>
              <w:spacing w:before="120"/>
              <w:rPr>
                <w:sz w:val="20"/>
                <w:szCs w:val="20"/>
              </w:rPr>
            </w:pPr>
            <w:r w:rsidRPr="00C4270B">
              <w:rPr>
                <w:sz w:val="20"/>
                <w:szCs w:val="20"/>
              </w:rPr>
              <w:t xml:space="preserve">Continued unsealed road travel discount </w:t>
            </w:r>
          </w:p>
        </w:tc>
        <w:tc>
          <w:tcPr>
            <w:tcW w:w="2253" w:type="dxa"/>
          </w:tcPr>
          <w:p w14:paraId="29F196C6" w14:textId="013A654B" w:rsidR="005A25BC" w:rsidRPr="00C4270B" w:rsidRDefault="005A25BC" w:rsidP="00877541">
            <w:pPr>
              <w:pStyle w:val="BodyCopy"/>
              <w:spacing w:before="120"/>
              <w:rPr>
                <w:sz w:val="20"/>
                <w:szCs w:val="20"/>
              </w:rPr>
            </w:pPr>
            <w:r w:rsidRPr="00C4270B">
              <w:rPr>
                <w:sz w:val="20"/>
                <w:szCs w:val="20"/>
              </w:rPr>
              <w:t xml:space="preserve">Section </w:t>
            </w:r>
            <w:r w:rsidRPr="00C4270B">
              <w:rPr>
                <w:sz w:val="20"/>
                <w:szCs w:val="20"/>
              </w:rPr>
              <w:fldChar w:fldCharType="begin"/>
            </w:r>
            <w:r w:rsidRPr="00C4270B">
              <w:rPr>
                <w:sz w:val="20"/>
                <w:szCs w:val="20"/>
              </w:rPr>
              <w:instrText xml:space="preserve"> REF _Ref58416272 \r \h  \* MERGEFORMAT </w:instrText>
            </w:r>
            <w:r w:rsidRPr="00C4270B">
              <w:rPr>
                <w:sz w:val="20"/>
                <w:szCs w:val="20"/>
              </w:rPr>
            </w:r>
            <w:r w:rsidRPr="00C4270B">
              <w:rPr>
                <w:sz w:val="20"/>
                <w:szCs w:val="20"/>
              </w:rPr>
              <w:fldChar w:fldCharType="separate"/>
            </w:r>
            <w:r w:rsidR="00225EEA">
              <w:rPr>
                <w:sz w:val="20"/>
                <w:szCs w:val="20"/>
              </w:rPr>
              <w:t>4.10</w:t>
            </w:r>
            <w:r w:rsidRPr="00C4270B">
              <w:rPr>
                <w:sz w:val="20"/>
                <w:szCs w:val="20"/>
              </w:rPr>
              <w:fldChar w:fldCharType="end"/>
            </w:r>
          </w:p>
        </w:tc>
        <w:tc>
          <w:tcPr>
            <w:tcW w:w="1052" w:type="dxa"/>
            <w:vAlign w:val="center"/>
          </w:tcPr>
          <w:p w14:paraId="506AA762" w14:textId="6D2564FD"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1E05B5DD" w14:textId="1578A550" w:rsidR="005A25BC" w:rsidRDefault="005A25BC" w:rsidP="00877541">
            <w:pPr>
              <w:pStyle w:val="BodyCopy"/>
              <w:spacing w:before="120"/>
              <w:jc w:val="center"/>
            </w:pPr>
            <w:r>
              <w:rPr>
                <w:noProof/>
                <w:lang w:eastAsia="en-AU"/>
              </w:rPr>
              <w:drawing>
                <wp:inline distT="0" distB="0" distL="0" distR="0" wp14:anchorId="65E0A493" wp14:editId="761699CE">
                  <wp:extent cx="274320" cy="274320"/>
                  <wp:effectExtent l="0" t="0" r="0" b="0"/>
                  <wp:docPr id="30" name="Graphic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5C1EA2DE" w14:textId="63EF5741" w:rsidR="005A25BC" w:rsidRDefault="005A25BC" w:rsidP="00877541">
            <w:pPr>
              <w:pStyle w:val="BodyCopy"/>
              <w:spacing w:before="120"/>
              <w:jc w:val="center"/>
            </w:pPr>
            <w:r>
              <w:rPr>
                <w:noProof/>
                <w:lang w:eastAsia="en-AU"/>
              </w:rPr>
              <w:drawing>
                <wp:inline distT="0" distB="0" distL="0" distR="0" wp14:anchorId="6FF33346" wp14:editId="6002FC63">
                  <wp:extent cx="274320" cy="274320"/>
                  <wp:effectExtent l="0" t="0" r="0" b="0"/>
                  <wp:docPr id="31" name="Graphic 3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1E5B18B6" w14:textId="0220C35D" w:rsidR="005A25BC" w:rsidRDefault="005A25BC" w:rsidP="00877541">
            <w:pPr>
              <w:pStyle w:val="BodyCopy"/>
              <w:spacing w:before="120"/>
              <w:jc w:val="center"/>
            </w:pPr>
            <w:r>
              <w:rPr>
                <w:noProof/>
                <w:lang w:eastAsia="en-AU"/>
              </w:rPr>
              <w:drawing>
                <wp:inline distT="0" distB="0" distL="0" distR="0" wp14:anchorId="3DF36CA0" wp14:editId="3E9B058D">
                  <wp:extent cx="274320" cy="274320"/>
                  <wp:effectExtent l="0" t="0" r="0" b="0"/>
                  <wp:docPr id="32" name="Graphic 3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7E669EDE" w14:textId="77777777" w:rsidTr="00FF32ED">
        <w:tc>
          <w:tcPr>
            <w:tcW w:w="2610" w:type="dxa"/>
          </w:tcPr>
          <w:p w14:paraId="653ECD00" w14:textId="5825731F" w:rsidR="005A25BC" w:rsidRPr="00C4270B" w:rsidRDefault="00C32EDB" w:rsidP="00877541">
            <w:pPr>
              <w:pStyle w:val="BodyCopy"/>
              <w:spacing w:before="120"/>
              <w:rPr>
                <w:sz w:val="20"/>
                <w:szCs w:val="20"/>
              </w:rPr>
            </w:pPr>
            <w:r>
              <w:rPr>
                <w:sz w:val="20"/>
                <w:szCs w:val="20"/>
              </w:rPr>
              <w:t>CSO</w:t>
            </w:r>
            <w:r w:rsidR="005A25BC" w:rsidRPr="00C4270B">
              <w:rPr>
                <w:sz w:val="20"/>
                <w:szCs w:val="20"/>
              </w:rPr>
              <w:t xml:space="preserve"> discount removed</w:t>
            </w:r>
          </w:p>
        </w:tc>
        <w:tc>
          <w:tcPr>
            <w:tcW w:w="2253" w:type="dxa"/>
          </w:tcPr>
          <w:p w14:paraId="16D6D484" w14:textId="6E2D1028" w:rsidR="005A25BC" w:rsidRPr="00C4270B" w:rsidRDefault="005A25BC" w:rsidP="00877541">
            <w:pPr>
              <w:pStyle w:val="BodyCopy"/>
              <w:spacing w:before="120"/>
              <w:rPr>
                <w:sz w:val="20"/>
                <w:szCs w:val="20"/>
              </w:rPr>
            </w:pPr>
            <w:r w:rsidRPr="00C4270B">
              <w:rPr>
                <w:sz w:val="20"/>
                <w:szCs w:val="20"/>
              </w:rPr>
              <w:t xml:space="preserve">Section </w:t>
            </w:r>
            <w:r w:rsidRPr="00C4270B">
              <w:rPr>
                <w:sz w:val="20"/>
                <w:szCs w:val="20"/>
              </w:rPr>
              <w:fldChar w:fldCharType="begin"/>
            </w:r>
            <w:r w:rsidRPr="00C4270B">
              <w:rPr>
                <w:sz w:val="20"/>
                <w:szCs w:val="20"/>
              </w:rPr>
              <w:instrText xml:space="preserve"> REF _Ref58416291 \r \h  \* MERGEFORMAT </w:instrText>
            </w:r>
            <w:r w:rsidRPr="00C4270B">
              <w:rPr>
                <w:sz w:val="20"/>
                <w:szCs w:val="20"/>
              </w:rPr>
            </w:r>
            <w:r w:rsidRPr="00C4270B">
              <w:rPr>
                <w:sz w:val="20"/>
                <w:szCs w:val="20"/>
              </w:rPr>
              <w:fldChar w:fldCharType="separate"/>
            </w:r>
            <w:r w:rsidR="00225EEA">
              <w:rPr>
                <w:sz w:val="20"/>
                <w:szCs w:val="20"/>
              </w:rPr>
              <w:t>4.11</w:t>
            </w:r>
            <w:r w:rsidRPr="00C4270B">
              <w:rPr>
                <w:sz w:val="20"/>
                <w:szCs w:val="20"/>
              </w:rPr>
              <w:fldChar w:fldCharType="end"/>
            </w:r>
          </w:p>
        </w:tc>
        <w:tc>
          <w:tcPr>
            <w:tcW w:w="1052" w:type="dxa"/>
            <w:vAlign w:val="center"/>
          </w:tcPr>
          <w:p w14:paraId="043A87B3" w14:textId="56908BEB"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354B753B" w14:textId="26A432B8" w:rsidR="005A25BC" w:rsidRDefault="005A25BC" w:rsidP="00877541">
            <w:pPr>
              <w:pStyle w:val="BodyCopy"/>
              <w:spacing w:before="120"/>
              <w:jc w:val="center"/>
            </w:pPr>
            <w:r>
              <w:rPr>
                <w:noProof/>
                <w:lang w:eastAsia="en-AU"/>
              </w:rPr>
              <w:drawing>
                <wp:inline distT="0" distB="0" distL="0" distR="0" wp14:anchorId="65D79C77" wp14:editId="1B9A7ED0">
                  <wp:extent cx="274320" cy="274320"/>
                  <wp:effectExtent l="0" t="0" r="0" b="0"/>
                  <wp:docPr id="33" name="Graphic 3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2ADD386B" w14:textId="2A23B014" w:rsidR="005A25BC" w:rsidRDefault="005A25BC" w:rsidP="00877541">
            <w:pPr>
              <w:pStyle w:val="BodyCopy"/>
              <w:spacing w:before="120"/>
              <w:jc w:val="center"/>
            </w:pPr>
            <w:r>
              <w:rPr>
                <w:noProof/>
                <w:lang w:eastAsia="en-AU"/>
              </w:rPr>
              <w:drawing>
                <wp:inline distT="0" distB="0" distL="0" distR="0" wp14:anchorId="3626B8B2" wp14:editId="06885ECE">
                  <wp:extent cx="274320" cy="274320"/>
                  <wp:effectExtent l="0" t="0" r="0" b="0"/>
                  <wp:docPr id="34" name="Graphic 3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03CA2E80" w14:textId="4AB84EBB" w:rsidR="005A25BC" w:rsidRDefault="005A25BC" w:rsidP="00877541">
            <w:pPr>
              <w:pStyle w:val="BodyCopy"/>
              <w:spacing w:before="120"/>
              <w:jc w:val="center"/>
            </w:pPr>
            <w:r>
              <w:rPr>
                <w:noProof/>
                <w:lang w:eastAsia="en-AU"/>
              </w:rPr>
              <w:drawing>
                <wp:inline distT="0" distB="0" distL="0" distR="0" wp14:anchorId="1BB14609" wp14:editId="7AD88289">
                  <wp:extent cx="274320" cy="274320"/>
                  <wp:effectExtent l="0" t="0" r="0" b="0"/>
                  <wp:docPr id="35" name="Graphic 3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0B36EB40" w14:textId="77777777" w:rsidTr="00FF32ED">
        <w:tc>
          <w:tcPr>
            <w:tcW w:w="2610" w:type="dxa"/>
          </w:tcPr>
          <w:p w14:paraId="41E99798" w14:textId="27CED54B" w:rsidR="005A25BC" w:rsidRPr="00C4270B" w:rsidRDefault="005A25BC" w:rsidP="00877541">
            <w:pPr>
              <w:pStyle w:val="BodyCopy"/>
              <w:spacing w:before="120"/>
              <w:rPr>
                <w:sz w:val="20"/>
                <w:szCs w:val="20"/>
              </w:rPr>
            </w:pPr>
            <w:r w:rsidRPr="00C4270B">
              <w:rPr>
                <w:sz w:val="20"/>
                <w:szCs w:val="20"/>
              </w:rPr>
              <w:t>Future adjustments to take account of electric heavy vehicles</w:t>
            </w:r>
          </w:p>
        </w:tc>
        <w:tc>
          <w:tcPr>
            <w:tcW w:w="2253" w:type="dxa"/>
          </w:tcPr>
          <w:p w14:paraId="41100C73" w14:textId="7423AB99" w:rsidR="005A25BC" w:rsidRPr="00C4270B" w:rsidRDefault="005A25BC" w:rsidP="00877541">
            <w:pPr>
              <w:pStyle w:val="BodyCopy"/>
              <w:spacing w:before="120"/>
              <w:rPr>
                <w:sz w:val="20"/>
                <w:szCs w:val="20"/>
              </w:rPr>
            </w:pPr>
            <w:r w:rsidRPr="00C4270B">
              <w:rPr>
                <w:sz w:val="20"/>
                <w:szCs w:val="20"/>
              </w:rPr>
              <w:t xml:space="preserve">Section </w:t>
            </w:r>
            <w:r w:rsidRPr="00C4270B">
              <w:rPr>
                <w:sz w:val="20"/>
                <w:szCs w:val="20"/>
              </w:rPr>
              <w:fldChar w:fldCharType="begin"/>
            </w:r>
            <w:r w:rsidRPr="00C4270B">
              <w:rPr>
                <w:sz w:val="20"/>
                <w:szCs w:val="20"/>
              </w:rPr>
              <w:instrText xml:space="preserve"> REF _Ref58416306 \r \h  \* MERGEFORMAT </w:instrText>
            </w:r>
            <w:r w:rsidRPr="00C4270B">
              <w:rPr>
                <w:sz w:val="20"/>
                <w:szCs w:val="20"/>
              </w:rPr>
            </w:r>
            <w:r w:rsidRPr="00C4270B">
              <w:rPr>
                <w:sz w:val="20"/>
                <w:szCs w:val="20"/>
              </w:rPr>
              <w:fldChar w:fldCharType="separate"/>
            </w:r>
            <w:r w:rsidR="00225EEA">
              <w:rPr>
                <w:sz w:val="20"/>
                <w:szCs w:val="20"/>
              </w:rPr>
              <w:t>4.13</w:t>
            </w:r>
            <w:r w:rsidRPr="00C4270B">
              <w:rPr>
                <w:sz w:val="20"/>
                <w:szCs w:val="20"/>
              </w:rPr>
              <w:fldChar w:fldCharType="end"/>
            </w:r>
          </w:p>
        </w:tc>
        <w:tc>
          <w:tcPr>
            <w:tcW w:w="1052" w:type="dxa"/>
            <w:vAlign w:val="center"/>
          </w:tcPr>
          <w:p w14:paraId="19A25525" w14:textId="33AD8273"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39698041" w14:textId="5474A31C" w:rsidR="005A25BC" w:rsidRDefault="005A25BC" w:rsidP="00877541">
            <w:pPr>
              <w:pStyle w:val="BodyCopy"/>
              <w:spacing w:before="120"/>
              <w:jc w:val="center"/>
            </w:pPr>
            <w:r>
              <w:rPr>
                <w:noProof/>
                <w:lang w:eastAsia="en-AU"/>
              </w:rPr>
              <w:drawing>
                <wp:inline distT="0" distB="0" distL="0" distR="0" wp14:anchorId="168CD3FF" wp14:editId="33ADA246">
                  <wp:extent cx="274320" cy="274320"/>
                  <wp:effectExtent l="0" t="0" r="0" b="0"/>
                  <wp:docPr id="36" name="Graphic 3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1F6A15E2" w14:textId="7A96A4FF" w:rsidR="005A25BC" w:rsidRDefault="005A25BC" w:rsidP="00877541">
            <w:pPr>
              <w:pStyle w:val="BodyCopy"/>
              <w:spacing w:before="120"/>
              <w:jc w:val="center"/>
            </w:pPr>
            <w:r>
              <w:rPr>
                <w:noProof/>
                <w:lang w:eastAsia="en-AU"/>
              </w:rPr>
              <w:drawing>
                <wp:inline distT="0" distB="0" distL="0" distR="0" wp14:anchorId="0044B424" wp14:editId="66BF72F6">
                  <wp:extent cx="274320" cy="274320"/>
                  <wp:effectExtent l="0" t="0" r="0" b="0"/>
                  <wp:docPr id="37" name="Graphic 3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43D63187" w14:textId="4DAAA942" w:rsidR="005A25BC" w:rsidRDefault="005A25BC" w:rsidP="00877541">
            <w:pPr>
              <w:pStyle w:val="BodyCopy"/>
              <w:spacing w:before="120"/>
              <w:jc w:val="center"/>
            </w:pPr>
            <w:r>
              <w:rPr>
                <w:noProof/>
                <w:lang w:eastAsia="en-AU"/>
              </w:rPr>
              <w:drawing>
                <wp:inline distT="0" distB="0" distL="0" distR="0" wp14:anchorId="272C1A33" wp14:editId="61F5EC78">
                  <wp:extent cx="274320" cy="274320"/>
                  <wp:effectExtent l="0" t="0" r="0" b="0"/>
                  <wp:docPr id="38" name="Graphic 3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75CDF785" w14:textId="77777777" w:rsidTr="00FF32ED">
        <w:tc>
          <w:tcPr>
            <w:tcW w:w="2610" w:type="dxa"/>
          </w:tcPr>
          <w:p w14:paraId="3B1FB79F" w14:textId="359C1522" w:rsidR="005A25BC" w:rsidRPr="00C4270B" w:rsidRDefault="005A25BC" w:rsidP="00877541">
            <w:pPr>
              <w:pStyle w:val="BodyCopy"/>
              <w:spacing w:before="120"/>
              <w:rPr>
                <w:sz w:val="20"/>
                <w:szCs w:val="20"/>
              </w:rPr>
            </w:pPr>
            <w:r w:rsidRPr="00C4270B">
              <w:rPr>
                <w:sz w:val="20"/>
                <w:szCs w:val="20"/>
              </w:rPr>
              <w:t>Updated regulatory component of heavy vehicle registration charges to recover heavy vehicle regulatory costs</w:t>
            </w:r>
          </w:p>
        </w:tc>
        <w:tc>
          <w:tcPr>
            <w:tcW w:w="2253" w:type="dxa"/>
          </w:tcPr>
          <w:p w14:paraId="4AD41319" w14:textId="63679237" w:rsidR="005A25BC" w:rsidRPr="00C4270B" w:rsidRDefault="005A25BC" w:rsidP="00877541">
            <w:pPr>
              <w:pStyle w:val="BodyCopy"/>
              <w:spacing w:before="120"/>
              <w:rPr>
                <w:sz w:val="20"/>
                <w:szCs w:val="20"/>
              </w:rPr>
            </w:pPr>
            <w:r w:rsidRPr="00C4270B">
              <w:rPr>
                <w:sz w:val="20"/>
                <w:szCs w:val="20"/>
              </w:rPr>
              <w:t xml:space="preserve">Section </w:t>
            </w:r>
            <w:r w:rsidRPr="00C4270B">
              <w:rPr>
                <w:sz w:val="20"/>
                <w:szCs w:val="20"/>
              </w:rPr>
              <w:fldChar w:fldCharType="begin"/>
            </w:r>
            <w:r w:rsidRPr="00C4270B">
              <w:rPr>
                <w:sz w:val="20"/>
                <w:szCs w:val="20"/>
              </w:rPr>
              <w:instrText xml:space="preserve"> REF _Ref58416330 \r \h  \* MERGEFORMAT </w:instrText>
            </w:r>
            <w:r w:rsidRPr="00C4270B">
              <w:rPr>
                <w:sz w:val="20"/>
                <w:szCs w:val="20"/>
              </w:rPr>
            </w:r>
            <w:r w:rsidRPr="00C4270B">
              <w:rPr>
                <w:sz w:val="20"/>
                <w:szCs w:val="20"/>
              </w:rPr>
              <w:fldChar w:fldCharType="separate"/>
            </w:r>
            <w:r w:rsidR="00225EEA">
              <w:rPr>
                <w:sz w:val="20"/>
                <w:szCs w:val="20"/>
              </w:rPr>
              <w:t>4.14</w:t>
            </w:r>
            <w:r w:rsidRPr="00C4270B">
              <w:rPr>
                <w:sz w:val="20"/>
                <w:szCs w:val="20"/>
              </w:rPr>
              <w:fldChar w:fldCharType="end"/>
            </w:r>
          </w:p>
        </w:tc>
        <w:tc>
          <w:tcPr>
            <w:tcW w:w="1052" w:type="dxa"/>
            <w:vAlign w:val="center"/>
          </w:tcPr>
          <w:p w14:paraId="0E817AC6" w14:textId="2C27413A" w:rsidR="005A25BC" w:rsidRDefault="005A25BC" w:rsidP="00877541">
            <w:pPr>
              <w:pStyle w:val="BodyCopy"/>
              <w:spacing w:before="120"/>
              <w:jc w:val="center"/>
              <w:rPr>
                <w:noProof/>
              </w:rPr>
            </w:pPr>
            <w:r w:rsidRPr="005A25BC">
              <w:rPr>
                <w:rFonts w:cs="Arial"/>
                <w:noProof/>
                <w:sz w:val="48"/>
                <w:szCs w:val="52"/>
              </w:rPr>
              <w:t>X</w:t>
            </w:r>
          </w:p>
        </w:tc>
        <w:tc>
          <w:tcPr>
            <w:tcW w:w="1052" w:type="dxa"/>
            <w:vAlign w:val="center"/>
          </w:tcPr>
          <w:p w14:paraId="44ED72BC" w14:textId="03A93C78" w:rsidR="005A25BC" w:rsidRDefault="005A25BC" w:rsidP="00877541">
            <w:pPr>
              <w:pStyle w:val="BodyCopy"/>
              <w:spacing w:before="120"/>
              <w:jc w:val="center"/>
            </w:pPr>
            <w:r>
              <w:rPr>
                <w:noProof/>
                <w:lang w:eastAsia="en-AU"/>
              </w:rPr>
              <w:drawing>
                <wp:inline distT="0" distB="0" distL="0" distR="0" wp14:anchorId="7C8E24EC" wp14:editId="742B6EDD">
                  <wp:extent cx="274320" cy="274320"/>
                  <wp:effectExtent l="0" t="0" r="0" b="0"/>
                  <wp:docPr id="40" name="Graphic 4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2" w:type="dxa"/>
            <w:vAlign w:val="center"/>
          </w:tcPr>
          <w:p w14:paraId="6457692A" w14:textId="611F592C" w:rsidR="005A25BC" w:rsidRDefault="005A25BC" w:rsidP="00877541">
            <w:pPr>
              <w:pStyle w:val="BodyCopy"/>
              <w:spacing w:before="120"/>
              <w:jc w:val="center"/>
            </w:pPr>
            <w:r>
              <w:rPr>
                <w:noProof/>
                <w:lang w:eastAsia="en-AU"/>
              </w:rPr>
              <w:drawing>
                <wp:inline distT="0" distB="0" distL="0" distR="0" wp14:anchorId="0AACD7B0" wp14:editId="23DB213A">
                  <wp:extent cx="274320" cy="274320"/>
                  <wp:effectExtent l="0" t="0" r="0" b="0"/>
                  <wp:docPr id="42"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c>
          <w:tcPr>
            <w:tcW w:w="1053" w:type="dxa"/>
            <w:vAlign w:val="center"/>
          </w:tcPr>
          <w:p w14:paraId="086A6C6B" w14:textId="0AFD5E46" w:rsidR="005A25BC" w:rsidRDefault="005A25BC" w:rsidP="00877541">
            <w:pPr>
              <w:pStyle w:val="BodyCopy"/>
              <w:spacing w:before="120"/>
              <w:jc w:val="center"/>
            </w:pPr>
            <w:r>
              <w:rPr>
                <w:noProof/>
                <w:lang w:eastAsia="en-AU"/>
              </w:rPr>
              <w:drawing>
                <wp:inline distT="0" distB="0" distL="0" distR="0" wp14:anchorId="351666DE" wp14:editId="37751868">
                  <wp:extent cx="274320" cy="274320"/>
                  <wp:effectExtent l="0" t="0" r="0" b="0"/>
                  <wp:docPr id="43"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ckmark.svg"/>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274320" cy="274320"/>
                          </a:xfrm>
                          <a:prstGeom prst="rect">
                            <a:avLst/>
                          </a:prstGeom>
                        </pic:spPr>
                      </pic:pic>
                    </a:graphicData>
                  </a:graphic>
                </wp:inline>
              </w:drawing>
            </w:r>
          </w:p>
        </w:tc>
      </w:tr>
      <w:tr w:rsidR="005A25BC" w14:paraId="59ED92CD" w14:textId="77777777" w:rsidTr="00FF32ED">
        <w:tc>
          <w:tcPr>
            <w:tcW w:w="2610" w:type="dxa"/>
          </w:tcPr>
          <w:p w14:paraId="78EA61FE" w14:textId="132E7832" w:rsidR="005A25BC" w:rsidRPr="00C4270B" w:rsidRDefault="005A25BC" w:rsidP="00877541">
            <w:pPr>
              <w:pStyle w:val="BodyCopy"/>
              <w:spacing w:before="120"/>
              <w:rPr>
                <w:sz w:val="20"/>
                <w:szCs w:val="20"/>
              </w:rPr>
            </w:pPr>
            <w:r w:rsidRPr="00C4270B">
              <w:rPr>
                <w:sz w:val="20"/>
                <w:szCs w:val="20"/>
              </w:rPr>
              <w:t>Cost allocation approach</w:t>
            </w:r>
          </w:p>
        </w:tc>
        <w:tc>
          <w:tcPr>
            <w:tcW w:w="2253" w:type="dxa"/>
          </w:tcPr>
          <w:p w14:paraId="52BE36FF" w14:textId="06A2CCB6" w:rsidR="005A25BC" w:rsidRPr="00C4270B" w:rsidRDefault="005A25BC" w:rsidP="00877541">
            <w:pPr>
              <w:pStyle w:val="BodyCopy"/>
              <w:spacing w:before="120"/>
              <w:rPr>
                <w:sz w:val="20"/>
                <w:szCs w:val="20"/>
              </w:rPr>
            </w:pPr>
            <w:r w:rsidRPr="00C4270B">
              <w:rPr>
                <w:sz w:val="20"/>
                <w:szCs w:val="20"/>
              </w:rPr>
              <w:t>Section</w:t>
            </w:r>
            <w:r w:rsidR="00A436D9" w:rsidRPr="00C4270B">
              <w:rPr>
                <w:sz w:val="20"/>
                <w:szCs w:val="20"/>
              </w:rPr>
              <w:t xml:space="preserve"> </w:t>
            </w:r>
            <w:r w:rsidR="00A436D9" w:rsidRPr="00C4270B">
              <w:rPr>
                <w:sz w:val="20"/>
                <w:szCs w:val="20"/>
              </w:rPr>
              <w:fldChar w:fldCharType="begin"/>
            </w:r>
            <w:r w:rsidR="00A436D9" w:rsidRPr="00C4270B">
              <w:rPr>
                <w:sz w:val="20"/>
                <w:szCs w:val="20"/>
              </w:rPr>
              <w:instrText xml:space="preserve"> REF _Ref64881044 \r \h </w:instrText>
            </w:r>
            <w:r w:rsidR="00C4270B">
              <w:rPr>
                <w:sz w:val="20"/>
                <w:szCs w:val="20"/>
              </w:rPr>
              <w:instrText xml:space="preserve"> \* MERGEFORMAT </w:instrText>
            </w:r>
            <w:r w:rsidR="00A436D9" w:rsidRPr="00C4270B">
              <w:rPr>
                <w:sz w:val="20"/>
                <w:szCs w:val="20"/>
              </w:rPr>
            </w:r>
            <w:r w:rsidR="00A436D9" w:rsidRPr="00C4270B">
              <w:rPr>
                <w:sz w:val="20"/>
                <w:szCs w:val="20"/>
              </w:rPr>
              <w:fldChar w:fldCharType="separate"/>
            </w:r>
            <w:r w:rsidR="00225EEA">
              <w:rPr>
                <w:sz w:val="20"/>
                <w:szCs w:val="20"/>
              </w:rPr>
              <w:t>4.7</w:t>
            </w:r>
            <w:r w:rsidR="00A436D9" w:rsidRPr="00C4270B">
              <w:rPr>
                <w:sz w:val="20"/>
                <w:szCs w:val="20"/>
              </w:rPr>
              <w:fldChar w:fldCharType="end"/>
            </w:r>
          </w:p>
        </w:tc>
        <w:tc>
          <w:tcPr>
            <w:tcW w:w="1052" w:type="dxa"/>
          </w:tcPr>
          <w:p w14:paraId="44AED072" w14:textId="6AFD62EA" w:rsidR="005A25BC" w:rsidRPr="00C4270B" w:rsidRDefault="005A25BC" w:rsidP="00877541">
            <w:pPr>
              <w:pStyle w:val="BodyCopy"/>
              <w:spacing w:before="120"/>
              <w:jc w:val="center"/>
              <w:rPr>
                <w:noProof/>
                <w:sz w:val="20"/>
                <w:szCs w:val="22"/>
              </w:rPr>
            </w:pPr>
            <w:r w:rsidRPr="00C4270B">
              <w:rPr>
                <w:noProof/>
                <w:sz w:val="20"/>
                <w:szCs w:val="22"/>
              </w:rPr>
              <w:t>Current</w:t>
            </w:r>
          </w:p>
        </w:tc>
        <w:tc>
          <w:tcPr>
            <w:tcW w:w="1052" w:type="dxa"/>
          </w:tcPr>
          <w:p w14:paraId="6650B9DD" w14:textId="184FB3BB" w:rsidR="005A25BC" w:rsidRPr="00C4270B" w:rsidRDefault="005A25BC" w:rsidP="00877541">
            <w:pPr>
              <w:pStyle w:val="BodyCopy"/>
              <w:spacing w:before="120"/>
              <w:rPr>
                <w:sz w:val="20"/>
                <w:szCs w:val="22"/>
              </w:rPr>
            </w:pPr>
            <w:r w:rsidRPr="00C4270B">
              <w:rPr>
                <w:sz w:val="20"/>
                <w:szCs w:val="22"/>
              </w:rPr>
              <w:t>Current</w:t>
            </w:r>
          </w:p>
        </w:tc>
        <w:tc>
          <w:tcPr>
            <w:tcW w:w="1052" w:type="dxa"/>
          </w:tcPr>
          <w:p w14:paraId="41F73C56" w14:textId="11655D08" w:rsidR="005A25BC" w:rsidRPr="00C4270B" w:rsidRDefault="005A25BC" w:rsidP="00877541">
            <w:pPr>
              <w:pStyle w:val="BodyCopy"/>
              <w:spacing w:before="120"/>
              <w:rPr>
                <w:sz w:val="20"/>
                <w:szCs w:val="22"/>
              </w:rPr>
            </w:pPr>
            <w:r w:rsidRPr="00C4270B">
              <w:rPr>
                <w:sz w:val="20"/>
                <w:szCs w:val="22"/>
              </w:rPr>
              <w:t xml:space="preserve">Modified </w:t>
            </w:r>
            <w:r w:rsidR="00EC4D84" w:rsidRPr="00C4270B">
              <w:rPr>
                <w:sz w:val="20"/>
                <w:szCs w:val="22"/>
              </w:rPr>
              <w:t>c</w:t>
            </w:r>
            <w:r w:rsidRPr="00C4270B">
              <w:rPr>
                <w:sz w:val="20"/>
                <w:szCs w:val="22"/>
              </w:rPr>
              <w:t>urrent</w:t>
            </w:r>
          </w:p>
        </w:tc>
        <w:tc>
          <w:tcPr>
            <w:tcW w:w="1053" w:type="dxa"/>
          </w:tcPr>
          <w:p w14:paraId="44D27C0B" w14:textId="665BB93E" w:rsidR="005A25BC" w:rsidRPr="00C4270B" w:rsidRDefault="005A25BC" w:rsidP="00877541">
            <w:pPr>
              <w:pStyle w:val="BodyCopy"/>
              <w:spacing w:before="120"/>
              <w:rPr>
                <w:sz w:val="20"/>
                <w:szCs w:val="22"/>
              </w:rPr>
            </w:pPr>
            <w:r w:rsidRPr="00C4270B">
              <w:rPr>
                <w:sz w:val="20"/>
                <w:szCs w:val="22"/>
              </w:rPr>
              <w:t>VIC DTF/</w:t>
            </w:r>
            <w:r w:rsidR="00C4270B">
              <w:rPr>
                <w:sz w:val="20"/>
                <w:szCs w:val="22"/>
              </w:rPr>
              <w:t xml:space="preserve"> </w:t>
            </w:r>
            <w:r w:rsidRPr="00C4270B">
              <w:rPr>
                <w:sz w:val="20"/>
                <w:szCs w:val="22"/>
              </w:rPr>
              <w:t>DOT</w:t>
            </w:r>
          </w:p>
        </w:tc>
      </w:tr>
    </w:tbl>
    <w:p w14:paraId="4350A1A3" w14:textId="0E7C4E6D" w:rsidR="005745FA" w:rsidRDefault="005745FA" w:rsidP="005A25BC">
      <w:pPr>
        <w:pStyle w:val="Heading2"/>
      </w:pPr>
      <w:bookmarkStart w:id="441" w:name="_Ref82003511"/>
      <w:bookmarkStart w:id="442" w:name="_Toc86158480"/>
      <w:r>
        <w:lastRenderedPageBreak/>
        <w:t>Comparison of determination options</w:t>
      </w:r>
      <w:bookmarkEnd w:id="441"/>
      <w:bookmarkEnd w:id="442"/>
    </w:p>
    <w:p w14:paraId="76DCC7FE" w14:textId="268D8611" w:rsidR="005745FA" w:rsidRDefault="005745FA" w:rsidP="005745FA">
      <w:pPr>
        <w:pStyle w:val="Heading3"/>
      </w:pPr>
      <w:bookmarkStart w:id="443" w:name="_Toc86158481"/>
      <w:r>
        <w:t>Data</w:t>
      </w:r>
      <w:bookmarkEnd w:id="443"/>
    </w:p>
    <w:p w14:paraId="6B4C6BA3" w14:textId="03188DDE" w:rsidR="00C408C5" w:rsidRPr="004B416C" w:rsidRDefault="004B416C" w:rsidP="004B416C">
      <w:pPr>
        <w:pStyle w:val="BodyCopy"/>
      </w:pPr>
      <w:r>
        <w:t xml:space="preserve">The final recommendations of this determination </w:t>
      </w:r>
      <w:r w:rsidR="00954385">
        <w:t>recommend heavy vehicle charges to apply in 2022</w:t>
      </w:r>
      <w:r w:rsidR="00272BD6">
        <w:t>–2</w:t>
      </w:r>
      <w:r w:rsidR="00954385">
        <w:t>3, based on</w:t>
      </w:r>
      <w:r>
        <w:t xml:space="preserve"> </w:t>
      </w:r>
      <w:r w:rsidR="00C408C5">
        <w:t>the latest data available at the time.</w:t>
      </w:r>
      <w:r w:rsidR="00830D17">
        <w:t xml:space="preserve"> </w:t>
      </w:r>
      <w:r w:rsidR="00C408C5">
        <w:t>This include</w:t>
      </w:r>
      <w:r w:rsidR="00640FB9">
        <w:t>s</w:t>
      </w:r>
      <w:r w:rsidR="00C408C5">
        <w:t xml:space="preserve"> </w:t>
      </w:r>
      <w:r w:rsidR="00C92C35">
        <w:t xml:space="preserve">road expenditure data </w:t>
      </w:r>
      <w:r w:rsidR="00C408C5">
        <w:t>and the number of registered heavy vehicles</w:t>
      </w:r>
      <w:r w:rsidR="00C92C35">
        <w:t xml:space="preserve"> for 2020</w:t>
      </w:r>
      <w:r w:rsidR="00272BD6">
        <w:t>–2</w:t>
      </w:r>
      <w:r w:rsidR="00C92C35">
        <w:t>1</w:t>
      </w:r>
      <w:r w:rsidR="00C13631">
        <w:t xml:space="preserve">, which have become available since the </w:t>
      </w:r>
      <w:r w:rsidR="0001688C">
        <w:t>publication</w:t>
      </w:r>
      <w:r w:rsidR="00C13631">
        <w:t xml:space="preserve"> of the C-RIS</w:t>
      </w:r>
      <w:r w:rsidR="00C408C5">
        <w:t>.</w:t>
      </w:r>
      <w:r w:rsidR="00830D17">
        <w:t xml:space="preserve"> </w:t>
      </w:r>
      <w:r w:rsidR="00F015D2">
        <w:t>For this</w:t>
      </w:r>
      <w:r w:rsidR="00C95A8C">
        <w:t xml:space="preserve"> </w:t>
      </w:r>
      <w:r w:rsidR="009F0EA2">
        <w:t>D</w:t>
      </w:r>
      <w:r w:rsidR="00B25452">
        <w:t>-</w:t>
      </w:r>
      <w:r w:rsidR="00C95A8C">
        <w:t>RIS</w:t>
      </w:r>
      <w:r w:rsidR="007B3ED5">
        <w:t xml:space="preserve">, the latest available data is </w:t>
      </w:r>
      <w:r w:rsidR="00C32EDB">
        <w:t>shown in</w:t>
      </w:r>
      <w:r w:rsidR="009765B8">
        <w:t xml:space="preserve"> </w:t>
      </w:r>
      <w:r w:rsidR="009765B8">
        <w:fldChar w:fldCharType="begin"/>
      </w:r>
      <w:r w:rsidR="009765B8">
        <w:instrText xml:space="preserve"> REF _Ref58419027 \r \h </w:instrText>
      </w:r>
      <w:r w:rsidR="009765B8">
        <w:fldChar w:fldCharType="separate"/>
      </w:r>
      <w:r w:rsidR="00225EEA">
        <w:t>Table 20</w:t>
      </w:r>
      <w:r w:rsidR="009765B8">
        <w:fldChar w:fldCharType="end"/>
      </w:r>
      <w:r w:rsidR="00C32EDB">
        <w:t>.</w:t>
      </w:r>
    </w:p>
    <w:p w14:paraId="6BDD0B87" w14:textId="5E329C4C" w:rsidR="00517057" w:rsidRDefault="00517057" w:rsidP="00517057">
      <w:pPr>
        <w:pStyle w:val="Tabletitle"/>
      </w:pPr>
      <w:bookmarkStart w:id="444" w:name="_Ref58419027"/>
      <w:bookmarkStart w:id="445" w:name="_Toc59436398"/>
      <w:bookmarkStart w:id="446" w:name="_Toc86158559"/>
      <w:r>
        <w:t>Latest available expenditure, usage and fleet data</w:t>
      </w:r>
      <w:bookmarkEnd w:id="444"/>
      <w:bookmarkEnd w:id="445"/>
      <w:bookmarkEnd w:id="446"/>
    </w:p>
    <w:tbl>
      <w:tblPr>
        <w:tblStyle w:val="NTCtable"/>
        <w:tblW w:w="0" w:type="auto"/>
        <w:tblLook w:val="04A0" w:firstRow="1" w:lastRow="0" w:firstColumn="1" w:lastColumn="0" w:noHBand="0" w:noVBand="1"/>
      </w:tblPr>
      <w:tblGrid>
        <w:gridCol w:w="4513"/>
        <w:gridCol w:w="4514"/>
      </w:tblGrid>
      <w:tr w:rsidR="002B1970" w14:paraId="3CD0A98E"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4513" w:type="dxa"/>
          </w:tcPr>
          <w:p w14:paraId="4AE8506A" w14:textId="023BA6E4" w:rsidR="002B1970" w:rsidRPr="00CD6B04" w:rsidRDefault="008C0CFA" w:rsidP="004B416C">
            <w:pPr>
              <w:pStyle w:val="BodyCopy"/>
              <w:rPr>
                <w:b/>
                <w:bCs/>
                <w:sz w:val="20"/>
                <w:szCs w:val="22"/>
              </w:rPr>
            </w:pPr>
            <w:r w:rsidRPr="00CD6B04">
              <w:rPr>
                <w:b/>
                <w:bCs/>
                <w:sz w:val="20"/>
                <w:szCs w:val="22"/>
              </w:rPr>
              <w:t>Data</w:t>
            </w:r>
          </w:p>
        </w:tc>
        <w:tc>
          <w:tcPr>
            <w:tcW w:w="4514" w:type="dxa"/>
          </w:tcPr>
          <w:p w14:paraId="4D61D261" w14:textId="691272C4" w:rsidR="002B1970" w:rsidRPr="00CD6B04" w:rsidRDefault="003C7D4A" w:rsidP="004B416C">
            <w:pPr>
              <w:pStyle w:val="BodyCopy"/>
              <w:rPr>
                <w:b/>
                <w:bCs/>
                <w:sz w:val="20"/>
                <w:szCs w:val="22"/>
              </w:rPr>
            </w:pPr>
            <w:r w:rsidRPr="00CD6B04">
              <w:rPr>
                <w:b/>
                <w:bCs/>
                <w:sz w:val="20"/>
                <w:szCs w:val="22"/>
              </w:rPr>
              <w:t>Source/year</w:t>
            </w:r>
          </w:p>
        </w:tc>
      </w:tr>
      <w:tr w:rsidR="002B1970" w14:paraId="09F18377" w14:textId="77777777" w:rsidTr="002B1970">
        <w:tc>
          <w:tcPr>
            <w:tcW w:w="4513" w:type="dxa"/>
          </w:tcPr>
          <w:p w14:paraId="2C059004" w14:textId="72AD93CE" w:rsidR="002B1970" w:rsidRPr="00C4270B" w:rsidRDefault="0054760C" w:rsidP="004B416C">
            <w:pPr>
              <w:pStyle w:val="BodyCopy"/>
              <w:rPr>
                <w:sz w:val="20"/>
                <w:szCs w:val="22"/>
              </w:rPr>
            </w:pPr>
            <w:r w:rsidRPr="00C4270B">
              <w:rPr>
                <w:sz w:val="20"/>
                <w:szCs w:val="22"/>
              </w:rPr>
              <w:t xml:space="preserve">State and </w:t>
            </w:r>
            <w:r w:rsidR="00D66039" w:rsidRPr="00C4270B">
              <w:rPr>
                <w:sz w:val="20"/>
                <w:szCs w:val="22"/>
              </w:rPr>
              <w:t>t</w:t>
            </w:r>
            <w:r w:rsidRPr="00C4270B">
              <w:rPr>
                <w:sz w:val="20"/>
                <w:szCs w:val="22"/>
              </w:rPr>
              <w:t xml:space="preserve">erritory </w:t>
            </w:r>
            <w:r w:rsidR="0013496B" w:rsidRPr="00C4270B">
              <w:rPr>
                <w:sz w:val="20"/>
                <w:szCs w:val="22"/>
              </w:rPr>
              <w:t>road expenditure data</w:t>
            </w:r>
          </w:p>
        </w:tc>
        <w:tc>
          <w:tcPr>
            <w:tcW w:w="4514" w:type="dxa"/>
          </w:tcPr>
          <w:p w14:paraId="6C72C4B7" w14:textId="2B771BA3" w:rsidR="002B1970" w:rsidRPr="00C4270B" w:rsidRDefault="0013496B" w:rsidP="004B416C">
            <w:pPr>
              <w:pStyle w:val="BodyCopy"/>
              <w:rPr>
                <w:sz w:val="20"/>
                <w:szCs w:val="22"/>
              </w:rPr>
            </w:pPr>
            <w:r w:rsidRPr="00C4270B">
              <w:rPr>
                <w:sz w:val="20"/>
                <w:szCs w:val="22"/>
              </w:rPr>
              <w:t>20</w:t>
            </w:r>
            <w:r w:rsidR="00F015D2">
              <w:rPr>
                <w:sz w:val="20"/>
                <w:szCs w:val="22"/>
              </w:rPr>
              <w:t>20</w:t>
            </w:r>
            <w:r w:rsidR="00272BD6" w:rsidRPr="00C4270B">
              <w:rPr>
                <w:sz w:val="20"/>
                <w:szCs w:val="22"/>
              </w:rPr>
              <w:t>–2</w:t>
            </w:r>
            <w:r w:rsidR="00F015D2">
              <w:rPr>
                <w:sz w:val="20"/>
                <w:szCs w:val="22"/>
              </w:rPr>
              <w:t>1</w:t>
            </w:r>
            <w:r w:rsidR="003C7D4A" w:rsidRPr="00C4270B">
              <w:rPr>
                <w:sz w:val="20"/>
                <w:szCs w:val="22"/>
              </w:rPr>
              <w:t xml:space="preserve"> as reported to </w:t>
            </w:r>
            <w:r w:rsidR="00DA55CD" w:rsidRPr="00C4270B">
              <w:rPr>
                <w:sz w:val="20"/>
                <w:szCs w:val="22"/>
              </w:rPr>
              <w:t xml:space="preserve">the </w:t>
            </w:r>
            <w:r w:rsidR="003C7D4A" w:rsidRPr="00C4270B">
              <w:rPr>
                <w:sz w:val="20"/>
                <w:szCs w:val="22"/>
              </w:rPr>
              <w:t>NTC by states and territories</w:t>
            </w:r>
          </w:p>
        </w:tc>
      </w:tr>
      <w:tr w:rsidR="002B1970" w14:paraId="59AF51D4" w14:textId="77777777" w:rsidTr="002B1970">
        <w:tc>
          <w:tcPr>
            <w:tcW w:w="4513" w:type="dxa"/>
          </w:tcPr>
          <w:p w14:paraId="114D1DC3" w14:textId="1CFD9528" w:rsidR="002B1970" w:rsidRPr="00C4270B" w:rsidRDefault="0013496B" w:rsidP="004B416C">
            <w:pPr>
              <w:pStyle w:val="BodyCopy"/>
              <w:rPr>
                <w:sz w:val="20"/>
                <w:szCs w:val="22"/>
              </w:rPr>
            </w:pPr>
            <w:r w:rsidRPr="00C4270B">
              <w:rPr>
                <w:sz w:val="20"/>
                <w:szCs w:val="22"/>
              </w:rPr>
              <w:t>Local government road expenditure data</w:t>
            </w:r>
          </w:p>
        </w:tc>
        <w:tc>
          <w:tcPr>
            <w:tcW w:w="4514" w:type="dxa"/>
          </w:tcPr>
          <w:p w14:paraId="567B77CA" w14:textId="3218C578" w:rsidR="002B1970" w:rsidRPr="00C4270B" w:rsidRDefault="0013496B" w:rsidP="004B416C">
            <w:pPr>
              <w:pStyle w:val="BodyCopy"/>
              <w:rPr>
                <w:sz w:val="20"/>
                <w:szCs w:val="22"/>
              </w:rPr>
            </w:pPr>
            <w:r w:rsidRPr="00C4270B">
              <w:rPr>
                <w:sz w:val="20"/>
                <w:szCs w:val="22"/>
              </w:rPr>
              <w:t>20</w:t>
            </w:r>
            <w:r w:rsidR="00B91ECC" w:rsidRPr="00C4270B">
              <w:rPr>
                <w:sz w:val="20"/>
                <w:szCs w:val="22"/>
              </w:rPr>
              <w:t>1</w:t>
            </w:r>
            <w:r w:rsidR="00F015D2">
              <w:rPr>
                <w:sz w:val="20"/>
                <w:szCs w:val="22"/>
              </w:rPr>
              <w:t>9</w:t>
            </w:r>
            <w:r w:rsidR="00D66039" w:rsidRPr="00C4270B">
              <w:rPr>
                <w:sz w:val="20"/>
                <w:szCs w:val="22"/>
              </w:rPr>
              <w:t>–</w:t>
            </w:r>
            <w:r w:rsidR="00F015D2">
              <w:rPr>
                <w:sz w:val="20"/>
                <w:szCs w:val="22"/>
              </w:rPr>
              <w:t>20</w:t>
            </w:r>
            <w:r w:rsidR="003C7D4A" w:rsidRPr="00C4270B">
              <w:rPr>
                <w:sz w:val="20"/>
                <w:szCs w:val="22"/>
              </w:rPr>
              <w:t xml:space="preserve"> as reported by </w:t>
            </w:r>
            <w:r w:rsidR="00F87624" w:rsidRPr="00C4270B">
              <w:rPr>
                <w:sz w:val="20"/>
                <w:szCs w:val="22"/>
              </w:rPr>
              <w:t xml:space="preserve">the </w:t>
            </w:r>
            <w:r w:rsidR="003C7D4A" w:rsidRPr="00C4270B">
              <w:rPr>
                <w:sz w:val="20"/>
                <w:szCs w:val="22"/>
              </w:rPr>
              <w:t xml:space="preserve">ABS in </w:t>
            </w:r>
            <w:r w:rsidR="00F579DF" w:rsidRPr="00C4270B">
              <w:rPr>
                <w:sz w:val="20"/>
                <w:szCs w:val="22"/>
              </w:rPr>
              <w:t>government financ</w:t>
            </w:r>
            <w:r w:rsidR="00F87624" w:rsidRPr="00C4270B">
              <w:rPr>
                <w:sz w:val="20"/>
                <w:szCs w:val="22"/>
              </w:rPr>
              <w:t>e</w:t>
            </w:r>
            <w:r w:rsidR="00F579DF" w:rsidRPr="00C4270B">
              <w:rPr>
                <w:sz w:val="20"/>
                <w:szCs w:val="22"/>
              </w:rPr>
              <w:t xml:space="preserve"> statistics</w:t>
            </w:r>
          </w:p>
        </w:tc>
      </w:tr>
      <w:tr w:rsidR="002B1970" w14:paraId="2CAE7001" w14:textId="77777777" w:rsidTr="002B1970">
        <w:tc>
          <w:tcPr>
            <w:tcW w:w="4513" w:type="dxa"/>
          </w:tcPr>
          <w:p w14:paraId="35E31CDD" w14:textId="67E81BDB" w:rsidR="002B1970" w:rsidRPr="00C4270B" w:rsidRDefault="0055582D" w:rsidP="004B416C">
            <w:pPr>
              <w:pStyle w:val="BodyCopy"/>
              <w:rPr>
                <w:sz w:val="20"/>
                <w:szCs w:val="22"/>
              </w:rPr>
            </w:pPr>
            <w:r w:rsidRPr="00C4270B">
              <w:rPr>
                <w:sz w:val="20"/>
                <w:szCs w:val="22"/>
              </w:rPr>
              <w:t>Road usage data</w:t>
            </w:r>
            <w:r w:rsidR="0073578D">
              <w:rPr>
                <w:sz w:val="20"/>
                <w:szCs w:val="22"/>
              </w:rPr>
              <w:t>, fuel usage data</w:t>
            </w:r>
          </w:p>
        </w:tc>
        <w:tc>
          <w:tcPr>
            <w:tcW w:w="4514" w:type="dxa"/>
          </w:tcPr>
          <w:p w14:paraId="64D724DF" w14:textId="5AEBC6CB" w:rsidR="002B1970" w:rsidRPr="00C4270B" w:rsidRDefault="009604F0" w:rsidP="004B416C">
            <w:pPr>
              <w:pStyle w:val="BodyCopy"/>
              <w:rPr>
                <w:sz w:val="20"/>
                <w:szCs w:val="22"/>
              </w:rPr>
            </w:pPr>
            <w:r w:rsidRPr="00C4270B">
              <w:rPr>
                <w:sz w:val="20"/>
                <w:szCs w:val="22"/>
              </w:rPr>
              <w:t>20</w:t>
            </w:r>
            <w:r w:rsidR="00C54DC6" w:rsidRPr="00C4270B">
              <w:rPr>
                <w:sz w:val="20"/>
                <w:szCs w:val="22"/>
              </w:rPr>
              <w:t>20</w:t>
            </w:r>
            <w:r w:rsidRPr="00C4270B">
              <w:rPr>
                <w:sz w:val="20"/>
                <w:szCs w:val="22"/>
              </w:rPr>
              <w:t xml:space="preserve"> </w:t>
            </w:r>
            <w:r w:rsidR="00674F4D" w:rsidRPr="00C4270B">
              <w:rPr>
                <w:sz w:val="20"/>
                <w:szCs w:val="22"/>
              </w:rPr>
              <w:t xml:space="preserve">ABS </w:t>
            </w:r>
            <w:r w:rsidR="00724514" w:rsidRPr="00C4270B">
              <w:rPr>
                <w:sz w:val="20"/>
                <w:szCs w:val="22"/>
              </w:rPr>
              <w:t>SMVU</w:t>
            </w:r>
          </w:p>
        </w:tc>
      </w:tr>
      <w:tr w:rsidR="002B1970" w14:paraId="59CA1683" w14:textId="77777777" w:rsidTr="002B1970">
        <w:tc>
          <w:tcPr>
            <w:tcW w:w="4513" w:type="dxa"/>
          </w:tcPr>
          <w:p w14:paraId="3B0BACE8" w14:textId="67D32D0B" w:rsidR="002B1970" w:rsidRPr="00C4270B" w:rsidRDefault="00674F4D" w:rsidP="004B416C">
            <w:pPr>
              <w:pStyle w:val="BodyCopy"/>
              <w:rPr>
                <w:sz w:val="20"/>
                <w:szCs w:val="22"/>
              </w:rPr>
            </w:pPr>
            <w:r w:rsidRPr="00C4270B">
              <w:rPr>
                <w:sz w:val="20"/>
                <w:szCs w:val="22"/>
              </w:rPr>
              <w:t>Vehicle numbers</w:t>
            </w:r>
          </w:p>
        </w:tc>
        <w:tc>
          <w:tcPr>
            <w:tcW w:w="4514" w:type="dxa"/>
          </w:tcPr>
          <w:p w14:paraId="49F51241" w14:textId="21E10CDD" w:rsidR="002B1970" w:rsidRPr="00C4270B" w:rsidRDefault="003C7D4A" w:rsidP="004B416C">
            <w:pPr>
              <w:pStyle w:val="BodyCopy"/>
              <w:rPr>
                <w:sz w:val="20"/>
                <w:szCs w:val="22"/>
              </w:rPr>
            </w:pPr>
            <w:r w:rsidRPr="00C4270B">
              <w:rPr>
                <w:sz w:val="20"/>
                <w:szCs w:val="22"/>
              </w:rPr>
              <w:t>State and territory</w:t>
            </w:r>
            <w:r w:rsidR="00F579DF" w:rsidRPr="00C4270B">
              <w:rPr>
                <w:sz w:val="20"/>
                <w:szCs w:val="22"/>
              </w:rPr>
              <w:t xml:space="preserve"> registration databases, quarterly, averaged for 20</w:t>
            </w:r>
            <w:r w:rsidR="00F015D2">
              <w:rPr>
                <w:sz w:val="20"/>
                <w:szCs w:val="22"/>
              </w:rPr>
              <w:t>20</w:t>
            </w:r>
            <w:r w:rsidR="00272BD6" w:rsidRPr="00C4270B">
              <w:rPr>
                <w:sz w:val="20"/>
                <w:szCs w:val="22"/>
              </w:rPr>
              <w:t>–2</w:t>
            </w:r>
            <w:r w:rsidR="00F015D2">
              <w:rPr>
                <w:sz w:val="20"/>
                <w:szCs w:val="22"/>
              </w:rPr>
              <w:t>1</w:t>
            </w:r>
            <w:r w:rsidR="004145EC" w:rsidRPr="00C4270B">
              <w:rPr>
                <w:sz w:val="20"/>
                <w:szCs w:val="22"/>
              </w:rPr>
              <w:t xml:space="preserve"> financial year</w:t>
            </w:r>
          </w:p>
        </w:tc>
      </w:tr>
    </w:tbl>
    <w:p w14:paraId="05992E30" w14:textId="7AA7AB42" w:rsidR="00115DC8" w:rsidRDefault="00C24AAB" w:rsidP="00DC16B8">
      <w:pPr>
        <w:pStyle w:val="Heading3"/>
      </w:pPr>
      <w:bookmarkStart w:id="447" w:name="_Toc86158482"/>
      <w:r>
        <w:t xml:space="preserve">Heavy </w:t>
      </w:r>
      <w:r w:rsidR="002F68B0">
        <w:t>v</w:t>
      </w:r>
      <w:r>
        <w:t xml:space="preserve">ehicle </w:t>
      </w:r>
      <w:r w:rsidR="002F68B0">
        <w:t>c</w:t>
      </w:r>
      <w:r>
        <w:t xml:space="preserve">ost </w:t>
      </w:r>
      <w:r w:rsidR="002F68B0">
        <w:t>b</w:t>
      </w:r>
      <w:r>
        <w:t>ase</w:t>
      </w:r>
      <w:r w:rsidR="00AC42DE">
        <w:t xml:space="preserve"> and implications for full cost recovery</w:t>
      </w:r>
      <w:bookmarkEnd w:id="447"/>
    </w:p>
    <w:p w14:paraId="3C492F1D" w14:textId="0EF18A6F" w:rsidR="00F179D2" w:rsidRPr="00F179D2" w:rsidRDefault="009765B8" w:rsidP="00AF7B68">
      <w:pPr>
        <w:pStyle w:val="BodyCopy"/>
      </w:pPr>
      <w:r>
        <w:fldChar w:fldCharType="begin"/>
      </w:r>
      <w:r>
        <w:instrText xml:space="preserve"> REF _Ref58831566 \r \h </w:instrText>
      </w:r>
      <w:r>
        <w:fldChar w:fldCharType="separate"/>
      </w:r>
      <w:r w:rsidR="00225EEA">
        <w:t>Table 21</w:t>
      </w:r>
      <w:r>
        <w:fldChar w:fldCharType="end"/>
      </w:r>
      <w:r>
        <w:t xml:space="preserve"> </w:t>
      </w:r>
      <w:r w:rsidR="00F179D2">
        <w:t>contains the allocated heavy vehicle cost base under the status quo and the three cost allocation options</w:t>
      </w:r>
      <w:r w:rsidR="00F83193">
        <w:t>, based on the latest available usage and expenditure data</w:t>
      </w:r>
      <w:r w:rsidR="00F179D2">
        <w:t>.</w:t>
      </w:r>
    </w:p>
    <w:p w14:paraId="42ABE1C9" w14:textId="675B9387" w:rsidR="008B5FB9" w:rsidRDefault="00505C95" w:rsidP="00505C95">
      <w:pPr>
        <w:pStyle w:val="Tabletitle"/>
      </w:pPr>
      <w:bookmarkStart w:id="448" w:name="_Ref58831566"/>
      <w:bookmarkStart w:id="449" w:name="_Toc59436399"/>
      <w:bookmarkStart w:id="450" w:name="_Toc86158560"/>
      <w:r>
        <w:t xml:space="preserve">Allocated </w:t>
      </w:r>
      <w:r w:rsidR="002F68B0">
        <w:t>h</w:t>
      </w:r>
      <w:r>
        <w:t xml:space="preserve">eavy </w:t>
      </w:r>
      <w:r w:rsidR="002F68B0">
        <w:t>v</w:t>
      </w:r>
      <w:r>
        <w:t xml:space="preserve">ehicle </w:t>
      </w:r>
      <w:r w:rsidR="002F68B0">
        <w:t>c</w:t>
      </w:r>
      <w:r>
        <w:t xml:space="preserve">ost </w:t>
      </w:r>
      <w:r w:rsidR="002F68B0">
        <w:t>b</w:t>
      </w:r>
      <w:r>
        <w:t>ases</w:t>
      </w:r>
      <w:bookmarkEnd w:id="448"/>
      <w:bookmarkEnd w:id="449"/>
      <w:bookmarkEnd w:id="450"/>
    </w:p>
    <w:tbl>
      <w:tblPr>
        <w:tblStyle w:val="NTCtable"/>
        <w:tblW w:w="0" w:type="auto"/>
        <w:tblLayout w:type="fixed"/>
        <w:tblLook w:val="04A0" w:firstRow="1" w:lastRow="0" w:firstColumn="1" w:lastColumn="0" w:noHBand="0" w:noVBand="1"/>
      </w:tblPr>
      <w:tblGrid>
        <w:gridCol w:w="1922"/>
        <w:gridCol w:w="1776"/>
        <w:gridCol w:w="1776"/>
        <w:gridCol w:w="1776"/>
        <w:gridCol w:w="1777"/>
      </w:tblGrid>
      <w:tr w:rsidR="004A7E8E" w14:paraId="164C90E6" w14:textId="77777777" w:rsidTr="00357D40">
        <w:trPr>
          <w:cnfStyle w:val="100000000000" w:firstRow="1" w:lastRow="0" w:firstColumn="0" w:lastColumn="0" w:oddVBand="0" w:evenVBand="0" w:oddHBand="0" w:evenHBand="0" w:firstRowFirstColumn="0" w:firstRowLastColumn="0" w:lastRowFirstColumn="0" w:lastRowLastColumn="0"/>
          <w:tblHeader/>
        </w:trPr>
        <w:tc>
          <w:tcPr>
            <w:tcW w:w="1922" w:type="dxa"/>
          </w:tcPr>
          <w:p w14:paraId="1E60CB25" w14:textId="2D76B517" w:rsidR="004A7E8E" w:rsidRPr="00C4270B" w:rsidRDefault="0074009C" w:rsidP="00505C95">
            <w:pPr>
              <w:pStyle w:val="BodyCopy"/>
              <w:rPr>
                <w:sz w:val="20"/>
                <w:szCs w:val="22"/>
              </w:rPr>
            </w:pPr>
            <w:r w:rsidRPr="00B47A33">
              <w:rPr>
                <w:b/>
                <w:bCs/>
                <w:sz w:val="20"/>
                <w:szCs w:val="22"/>
              </w:rPr>
              <w:t>Measure</w:t>
            </w:r>
          </w:p>
        </w:tc>
        <w:tc>
          <w:tcPr>
            <w:tcW w:w="1776" w:type="dxa"/>
          </w:tcPr>
          <w:p w14:paraId="025E039E" w14:textId="43EB2124" w:rsidR="004A7E8E" w:rsidRPr="00CD6B04" w:rsidRDefault="003D5C38" w:rsidP="00505C95">
            <w:pPr>
              <w:pStyle w:val="BodyCopy"/>
              <w:rPr>
                <w:b/>
                <w:bCs/>
                <w:sz w:val="20"/>
                <w:szCs w:val="22"/>
              </w:rPr>
            </w:pPr>
            <w:r>
              <w:rPr>
                <w:b/>
                <w:bCs/>
                <w:sz w:val="20"/>
                <w:szCs w:val="22"/>
              </w:rPr>
              <w:t>Updated status quo</w:t>
            </w:r>
          </w:p>
        </w:tc>
        <w:tc>
          <w:tcPr>
            <w:tcW w:w="1776" w:type="dxa"/>
          </w:tcPr>
          <w:p w14:paraId="6BBD6836" w14:textId="4D791741" w:rsidR="004A7E8E" w:rsidRPr="00CD6B04" w:rsidRDefault="00EB304D" w:rsidP="00505C95">
            <w:pPr>
              <w:pStyle w:val="BodyCopy"/>
              <w:rPr>
                <w:b/>
                <w:bCs/>
                <w:sz w:val="20"/>
                <w:szCs w:val="22"/>
              </w:rPr>
            </w:pPr>
            <w:r w:rsidRPr="00CD6B04">
              <w:rPr>
                <w:b/>
                <w:bCs/>
                <w:sz w:val="20"/>
                <w:szCs w:val="22"/>
              </w:rPr>
              <w:t>Option A</w:t>
            </w:r>
          </w:p>
        </w:tc>
        <w:tc>
          <w:tcPr>
            <w:tcW w:w="1776" w:type="dxa"/>
          </w:tcPr>
          <w:p w14:paraId="5C53D914" w14:textId="0A8426F1" w:rsidR="004A7E8E" w:rsidRPr="00CD6B04" w:rsidRDefault="00EB304D" w:rsidP="00505C95">
            <w:pPr>
              <w:pStyle w:val="BodyCopy"/>
              <w:rPr>
                <w:b/>
                <w:bCs/>
                <w:sz w:val="20"/>
                <w:szCs w:val="22"/>
              </w:rPr>
            </w:pPr>
            <w:r w:rsidRPr="00CD6B04">
              <w:rPr>
                <w:b/>
                <w:bCs/>
                <w:sz w:val="20"/>
                <w:szCs w:val="22"/>
              </w:rPr>
              <w:t>Option B</w:t>
            </w:r>
          </w:p>
        </w:tc>
        <w:tc>
          <w:tcPr>
            <w:tcW w:w="1777" w:type="dxa"/>
          </w:tcPr>
          <w:p w14:paraId="17BBAF9B" w14:textId="6BFDA11D" w:rsidR="004A7E8E" w:rsidRPr="00CD6B04" w:rsidRDefault="00EB304D" w:rsidP="00505C95">
            <w:pPr>
              <w:pStyle w:val="BodyCopy"/>
              <w:rPr>
                <w:b/>
                <w:bCs/>
                <w:sz w:val="20"/>
                <w:szCs w:val="22"/>
              </w:rPr>
            </w:pPr>
            <w:r w:rsidRPr="00CD6B04">
              <w:rPr>
                <w:b/>
                <w:bCs/>
                <w:sz w:val="20"/>
                <w:szCs w:val="22"/>
              </w:rPr>
              <w:t>Option C</w:t>
            </w:r>
          </w:p>
        </w:tc>
      </w:tr>
      <w:tr w:rsidR="004A7E8E" w14:paraId="630FB6F9" w14:textId="77777777" w:rsidTr="00357D40">
        <w:tc>
          <w:tcPr>
            <w:tcW w:w="1922" w:type="dxa"/>
          </w:tcPr>
          <w:p w14:paraId="125F74E4" w14:textId="431BF93E" w:rsidR="004A7E8E" w:rsidRPr="00C4270B" w:rsidRDefault="003A6CF0" w:rsidP="00505C95">
            <w:pPr>
              <w:pStyle w:val="BodyCopy"/>
              <w:rPr>
                <w:sz w:val="20"/>
                <w:szCs w:val="22"/>
              </w:rPr>
            </w:pPr>
            <w:r w:rsidRPr="00C4270B">
              <w:rPr>
                <w:sz w:val="20"/>
                <w:szCs w:val="22"/>
              </w:rPr>
              <w:t xml:space="preserve">Total </w:t>
            </w:r>
            <w:r w:rsidR="006F506B" w:rsidRPr="00C4270B">
              <w:rPr>
                <w:sz w:val="20"/>
                <w:szCs w:val="22"/>
              </w:rPr>
              <w:t>road expenditure for allocation</w:t>
            </w:r>
            <w:r w:rsidR="00C57091" w:rsidRPr="00C4270B">
              <w:rPr>
                <w:sz w:val="20"/>
                <w:szCs w:val="22"/>
              </w:rPr>
              <w:t>, 7-year EMA</w:t>
            </w:r>
            <w:r w:rsidR="006F506B" w:rsidRPr="00C4270B">
              <w:rPr>
                <w:sz w:val="20"/>
                <w:szCs w:val="22"/>
              </w:rPr>
              <w:t xml:space="preserve"> </w:t>
            </w:r>
            <w:r w:rsidR="00E1177D" w:rsidRPr="00C4270B">
              <w:rPr>
                <w:sz w:val="20"/>
                <w:szCs w:val="22"/>
              </w:rPr>
              <w:t>($m)</w:t>
            </w:r>
          </w:p>
        </w:tc>
        <w:tc>
          <w:tcPr>
            <w:tcW w:w="1776" w:type="dxa"/>
            <w:vAlign w:val="center"/>
          </w:tcPr>
          <w:p w14:paraId="7313FE2E" w14:textId="2E6332B4" w:rsidR="004A7E8E" w:rsidRPr="00C4270B" w:rsidRDefault="001807F8" w:rsidP="00AF7B68">
            <w:pPr>
              <w:pStyle w:val="BodyCopy"/>
              <w:jc w:val="center"/>
              <w:rPr>
                <w:sz w:val="20"/>
                <w:szCs w:val="22"/>
              </w:rPr>
            </w:pPr>
            <w:r w:rsidRPr="001807F8">
              <w:rPr>
                <w:sz w:val="20"/>
                <w:szCs w:val="22"/>
              </w:rPr>
              <w:t>20,639</w:t>
            </w:r>
          </w:p>
        </w:tc>
        <w:tc>
          <w:tcPr>
            <w:tcW w:w="1776" w:type="dxa"/>
            <w:vAlign w:val="center"/>
          </w:tcPr>
          <w:p w14:paraId="610B231E" w14:textId="2E9CE7F4" w:rsidR="004A7E8E" w:rsidRPr="00C4270B" w:rsidRDefault="00905948" w:rsidP="00AF7B68">
            <w:pPr>
              <w:pStyle w:val="BodyCopy"/>
              <w:jc w:val="center"/>
              <w:rPr>
                <w:sz w:val="20"/>
                <w:szCs w:val="22"/>
              </w:rPr>
            </w:pPr>
            <w:r w:rsidRPr="00905948">
              <w:rPr>
                <w:sz w:val="20"/>
                <w:szCs w:val="22"/>
              </w:rPr>
              <w:t>20,639</w:t>
            </w:r>
          </w:p>
        </w:tc>
        <w:tc>
          <w:tcPr>
            <w:tcW w:w="1776" w:type="dxa"/>
            <w:vAlign w:val="center"/>
          </w:tcPr>
          <w:p w14:paraId="034F3235" w14:textId="547B36D5" w:rsidR="004A7E8E" w:rsidRPr="00C4270B" w:rsidRDefault="00442849" w:rsidP="00AF7B68">
            <w:pPr>
              <w:pStyle w:val="BodyCopy"/>
              <w:jc w:val="center"/>
              <w:rPr>
                <w:sz w:val="20"/>
                <w:szCs w:val="22"/>
              </w:rPr>
            </w:pPr>
            <w:r w:rsidRPr="00442849">
              <w:rPr>
                <w:sz w:val="20"/>
                <w:szCs w:val="22"/>
              </w:rPr>
              <w:t>20,639</w:t>
            </w:r>
          </w:p>
        </w:tc>
        <w:tc>
          <w:tcPr>
            <w:tcW w:w="1777" w:type="dxa"/>
            <w:vAlign w:val="center"/>
          </w:tcPr>
          <w:p w14:paraId="1045DBD8" w14:textId="15F37641" w:rsidR="004A7E8E" w:rsidRPr="00C4270B" w:rsidRDefault="00442849" w:rsidP="00AF7B68">
            <w:pPr>
              <w:pStyle w:val="BodyCopy"/>
              <w:jc w:val="center"/>
              <w:rPr>
                <w:sz w:val="20"/>
                <w:szCs w:val="22"/>
              </w:rPr>
            </w:pPr>
            <w:r w:rsidRPr="00442849">
              <w:rPr>
                <w:sz w:val="20"/>
                <w:szCs w:val="22"/>
              </w:rPr>
              <w:t>20,639</w:t>
            </w:r>
          </w:p>
        </w:tc>
      </w:tr>
      <w:tr w:rsidR="000D51FF" w14:paraId="33E800FA" w14:textId="77777777" w:rsidTr="00357D40">
        <w:tc>
          <w:tcPr>
            <w:tcW w:w="1922" w:type="dxa"/>
          </w:tcPr>
          <w:p w14:paraId="6CEB6691" w14:textId="700AC7BA" w:rsidR="000D51FF" w:rsidRPr="00C4270B" w:rsidRDefault="000D51FF" w:rsidP="000D51FF">
            <w:pPr>
              <w:pStyle w:val="BodyCopy"/>
              <w:rPr>
                <w:sz w:val="20"/>
                <w:szCs w:val="22"/>
              </w:rPr>
            </w:pPr>
            <w:r w:rsidRPr="00C4270B">
              <w:rPr>
                <w:sz w:val="20"/>
                <w:szCs w:val="22"/>
              </w:rPr>
              <w:t>Heavy vehicle cost base ($m)</w:t>
            </w:r>
          </w:p>
        </w:tc>
        <w:tc>
          <w:tcPr>
            <w:tcW w:w="1776" w:type="dxa"/>
            <w:vAlign w:val="center"/>
          </w:tcPr>
          <w:p w14:paraId="1DCAA909" w14:textId="380C4C2B" w:rsidR="000D51FF" w:rsidRPr="002E7E25" w:rsidRDefault="000D51FF" w:rsidP="000D51FF">
            <w:pPr>
              <w:pStyle w:val="BodyCopy"/>
              <w:jc w:val="center"/>
              <w:rPr>
                <w:sz w:val="20"/>
                <w:szCs w:val="22"/>
              </w:rPr>
            </w:pPr>
            <w:r w:rsidRPr="00BD61D2">
              <w:rPr>
                <w:sz w:val="20"/>
                <w:szCs w:val="22"/>
              </w:rPr>
              <w:t>4,363</w:t>
            </w:r>
          </w:p>
        </w:tc>
        <w:tc>
          <w:tcPr>
            <w:tcW w:w="1776" w:type="dxa"/>
            <w:vAlign w:val="center"/>
          </w:tcPr>
          <w:p w14:paraId="02C38887" w14:textId="4AD2DC12" w:rsidR="000D51FF" w:rsidRPr="00C4270B" w:rsidRDefault="000D51FF" w:rsidP="000D51FF">
            <w:pPr>
              <w:pStyle w:val="BodyCopy"/>
              <w:jc w:val="center"/>
              <w:rPr>
                <w:sz w:val="20"/>
                <w:szCs w:val="22"/>
              </w:rPr>
            </w:pPr>
            <w:r w:rsidRPr="00BD61D2">
              <w:rPr>
                <w:sz w:val="20"/>
                <w:szCs w:val="22"/>
              </w:rPr>
              <w:t>4,217</w:t>
            </w:r>
          </w:p>
        </w:tc>
        <w:tc>
          <w:tcPr>
            <w:tcW w:w="1776" w:type="dxa"/>
            <w:vAlign w:val="center"/>
          </w:tcPr>
          <w:p w14:paraId="225956BF" w14:textId="16517F33" w:rsidR="000D51FF" w:rsidRPr="00C4270B" w:rsidRDefault="000D51FF" w:rsidP="000D51FF">
            <w:pPr>
              <w:pStyle w:val="BodyCopy"/>
              <w:jc w:val="center"/>
              <w:rPr>
                <w:sz w:val="20"/>
                <w:szCs w:val="22"/>
              </w:rPr>
            </w:pPr>
            <w:r w:rsidRPr="00BD61D2">
              <w:rPr>
                <w:sz w:val="20"/>
                <w:szCs w:val="22"/>
              </w:rPr>
              <w:t>4,516</w:t>
            </w:r>
          </w:p>
        </w:tc>
        <w:tc>
          <w:tcPr>
            <w:tcW w:w="1777" w:type="dxa"/>
            <w:vAlign w:val="center"/>
          </w:tcPr>
          <w:p w14:paraId="58619D9A" w14:textId="4F898724" w:rsidR="000D51FF" w:rsidRPr="00C4270B" w:rsidRDefault="000D51FF" w:rsidP="005E1016">
            <w:pPr>
              <w:pStyle w:val="BodyCopy"/>
              <w:jc w:val="center"/>
              <w:rPr>
                <w:sz w:val="20"/>
                <w:szCs w:val="22"/>
              </w:rPr>
            </w:pPr>
            <w:r w:rsidRPr="00BD61D2">
              <w:rPr>
                <w:sz w:val="20"/>
                <w:szCs w:val="22"/>
              </w:rPr>
              <w:t>4,919</w:t>
            </w:r>
          </w:p>
        </w:tc>
      </w:tr>
      <w:tr w:rsidR="005E1016" w14:paraId="7B708707" w14:textId="77777777" w:rsidTr="00357D40">
        <w:tc>
          <w:tcPr>
            <w:tcW w:w="1922" w:type="dxa"/>
          </w:tcPr>
          <w:p w14:paraId="667A3D1A" w14:textId="3FC13F29" w:rsidR="005E1016" w:rsidRPr="00C4270B" w:rsidRDefault="005E1016" w:rsidP="005E1016">
            <w:pPr>
              <w:pStyle w:val="BodyCopy"/>
              <w:rPr>
                <w:sz w:val="20"/>
                <w:szCs w:val="22"/>
              </w:rPr>
            </w:pPr>
            <w:r w:rsidRPr="00C4270B">
              <w:rPr>
                <w:sz w:val="20"/>
                <w:szCs w:val="22"/>
              </w:rPr>
              <w:t>Percentage of total expenditure allocated to heavy vehicles (%)</w:t>
            </w:r>
          </w:p>
        </w:tc>
        <w:tc>
          <w:tcPr>
            <w:tcW w:w="1776" w:type="dxa"/>
            <w:vAlign w:val="center"/>
          </w:tcPr>
          <w:p w14:paraId="7A86F6D1" w14:textId="6A125215" w:rsidR="005E1016" w:rsidRPr="002E7E25" w:rsidRDefault="005E1016" w:rsidP="005E1016">
            <w:pPr>
              <w:pStyle w:val="BodyCopy"/>
              <w:jc w:val="center"/>
              <w:rPr>
                <w:sz w:val="20"/>
                <w:szCs w:val="22"/>
              </w:rPr>
            </w:pPr>
            <w:r w:rsidRPr="00BD61D2">
              <w:rPr>
                <w:sz w:val="20"/>
                <w:szCs w:val="22"/>
              </w:rPr>
              <w:t>21.1</w:t>
            </w:r>
          </w:p>
        </w:tc>
        <w:tc>
          <w:tcPr>
            <w:tcW w:w="1776" w:type="dxa"/>
            <w:vAlign w:val="center"/>
          </w:tcPr>
          <w:p w14:paraId="26B7B11B" w14:textId="50132B78" w:rsidR="005E1016" w:rsidRPr="00C4270B" w:rsidRDefault="005E1016" w:rsidP="005E1016">
            <w:pPr>
              <w:pStyle w:val="BodyCopy"/>
              <w:jc w:val="center"/>
              <w:rPr>
                <w:sz w:val="20"/>
                <w:szCs w:val="22"/>
              </w:rPr>
            </w:pPr>
            <w:r w:rsidRPr="00BD61D2">
              <w:rPr>
                <w:sz w:val="20"/>
                <w:szCs w:val="22"/>
              </w:rPr>
              <w:t>20.4</w:t>
            </w:r>
          </w:p>
        </w:tc>
        <w:tc>
          <w:tcPr>
            <w:tcW w:w="1776" w:type="dxa"/>
            <w:vAlign w:val="center"/>
          </w:tcPr>
          <w:p w14:paraId="701211FA" w14:textId="225BE7C7" w:rsidR="005E1016" w:rsidRPr="00C4270B" w:rsidRDefault="005E1016" w:rsidP="002132C5">
            <w:pPr>
              <w:pStyle w:val="BodyCopy"/>
              <w:jc w:val="center"/>
              <w:rPr>
                <w:sz w:val="20"/>
                <w:szCs w:val="22"/>
              </w:rPr>
            </w:pPr>
            <w:r w:rsidRPr="00BD61D2">
              <w:rPr>
                <w:sz w:val="20"/>
                <w:szCs w:val="22"/>
              </w:rPr>
              <w:t>21.9</w:t>
            </w:r>
          </w:p>
        </w:tc>
        <w:tc>
          <w:tcPr>
            <w:tcW w:w="1777" w:type="dxa"/>
            <w:vAlign w:val="center"/>
          </w:tcPr>
          <w:p w14:paraId="0048945E" w14:textId="76980107" w:rsidR="005E1016" w:rsidRPr="00C4270B" w:rsidRDefault="005E1016" w:rsidP="002132C5">
            <w:pPr>
              <w:pStyle w:val="BodyCopy"/>
              <w:jc w:val="center"/>
              <w:rPr>
                <w:sz w:val="20"/>
                <w:szCs w:val="22"/>
              </w:rPr>
            </w:pPr>
            <w:r w:rsidRPr="00BD61D2">
              <w:rPr>
                <w:sz w:val="20"/>
                <w:szCs w:val="22"/>
              </w:rPr>
              <w:t>23.8</w:t>
            </w:r>
          </w:p>
        </w:tc>
      </w:tr>
    </w:tbl>
    <w:p w14:paraId="1B247734" w14:textId="6FD293D9" w:rsidR="00AD7B56" w:rsidRPr="000A7398" w:rsidRDefault="00AD7B56" w:rsidP="00505C95">
      <w:pPr>
        <w:pStyle w:val="BodyCopy"/>
        <w:rPr>
          <w:sz w:val="16"/>
          <w:szCs w:val="18"/>
        </w:rPr>
      </w:pPr>
      <w:r>
        <w:rPr>
          <w:sz w:val="16"/>
          <w:szCs w:val="18"/>
        </w:rPr>
        <w:t>Note: Numbers in the</w:t>
      </w:r>
      <w:r w:rsidR="00890A87">
        <w:rPr>
          <w:sz w:val="16"/>
          <w:szCs w:val="18"/>
        </w:rPr>
        <w:t xml:space="preserve"> updated</w:t>
      </w:r>
      <w:r>
        <w:rPr>
          <w:sz w:val="16"/>
          <w:szCs w:val="18"/>
        </w:rPr>
        <w:t xml:space="preserve"> status quo </w:t>
      </w:r>
      <w:r w:rsidR="00994FB0">
        <w:rPr>
          <w:sz w:val="16"/>
          <w:szCs w:val="18"/>
        </w:rPr>
        <w:t>column use existing model settings from prior to the determination (</w:t>
      </w:r>
      <w:r w:rsidR="00C24A7E">
        <w:rPr>
          <w:sz w:val="16"/>
          <w:szCs w:val="18"/>
        </w:rPr>
        <w:t>e.g.</w:t>
      </w:r>
      <w:r w:rsidR="00994FB0">
        <w:rPr>
          <w:sz w:val="16"/>
          <w:szCs w:val="18"/>
        </w:rPr>
        <w:t xml:space="preserve"> applying MaxMan)</w:t>
      </w:r>
      <w:r w:rsidR="006C42B4">
        <w:rPr>
          <w:sz w:val="16"/>
          <w:szCs w:val="18"/>
        </w:rPr>
        <w:t xml:space="preserve">. This serves as a basis for comparison for </w:t>
      </w:r>
      <w:r w:rsidR="00C24A7E">
        <w:rPr>
          <w:sz w:val="16"/>
          <w:szCs w:val="18"/>
        </w:rPr>
        <w:t>o</w:t>
      </w:r>
      <w:r w:rsidR="006C42B4">
        <w:rPr>
          <w:sz w:val="16"/>
          <w:szCs w:val="18"/>
        </w:rPr>
        <w:t>ptions A, B and C</w:t>
      </w:r>
      <w:r w:rsidR="00AB2D53">
        <w:rPr>
          <w:sz w:val="16"/>
          <w:szCs w:val="18"/>
        </w:rPr>
        <w:t>, which inco</w:t>
      </w:r>
      <w:r w:rsidR="001F272B">
        <w:rPr>
          <w:sz w:val="16"/>
          <w:szCs w:val="18"/>
        </w:rPr>
        <w:t>rporate the technical changes</w:t>
      </w:r>
      <w:r w:rsidR="00A14864">
        <w:rPr>
          <w:sz w:val="16"/>
          <w:szCs w:val="18"/>
        </w:rPr>
        <w:t>.</w:t>
      </w:r>
    </w:p>
    <w:p w14:paraId="58EE8517" w14:textId="73BA6C79" w:rsidR="0034470E" w:rsidRDefault="00F179D2" w:rsidP="00505C95">
      <w:pPr>
        <w:pStyle w:val="BodyCopy"/>
      </w:pPr>
      <w:r>
        <w:lastRenderedPageBreak/>
        <w:t xml:space="preserve">The status quo uses updated </w:t>
      </w:r>
      <w:r w:rsidR="002132C5">
        <w:t xml:space="preserve">expenditure data and </w:t>
      </w:r>
      <w:r>
        <w:t xml:space="preserve">usage data from the 2020 SMVU but otherwise leaves </w:t>
      </w:r>
      <w:r w:rsidR="00313F2D">
        <w:t xml:space="preserve">the PAYGO </w:t>
      </w:r>
      <w:r>
        <w:t>model</w:t>
      </w:r>
      <w:r w:rsidR="00313F2D">
        <w:t>’s</w:t>
      </w:r>
      <w:r>
        <w:t xml:space="preserve"> settings unchanged from the previous determination. </w:t>
      </w:r>
    </w:p>
    <w:p w14:paraId="61769B6F" w14:textId="3BF5DAF9" w:rsidR="0034470E" w:rsidRDefault="00F179D2" w:rsidP="00505C95">
      <w:pPr>
        <w:pStyle w:val="BodyCopy"/>
      </w:pPr>
      <w:r>
        <w:t xml:space="preserve">Options A, B and C each have a different cost allocation approach, as well as making various changes to model settings in line with the recommendations in chapter </w:t>
      </w:r>
      <w:r>
        <w:fldChar w:fldCharType="begin"/>
      </w:r>
      <w:r>
        <w:instrText xml:space="preserve"> REF _Ref59548332 \r \h </w:instrText>
      </w:r>
      <w:r>
        <w:fldChar w:fldCharType="separate"/>
      </w:r>
      <w:r w:rsidR="00225EEA">
        <w:t>4</w:t>
      </w:r>
      <w:r>
        <w:fldChar w:fldCharType="end"/>
      </w:r>
      <w:r>
        <w:t xml:space="preserve">. </w:t>
      </w:r>
      <w:r w:rsidR="000E3D9B">
        <w:t>The</w:t>
      </w:r>
      <w:r>
        <w:t xml:space="preserve"> impact</w:t>
      </w:r>
      <w:r w:rsidR="000E3D9B">
        <w:t xml:space="preserve"> of these changes</w:t>
      </w:r>
      <w:r>
        <w:t xml:space="preserve"> on the heavy vehicle cost base</w:t>
      </w:r>
      <w:r w:rsidR="000E3D9B">
        <w:t xml:space="preserve"> is</w:t>
      </w:r>
      <w:r>
        <w:t xml:space="preserve"> shown in</w:t>
      </w:r>
      <w:r w:rsidR="004039DA">
        <w:t xml:space="preserve"> </w:t>
      </w:r>
      <w:r w:rsidR="004039DA">
        <w:fldChar w:fldCharType="begin"/>
      </w:r>
      <w:r w:rsidR="004039DA">
        <w:instrText xml:space="preserve"> REF _Ref81991531 \r \h </w:instrText>
      </w:r>
      <w:r w:rsidR="004039DA">
        <w:fldChar w:fldCharType="separate"/>
      </w:r>
      <w:r w:rsidR="00225EEA">
        <w:t>Figure 8</w:t>
      </w:r>
      <w:r w:rsidR="004039DA">
        <w:fldChar w:fldCharType="end"/>
      </w:r>
      <w:r w:rsidR="000E3D9B">
        <w:t xml:space="preserve">, with an endpoint of the cost allocation </w:t>
      </w:r>
      <w:r w:rsidR="00314A7D">
        <w:t>o</w:t>
      </w:r>
      <w:r w:rsidR="000E3D9B">
        <w:t xml:space="preserve">ption B cost base. </w:t>
      </w:r>
    </w:p>
    <w:p w14:paraId="7A101B41" w14:textId="2A42A463" w:rsidR="00F179D2" w:rsidRDefault="000E3D9B" w:rsidP="00505C95">
      <w:pPr>
        <w:pStyle w:val="BodyCopy"/>
      </w:pPr>
      <w:r>
        <w:t xml:space="preserve">The cost base under cost allocation </w:t>
      </w:r>
      <w:r w:rsidR="00C24A7E">
        <w:t>o</w:t>
      </w:r>
      <w:r>
        <w:t xml:space="preserve">ption A </w:t>
      </w:r>
      <w:r w:rsidR="00313F2D">
        <w:t>($</w:t>
      </w:r>
      <w:r w:rsidR="003228D0">
        <w:t>4</w:t>
      </w:r>
      <w:r w:rsidR="00313F2D">
        <w:t>.</w:t>
      </w:r>
      <w:r w:rsidR="003228D0">
        <w:t>217</w:t>
      </w:r>
      <w:r w:rsidR="00C24A7E">
        <w:t xml:space="preserve"> </w:t>
      </w:r>
      <w:r w:rsidR="00313F2D">
        <w:t>b</w:t>
      </w:r>
      <w:r w:rsidR="00C24A7E">
        <w:t>illion</w:t>
      </w:r>
      <w:r w:rsidR="00313F2D">
        <w:t xml:space="preserve">) </w:t>
      </w:r>
      <w:r>
        <w:t xml:space="preserve">is </w:t>
      </w:r>
      <w:r w:rsidR="00313F2D">
        <w:t>l</w:t>
      </w:r>
      <w:r>
        <w:t xml:space="preserve">ower </w:t>
      </w:r>
      <w:r w:rsidR="00313F2D">
        <w:t xml:space="preserve">than the </w:t>
      </w:r>
      <w:r w:rsidR="001A2885">
        <w:t>updated status quo</w:t>
      </w:r>
      <w:r w:rsidR="00313F2D">
        <w:t>, primarily due to incorporati</w:t>
      </w:r>
      <w:r w:rsidR="0074009C">
        <w:t>ng</w:t>
      </w:r>
      <w:r w:rsidR="00313F2D">
        <w:t xml:space="preserve"> AGM values for light vehicles (which more than offsets the increases that occur under various other changes). However, the cost allocation approach under </w:t>
      </w:r>
      <w:r w:rsidR="00C24A7E">
        <w:t>o</w:t>
      </w:r>
      <w:r w:rsidR="00313F2D">
        <w:t>ption B adds $2</w:t>
      </w:r>
      <w:r w:rsidR="002E1294">
        <w:t>98</w:t>
      </w:r>
      <w:r w:rsidR="00C24A7E">
        <w:t xml:space="preserve"> </w:t>
      </w:r>
      <w:r w:rsidR="00313F2D">
        <w:t>m</w:t>
      </w:r>
      <w:r w:rsidR="00C24A7E">
        <w:t>illion</w:t>
      </w:r>
      <w:r w:rsidR="00313F2D">
        <w:t xml:space="preserve"> to the heavy vehicle cost, meaning that</w:t>
      </w:r>
      <w:r w:rsidR="00A41072">
        <w:t>,</w:t>
      </w:r>
      <w:r w:rsidR="00313F2D">
        <w:t xml:space="preserve"> overall</w:t>
      </w:r>
      <w:r w:rsidR="00A41072">
        <w:t>,</w:t>
      </w:r>
      <w:r w:rsidR="00313F2D">
        <w:t xml:space="preserve"> the cost base</w:t>
      </w:r>
      <w:r w:rsidR="007C2428">
        <w:t xml:space="preserve"> under this option</w:t>
      </w:r>
      <w:r w:rsidR="00313F2D">
        <w:t xml:space="preserve"> has increased relative to the</w:t>
      </w:r>
      <w:r w:rsidR="00D9428A">
        <w:t xml:space="preserve"> updated</w:t>
      </w:r>
      <w:r w:rsidR="00313F2D">
        <w:t xml:space="preserve"> status quo.</w:t>
      </w:r>
      <w:r>
        <w:t xml:space="preserve"> Note that each impact</w:t>
      </w:r>
      <w:r w:rsidR="00313F2D">
        <w:t xml:space="preserve"> in </w:t>
      </w:r>
      <w:r w:rsidR="00387BB9">
        <w:fldChar w:fldCharType="begin"/>
      </w:r>
      <w:r w:rsidR="00387BB9">
        <w:instrText xml:space="preserve"> REF _Ref82165751 \r \h </w:instrText>
      </w:r>
      <w:r w:rsidR="00387BB9">
        <w:fldChar w:fldCharType="separate"/>
      </w:r>
      <w:r w:rsidR="00225EEA">
        <w:t>Figure 8</w:t>
      </w:r>
      <w:r w:rsidR="00387BB9">
        <w:fldChar w:fldCharType="end"/>
      </w:r>
      <w:r>
        <w:t xml:space="preserve"> has been calculated sequentially, in the order shown</w:t>
      </w:r>
      <w:r w:rsidR="00313F2D">
        <w:t xml:space="preserve"> when moving from left to right</w:t>
      </w:r>
      <w:r>
        <w:t>.</w:t>
      </w:r>
      <w:r w:rsidR="00313F2D">
        <w:rPr>
          <w:rStyle w:val="FootnoteReference"/>
        </w:rPr>
        <w:footnoteReference w:id="20"/>
      </w:r>
      <w:r w:rsidR="00830D17">
        <w:t xml:space="preserve"> </w:t>
      </w:r>
    </w:p>
    <w:p w14:paraId="47B21DC3" w14:textId="758D6922" w:rsidR="00F179D2" w:rsidRDefault="000E3D9B" w:rsidP="000E3D9B">
      <w:pPr>
        <w:pStyle w:val="Figuretitle"/>
      </w:pPr>
      <w:bookmarkStart w:id="451" w:name="_Ref63677807"/>
      <w:bookmarkStart w:id="452" w:name="_Ref81991531"/>
      <w:bookmarkStart w:id="453" w:name="_Ref82165751"/>
      <w:bookmarkStart w:id="454" w:name="_Toc86158531"/>
      <w:r>
        <w:t xml:space="preserve">Impact on heavy vehicle cost base from changes </w:t>
      </w:r>
      <w:r w:rsidR="00736F9D">
        <w:t>considered</w:t>
      </w:r>
      <w:r>
        <w:t xml:space="preserve"> in this </w:t>
      </w:r>
      <w:r w:rsidR="0074009C">
        <w:t>D-</w:t>
      </w:r>
      <w:r>
        <w:t>RIS</w:t>
      </w:r>
      <w:bookmarkEnd w:id="451"/>
      <w:r w:rsidR="003F761D">
        <w:t xml:space="preserve"> ($m)</w:t>
      </w:r>
      <w:bookmarkEnd w:id="452"/>
      <w:bookmarkEnd w:id="453"/>
      <w:bookmarkEnd w:id="454"/>
    </w:p>
    <w:p w14:paraId="3CE69833" w14:textId="25E56BB5" w:rsidR="000E3D9B" w:rsidRPr="000E3D9B" w:rsidRDefault="00B60A32" w:rsidP="000E3D9B">
      <w:pPr>
        <w:pStyle w:val="BodyCopy"/>
      </w:pPr>
      <w:r>
        <w:rPr>
          <w:noProof/>
          <w:lang w:eastAsia="en-AU"/>
        </w:rPr>
        <w:drawing>
          <wp:inline distT="0" distB="0" distL="0" distR="0" wp14:anchorId="6D61B812" wp14:editId="56811B23">
            <wp:extent cx="5732145" cy="3044532"/>
            <wp:effectExtent l="0" t="0" r="1905" b="3810"/>
            <wp:docPr id="2" name="Picture 2" descr="Waterfall chart showing the impacts of various changes considered in this RIS. The updated status quo cost base ($4,363m) is decreased by updated AGM data ($240m), increased by updated ESA factors ($109m), decreased by removing MaxMan ($26m), increased by removing the CSO discount ($12m), and increased by using the modified current cost allocation approach ($298m), for a total heavy vehicle cost base of $4,51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terfall chart showing the impacts of various changes considered in this RIS. The updated status quo cost base ($4,363m) is decreased by updated AGM data ($240m), increased by updated ESA factors ($109m), decreased by removing MaxMan ($26m), increased by removing the CSO discount ($12m), and increased by using the modified current cost allocation approach ($298m), for a total heavy vehicle cost base of $4,516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3044532"/>
                    </a:xfrm>
                    <a:prstGeom prst="rect">
                      <a:avLst/>
                    </a:prstGeom>
                    <a:noFill/>
                  </pic:spPr>
                </pic:pic>
              </a:graphicData>
            </a:graphic>
          </wp:inline>
        </w:drawing>
      </w:r>
    </w:p>
    <w:p w14:paraId="1C4C1D71" w14:textId="2D209F18" w:rsidR="0034470E" w:rsidRPr="0034470E" w:rsidRDefault="0034470E" w:rsidP="0034470E">
      <w:pPr>
        <w:pStyle w:val="BodyCopy"/>
      </w:pPr>
      <w:r>
        <w:t>Using the VIC DTF/DOT cost allocation matrix increases the cost base by a further $</w:t>
      </w:r>
      <w:r w:rsidR="00F206ED">
        <w:t xml:space="preserve">403 </w:t>
      </w:r>
      <w:r>
        <w:t>m</w:t>
      </w:r>
      <w:r w:rsidR="00C24A7E">
        <w:t>illion</w:t>
      </w:r>
      <w:r>
        <w:t xml:space="preserve"> to $4.</w:t>
      </w:r>
      <w:r w:rsidR="00F206ED">
        <w:t>919</w:t>
      </w:r>
      <w:r w:rsidR="00B25452">
        <w:t xml:space="preserve"> billion</w:t>
      </w:r>
      <w:r>
        <w:t xml:space="preserve"> under the </w:t>
      </w:r>
      <w:r w:rsidR="00C24A7E">
        <w:t>o</w:t>
      </w:r>
      <w:r>
        <w:t>ption C cost base.</w:t>
      </w:r>
      <w:r w:rsidR="00830D17">
        <w:t xml:space="preserve"> </w:t>
      </w:r>
    </w:p>
    <w:p w14:paraId="29326E1D" w14:textId="77777777" w:rsidR="002C619B" w:rsidRDefault="002C619B" w:rsidP="002C619B">
      <w:pPr>
        <w:pStyle w:val="Heading2"/>
      </w:pPr>
      <w:bookmarkStart w:id="455" w:name="_Ref64036246"/>
      <w:bookmarkStart w:id="456" w:name="_Toc86158483"/>
      <w:r>
        <w:t>Assessment of determination options</w:t>
      </w:r>
      <w:bookmarkEnd w:id="455"/>
      <w:bookmarkEnd w:id="456"/>
    </w:p>
    <w:p w14:paraId="0EB7133F" w14:textId="77777777" w:rsidR="002C619B" w:rsidRDefault="002C619B" w:rsidP="002C619B">
      <w:pPr>
        <w:pStyle w:val="Heading3"/>
      </w:pPr>
      <w:bookmarkStart w:id="457" w:name="_Toc86158484"/>
      <w:r>
        <w:t>Economic considerations</w:t>
      </w:r>
      <w:bookmarkEnd w:id="457"/>
    </w:p>
    <w:p w14:paraId="206A2105" w14:textId="4B1CE438" w:rsidR="002C619B" w:rsidRDefault="002C619B" w:rsidP="002C619B">
      <w:pPr>
        <w:pStyle w:val="BodyCopy"/>
      </w:pPr>
      <w:r>
        <w:t>As outlined in section</w:t>
      </w:r>
      <w:r w:rsidR="00FF32ED">
        <w:t xml:space="preserve"> </w:t>
      </w:r>
      <w:r w:rsidR="00FF32ED">
        <w:fldChar w:fldCharType="begin"/>
      </w:r>
      <w:r w:rsidR="00FF32ED">
        <w:instrText xml:space="preserve"> REF _Ref66366922 \r \h </w:instrText>
      </w:r>
      <w:r w:rsidR="00FF32ED">
        <w:fldChar w:fldCharType="separate"/>
      </w:r>
      <w:r w:rsidR="00225EEA">
        <w:t>4.7.5</w:t>
      </w:r>
      <w:r w:rsidR="00FF32ED">
        <w:fldChar w:fldCharType="end"/>
      </w:r>
      <w:r>
        <w:t xml:space="preserve">, all three options are likely to fall within the wide range for achieving economic efficiency </w:t>
      </w:r>
      <w:r w:rsidR="00A41072">
        <w:t xml:space="preserve">that </w:t>
      </w:r>
      <w:r>
        <w:t>lies between recovering a minimum of incremental cost and a maximum of standalone cost.</w:t>
      </w:r>
      <w:r w:rsidR="00830D17">
        <w:t xml:space="preserve"> </w:t>
      </w:r>
    </w:p>
    <w:p w14:paraId="6EE7761E" w14:textId="485545FF" w:rsidR="002C619B" w:rsidRDefault="002C619B" w:rsidP="002C619B">
      <w:pPr>
        <w:pStyle w:val="BodyCopy"/>
      </w:pPr>
      <w:r>
        <w:lastRenderedPageBreak/>
        <w:t xml:space="preserve">From this perspective, there is no clearly superior option. However, the </w:t>
      </w:r>
      <w:r w:rsidR="009D73C4">
        <w:t>options would potentially have significantly different financial and economic impacts for governments and industr</w:t>
      </w:r>
      <w:r w:rsidR="008D26DB">
        <w:t>y</w:t>
      </w:r>
      <w:r w:rsidR="009D73C4">
        <w:t>.</w:t>
      </w:r>
      <w:r w:rsidR="00830D17">
        <w:t xml:space="preserve"> </w:t>
      </w:r>
      <w:r w:rsidR="009D73C4">
        <w:t>The choice between determination options must therefore be based on an assessment of the overall impact of the option.</w:t>
      </w:r>
    </w:p>
    <w:p w14:paraId="5AFA54E7" w14:textId="1DAE4D2E" w:rsidR="009D73C4" w:rsidRDefault="00CD3B16" w:rsidP="002C619B">
      <w:pPr>
        <w:pStyle w:val="BodyCopy"/>
      </w:pPr>
      <w:r>
        <w:t>T</w:t>
      </w:r>
      <w:r w:rsidR="009D73C4">
        <w:t xml:space="preserve">he identified heavy vehicle cost </w:t>
      </w:r>
      <w:r>
        <w:t>bases are</w:t>
      </w:r>
      <w:r w:rsidR="009D73C4">
        <w:t xml:space="preserve"> $</w:t>
      </w:r>
      <w:r w:rsidR="00CF2284">
        <w:t>4</w:t>
      </w:r>
      <w:r w:rsidR="005B1237">
        <w:t>.</w:t>
      </w:r>
      <w:r w:rsidR="00CF2284">
        <w:t>22</w:t>
      </w:r>
      <w:r w:rsidR="00B25452">
        <w:t xml:space="preserve"> billion</w:t>
      </w:r>
      <w:r w:rsidR="009D73C4">
        <w:t xml:space="preserve"> for </w:t>
      </w:r>
      <w:r w:rsidR="00C24A7E">
        <w:t>o</w:t>
      </w:r>
      <w:r w:rsidR="009D73C4">
        <w:t>ption A</w:t>
      </w:r>
      <w:r>
        <w:t xml:space="preserve">, </w:t>
      </w:r>
      <w:r w:rsidR="009D73C4">
        <w:t>$</w:t>
      </w:r>
      <w:r w:rsidR="005B1237" w:rsidRPr="005B1237">
        <w:t>4</w:t>
      </w:r>
      <w:r w:rsidR="005B1237">
        <w:t>.</w:t>
      </w:r>
      <w:r w:rsidR="00F47909">
        <w:t>5</w:t>
      </w:r>
      <w:r w:rsidR="001F7DFC">
        <w:t>2</w:t>
      </w:r>
      <w:r w:rsidR="00C24A7E">
        <w:t xml:space="preserve"> </w:t>
      </w:r>
      <w:r w:rsidR="009D73C4">
        <w:t>b</w:t>
      </w:r>
      <w:r w:rsidR="00C24A7E">
        <w:t>illion</w:t>
      </w:r>
      <w:r w:rsidR="009D73C4">
        <w:t xml:space="preserve"> for </w:t>
      </w:r>
      <w:r w:rsidR="00C24A7E">
        <w:t>o</w:t>
      </w:r>
      <w:r w:rsidR="009D73C4">
        <w:t>ption</w:t>
      </w:r>
      <w:r>
        <w:t> </w:t>
      </w:r>
      <w:r w:rsidR="009D73C4">
        <w:t>B</w:t>
      </w:r>
      <w:r>
        <w:t xml:space="preserve"> </w:t>
      </w:r>
      <w:r w:rsidR="001C6F44">
        <w:t>and $</w:t>
      </w:r>
      <w:r w:rsidR="005B1237" w:rsidRPr="005B1237">
        <w:t>4</w:t>
      </w:r>
      <w:r w:rsidR="005B1237">
        <w:t>.</w:t>
      </w:r>
      <w:r w:rsidR="003C2C74">
        <w:t>92</w:t>
      </w:r>
      <w:r w:rsidR="00C24A7E">
        <w:t xml:space="preserve"> </w:t>
      </w:r>
      <w:r w:rsidR="005B1237">
        <w:t>b</w:t>
      </w:r>
      <w:r w:rsidR="00C24A7E">
        <w:t>illion</w:t>
      </w:r>
      <w:r>
        <w:t xml:space="preserve"> for option C</w:t>
      </w:r>
      <w:r w:rsidR="009D73C4">
        <w:t>. Given that the cost base under all options is significantly above the revenue currently provided by heavy vehicle charges, it is unlikely that full cost recovery of the heavy vehicle cost base could be achieved immediately in 2022</w:t>
      </w:r>
      <w:r w:rsidR="00272BD6">
        <w:t>–2</w:t>
      </w:r>
      <w:r w:rsidR="009D73C4">
        <w:t>3</w:t>
      </w:r>
      <w:r w:rsidR="0034470E">
        <w:t xml:space="preserve"> under any of the three options</w:t>
      </w:r>
      <w:r w:rsidR="009D73C4">
        <w:t>.</w:t>
      </w:r>
      <w:r w:rsidR="00830D17">
        <w:t xml:space="preserve"> </w:t>
      </w:r>
    </w:p>
    <w:p w14:paraId="6441B32A" w14:textId="16637F08" w:rsidR="009D73C4" w:rsidRDefault="009D73C4" w:rsidP="009D73C4">
      <w:pPr>
        <w:pStyle w:val="BodyCopy"/>
      </w:pPr>
      <w:r>
        <w:t xml:space="preserve">Therefore, the </w:t>
      </w:r>
      <w:r w:rsidR="00EA59E9">
        <w:t xml:space="preserve">short-term implications of any change in cost allocation approach are </w:t>
      </w:r>
      <w:r>
        <w:t xml:space="preserve">likely to be limited from an economic perspective. </w:t>
      </w:r>
    </w:p>
    <w:p w14:paraId="5C5BAC4B" w14:textId="2B1AC423" w:rsidR="002C619B" w:rsidRDefault="002C619B" w:rsidP="00AF7B68">
      <w:pPr>
        <w:pStyle w:val="Heading3"/>
      </w:pPr>
      <w:bookmarkStart w:id="458" w:name="_Toc86158485"/>
      <w:r>
        <w:t>Timing and Heavy Vehicle Road Reform</w:t>
      </w:r>
      <w:bookmarkEnd w:id="458"/>
    </w:p>
    <w:p w14:paraId="43EDA704" w14:textId="13FB8BAD" w:rsidR="002C619B" w:rsidRPr="00F75F4B" w:rsidRDefault="002C619B" w:rsidP="002C619B">
      <w:pPr>
        <w:pStyle w:val="BodyCopy"/>
      </w:pPr>
      <w:r>
        <w:t>This determination is being undertaken while governments consider a suite of more wide-ranging reforms under the HVRR project. Under this reform it is likely that the entire process of setting heavy vehicle charges</w:t>
      </w:r>
      <w:r w:rsidR="00B25452">
        <w:t xml:space="preserve"> – </w:t>
      </w:r>
      <w:r>
        <w:t>including expenditure measurement, cost allocation and recovery of road costs over time</w:t>
      </w:r>
      <w:r w:rsidR="00B25452">
        <w:t xml:space="preserve"> – </w:t>
      </w:r>
      <w:r>
        <w:t xml:space="preserve">will be subject to change. There </w:t>
      </w:r>
      <w:r w:rsidR="00636373">
        <w:t xml:space="preserve">is </w:t>
      </w:r>
      <w:r>
        <w:t>a wide range of policy decisions, including how to allocate costs, which will need to be made as part of this reform.</w:t>
      </w:r>
      <w:r w:rsidR="00830D17">
        <w:t xml:space="preserve"> </w:t>
      </w:r>
      <w:r>
        <w:t>The reform will need to seek a balance between achieving productivity gains and managing the impact on heavy vehicle operators.</w:t>
      </w:r>
    </w:p>
    <w:p w14:paraId="0F2D2244" w14:textId="77777777" w:rsidR="002C619B" w:rsidRPr="00F75F4B" w:rsidRDefault="002C619B" w:rsidP="002C619B">
      <w:pPr>
        <w:pStyle w:val="BodyCopy"/>
      </w:pPr>
      <w:r>
        <w:t xml:space="preserve">This determination under the PAYGO system may well be the last of its kind. It will need to provide a stable and well-reasoned platform on which future reform can be implemented. </w:t>
      </w:r>
    </w:p>
    <w:p w14:paraId="51884E10" w14:textId="42D397C8" w:rsidR="002C619B" w:rsidRPr="00F75F4B" w:rsidRDefault="002C619B" w:rsidP="002C619B">
      <w:pPr>
        <w:pStyle w:val="BodyCopy"/>
      </w:pPr>
      <w:r>
        <w:t>There is a question whether a departure from the current cost allocators should be contemplated as part of this determination, or if such a significant change would best be considered as part of a wider range of significant changes under HVRR.</w:t>
      </w:r>
      <w:r w:rsidR="00830D17">
        <w:t xml:space="preserve"> </w:t>
      </w:r>
    </w:p>
    <w:p w14:paraId="7527A0F6" w14:textId="2B2661F1" w:rsidR="002C619B" w:rsidRDefault="002C619B" w:rsidP="002C619B">
      <w:pPr>
        <w:pStyle w:val="BodyCopy"/>
      </w:pPr>
      <w:r>
        <w:t xml:space="preserve">There are arguments supporting either proposition. On the one hand, if it is likely that a new cost allocation approach similar to </w:t>
      </w:r>
      <w:r w:rsidR="00314A7D">
        <w:t>o</w:t>
      </w:r>
      <w:r w:rsidR="00820C9D">
        <w:t xml:space="preserve">ption </w:t>
      </w:r>
      <w:r w:rsidR="00F7257C">
        <w:t>B</w:t>
      </w:r>
      <w:r w:rsidR="00820C9D">
        <w:t xml:space="preserve"> or </w:t>
      </w:r>
      <w:r w:rsidR="00314A7D">
        <w:t>o</w:t>
      </w:r>
      <w:r w:rsidR="009D73C4">
        <w:t xml:space="preserve">ption </w:t>
      </w:r>
      <w:r w:rsidR="00E33F2A">
        <w:t>C</w:t>
      </w:r>
      <w:r>
        <w:t xml:space="preserve"> will be part of road reform, changing the cost allocators now may make implementation of HVRR easier.</w:t>
      </w:r>
      <w:r w:rsidR="00830D17">
        <w:t xml:space="preserve"> </w:t>
      </w:r>
      <w:r>
        <w:t xml:space="preserve">On the other hand, if a different approach is adopted as part of HVRR, any change implemented as part of this determination may then need to be reversed with the introduction of HVRR. The other advantage of introducing change as part of HVRR is that some or all of the effect could be mitigated through a decision on the level of the opening asset base of the </w:t>
      </w:r>
      <w:r w:rsidR="007B3FE6">
        <w:t>FLCB</w:t>
      </w:r>
      <w:r>
        <w:t>.</w:t>
      </w:r>
      <w:r w:rsidR="00830D17">
        <w:t xml:space="preserve"> </w:t>
      </w:r>
    </w:p>
    <w:p w14:paraId="0C5705D1" w14:textId="77777777" w:rsidR="002C619B" w:rsidRPr="006A27E4" w:rsidRDefault="002C619B" w:rsidP="002C619B">
      <w:pPr>
        <w:pStyle w:val="Heading3"/>
      </w:pPr>
      <w:bookmarkStart w:id="459" w:name="_Toc86158486"/>
      <w:r>
        <w:t>Other issues</w:t>
      </w:r>
      <w:bookmarkEnd w:id="459"/>
    </w:p>
    <w:p w14:paraId="0186CD90" w14:textId="55FD0180" w:rsidR="002C619B" w:rsidRDefault="002C619B" w:rsidP="002C619B">
      <w:pPr>
        <w:pStyle w:val="BodyCopy"/>
      </w:pPr>
      <w:r>
        <w:t xml:space="preserve">The report by HoustonKemp </w:t>
      </w:r>
      <w:sdt>
        <w:sdtPr>
          <w:id w:val="1648710586"/>
          <w:citation/>
        </w:sdtPr>
        <w:sdtContent>
          <w:r>
            <w:fldChar w:fldCharType="begin"/>
          </w:r>
          <w:r w:rsidR="00406F3F">
            <w:instrText xml:space="preserve">CITATION Hou17 \n  \l 3081 </w:instrText>
          </w:r>
          <w:r>
            <w:fldChar w:fldCharType="separate"/>
          </w:r>
          <w:r w:rsidR="000A4DC7" w:rsidRPr="000A4DC7">
            <w:rPr>
              <w:noProof/>
            </w:rPr>
            <w:t>(2017)</w:t>
          </w:r>
          <w:r>
            <w:fldChar w:fldCharType="end"/>
          </w:r>
        </w:sdtContent>
      </w:sdt>
      <w:r>
        <w:t xml:space="preserve"> identified that road cost and use data generally suffers from shortcomings, which pose a challenge for evaluating the causal relationship between heavy vehicle road use and road costs. These challenges frequently lead to conflicting evidence and a general lack of consensus on fundamental elements on the relationships between heavy vehicle road use and road cost. It also found that new research was insufficient, in and of itself, to support a departure from the current cost </w:t>
      </w:r>
      <w:bookmarkStart w:id="460" w:name="_GoBack"/>
      <w:bookmarkEnd w:id="460"/>
      <w:r>
        <w:t>allocators. This indicates that we can have some degree of confidence that the current cost allocators</w:t>
      </w:r>
      <w:r w:rsidR="009D73C4">
        <w:t xml:space="preserve"> in </w:t>
      </w:r>
      <w:r w:rsidR="00EC4D84">
        <w:t>o</w:t>
      </w:r>
      <w:r w:rsidR="009D73C4">
        <w:t>ption 1</w:t>
      </w:r>
      <w:r>
        <w:t xml:space="preserve"> and the </w:t>
      </w:r>
      <w:r w:rsidR="00EC4D84">
        <w:t>m</w:t>
      </w:r>
      <w:r>
        <w:t xml:space="preserve">odified </w:t>
      </w:r>
      <w:r w:rsidR="00EC4D84">
        <w:t>c</w:t>
      </w:r>
      <w:r>
        <w:t>urrent</w:t>
      </w:r>
      <w:r w:rsidR="009D73C4">
        <w:t xml:space="preserve"> cost allocators in </w:t>
      </w:r>
      <w:r w:rsidR="00EC4D84">
        <w:t>o</w:t>
      </w:r>
      <w:r w:rsidR="009D73C4">
        <w:t>ption 2</w:t>
      </w:r>
      <w:r>
        <w:t xml:space="preserve"> are reasonable approaches</w:t>
      </w:r>
      <w:r w:rsidR="009D73C4">
        <w:t>, albeit</w:t>
      </w:r>
      <w:r>
        <w:t xml:space="preserve"> with recognised shortcomings.</w:t>
      </w:r>
      <w:r w:rsidR="00830D17">
        <w:t xml:space="preserve"> </w:t>
      </w:r>
    </w:p>
    <w:p w14:paraId="2B88CE5A" w14:textId="6E9E40D4" w:rsidR="002C619B" w:rsidRDefault="002C619B" w:rsidP="002C619B">
      <w:pPr>
        <w:pStyle w:val="BodyCopy"/>
      </w:pPr>
      <w:r>
        <w:t xml:space="preserve">The VIC DTF/DOT approach </w:t>
      </w:r>
      <w:sdt>
        <w:sdtPr>
          <w:id w:val="-540664716"/>
          <w:citation/>
        </w:sdtPr>
        <w:sdtContent>
          <w:r>
            <w:fldChar w:fldCharType="begin"/>
          </w:r>
          <w:r w:rsidR="00406F3F">
            <w:instrText xml:space="preserve">CITATION ARR17 \m ARR19 \l 3081 </w:instrText>
          </w:r>
          <w:r>
            <w:fldChar w:fldCharType="separate"/>
          </w:r>
          <w:r w:rsidR="000A4DC7" w:rsidRPr="000A4DC7">
            <w:rPr>
              <w:noProof/>
            </w:rPr>
            <w:t>(ARRB, 2017a; ARRB, 2019)</w:t>
          </w:r>
          <w:r>
            <w:fldChar w:fldCharType="end"/>
          </w:r>
        </w:sdtContent>
      </w:sdt>
      <w:r w:rsidR="009D73C4">
        <w:t xml:space="preserve"> </w:t>
      </w:r>
      <w:r>
        <w:t xml:space="preserve">is </w:t>
      </w:r>
      <w:r w:rsidR="00EA59E9">
        <w:t>an engineering</w:t>
      </w:r>
      <w:r w:rsidR="00CD1EA1">
        <w:t>-</w:t>
      </w:r>
      <w:r w:rsidR="00EA59E9">
        <w:t xml:space="preserve">based </w:t>
      </w:r>
      <w:r>
        <w:t xml:space="preserve">approach using pavement deterioration models </w:t>
      </w:r>
      <w:r w:rsidR="00CD1EA1">
        <w:t xml:space="preserve">that </w:t>
      </w:r>
      <w:r>
        <w:t>link pavement deterioration to the millions of ESAs that pass over a particular pavement over time for key cost allocation parameters. There are some important features of this approach:</w:t>
      </w:r>
    </w:p>
    <w:p w14:paraId="3A611FA6" w14:textId="1B67F78E" w:rsidR="002C619B" w:rsidRDefault="00CD1EA1" w:rsidP="002C619B">
      <w:pPr>
        <w:pStyle w:val="List-bulletlvl1"/>
      </w:pPr>
      <w:r>
        <w:lastRenderedPageBreak/>
        <w:t>T</w:t>
      </w:r>
      <w:r w:rsidR="002C619B">
        <w:t>he primary research focuses on load-related wear and construction</w:t>
      </w:r>
      <w:r w:rsidR="00820C9D">
        <w:t xml:space="preserve"> and maintenance</w:t>
      </w:r>
      <w:r w:rsidR="002C619B">
        <w:t xml:space="preserve"> costs</w:t>
      </w:r>
      <w:r>
        <w:t>.</w:t>
      </w:r>
      <w:r w:rsidR="006269B4">
        <w:t xml:space="preserve"> </w:t>
      </w:r>
    </w:p>
    <w:p w14:paraId="3B07F730" w14:textId="72838257" w:rsidR="002C619B" w:rsidRDefault="00CD1EA1" w:rsidP="002C619B">
      <w:pPr>
        <w:pStyle w:val="List-bulletlvl1"/>
      </w:pPr>
      <w:r>
        <w:t>T</w:t>
      </w:r>
      <w:r w:rsidR="002C619B">
        <w:t>he research is based on Victorian data only</w:t>
      </w:r>
      <w:r w:rsidR="00EA59E9">
        <w:t xml:space="preserve"> to date</w:t>
      </w:r>
      <w:r w:rsidR="002C619B">
        <w:t xml:space="preserve"> – it is uncertain whether the recommended cost allocators would be representative of the national road network</w:t>
      </w:r>
      <w:r w:rsidR="00EC4D84">
        <w:t>.</w:t>
      </w:r>
    </w:p>
    <w:p w14:paraId="2872CAC3" w14:textId="6DA332D9" w:rsidR="00820C9D" w:rsidRDefault="00820C9D" w:rsidP="00820C9D">
      <w:pPr>
        <w:pStyle w:val="Heading3"/>
      </w:pPr>
      <w:bookmarkStart w:id="461" w:name="_Toc86158487"/>
      <w:r>
        <w:t>Basis for decision</w:t>
      </w:r>
      <w:bookmarkEnd w:id="461"/>
    </w:p>
    <w:p w14:paraId="355A3FB3" w14:textId="44964956" w:rsidR="00820C9D" w:rsidRDefault="00820C9D" w:rsidP="00820C9D">
      <w:pPr>
        <w:pStyle w:val="BodyCopy"/>
      </w:pPr>
      <w:r>
        <w:t>Based on the analysis presented above, we believe there is no clearly superior cost allocation approach from an economic perspective.</w:t>
      </w:r>
      <w:r w:rsidR="00830D17">
        <w:t xml:space="preserve"> </w:t>
      </w:r>
      <w:r>
        <w:t>Therefore, the choice of cost allocation approach needs to be made by seeking the appropriate trade-off between the following factors</w:t>
      </w:r>
      <w:r w:rsidR="00CD1EA1">
        <w:t>:</w:t>
      </w:r>
      <w:r w:rsidR="00830D17">
        <w:t xml:space="preserve"> </w:t>
      </w:r>
    </w:p>
    <w:p w14:paraId="698D5A8D" w14:textId="2B5B2C4A" w:rsidR="00820C9D" w:rsidRDefault="00820C9D" w:rsidP="00820C9D">
      <w:pPr>
        <w:pStyle w:val="BodyCopy"/>
        <w:numPr>
          <w:ilvl w:val="0"/>
          <w:numId w:val="86"/>
        </w:numPr>
      </w:pPr>
      <w:r>
        <w:t xml:space="preserve">Resulting revenue gap and practical implications – changing the cost allocation approach will increase the heavy vehicle cost base compared </w:t>
      </w:r>
      <w:r w:rsidR="00485614">
        <w:t xml:space="preserve">with </w:t>
      </w:r>
      <w:r>
        <w:t>the current approach. Given the current gap between heavy vehicle charges revenue and the heavy vehicle cost base, changing the cost allocation matrix may only have a symbolic practical effect if full cost recovery cannot be achieved immediately</w:t>
      </w:r>
      <w:r w:rsidR="00CD1EA1">
        <w:t>.</w:t>
      </w:r>
    </w:p>
    <w:p w14:paraId="2452C38E" w14:textId="085146F7" w:rsidR="00820C9D" w:rsidRDefault="00820C9D" w:rsidP="00820C9D">
      <w:pPr>
        <w:pStyle w:val="BodyCopy"/>
        <w:numPr>
          <w:ilvl w:val="0"/>
          <w:numId w:val="86"/>
        </w:numPr>
      </w:pPr>
      <w:r>
        <w:t xml:space="preserve">Confidence in </w:t>
      </w:r>
      <w:r w:rsidR="00636373">
        <w:t xml:space="preserve">the </w:t>
      </w:r>
      <w:r>
        <w:t>robustness of options – each option has strengths and weaknesses</w:t>
      </w:r>
      <w:r w:rsidR="00EA59E9">
        <w:t xml:space="preserve"> and is based on a range of assumptions</w:t>
      </w:r>
      <w:r>
        <w:t>. The choice between the options needs to consider the degree of confidence in the research, assumptions and judgements and possible information gaps inherent in each approach</w:t>
      </w:r>
      <w:r w:rsidR="00CD1EA1">
        <w:t>.</w:t>
      </w:r>
    </w:p>
    <w:p w14:paraId="2FE87C15" w14:textId="205E4F48" w:rsidR="00820C9D" w:rsidRDefault="00820C9D" w:rsidP="00820C9D">
      <w:pPr>
        <w:pStyle w:val="BodyCopy"/>
        <w:numPr>
          <w:ilvl w:val="0"/>
          <w:numId w:val="86"/>
        </w:numPr>
      </w:pPr>
      <w:r>
        <w:t xml:space="preserve">Timing and HVRR – governments are developing options for HVRR </w:t>
      </w:r>
      <w:r w:rsidR="00CD1EA1">
        <w:t xml:space="preserve">that </w:t>
      </w:r>
      <w:r>
        <w:t>will replace the current PAYGO system over time. Is now the appropriate time to implement significant changes to the cost allocation approach, or should this be considered as part of HVRR?</w:t>
      </w:r>
    </w:p>
    <w:p w14:paraId="17FF2083" w14:textId="15882366" w:rsidR="002410A3" w:rsidRDefault="00F326AD" w:rsidP="00F326AD">
      <w:pPr>
        <w:pStyle w:val="Heading3"/>
      </w:pPr>
      <w:bookmarkStart w:id="462" w:name="_Toc86158488"/>
      <w:r>
        <w:t xml:space="preserve">Summary of </w:t>
      </w:r>
      <w:r w:rsidR="00037549">
        <w:t>s</w:t>
      </w:r>
      <w:r>
        <w:t>ubmissions</w:t>
      </w:r>
      <w:bookmarkEnd w:id="462"/>
    </w:p>
    <w:p w14:paraId="1D3483D3" w14:textId="4C5A5474" w:rsidR="00F326AD" w:rsidRDefault="00636373" w:rsidP="00F326AD">
      <w:pPr>
        <w:pStyle w:val="BodyCopy"/>
      </w:pPr>
      <w:r>
        <w:t xml:space="preserve">The </w:t>
      </w:r>
      <w:r w:rsidR="007A34F3">
        <w:t>ALC submitted that it does not support any change to the cost allocators at this point in time. However, if PAYGO were to become permanent, the ALC indicated that the VIC DTF/DOT approach (</w:t>
      </w:r>
      <w:r>
        <w:t>o</w:t>
      </w:r>
      <w:r w:rsidR="007A34F3">
        <w:t xml:space="preserve">ption C) should be considered as a positive move towards a more average cost mechanism. </w:t>
      </w:r>
    </w:p>
    <w:p w14:paraId="738B743A" w14:textId="674F1247" w:rsidR="00022C90" w:rsidRDefault="007A34F3" w:rsidP="00022C90">
      <w:pPr>
        <w:pStyle w:val="BodyCopy"/>
      </w:pPr>
      <w:r>
        <w:t xml:space="preserve">Neither the ATA </w:t>
      </w:r>
      <w:r w:rsidR="00636373">
        <w:t>n</w:t>
      </w:r>
      <w:r>
        <w:t>or Nat</w:t>
      </w:r>
      <w:r w:rsidR="006E1AC6">
        <w:t>R</w:t>
      </w:r>
      <w:r>
        <w:t>oad support</w:t>
      </w:r>
      <w:r w:rsidR="0013789F">
        <w:t>ed</w:t>
      </w:r>
      <w:r>
        <w:t xml:space="preserve"> any change to the cost allocation approach</w:t>
      </w:r>
      <w:r w:rsidR="008C5D3D">
        <w:t xml:space="preserve"> as part of this determination</w:t>
      </w:r>
      <w:r w:rsidR="006E1AC6">
        <w:t>, with NatRoad highlighting that the cost base under any option is higher than the industry could absorb.</w:t>
      </w:r>
      <w:r w:rsidR="00022C90">
        <w:t xml:space="preserve"> The ATA also highlighted that HoustonKemp concluded that it would be reasonable to maintain the existing allocation approach in the PAYGO matrix, and said that, in its opinion, </w:t>
      </w:r>
      <w:r w:rsidR="008E7076">
        <w:t xml:space="preserve">there </w:t>
      </w:r>
      <w:r w:rsidR="00022C90">
        <w:t>exists no strong evidence for departing from the existing approach at this time.</w:t>
      </w:r>
    </w:p>
    <w:p w14:paraId="500939CF" w14:textId="50F39F3D" w:rsidR="007A34F3" w:rsidRDefault="008E7076" w:rsidP="00022C90">
      <w:pPr>
        <w:pStyle w:val="BodyCopy"/>
      </w:pPr>
      <w:r>
        <w:t xml:space="preserve">In respect of </w:t>
      </w:r>
      <w:r w:rsidR="00636373">
        <w:t>o</w:t>
      </w:r>
      <w:r>
        <w:t>ption C, the ATA</w:t>
      </w:r>
      <w:r w:rsidR="00D05EEE">
        <w:t xml:space="preserve"> stated that it s</w:t>
      </w:r>
      <w:r w:rsidR="00022C90">
        <w:t xml:space="preserve">hould not be used in the 2021 determination but </w:t>
      </w:r>
      <w:r w:rsidR="00954792">
        <w:t xml:space="preserve">that this option </w:t>
      </w:r>
      <w:r w:rsidR="00022C90">
        <w:t xml:space="preserve">may, with further development, </w:t>
      </w:r>
      <w:r w:rsidR="00D864B6">
        <w:t xml:space="preserve">make </w:t>
      </w:r>
      <w:r w:rsidR="00022C90">
        <w:t>a valuable contribution to the future debate about heavy vehicle charging.</w:t>
      </w:r>
    </w:p>
    <w:p w14:paraId="5751BECA" w14:textId="1AAE8009" w:rsidR="00DB79F5" w:rsidRDefault="00DB79F5" w:rsidP="00022C90">
      <w:pPr>
        <w:pStyle w:val="BodyCopy"/>
      </w:pPr>
      <w:r>
        <w:t>The ARTC support</w:t>
      </w:r>
      <w:r w:rsidR="006216FA">
        <w:t>ed</w:t>
      </w:r>
      <w:r>
        <w:t xml:space="preserve"> a change to </w:t>
      </w:r>
      <w:r w:rsidR="00636373">
        <w:t>o</w:t>
      </w:r>
      <w:r w:rsidR="00C72A11">
        <w:t>ption C</w:t>
      </w:r>
      <w:r>
        <w:t xml:space="preserve">, noting that the ARTC has been subject to extensive reviews by the </w:t>
      </w:r>
      <w:r w:rsidR="00E47974">
        <w:t>Australian Competition and Consumer Commission</w:t>
      </w:r>
      <w:r>
        <w:t xml:space="preserve">, </w:t>
      </w:r>
      <w:r w:rsidR="00C72A11">
        <w:t xml:space="preserve">with a focus on </w:t>
      </w:r>
      <w:r>
        <w:t>ensur</w:t>
      </w:r>
      <w:r w:rsidR="00C72A11">
        <w:t>ing</w:t>
      </w:r>
      <w:r>
        <w:t xml:space="preserve"> costs are allocated to</w:t>
      </w:r>
      <w:r w:rsidR="00B47A33">
        <w:t xml:space="preserve"> </w:t>
      </w:r>
      <w:r>
        <w:t>cause and ideally based on detailed engineering assessments</w:t>
      </w:r>
      <w:r w:rsidR="00D864B6">
        <w:t>.</w:t>
      </w:r>
      <w:r w:rsidR="00C72A11">
        <w:t xml:space="preserve"> </w:t>
      </w:r>
      <w:r w:rsidR="00D864B6">
        <w:t>T</w:t>
      </w:r>
      <w:r w:rsidR="00C72A11">
        <w:t>his</w:t>
      </w:r>
      <w:r w:rsidR="00D864B6">
        <w:t>, the ARTC submitted,</w:t>
      </w:r>
      <w:r w:rsidR="00C72A11">
        <w:t xml:space="preserve"> </w:t>
      </w:r>
      <w:r>
        <w:t xml:space="preserve">would support the use of </w:t>
      </w:r>
      <w:r w:rsidR="00636373">
        <w:t>o</w:t>
      </w:r>
      <w:r w:rsidR="00C72A11">
        <w:t xml:space="preserve">ption C (VIC DTF/DOT) </w:t>
      </w:r>
      <w:r>
        <w:t>for cost allocation</w:t>
      </w:r>
      <w:r w:rsidR="00C72A11">
        <w:t xml:space="preserve"> as th</w:t>
      </w:r>
      <w:r>
        <w:t>e most accurate available allocation methodology</w:t>
      </w:r>
      <w:r w:rsidR="00C72A11">
        <w:t xml:space="preserve">. The </w:t>
      </w:r>
      <w:r w:rsidR="00022C90">
        <w:t>ARTC further argues that the resulting higher cost base still</w:t>
      </w:r>
      <w:r>
        <w:t xml:space="preserve"> remains considerably short of the standalone cost base</w:t>
      </w:r>
      <w:r w:rsidR="00022C90">
        <w:t>.</w:t>
      </w:r>
      <w:r w:rsidR="009E61AA">
        <w:t xml:space="preserve"> </w:t>
      </w:r>
    </w:p>
    <w:p w14:paraId="3C75FE14" w14:textId="34E8D134" w:rsidR="00261363" w:rsidRPr="00261363" w:rsidRDefault="006E1AC6" w:rsidP="00261363">
      <w:pPr>
        <w:pStyle w:val="BodyCopy"/>
      </w:pPr>
      <w:r>
        <w:lastRenderedPageBreak/>
        <w:t xml:space="preserve">The BIC supported a move to </w:t>
      </w:r>
      <w:r w:rsidR="0032461D">
        <w:t>o</w:t>
      </w:r>
      <w:r>
        <w:t xml:space="preserve">ption B but noted its concerns that allocating costs using ESA-km as a cost allocation parameter has a particularly severe effect on buses. It also highlighted that </w:t>
      </w:r>
      <w:r w:rsidR="0032461D">
        <w:t>o</w:t>
      </w:r>
      <w:r>
        <w:t>ption C allocates a lesser proportion of total costs on the basis of ESA-km than the other options.</w:t>
      </w:r>
      <w:r w:rsidR="009E61AA">
        <w:t xml:space="preserve"> </w:t>
      </w:r>
    </w:p>
    <w:p w14:paraId="3430F2DC" w14:textId="2CCF4892" w:rsidR="00C60309" w:rsidRDefault="005E3F6A" w:rsidP="00C60309">
      <w:pPr>
        <w:pStyle w:val="BodyCopy"/>
      </w:pPr>
      <w:r>
        <w:t>Philip</w:t>
      </w:r>
      <w:r w:rsidR="00662CA7">
        <w:t xml:space="preserve"> Laird note</w:t>
      </w:r>
      <w:r w:rsidR="00A15420">
        <w:t>d</w:t>
      </w:r>
      <w:r w:rsidR="00662CA7">
        <w:t xml:space="preserve"> that the current percentage</w:t>
      </w:r>
      <w:r w:rsidR="00662CA7" w:rsidRPr="00662CA7">
        <w:t xml:space="preserve"> of total expenditure allocated to heavy vehicles</w:t>
      </w:r>
      <w:r w:rsidR="00662CA7">
        <w:t xml:space="preserve"> is higher at 22</w:t>
      </w:r>
      <w:r w:rsidR="00DD5071">
        <w:t xml:space="preserve">.5 per cent than </w:t>
      </w:r>
      <w:r w:rsidR="0032461D">
        <w:t>o</w:t>
      </w:r>
      <w:r w:rsidR="00DD5071">
        <w:t>ption A</w:t>
      </w:r>
      <w:r w:rsidR="00D864B6">
        <w:t>,</w:t>
      </w:r>
      <w:r w:rsidR="00DD5071">
        <w:t xml:space="preserve"> which </w:t>
      </w:r>
      <w:r w:rsidR="00662CA7" w:rsidRPr="00662CA7">
        <w:t xml:space="preserve">allows the </w:t>
      </w:r>
      <w:r w:rsidR="00654E48">
        <w:t>a</w:t>
      </w:r>
      <w:r w:rsidR="00662CA7" w:rsidRPr="00662CA7">
        <w:t>llocated heavy vehicle cost base</w:t>
      </w:r>
      <w:r w:rsidR="00DD5071">
        <w:t xml:space="preserve"> </w:t>
      </w:r>
      <w:r w:rsidR="00662CA7" w:rsidRPr="00662CA7">
        <w:t>to fall to 21.7 per cent.</w:t>
      </w:r>
      <w:r w:rsidR="00DD5071">
        <w:t xml:space="preserve"> </w:t>
      </w:r>
      <w:r w:rsidR="00C60309">
        <w:t>Option A should therefore b</w:t>
      </w:r>
      <w:r w:rsidR="00662CA7" w:rsidRPr="00662CA7">
        <w:t xml:space="preserve">e rejected. </w:t>
      </w:r>
      <w:r w:rsidR="006D7D81">
        <w:t xml:space="preserve">He is also of the view that some truck classes receive </w:t>
      </w:r>
      <w:r w:rsidR="00DB6146">
        <w:t xml:space="preserve">operational subsidies, with </w:t>
      </w:r>
      <w:r w:rsidR="00DB6146" w:rsidRPr="00DB6146">
        <w:t>an average deficit rate on road cost recovery from articulated freight vehicles of at least 1.25 cents per net tonne</w:t>
      </w:r>
      <w:r w:rsidR="00D864B6">
        <w:t xml:space="preserve"> </w:t>
      </w:r>
      <w:r w:rsidR="00DB6146" w:rsidRPr="00DB6146">
        <w:t>k</w:t>
      </w:r>
      <w:r w:rsidR="00D864B6">
        <w:t>ilometre</w:t>
      </w:r>
      <w:r w:rsidR="00DB6146">
        <w:t>.</w:t>
      </w:r>
      <w:r w:rsidR="009E61AA">
        <w:t xml:space="preserve"> </w:t>
      </w:r>
    </w:p>
    <w:p w14:paraId="2325A053" w14:textId="6EC26F33" w:rsidR="00F326AD" w:rsidRDefault="00F326AD" w:rsidP="004A5FAC">
      <w:pPr>
        <w:pStyle w:val="Heading3"/>
      </w:pPr>
      <w:bookmarkStart w:id="463" w:name="_Toc86158489"/>
      <w:r>
        <w:t>NTC response to submissions</w:t>
      </w:r>
      <w:bookmarkEnd w:id="463"/>
    </w:p>
    <w:p w14:paraId="242FF6E3" w14:textId="29678524" w:rsidR="00FF7F76" w:rsidRDefault="00BA71C2" w:rsidP="00A621B8">
      <w:pPr>
        <w:pStyle w:val="BodyCopy"/>
      </w:pPr>
      <w:r>
        <w:t>The NTC notes that stakeholders</w:t>
      </w:r>
      <w:r w:rsidR="00B53EEA">
        <w:t xml:space="preserve"> have varied views on the advantages and disadvantages of the three cost allo</w:t>
      </w:r>
      <w:r w:rsidR="000E1721">
        <w:t>cation options</w:t>
      </w:r>
      <w:r w:rsidR="000C66D1">
        <w:t xml:space="preserve"> and that </w:t>
      </w:r>
      <w:r w:rsidR="00426991">
        <w:t xml:space="preserve">there is no </w:t>
      </w:r>
      <w:r w:rsidR="005C72E6">
        <w:t>single op</w:t>
      </w:r>
      <w:r w:rsidR="00426991">
        <w:t>tion</w:t>
      </w:r>
      <w:r w:rsidR="005C72E6">
        <w:t xml:space="preserve"> that meets </w:t>
      </w:r>
      <w:r w:rsidR="00570D58">
        <w:t xml:space="preserve">all </w:t>
      </w:r>
      <w:r w:rsidR="005C72E6">
        <w:t>stakeholder preferences</w:t>
      </w:r>
      <w:r w:rsidR="00426991">
        <w:t>.</w:t>
      </w:r>
      <w:r w:rsidR="009E61AA">
        <w:t xml:space="preserve"> </w:t>
      </w:r>
    </w:p>
    <w:p w14:paraId="629089E2" w14:textId="09E339A6" w:rsidR="00210D03" w:rsidRDefault="00210D03" w:rsidP="00A621B8">
      <w:pPr>
        <w:pStyle w:val="BodyCopy"/>
      </w:pPr>
      <w:r>
        <w:t>We also note that, as a matter of principle, the NTC must use its best endeavours to estimate a heavy vehicle cost base as accurately as possible.</w:t>
      </w:r>
      <w:r w:rsidR="009409B1">
        <w:t xml:space="preserve"> Therefore, the choice of a </w:t>
      </w:r>
      <w:r w:rsidR="00F56D3F">
        <w:t xml:space="preserve">cost allocation methodology cannot be driven primarily by affordability concerns. Such concerns are better addressed through implementation pathways. </w:t>
      </w:r>
    </w:p>
    <w:p w14:paraId="41FF8398" w14:textId="66B0DDB1" w:rsidR="00426991" w:rsidRDefault="006D2FA0" w:rsidP="00A621B8">
      <w:pPr>
        <w:pStyle w:val="BodyCopy"/>
      </w:pPr>
      <w:r>
        <w:t xml:space="preserve">While </w:t>
      </w:r>
      <w:r w:rsidR="0032461D">
        <w:t>o</w:t>
      </w:r>
      <w:r w:rsidR="00CF2CFB">
        <w:t xml:space="preserve">ption </w:t>
      </w:r>
      <w:r w:rsidR="00A344FC">
        <w:t>C</w:t>
      </w:r>
      <w:r w:rsidR="00CF2CFB">
        <w:t xml:space="preserve"> offers the </w:t>
      </w:r>
      <w:r w:rsidR="005176B3">
        <w:t>unique feature</w:t>
      </w:r>
      <w:r w:rsidR="00CF2CFB">
        <w:t xml:space="preserve"> of being based on recent engineering research, </w:t>
      </w:r>
      <w:r w:rsidR="00FF194A">
        <w:t xml:space="preserve">it suffers from being based on Victorian data only. </w:t>
      </w:r>
      <w:r w:rsidR="005176B3">
        <w:t xml:space="preserve">This approach also has not been peer reviewed. </w:t>
      </w:r>
      <w:r w:rsidR="00FF194A">
        <w:t>The NTC believes that this option would need to be expanded to include national data</w:t>
      </w:r>
      <w:r w:rsidR="005176B3">
        <w:t>, and subjected to peer review</w:t>
      </w:r>
      <w:r w:rsidR="00A35793">
        <w:t>,</w:t>
      </w:r>
      <w:r w:rsidR="00FF194A">
        <w:t xml:space="preserve"> before it could be used to allocate costs for a </w:t>
      </w:r>
      <w:r w:rsidR="0088028C">
        <w:t xml:space="preserve">national road network. </w:t>
      </w:r>
    </w:p>
    <w:p w14:paraId="13D83317" w14:textId="4DDC1D9E" w:rsidR="00037549" w:rsidRPr="00037549" w:rsidRDefault="00980F51" w:rsidP="00037549">
      <w:pPr>
        <w:pStyle w:val="BodyCopy"/>
      </w:pPr>
      <w:r>
        <w:t>This</w:t>
      </w:r>
      <w:r w:rsidR="00BE2734">
        <w:t xml:space="preserve"> results in the key decision being whether to keep the current cost allocators</w:t>
      </w:r>
      <w:r w:rsidR="001E32BB">
        <w:t xml:space="preserve"> (</w:t>
      </w:r>
      <w:r w:rsidR="00F10BBF">
        <w:t>o</w:t>
      </w:r>
      <w:r w:rsidR="001E32BB">
        <w:t>ption A), or to change them to reflect the option highlighted in the HoustonKemp report</w:t>
      </w:r>
      <w:r w:rsidR="00DF2A40">
        <w:t xml:space="preserve"> of</w:t>
      </w:r>
      <w:r w:rsidR="000D5C8F">
        <w:t xml:space="preserve"> moving to ESA-km </w:t>
      </w:r>
      <w:r w:rsidR="00E4152A">
        <w:t>to allocate 70</w:t>
      </w:r>
      <w:r w:rsidR="00A95DFC">
        <w:t xml:space="preserve"> per cent</w:t>
      </w:r>
      <w:r w:rsidR="00E4152A">
        <w:t xml:space="preserve"> of costs </w:t>
      </w:r>
      <w:r w:rsidR="292AB870">
        <w:t>for</w:t>
      </w:r>
      <w:r w:rsidR="00E4152A">
        <w:t xml:space="preserve"> </w:t>
      </w:r>
      <w:r w:rsidR="00F10BBF">
        <w:t>periodic surface maintenance of roads under option B.</w:t>
      </w:r>
    </w:p>
    <w:p w14:paraId="476922A5" w14:textId="7200ED6E" w:rsidR="00F10BBF" w:rsidRDefault="00F10BBF" w:rsidP="00A621B8">
      <w:pPr>
        <w:pStyle w:val="BodyCopy"/>
      </w:pPr>
      <w:r>
        <w:t xml:space="preserve">Based on currently available information, the NTC </w:t>
      </w:r>
      <w:r w:rsidR="00AA39DD">
        <w:t xml:space="preserve">considers that ESA-km is </w:t>
      </w:r>
      <w:r w:rsidR="00782EEF">
        <w:t>currently the</w:t>
      </w:r>
      <w:r w:rsidR="00AA39DD">
        <w:t xml:space="preserve"> best available cost allocation factor to represent the relationship between heavy vehicle use of a road and road</w:t>
      </w:r>
      <w:r w:rsidR="00BC2B20">
        <w:t xml:space="preserve"> </w:t>
      </w:r>
      <w:r w:rsidR="00AA39DD">
        <w:t xml:space="preserve">wear. </w:t>
      </w:r>
      <w:r w:rsidR="00714AE0">
        <w:t>It is widely accepted that the relationship between axle weights and deterioration of the road surface and pavement is exponential</w:t>
      </w:r>
      <w:r w:rsidR="00782EEF">
        <w:t xml:space="preserve"> as represented by the fourth power rule</w:t>
      </w:r>
      <w:r w:rsidR="00714AE0">
        <w:t xml:space="preserve">. </w:t>
      </w:r>
      <w:r w:rsidR="00782EEF">
        <w:t>Therefore, u</w:t>
      </w:r>
      <w:r w:rsidR="00714AE0">
        <w:t xml:space="preserve">sing ESA-km to allocate attributable </w:t>
      </w:r>
      <w:r w:rsidR="00782EEF">
        <w:t>surface maintenance</w:t>
      </w:r>
      <w:r w:rsidR="00714AE0">
        <w:t xml:space="preserve"> costs </w:t>
      </w:r>
      <w:r w:rsidR="00782EEF">
        <w:t>is a better reflection</w:t>
      </w:r>
      <w:r w:rsidR="00714AE0">
        <w:t xml:space="preserve"> of the underlying physical relationship than linear measures such as AGM-km or PCU-km.</w:t>
      </w:r>
      <w:r w:rsidR="009E61AA">
        <w:t xml:space="preserve"> </w:t>
      </w:r>
    </w:p>
    <w:p w14:paraId="3D24F3A4" w14:textId="3DFF1BE1" w:rsidR="00505C95" w:rsidRDefault="00F326AD" w:rsidP="00EB43A8">
      <w:pPr>
        <w:pStyle w:val="Heading2"/>
      </w:pPr>
      <w:bookmarkStart w:id="464" w:name="_Ref82511986"/>
      <w:bookmarkStart w:id="465" w:name="_Toc86158490"/>
      <w:r>
        <w:t xml:space="preserve">Final </w:t>
      </w:r>
      <w:r w:rsidR="00670F32">
        <w:t>r</w:t>
      </w:r>
      <w:r w:rsidR="00EB43A8">
        <w:t>ecommendation</w:t>
      </w:r>
      <w:bookmarkEnd w:id="464"/>
      <w:bookmarkEnd w:id="465"/>
    </w:p>
    <w:p w14:paraId="51C4D29E" w14:textId="032D861B" w:rsidR="00DA1090" w:rsidRDefault="00DA1090" w:rsidP="00505C95">
      <w:pPr>
        <w:pStyle w:val="BodyCopy"/>
      </w:pPr>
      <w:r>
        <w:t xml:space="preserve">The NTC </w:t>
      </w:r>
      <w:r w:rsidR="00D23001">
        <w:t>recommend</w:t>
      </w:r>
      <w:r>
        <w:t>s</w:t>
      </w:r>
      <w:r w:rsidR="00D23001">
        <w:t xml:space="preserve"> that</w:t>
      </w:r>
      <w:r w:rsidR="000F32C2">
        <w:t>:</w:t>
      </w:r>
    </w:p>
    <w:p w14:paraId="3FF1E78B" w14:textId="2EB940B6" w:rsidR="006245E8" w:rsidRDefault="0082788D" w:rsidP="00DA1090">
      <w:pPr>
        <w:pStyle w:val="List-bulletlvl1"/>
      </w:pPr>
      <w:r>
        <w:t>o</w:t>
      </w:r>
      <w:r w:rsidR="005A397B">
        <w:t>ption B</w:t>
      </w:r>
      <w:r w:rsidR="00586F43">
        <w:t xml:space="preserve"> (modified current)</w:t>
      </w:r>
      <w:r w:rsidR="005A397B">
        <w:t xml:space="preserve"> be adopted as the standard cost allocation approach in PAYGO from 2022–23</w:t>
      </w:r>
      <w:r w:rsidR="00845440">
        <w:t xml:space="preserve"> onwards</w:t>
      </w:r>
    </w:p>
    <w:p w14:paraId="61543673" w14:textId="6FE7551F" w:rsidR="00505C95" w:rsidRDefault="005B68DC" w:rsidP="00357D40">
      <w:pPr>
        <w:pStyle w:val="List-bulletlvl1"/>
      </w:pPr>
      <w:r>
        <w:t xml:space="preserve">the heavy vehicle cost base </w:t>
      </w:r>
      <w:r w:rsidR="006245E8">
        <w:t>be</w:t>
      </w:r>
      <w:r w:rsidR="00926855">
        <w:t xml:space="preserve"> set at</w:t>
      </w:r>
      <w:r>
        <w:t xml:space="preserve"> $ 4.516 billion for </w:t>
      </w:r>
      <w:r w:rsidR="00063C72">
        <w:t>the</w:t>
      </w:r>
      <w:r>
        <w:t xml:space="preserve"> 2022–23</w:t>
      </w:r>
      <w:r w:rsidR="00063C72">
        <w:t xml:space="preserve"> charges year</w:t>
      </w:r>
      <w:r>
        <w:t>.</w:t>
      </w:r>
    </w:p>
    <w:p w14:paraId="5C40B30B" w14:textId="2104C6B3" w:rsidR="00957FE4" w:rsidRDefault="00F80DC4" w:rsidP="003C1C14">
      <w:pPr>
        <w:pStyle w:val="Heading1"/>
      </w:pPr>
      <w:bookmarkStart w:id="466" w:name="_Ref81906436"/>
      <w:bookmarkStart w:id="467" w:name="_Toc86158491"/>
      <w:r>
        <w:lastRenderedPageBreak/>
        <w:t xml:space="preserve">Implementation </w:t>
      </w:r>
      <w:r w:rsidR="002F68B0">
        <w:t>o</w:t>
      </w:r>
      <w:r>
        <w:t>ptions</w:t>
      </w:r>
      <w:bookmarkEnd w:id="466"/>
      <w:bookmarkEnd w:id="467"/>
    </w:p>
    <w:p w14:paraId="44B81974" w14:textId="7408E2C7" w:rsidR="00070900" w:rsidRDefault="00AA4E0D" w:rsidP="0041236D">
      <w:pPr>
        <w:pStyle w:val="Heading2"/>
      </w:pPr>
      <w:bookmarkStart w:id="468" w:name="_Toc86158492"/>
      <w:r>
        <w:t xml:space="preserve">Implementation </w:t>
      </w:r>
      <w:r w:rsidR="002F68B0">
        <w:t>o</w:t>
      </w:r>
      <w:r>
        <w:t>bjectives</w:t>
      </w:r>
      <w:bookmarkEnd w:id="468"/>
    </w:p>
    <w:p w14:paraId="3FDE2AEC" w14:textId="337B83F7" w:rsidR="00070900" w:rsidRDefault="00AA4E0D" w:rsidP="00070900">
      <w:pPr>
        <w:pStyle w:val="BodyCopy"/>
      </w:pPr>
      <w:r>
        <w:t xml:space="preserve">In designing an implementation pathway for the determination, the overall objective is to achieve full cost recovery over time while complying with the pricing principles. </w:t>
      </w:r>
    </w:p>
    <w:p w14:paraId="208E16DA" w14:textId="4725273D" w:rsidR="00AA4E0D" w:rsidRDefault="00AA4E0D" w:rsidP="00AA4E0D">
      <w:pPr>
        <w:pStyle w:val="BodyCopy"/>
      </w:pPr>
      <w:r>
        <w:t>The pricing principles are:</w:t>
      </w:r>
    </w:p>
    <w:p w14:paraId="060F79A2" w14:textId="77777777" w:rsidR="00AA4E0D" w:rsidRPr="00A621B8" w:rsidRDefault="00AA4E0D" w:rsidP="00E34F7D">
      <w:pPr>
        <w:pStyle w:val="BodyCopy"/>
        <w:ind w:left="900" w:right="1287"/>
      </w:pPr>
      <w:r w:rsidRPr="00A621B8">
        <w:t>‘National heavy vehicle road use prices should promote optimal use of infrastructure, vehicles and transport modes.</w:t>
      </w:r>
    </w:p>
    <w:p w14:paraId="1ABA022D" w14:textId="77777777" w:rsidR="00AA4E0D" w:rsidRPr="00A621B8" w:rsidRDefault="00AA4E0D" w:rsidP="00E34F7D">
      <w:pPr>
        <w:pStyle w:val="BodyCopy"/>
        <w:ind w:left="900" w:right="1287"/>
      </w:pPr>
      <w:r w:rsidRPr="00A621B8">
        <w:t>This is subject to the following:</w:t>
      </w:r>
    </w:p>
    <w:p w14:paraId="6CF22AA9" w14:textId="77777777" w:rsidR="00AA4E0D" w:rsidRPr="00A621B8" w:rsidRDefault="00AA4E0D" w:rsidP="00E34F7D">
      <w:pPr>
        <w:pStyle w:val="List-bulletlvl1"/>
        <w:ind w:left="1170" w:right="1287"/>
      </w:pPr>
      <w:r w:rsidRPr="00A621B8">
        <w:t>full recovery of allocated infrastructure costs while minimising both the over and under recovery from any class of vehicle</w:t>
      </w:r>
    </w:p>
    <w:p w14:paraId="215B8155" w14:textId="3B9559C0" w:rsidR="00AA4E0D" w:rsidRPr="00A621B8" w:rsidRDefault="00AA4E0D" w:rsidP="00E34F7D">
      <w:pPr>
        <w:pStyle w:val="List-bulletlvl1"/>
        <w:ind w:left="1170" w:right="1287"/>
      </w:pPr>
      <w:r w:rsidRPr="00A621B8">
        <w:t>cost</w:t>
      </w:r>
      <w:r w:rsidR="00E34F7D">
        <w:t>-</w:t>
      </w:r>
      <w:r w:rsidRPr="00A621B8">
        <w:t>effectiveness of pricing instruments</w:t>
      </w:r>
    </w:p>
    <w:p w14:paraId="4E7D5359" w14:textId="77777777" w:rsidR="00AA4E0D" w:rsidRPr="00A621B8" w:rsidRDefault="00AA4E0D" w:rsidP="00E34F7D">
      <w:pPr>
        <w:pStyle w:val="List-bulletlvl1"/>
        <w:ind w:left="1170" w:right="1287"/>
      </w:pPr>
      <w:r w:rsidRPr="00A621B8">
        <w:t>transparency</w:t>
      </w:r>
    </w:p>
    <w:p w14:paraId="38F36363" w14:textId="77777777" w:rsidR="00AA4E0D" w:rsidRPr="00A621B8" w:rsidRDefault="00AA4E0D" w:rsidP="00E34F7D">
      <w:pPr>
        <w:pStyle w:val="List-bulletlvl1"/>
        <w:ind w:left="1170" w:right="1287"/>
      </w:pPr>
      <w:r w:rsidRPr="00A621B8">
        <w:t>the need to balance administrative simplicity, efficiency and equity (e.g. impact on regional and remote communities/access)</w:t>
      </w:r>
    </w:p>
    <w:p w14:paraId="6C388F93" w14:textId="77777777" w:rsidR="00AA4E0D" w:rsidRPr="00A621B8" w:rsidRDefault="00AA4E0D" w:rsidP="00E34F7D">
      <w:pPr>
        <w:pStyle w:val="List-bulletlvl1"/>
        <w:ind w:left="1170" w:right="1287"/>
      </w:pPr>
      <w:r w:rsidRPr="00A621B8">
        <w:t>the need to have regard to other pricing applications such as light vehicle charges, tolling and congestion.’</w:t>
      </w:r>
    </w:p>
    <w:p w14:paraId="50E8E699" w14:textId="2BAA410F" w:rsidR="00AA4E0D" w:rsidRDefault="00AA4E0D" w:rsidP="00AA4E0D">
      <w:pPr>
        <w:pStyle w:val="BodyCopy"/>
      </w:pPr>
      <w:r>
        <w:t>Following the Productivity Commission</w:t>
      </w:r>
      <w:r w:rsidR="000F702B">
        <w:t>’</w:t>
      </w:r>
      <w:r>
        <w:t xml:space="preserve">s inquiry into road and rail infrastructure pricing in 2006, the ATC provided further direction to the </w:t>
      </w:r>
      <w:r w:rsidRPr="00C2033E">
        <w:t>NTC</w:t>
      </w:r>
      <w:r>
        <w:t>:</w:t>
      </w:r>
    </w:p>
    <w:p w14:paraId="11E36083" w14:textId="20CA0DEB" w:rsidR="00AA4E0D" w:rsidRPr="00A621B8" w:rsidRDefault="00AA4E0D" w:rsidP="00CD6B04">
      <w:pPr>
        <w:pStyle w:val="Quote"/>
        <w:jc w:val="left"/>
      </w:pPr>
      <w:r w:rsidRPr="00A621B8">
        <w:t xml:space="preserve">ATC direct the NTC, in developing its determination, to apply principles and methods that ensure the delivery of full cost recovery in aggregate, further develop indexation adjustment arrangements to ensure the ongoing delivery of full expenditure recovery in aggregate and remove cross subsidisation across different heavy vehicle classes, recognising that transition to any new arrangement may require a phased approach </w:t>
      </w:r>
      <w:sdt>
        <w:sdtPr>
          <w:id w:val="1614173587"/>
          <w:citation/>
        </w:sdtPr>
        <w:sdtContent>
          <w:r w:rsidRPr="00A621B8">
            <w:fldChar w:fldCharType="begin"/>
          </w:r>
          <w:r w:rsidRPr="00A621B8">
            <w:instrText xml:space="preserve"> CITATION ATC07 \l 3081 </w:instrText>
          </w:r>
          <w:r w:rsidRPr="00A621B8">
            <w:fldChar w:fldCharType="separate"/>
          </w:r>
          <w:r w:rsidR="000A4DC7" w:rsidRPr="000A4DC7">
            <w:rPr>
              <w:noProof/>
            </w:rPr>
            <w:t>(ATC, 2007)</w:t>
          </w:r>
          <w:r w:rsidRPr="00A621B8">
            <w:fldChar w:fldCharType="end"/>
          </w:r>
        </w:sdtContent>
      </w:sdt>
      <w:r w:rsidRPr="00A621B8">
        <w:t>.</w:t>
      </w:r>
    </w:p>
    <w:p w14:paraId="077B2A16" w14:textId="18B96FFD" w:rsidR="00070900" w:rsidRDefault="00AA4E0D" w:rsidP="00AF7B68">
      <w:pPr>
        <w:pStyle w:val="BodyCopy"/>
      </w:pPr>
      <w:r>
        <w:t>Whether the over- and under</w:t>
      </w:r>
      <w:r w:rsidR="00E34F7D">
        <w:t>-</w:t>
      </w:r>
      <w:r>
        <w:t xml:space="preserve">recovery of any class of vehicle is being minimised has been interpreted as a requirement that the average total heavy vehicle charges paid by the average vehicle in a class should exceed the average </w:t>
      </w:r>
      <w:r w:rsidR="009522AD">
        <w:t xml:space="preserve">attributable </w:t>
      </w:r>
      <w:r>
        <w:t xml:space="preserve">cost for this vehicle type. </w:t>
      </w:r>
    </w:p>
    <w:p w14:paraId="30065DDE" w14:textId="382D9F6B" w:rsidR="00AA4E0D" w:rsidRDefault="00AA4E0D" w:rsidP="00AF7B68">
      <w:pPr>
        <w:pStyle w:val="BodyCopy"/>
      </w:pPr>
      <w:r>
        <w:t>The PAYGO model uses a constraint check table to indicate whether this is being achieved.</w:t>
      </w:r>
      <w:r w:rsidR="00830D17">
        <w:t xml:space="preserve"> </w:t>
      </w:r>
      <w:r w:rsidR="00676E76">
        <w:t>U</w:t>
      </w:r>
      <w:r>
        <w:t xml:space="preserve">nder the current structure of heavy vehicle charges, there are </w:t>
      </w:r>
      <w:r w:rsidR="00EC29C1">
        <w:t>several</w:t>
      </w:r>
      <w:r>
        <w:t xml:space="preserve"> vehicle types where the charges revenue paid is lower than the </w:t>
      </w:r>
      <w:r w:rsidR="00E032F8">
        <w:t xml:space="preserve">attributable </w:t>
      </w:r>
      <w:r>
        <w:t>cost.</w:t>
      </w:r>
      <w:r w:rsidR="00676E76">
        <w:t xml:space="preserve"> Avoiding cross</w:t>
      </w:r>
      <w:r w:rsidR="00167527">
        <w:t>-</w:t>
      </w:r>
      <w:r w:rsidR="00676E76">
        <w:t>subsidies between different vehicle classes would therefore require the relative size of registration charges between different vehicle classes to change.</w:t>
      </w:r>
      <w:r w:rsidR="009E61AA">
        <w:t xml:space="preserve"> </w:t>
      </w:r>
    </w:p>
    <w:p w14:paraId="66CED371" w14:textId="3B5EAC86" w:rsidR="00647A4E" w:rsidRDefault="002B2F3B" w:rsidP="0041236D">
      <w:pPr>
        <w:pStyle w:val="Heading2"/>
      </w:pPr>
      <w:bookmarkStart w:id="469" w:name="_Toc86158493"/>
      <w:r>
        <w:t>Historic</w:t>
      </w:r>
      <w:r w:rsidR="00E34F7D">
        <w:t>al</w:t>
      </w:r>
      <w:r>
        <w:t xml:space="preserve"> approach to implementing determinations</w:t>
      </w:r>
      <w:bookmarkEnd w:id="469"/>
    </w:p>
    <w:p w14:paraId="2E4C5141" w14:textId="1E8397C6" w:rsidR="002B2F3B" w:rsidRDefault="00DB50AF" w:rsidP="002B2F3B">
      <w:pPr>
        <w:pStyle w:val="BodyCopy"/>
      </w:pPr>
      <w:r>
        <w:t>Historically,</w:t>
      </w:r>
      <w:r w:rsidR="001126F5">
        <w:t xml:space="preserve"> a specific set of heavy vehicle charges would be implemented in the financial year following </w:t>
      </w:r>
      <w:r w:rsidR="00E34F7D">
        <w:t>m</w:t>
      </w:r>
      <w:r w:rsidR="001126F5">
        <w:t>inisters</w:t>
      </w:r>
      <w:r w:rsidR="0065184E">
        <w:t>’</w:t>
      </w:r>
      <w:r w:rsidR="001126F5">
        <w:t xml:space="preserve"> approval of the determination.</w:t>
      </w:r>
      <w:r w:rsidR="00830D17">
        <w:t xml:space="preserve"> </w:t>
      </w:r>
      <w:r w:rsidR="001126F5">
        <w:t>An annual adjustment process would then apply between determinations to ensure heavy vehicle charges revenue kept up with changes in government expenditure.</w:t>
      </w:r>
      <w:r w:rsidR="00830D17">
        <w:t xml:space="preserve"> </w:t>
      </w:r>
    </w:p>
    <w:p w14:paraId="7AB55513" w14:textId="5D4E6CAF" w:rsidR="0078678F" w:rsidRDefault="0078678F" w:rsidP="002B2F3B">
      <w:pPr>
        <w:pStyle w:val="BodyCopy"/>
      </w:pPr>
      <w:r>
        <w:lastRenderedPageBreak/>
        <w:t>The annual adjustment initially applied only to registration charges. Over time, this led</w:t>
      </w:r>
      <w:r w:rsidR="00EF074A">
        <w:t xml:space="preserve"> to an increasing proportion of heavy vehicle charges revenue being recovered through registration charges</w:t>
      </w:r>
      <w:r w:rsidR="00E34F7D">
        <w:t>,</w:t>
      </w:r>
      <w:r w:rsidR="00EF074A">
        <w:t xml:space="preserve"> whereas the proportion recovered through RUC reduced over time. To avoid this occurring, </w:t>
      </w:r>
      <w:r w:rsidR="00E34F7D">
        <w:t>m</w:t>
      </w:r>
      <w:r w:rsidR="00EF074A">
        <w:t xml:space="preserve">inisters agreed </w:t>
      </w:r>
      <w:r w:rsidR="00B20BE0">
        <w:t>as part of the 2007 determination</w:t>
      </w:r>
      <w:r w:rsidR="00EF074A">
        <w:t xml:space="preserve"> that annual adjustments would apply to registration charges and </w:t>
      </w:r>
      <w:r w:rsidR="00E34F7D">
        <w:t xml:space="preserve">to </w:t>
      </w:r>
      <w:r w:rsidR="00EF074A">
        <w:t>RUC.</w:t>
      </w:r>
      <w:r w:rsidR="00830D17">
        <w:t xml:space="preserve"> </w:t>
      </w:r>
    </w:p>
    <w:p w14:paraId="185AD677" w14:textId="6B899CA6" w:rsidR="0078678F" w:rsidRDefault="0078678F" w:rsidP="002B2F3B">
      <w:pPr>
        <w:pStyle w:val="BodyCopy"/>
      </w:pPr>
      <w:r>
        <w:t>The annual adjustment was calculated and applied automatically, based on a formula outlined in the Heavy Vehicle Charges Model Law.</w:t>
      </w:r>
      <w:r w:rsidR="00830D17">
        <w:t xml:space="preserve"> </w:t>
      </w:r>
    </w:p>
    <w:p w14:paraId="2079C342" w14:textId="3FA6DCCB" w:rsidR="00D943FE" w:rsidRDefault="00D943FE" w:rsidP="002B2F3B">
      <w:pPr>
        <w:pStyle w:val="BodyCopy"/>
      </w:pPr>
      <w:r>
        <w:t xml:space="preserve">Under normal circumstances, this would be the most obvious approach to implementing the heavy vehicle charges approved by </w:t>
      </w:r>
      <w:r w:rsidR="00E34F7D">
        <w:t>m</w:t>
      </w:r>
      <w:r>
        <w:t>inisters as part of this determination.</w:t>
      </w:r>
      <w:r w:rsidR="00830D17">
        <w:t xml:space="preserve"> </w:t>
      </w:r>
    </w:p>
    <w:p w14:paraId="1ABEF3D0" w14:textId="18CC0B01" w:rsidR="003C1C14" w:rsidRDefault="005D3C7F" w:rsidP="0041236D">
      <w:pPr>
        <w:pStyle w:val="Heading2"/>
      </w:pPr>
      <w:bookmarkStart w:id="470" w:name="_Toc86158494"/>
      <w:r>
        <w:t>Direct implementation may not be feasible</w:t>
      </w:r>
      <w:bookmarkEnd w:id="470"/>
    </w:p>
    <w:p w14:paraId="4D7D8FD1" w14:textId="0210F19D" w:rsidR="009E1744" w:rsidRPr="009E1744" w:rsidRDefault="0057363D" w:rsidP="009E1744">
      <w:pPr>
        <w:pStyle w:val="BodyCopy"/>
      </w:pPr>
      <w:r>
        <w:t>The cost bases</w:t>
      </w:r>
      <w:r w:rsidR="00303EB5">
        <w:t xml:space="preserve"> for all</w:t>
      </w:r>
      <w:r w:rsidR="00C179F6">
        <w:t xml:space="preserve"> three</w:t>
      </w:r>
      <w:r w:rsidR="00303EB5">
        <w:t xml:space="preserve"> options, as</w:t>
      </w:r>
      <w:r>
        <w:t xml:space="preserve"> shown in</w:t>
      </w:r>
      <w:r w:rsidR="00173E9F">
        <w:t xml:space="preserve"> </w:t>
      </w:r>
      <w:r w:rsidR="00173E9F">
        <w:fldChar w:fldCharType="begin"/>
      </w:r>
      <w:r w:rsidR="00173E9F">
        <w:instrText xml:space="preserve"> REF _Ref58831566 \r \h </w:instrText>
      </w:r>
      <w:r w:rsidR="00173E9F">
        <w:fldChar w:fldCharType="separate"/>
      </w:r>
      <w:r w:rsidR="00225EEA">
        <w:t>Table 21</w:t>
      </w:r>
      <w:r w:rsidR="00173E9F">
        <w:fldChar w:fldCharType="end"/>
      </w:r>
      <w:r w:rsidR="00303EB5">
        <w:t>, exceed the revenue</w:t>
      </w:r>
      <w:r w:rsidR="00C179F6">
        <w:t xml:space="preserve"> that would be collected</w:t>
      </w:r>
      <w:r w:rsidR="00303EB5">
        <w:t xml:space="preserve"> </w:t>
      </w:r>
      <w:r w:rsidR="00C179F6">
        <w:t>if</w:t>
      </w:r>
      <w:r w:rsidR="00303EB5">
        <w:t xml:space="preserve"> current heavy vehicle charges</w:t>
      </w:r>
      <w:r w:rsidR="00C179F6">
        <w:t xml:space="preserve"> were fr</w:t>
      </w:r>
      <w:r w:rsidR="006F283D">
        <w:t>ozen</w:t>
      </w:r>
      <w:r w:rsidR="00303EB5">
        <w:t xml:space="preserve"> </w:t>
      </w:r>
      <w:r w:rsidR="001264A1">
        <w:t>at 2021–22 levels</w:t>
      </w:r>
      <w:r w:rsidR="00303EB5">
        <w:t xml:space="preserve"> by </w:t>
      </w:r>
      <w:r w:rsidR="00FA5065" w:rsidRPr="00AD02FD">
        <w:t>between</w:t>
      </w:r>
      <w:r w:rsidR="00303EB5" w:rsidRPr="00AD02FD">
        <w:t xml:space="preserve"> </w:t>
      </w:r>
      <w:r w:rsidR="006F283D">
        <w:t>22.6</w:t>
      </w:r>
      <w:r w:rsidR="005B1237" w:rsidRPr="00AD02FD">
        <w:t xml:space="preserve"> per cent</w:t>
      </w:r>
      <w:r w:rsidR="00FA5065" w:rsidRPr="00AD02FD">
        <w:t xml:space="preserve"> and </w:t>
      </w:r>
      <w:r w:rsidR="006F283D">
        <w:t>43</w:t>
      </w:r>
      <w:r w:rsidR="00FA5065" w:rsidRPr="00AD02FD">
        <w:t>.</w:t>
      </w:r>
      <w:r w:rsidR="006F283D">
        <w:t>0</w:t>
      </w:r>
      <w:r w:rsidR="00FA5065" w:rsidRPr="00AD02FD">
        <w:t xml:space="preserve"> per cent</w:t>
      </w:r>
      <w:r w:rsidR="00303EB5">
        <w:t>.</w:t>
      </w:r>
      <w:r w:rsidR="00F83193">
        <w:rPr>
          <w:rStyle w:val="FootnoteReference"/>
        </w:rPr>
        <w:footnoteReference w:id="21"/>
      </w:r>
      <w:r w:rsidR="0060321B">
        <w:t xml:space="preserve"> </w:t>
      </w:r>
    </w:p>
    <w:p w14:paraId="22C5EB72" w14:textId="4830FD7D" w:rsidR="008C6F3E" w:rsidRDefault="008C6F3E" w:rsidP="00374A20">
      <w:pPr>
        <w:pStyle w:val="BodyCopy"/>
      </w:pPr>
      <w:r>
        <w:t>T</w:t>
      </w:r>
      <w:r w:rsidR="007E3976">
        <w:t>wo key</w:t>
      </w:r>
      <w:r>
        <w:t xml:space="preserve"> factors have contributed to the</w:t>
      </w:r>
      <w:r w:rsidR="00FE0436">
        <w:t xml:space="preserve"> </w:t>
      </w:r>
      <w:r w:rsidR="00F85ADF">
        <w:t>gap between estimated revenue and the</w:t>
      </w:r>
      <w:r w:rsidR="00FE0436">
        <w:t xml:space="preserve"> cost bases </w:t>
      </w:r>
      <w:r w:rsidR="00F85ADF">
        <w:t>outlined above</w:t>
      </w:r>
      <w:r w:rsidR="00FE0436">
        <w:t xml:space="preserve"> increasing compared </w:t>
      </w:r>
      <w:r w:rsidR="005E77F6">
        <w:t>with</w:t>
      </w:r>
      <w:r w:rsidR="00FE0436">
        <w:t xml:space="preserve"> those shown in the C-RIS</w:t>
      </w:r>
      <w:r w:rsidR="007E3976">
        <w:t>. First, the</w:t>
      </w:r>
      <w:r w:rsidR="00A665AA">
        <w:t xml:space="preserve"> total</w:t>
      </w:r>
      <w:r w:rsidR="007E3976">
        <w:t xml:space="preserve"> </w:t>
      </w:r>
      <w:r w:rsidR="00935E1D">
        <w:t>road expenditure reported for 2020</w:t>
      </w:r>
      <w:r w:rsidR="00D2297A">
        <w:t>–</w:t>
      </w:r>
      <w:r w:rsidR="00935E1D">
        <w:t>21 has increased by $</w:t>
      </w:r>
      <w:r w:rsidR="00A665AA">
        <w:t>3.87</w:t>
      </w:r>
      <w:r w:rsidR="00EC29C1">
        <w:t xml:space="preserve"> </w:t>
      </w:r>
      <w:r w:rsidR="00A665AA">
        <w:t>b</w:t>
      </w:r>
      <w:r w:rsidR="00EC29C1">
        <w:t>illion</w:t>
      </w:r>
      <w:r w:rsidR="00AB0777">
        <w:t xml:space="preserve"> or </w:t>
      </w:r>
      <w:r w:rsidR="000A560F">
        <w:t>15.4</w:t>
      </w:r>
      <w:r w:rsidR="00AB0777">
        <w:t xml:space="preserve"> per cent</w:t>
      </w:r>
      <w:r w:rsidR="00D2297A">
        <w:t xml:space="preserve"> compared </w:t>
      </w:r>
      <w:r w:rsidR="007A0F64">
        <w:t xml:space="preserve">with </w:t>
      </w:r>
      <w:r w:rsidR="00D2297A">
        <w:t>2019–20</w:t>
      </w:r>
      <w:r w:rsidR="00AB0777">
        <w:t xml:space="preserve">. Also, we have now adjusted the estimated RUC revenue by 4 per cent to account for exemptions for fuel used to power </w:t>
      </w:r>
      <w:r w:rsidR="00BC2DF0">
        <w:t>auxiliary</w:t>
      </w:r>
      <w:r w:rsidR="00AB0777">
        <w:t xml:space="preserve"> equipment, as discussed </w:t>
      </w:r>
      <w:r w:rsidR="00776C17">
        <w:t>and recommended</w:t>
      </w:r>
      <w:r w:rsidR="00AB0777">
        <w:t xml:space="preserve"> in </w:t>
      </w:r>
      <w:r w:rsidR="00776C17">
        <w:t xml:space="preserve">section </w:t>
      </w:r>
      <w:r w:rsidR="00776C17">
        <w:fldChar w:fldCharType="begin"/>
      </w:r>
      <w:r w:rsidR="00776C17">
        <w:instrText xml:space="preserve"> REF _Ref64881068 \r \h </w:instrText>
      </w:r>
      <w:r w:rsidR="00776C17">
        <w:fldChar w:fldCharType="separate"/>
      </w:r>
      <w:r w:rsidR="00225EEA">
        <w:t>4.9</w:t>
      </w:r>
      <w:r w:rsidR="00776C17">
        <w:fldChar w:fldCharType="end"/>
      </w:r>
      <w:r w:rsidR="00776C17">
        <w:t>.</w:t>
      </w:r>
      <w:r w:rsidR="009E61AA">
        <w:t xml:space="preserve"> </w:t>
      </w:r>
    </w:p>
    <w:p w14:paraId="4E05864B" w14:textId="7848C566" w:rsidR="0060321B" w:rsidRDefault="007C232D" w:rsidP="00374A20">
      <w:pPr>
        <w:pStyle w:val="BodyCopy"/>
      </w:pPr>
      <w:r>
        <w:t xml:space="preserve">It may not be possible to </w:t>
      </w:r>
      <w:r w:rsidR="00C05677">
        <w:t xml:space="preserve">implement the determination directly </w:t>
      </w:r>
      <w:r w:rsidR="007A0F64">
        <w:t>for the following reasons</w:t>
      </w:r>
      <w:r w:rsidR="00C05677">
        <w:t>:</w:t>
      </w:r>
    </w:p>
    <w:p w14:paraId="20A542E4" w14:textId="7CAAD1ED" w:rsidR="00846029" w:rsidRDefault="00C05677" w:rsidP="00FD39C5">
      <w:pPr>
        <w:pStyle w:val="List-bulletlvl1"/>
      </w:pPr>
      <w:r>
        <w:t>ITMM has historically been reluctant to approve large increases in heavy vehicle charges</w:t>
      </w:r>
      <w:r w:rsidR="00846029">
        <w:t>.</w:t>
      </w:r>
      <w:r w:rsidR="00830D17">
        <w:t xml:space="preserve"> </w:t>
      </w:r>
    </w:p>
    <w:p w14:paraId="46EF5D5F" w14:textId="438C410F" w:rsidR="008C53A9" w:rsidRDefault="00846029" w:rsidP="00FD39C5">
      <w:pPr>
        <w:pStyle w:val="List-bulletlvl1"/>
      </w:pPr>
      <w:r>
        <w:t>T</w:t>
      </w:r>
      <w:r w:rsidR="008C53A9">
        <w:t>he</w:t>
      </w:r>
      <w:r>
        <w:t xml:space="preserve"> economic consequences of a significant increase in heavy vehicle charges may be more severe than usual in the</w:t>
      </w:r>
      <w:r w:rsidR="008C53A9">
        <w:t xml:space="preserve"> uncertain economic climate post COVID</w:t>
      </w:r>
      <w:r w:rsidR="00C33358">
        <w:t>-</w:t>
      </w:r>
      <w:r w:rsidR="008C53A9">
        <w:t>19</w:t>
      </w:r>
      <w:r w:rsidR="003B4ECE">
        <w:t>.</w:t>
      </w:r>
    </w:p>
    <w:p w14:paraId="141BF15C" w14:textId="7CF3DAC2" w:rsidR="009A6429" w:rsidRDefault="009A6429" w:rsidP="00FD39C5">
      <w:pPr>
        <w:pStyle w:val="List-bulletlvl1"/>
      </w:pPr>
      <w:r>
        <w:t xml:space="preserve">Heavy vehicle operators may not be able to pass on significant increases in heavy vehicle charges to their customers, particularly </w:t>
      </w:r>
      <w:r w:rsidR="00D03465">
        <w:t>with the relatively short lead time inherent in a direct implementation approach</w:t>
      </w:r>
      <w:r w:rsidR="00983E24">
        <w:t>.</w:t>
      </w:r>
    </w:p>
    <w:p w14:paraId="6AB2A961" w14:textId="1A402561" w:rsidR="00852361" w:rsidRDefault="00B77F65" w:rsidP="00B77F65">
      <w:pPr>
        <w:pStyle w:val="BodyText1"/>
      </w:pPr>
      <w:r>
        <w:t>On the other hand, full cost recovery over time is one of the most important principles underpinning PAYGO. Therefore, alternative implementation options should</w:t>
      </w:r>
      <w:r w:rsidR="00A76D67">
        <w:t xml:space="preserve"> at least be able to achieve some progress towards full cost recovery, even if this is not achieved immediately.</w:t>
      </w:r>
      <w:r w:rsidR="00830D17">
        <w:t xml:space="preserve"> </w:t>
      </w:r>
    </w:p>
    <w:p w14:paraId="1E7B58AC" w14:textId="15D5A64C" w:rsidR="00760730" w:rsidRDefault="00760730" w:rsidP="00760730">
      <w:pPr>
        <w:pStyle w:val="Heading2"/>
      </w:pPr>
      <w:bookmarkStart w:id="471" w:name="_Toc86158495"/>
      <w:r>
        <w:t>Multi-year price periods</w:t>
      </w:r>
      <w:bookmarkEnd w:id="471"/>
    </w:p>
    <w:p w14:paraId="2490AE6D" w14:textId="2716F7CF" w:rsidR="00760730" w:rsidRDefault="00760730" w:rsidP="00760730">
      <w:pPr>
        <w:pStyle w:val="BodyText1"/>
      </w:pPr>
      <w:r>
        <w:t>Setting charges for multiple years would allow the transition to full cost recovery to begin at a measured pace in a way that recognises the cost recovery principle underpinning PAYGO while also recognising that moving to full cost recovery</w:t>
      </w:r>
      <w:r w:rsidR="00695BB9">
        <w:t xml:space="preserve"> immediately would impose an unreasonable burden on heavy vehicle operators</w:t>
      </w:r>
      <w:r>
        <w:t xml:space="preserve">. </w:t>
      </w:r>
    </w:p>
    <w:p w14:paraId="50C3990B" w14:textId="3DD2824B" w:rsidR="00760730" w:rsidRDefault="00695BB9" w:rsidP="00760730">
      <w:pPr>
        <w:pStyle w:val="BodyText1"/>
      </w:pPr>
      <w:r>
        <w:lastRenderedPageBreak/>
        <w:t xml:space="preserve">Agreeing a multi-year price path </w:t>
      </w:r>
      <w:r w:rsidR="00760730">
        <w:t>would also have the potential to reduce administrative and compliance costs for governments and industry.</w:t>
      </w:r>
      <w:r w:rsidR="00830D17">
        <w:t xml:space="preserve"> </w:t>
      </w:r>
    </w:p>
    <w:p w14:paraId="4FF64AED" w14:textId="3CC1CD7C" w:rsidR="00030147" w:rsidRDefault="00C768B9" w:rsidP="00EA28E1">
      <w:pPr>
        <w:pStyle w:val="BodyText1"/>
      </w:pPr>
      <w:r>
        <w:t xml:space="preserve">Recent experience with the need to revisit heavy vehicle charges each year shows this is distracting </w:t>
      </w:r>
      <w:r w:rsidR="003A567E">
        <w:t>to both governments and industry and consumes significant administrative resources.</w:t>
      </w:r>
      <w:r w:rsidR="001F2AE6">
        <w:t xml:space="preserve"> These costs could be avoided, at least in part, with a</w:t>
      </w:r>
      <w:r w:rsidR="003A567E">
        <w:t xml:space="preserve"> </w:t>
      </w:r>
      <w:r w:rsidR="00030147">
        <w:t>defined</w:t>
      </w:r>
      <w:r w:rsidR="005D7EE2">
        <w:t xml:space="preserve"> multi-year</w:t>
      </w:r>
      <w:r w:rsidR="00030147">
        <w:t xml:space="preserve"> price path.</w:t>
      </w:r>
      <w:r w:rsidR="00830D17">
        <w:t xml:space="preserve"> </w:t>
      </w:r>
    </w:p>
    <w:p w14:paraId="1332EC8D" w14:textId="63A853E5" w:rsidR="00760730" w:rsidRDefault="00695BB9" w:rsidP="00EA28E1">
      <w:pPr>
        <w:pStyle w:val="BodyText1"/>
      </w:pPr>
      <w:r>
        <w:t xml:space="preserve">A defined price path </w:t>
      </w:r>
      <w:r w:rsidR="00760730">
        <w:t>may offer additional advantages in that it would provide industry with certainty about the heavy vehicle charges that would apply in the medium term, allowing vehicle operators to make better pricing decisions and reflect them in contracts.</w:t>
      </w:r>
      <w:r w:rsidR="00830D17">
        <w:t xml:space="preserve"> </w:t>
      </w:r>
    </w:p>
    <w:p w14:paraId="28D9D075" w14:textId="78D27211" w:rsidR="003A567E" w:rsidRDefault="00C74E00" w:rsidP="00EA28E1">
      <w:pPr>
        <w:pStyle w:val="BodyText1"/>
      </w:pPr>
      <w:r>
        <w:t>One of the key questions is</w:t>
      </w:r>
      <w:r w:rsidR="00A20F7A">
        <w:t>:</w:t>
      </w:r>
      <w:r>
        <w:t xml:space="preserve"> </w:t>
      </w:r>
      <w:r w:rsidR="00A20F7A">
        <w:t>H</w:t>
      </w:r>
      <w:r>
        <w:t xml:space="preserve">ow long </w:t>
      </w:r>
      <w:r w:rsidR="00A20F7A">
        <w:t xml:space="preserve">should </w:t>
      </w:r>
      <w:r>
        <w:t>any</w:t>
      </w:r>
      <w:r w:rsidR="005D7EE2">
        <w:t xml:space="preserve"> multi-year</w:t>
      </w:r>
      <w:r>
        <w:t xml:space="preserve"> price path be</w:t>
      </w:r>
      <w:r w:rsidR="00412A55">
        <w:t>?</w:t>
      </w:r>
      <w:r w:rsidR="00830D17">
        <w:t xml:space="preserve"> </w:t>
      </w:r>
    </w:p>
    <w:p w14:paraId="4D6707A8" w14:textId="77006F72" w:rsidR="00C74E00" w:rsidRDefault="002F74CF" w:rsidP="00760730">
      <w:pPr>
        <w:pStyle w:val="Heading3"/>
      </w:pPr>
      <w:bookmarkStart w:id="472" w:name="_Toc86158496"/>
      <w:r>
        <w:t xml:space="preserve">Specifying the </w:t>
      </w:r>
      <w:r w:rsidR="00C74E00">
        <w:t>multi-year pricing period</w:t>
      </w:r>
      <w:bookmarkEnd w:id="472"/>
    </w:p>
    <w:p w14:paraId="31523439" w14:textId="7C5F2E2F" w:rsidR="00871920" w:rsidRDefault="00004220" w:rsidP="00871920">
      <w:pPr>
        <w:pStyle w:val="BodyCopy"/>
      </w:pPr>
      <w:r>
        <w:t>T</w:t>
      </w:r>
      <w:r w:rsidR="00737B7E">
        <w:t xml:space="preserve">here are trade-offs in deciding on the length of a </w:t>
      </w:r>
      <w:r w:rsidR="00296198">
        <w:t>multi-year pricing period</w:t>
      </w:r>
      <w:r w:rsidR="002F74CF">
        <w:t>, and the rate of increase to apply</w:t>
      </w:r>
      <w:r w:rsidR="00296198">
        <w:t>:</w:t>
      </w:r>
    </w:p>
    <w:p w14:paraId="127D268F" w14:textId="70BAC985" w:rsidR="00296198" w:rsidRDefault="00296198" w:rsidP="00FD39C5">
      <w:pPr>
        <w:pStyle w:val="List-bulletlvl1"/>
      </w:pPr>
      <w:r>
        <w:t xml:space="preserve">Determinations </w:t>
      </w:r>
      <w:r w:rsidR="00F075D6">
        <w:t xml:space="preserve">occur approximately every </w:t>
      </w:r>
      <w:r w:rsidR="00A20F7A">
        <w:t>five to seven</w:t>
      </w:r>
      <w:r w:rsidR="00F075D6">
        <w:t xml:space="preserve"> years. This </w:t>
      </w:r>
      <w:r w:rsidR="00ED6200">
        <w:t>timeframe is the</w:t>
      </w:r>
      <w:r w:rsidR="003656FB">
        <w:t xml:space="preserve"> practical</w:t>
      </w:r>
      <w:r w:rsidR="00ED6200">
        <w:t xml:space="preserve"> upper limit of a multi-year pricing period.</w:t>
      </w:r>
    </w:p>
    <w:p w14:paraId="0BBFB841" w14:textId="3300494D" w:rsidR="00051A8A" w:rsidRDefault="00051A8A" w:rsidP="00FD39C5">
      <w:pPr>
        <w:pStyle w:val="List-bulletlvl1"/>
      </w:pPr>
      <w:r>
        <w:t xml:space="preserve">It is </w:t>
      </w:r>
      <w:r w:rsidR="00972FBC">
        <w:t>possible</w:t>
      </w:r>
      <w:r>
        <w:t xml:space="preserve"> that </w:t>
      </w:r>
      <w:r w:rsidR="00314A7D">
        <w:t>HVRR</w:t>
      </w:r>
      <w:r>
        <w:t xml:space="preserve"> will be implemented in the </w:t>
      </w:r>
      <w:r w:rsidR="003656FB">
        <w:t>medium</w:t>
      </w:r>
      <w:r w:rsidR="00A20F7A">
        <w:t xml:space="preserve"> </w:t>
      </w:r>
      <w:r w:rsidR="003656FB">
        <w:t>term</w:t>
      </w:r>
      <w:r>
        <w:t xml:space="preserve">. </w:t>
      </w:r>
      <w:r w:rsidR="0071604E">
        <w:t xml:space="preserve">Shorter pricing periods are more likely to </w:t>
      </w:r>
      <w:r w:rsidR="003656FB">
        <w:t xml:space="preserve">support </w:t>
      </w:r>
      <w:r w:rsidR="00FD645B">
        <w:t>smooth reform implementation.</w:t>
      </w:r>
      <w:r w:rsidR="00830D17">
        <w:t xml:space="preserve"> </w:t>
      </w:r>
    </w:p>
    <w:p w14:paraId="0218791E" w14:textId="2E45030F" w:rsidR="00ED6200" w:rsidRDefault="00ED6200" w:rsidP="00FD39C5">
      <w:pPr>
        <w:pStyle w:val="List-bulletlvl1"/>
      </w:pPr>
      <w:r>
        <w:t xml:space="preserve">Shorter pricing periods provide less certainty, whereas </w:t>
      </w:r>
      <w:r w:rsidR="00410D47">
        <w:t>longer periods provide greater certainty</w:t>
      </w:r>
      <w:r w:rsidR="00FD645B">
        <w:t xml:space="preserve"> for both industry and governments</w:t>
      </w:r>
      <w:r w:rsidR="008C69F5">
        <w:t>.</w:t>
      </w:r>
    </w:p>
    <w:p w14:paraId="3023268D" w14:textId="39DA6F35" w:rsidR="00410D47" w:rsidRDefault="0050616B" w:rsidP="00FD39C5">
      <w:pPr>
        <w:pStyle w:val="List-bulletlvl1"/>
      </w:pPr>
      <w:r>
        <w:t xml:space="preserve">Longer pricing periods involve a higher risk that </w:t>
      </w:r>
      <w:r w:rsidR="00D50BE3">
        <w:t xml:space="preserve">the heavy vehicle cost base and the revenue from heavy vehicle charges drift apart, </w:t>
      </w:r>
      <w:r w:rsidR="002F74CF">
        <w:t>increasing the potential for over</w:t>
      </w:r>
      <w:r w:rsidR="00A20F7A">
        <w:t>-</w:t>
      </w:r>
      <w:r w:rsidR="002F74CF">
        <w:t xml:space="preserve"> or under-recovery to </w:t>
      </w:r>
      <w:r w:rsidR="008C69F5">
        <w:t>increase over the pricing period</w:t>
      </w:r>
      <w:r w:rsidR="002F74CF">
        <w:t>.</w:t>
      </w:r>
    </w:p>
    <w:p w14:paraId="63DA3B4D" w14:textId="61486522" w:rsidR="002F74CF" w:rsidRDefault="00633EA4" w:rsidP="00FD39C5">
      <w:pPr>
        <w:pStyle w:val="List-bulletlvl1"/>
      </w:pPr>
      <w:r>
        <w:t xml:space="preserve">Any percentage increase set below the long-run </w:t>
      </w:r>
      <w:r w:rsidR="006D5727">
        <w:t xml:space="preserve">growth in the heavy vehicle cost base is likely to result in the gap between the heavy vehicle cost base and heavy vehicle charges revenue growing over time rather than </w:t>
      </w:r>
      <w:r w:rsidR="00776E59">
        <w:t xml:space="preserve">reducing. </w:t>
      </w:r>
    </w:p>
    <w:p w14:paraId="12C4AE01" w14:textId="77777777" w:rsidR="007C4A2D" w:rsidRDefault="005569A0" w:rsidP="00FD39C5">
      <w:pPr>
        <w:pStyle w:val="List-bulletlvl1"/>
      </w:pPr>
      <w:r>
        <w:t>The year-on-year growth in the heavy vehicle cost base is highly variable</w:t>
      </w:r>
      <w:r w:rsidR="007C4A2D">
        <w:t xml:space="preserve"> and difficult to forecast</w:t>
      </w:r>
      <w:r>
        <w:t xml:space="preserve">. </w:t>
      </w:r>
    </w:p>
    <w:p w14:paraId="315CB553" w14:textId="3B1FB879" w:rsidR="00776E59" w:rsidRDefault="005569A0" w:rsidP="00FD39C5">
      <w:pPr>
        <w:pStyle w:val="BodyCopy"/>
      </w:pPr>
      <w:bookmarkStart w:id="473" w:name="_Hlk64897158"/>
      <w:r>
        <w:t xml:space="preserve">Any multi-year </w:t>
      </w:r>
      <w:r w:rsidR="007C4A2D">
        <w:t xml:space="preserve">price path must be set with these considerations in mind. </w:t>
      </w:r>
      <w:r w:rsidR="00051A8A">
        <w:t>We recommend</w:t>
      </w:r>
      <w:r w:rsidR="007C4A2D">
        <w:t xml:space="preserve"> </w:t>
      </w:r>
      <w:r w:rsidR="00F11550">
        <w:t xml:space="preserve">exploring options for a three-year price path as the best compromise between providing </w:t>
      </w:r>
      <w:r w:rsidR="0047239B">
        <w:t xml:space="preserve">certainty and reducing the risk of the gap between the heavy vehicle cost base and heavy vehicle charges revenue widening significantly </w:t>
      </w:r>
      <w:r w:rsidR="009F677C">
        <w:t>during the price period.</w:t>
      </w:r>
      <w:r w:rsidR="00830D17">
        <w:t xml:space="preserve"> </w:t>
      </w:r>
    </w:p>
    <w:bookmarkEnd w:id="473"/>
    <w:p w14:paraId="1C71FDD2" w14:textId="2AD048EA" w:rsidR="00055DB3" w:rsidRDefault="00846859" w:rsidP="00FD39C5">
      <w:pPr>
        <w:pStyle w:val="BodyCopy"/>
      </w:pPr>
      <w:r>
        <w:t>Under this approach, ITMM would set prices for three years as part of its decision on the determination. The NTC would continue to collect data and provide an annual report to ITMM comparing the actual cost base with the revenue from heavy vehicle charges in each year of the pricing period. At the end of the pricing period, the NTC would provide a report on outcomes and recommendations for setting prices for the next three-year period.</w:t>
      </w:r>
      <w:r w:rsidR="00830D17">
        <w:t xml:space="preserve"> </w:t>
      </w:r>
    </w:p>
    <w:p w14:paraId="346889A9" w14:textId="331BBF57" w:rsidR="00846859" w:rsidRDefault="00846859" w:rsidP="00FD39C5">
      <w:pPr>
        <w:pStyle w:val="BodyCopy"/>
      </w:pPr>
      <w:r>
        <w:t>The heavy vehicle charges set under this methodology could be replaced at any time with charges set under a new methodology introduced as part of HVRR.</w:t>
      </w:r>
      <w:r w:rsidR="00830D17">
        <w:t xml:space="preserve"> </w:t>
      </w:r>
    </w:p>
    <w:p w14:paraId="566460F3" w14:textId="3F8583EF" w:rsidR="004B28D0" w:rsidRDefault="00846859" w:rsidP="004B28D0">
      <w:pPr>
        <w:pStyle w:val="Heading2"/>
      </w:pPr>
      <w:bookmarkStart w:id="474" w:name="_Toc86158497"/>
      <w:r>
        <w:t>I</w:t>
      </w:r>
      <w:r w:rsidR="00E80F6A">
        <w:t>nitial evaluation of i</w:t>
      </w:r>
      <w:r w:rsidR="004B28D0">
        <w:t>mplementation options</w:t>
      </w:r>
      <w:bookmarkEnd w:id="474"/>
    </w:p>
    <w:p w14:paraId="79FEDFB0" w14:textId="3FBC9D35" w:rsidR="00F70CA7" w:rsidRPr="006A5D68" w:rsidRDefault="001F4116" w:rsidP="00F70CA7">
      <w:pPr>
        <w:pStyle w:val="BodyCopy"/>
      </w:pPr>
      <w:bookmarkStart w:id="475" w:name="_Hlk64896283"/>
      <w:r w:rsidRPr="006A5D68">
        <w:t>As part of this determination, we are assessing</w:t>
      </w:r>
      <w:r w:rsidR="007E0851" w:rsidRPr="006A5D68">
        <w:t xml:space="preserve"> two implementation approaches</w:t>
      </w:r>
      <w:r w:rsidR="00103415" w:rsidRPr="006A5D68">
        <w:t xml:space="preserve">. </w:t>
      </w:r>
      <w:r w:rsidR="00C951F6">
        <w:t>The</w:t>
      </w:r>
      <w:r w:rsidR="00785BF7">
        <w:t xml:space="preserve">se are based on the NTC’s recommendation that ITMM </w:t>
      </w:r>
      <w:r w:rsidR="00F21A34">
        <w:t>agree</w:t>
      </w:r>
      <w:r w:rsidR="00262DA1">
        <w:t>s</w:t>
      </w:r>
      <w:r w:rsidR="00F21A34">
        <w:t xml:space="preserve"> to implement</w:t>
      </w:r>
      <w:r w:rsidR="00103415" w:rsidRPr="006A5D68">
        <w:t xml:space="preserve"> </w:t>
      </w:r>
      <w:r w:rsidR="008A449E" w:rsidRPr="006A5D68">
        <w:t>cost base</w:t>
      </w:r>
      <w:r w:rsidR="00103415" w:rsidRPr="006A5D68">
        <w:t xml:space="preserve"> option B</w:t>
      </w:r>
      <w:r w:rsidR="00EA517B">
        <w:t xml:space="preserve">. However, </w:t>
      </w:r>
      <w:r w:rsidR="008A449E" w:rsidRPr="006A5D68">
        <w:t>the</w:t>
      </w:r>
      <w:r w:rsidR="00EA517B">
        <w:t>se</w:t>
      </w:r>
      <w:r w:rsidR="008A449E" w:rsidRPr="006A5D68">
        <w:t xml:space="preserve"> implementation options could be pursued under all cost base</w:t>
      </w:r>
      <w:r w:rsidR="004810A6" w:rsidRPr="006A5D68">
        <w:t xml:space="preserve"> options:</w:t>
      </w:r>
    </w:p>
    <w:p w14:paraId="01374D26" w14:textId="58CDABDD" w:rsidR="001F4116" w:rsidRPr="006A5D68" w:rsidRDefault="00C24A7E" w:rsidP="00FD39C5">
      <w:pPr>
        <w:pStyle w:val="List-bulletlvl1"/>
      </w:pPr>
      <w:r w:rsidRPr="006A5D68">
        <w:lastRenderedPageBreak/>
        <w:t>d</w:t>
      </w:r>
      <w:r w:rsidR="00536B04" w:rsidRPr="006A5D68">
        <w:t>irect implementation</w:t>
      </w:r>
      <w:r w:rsidR="00F83193" w:rsidRPr="006A5D68">
        <w:t xml:space="preserve"> </w:t>
      </w:r>
      <w:r w:rsidR="00536B04" w:rsidRPr="006A5D68">
        <w:t>in 2022</w:t>
      </w:r>
      <w:r w:rsidR="00272BD6" w:rsidRPr="006A5D68">
        <w:t>–2</w:t>
      </w:r>
      <w:r w:rsidR="00536B04" w:rsidRPr="006A5D68">
        <w:t>3 with automatic annual adjustments to ensure full recovery of the identified heavy vehicle cost base in subsequent years</w:t>
      </w:r>
    </w:p>
    <w:p w14:paraId="07FBDFC2" w14:textId="1E1B12DB" w:rsidR="004810A6" w:rsidRPr="006A5D68" w:rsidRDefault="00C24A7E" w:rsidP="00FD39C5">
      <w:pPr>
        <w:pStyle w:val="List-bulletlvl1"/>
      </w:pPr>
      <w:r w:rsidRPr="006A5D68">
        <w:t>t</w:t>
      </w:r>
      <w:r w:rsidR="00695BB9" w:rsidRPr="006A5D68">
        <w:t>hree-year price path</w:t>
      </w:r>
      <w:r w:rsidR="007458EB" w:rsidRPr="006A5D68">
        <w:t xml:space="preserve"> </w:t>
      </w:r>
      <w:r w:rsidR="004810A6" w:rsidRPr="006A5D68">
        <w:t>with a fixed percentage increase each year</w:t>
      </w:r>
      <w:r w:rsidR="00CD263A" w:rsidRPr="006A5D68">
        <w:t xml:space="preserve">. Any percentage increase could be applied under this implementation option. </w:t>
      </w:r>
      <w:r w:rsidR="007E0851" w:rsidRPr="006A5D68">
        <w:t>To be able to</w:t>
      </w:r>
      <w:r w:rsidR="00CD263A" w:rsidRPr="006A5D68">
        <w:t xml:space="preserve"> explor</w:t>
      </w:r>
      <w:r w:rsidR="007E0851" w:rsidRPr="006A5D68">
        <w:t>e the financial implications</w:t>
      </w:r>
      <w:r w:rsidR="00A51C7B">
        <w:t>, two</w:t>
      </w:r>
      <w:r w:rsidR="007E0851" w:rsidRPr="006A5D68">
        <w:t xml:space="preserve"> </w:t>
      </w:r>
      <w:r w:rsidR="00740E6C">
        <w:t>alternative pathways</w:t>
      </w:r>
      <w:r w:rsidR="004451E2">
        <w:t xml:space="preserve"> </w:t>
      </w:r>
      <w:r w:rsidR="00CD263A" w:rsidRPr="006A5D68">
        <w:t>are presented:</w:t>
      </w:r>
    </w:p>
    <w:p w14:paraId="50763C6D" w14:textId="3887E4A0" w:rsidR="00536B04" w:rsidRPr="006A5D68" w:rsidRDefault="004451E2" w:rsidP="00357D40">
      <w:pPr>
        <w:pStyle w:val="List-bulletlvl2"/>
      </w:pPr>
      <w:r>
        <w:t>pathway</w:t>
      </w:r>
      <w:r w:rsidR="004810A6" w:rsidRPr="006A5D68">
        <w:t xml:space="preserve"> 1: </w:t>
      </w:r>
      <w:r w:rsidR="00967855" w:rsidRPr="006A5D68">
        <w:t xml:space="preserve">increases of </w:t>
      </w:r>
      <w:r w:rsidR="00B1485E">
        <w:t>2.75</w:t>
      </w:r>
      <w:r w:rsidR="003677FC">
        <w:t>, 3</w:t>
      </w:r>
      <w:r w:rsidR="00262DA1">
        <w:t>.0</w:t>
      </w:r>
      <w:r w:rsidR="003677FC">
        <w:t xml:space="preserve"> and </w:t>
      </w:r>
      <w:r w:rsidR="00967855" w:rsidRPr="006A5D68">
        <w:t>3</w:t>
      </w:r>
      <w:r w:rsidR="00A150F4" w:rsidRPr="006A5D68">
        <w:t>.5</w:t>
      </w:r>
      <w:r w:rsidR="00272BD6" w:rsidRPr="006A5D68">
        <w:t xml:space="preserve"> per cent</w:t>
      </w:r>
      <w:r w:rsidR="00967855" w:rsidRPr="006A5D68">
        <w:t xml:space="preserve"> per annum</w:t>
      </w:r>
      <w:r w:rsidR="003677FC">
        <w:t>, respectively,</w:t>
      </w:r>
      <w:r w:rsidR="00967855" w:rsidRPr="006A5D68">
        <w:t xml:space="preserve"> over the three years</w:t>
      </w:r>
    </w:p>
    <w:p w14:paraId="67468DE3" w14:textId="20FD3FD9" w:rsidR="00967855" w:rsidRPr="006A5D68" w:rsidRDefault="004451E2" w:rsidP="00357D40">
      <w:pPr>
        <w:pStyle w:val="List-bulletlvl2"/>
      </w:pPr>
      <w:r>
        <w:t>pathway</w:t>
      </w:r>
      <w:r w:rsidR="004810A6" w:rsidRPr="006A5D68">
        <w:t xml:space="preserve"> 2: </w:t>
      </w:r>
      <w:r w:rsidR="00967855" w:rsidRPr="006A5D68">
        <w:t>increases of 6</w:t>
      </w:r>
      <w:r w:rsidR="00272BD6" w:rsidRPr="006A5D68">
        <w:t xml:space="preserve"> per cent</w:t>
      </w:r>
      <w:r w:rsidR="00967855" w:rsidRPr="006A5D68">
        <w:t xml:space="preserve"> per annum over the three years</w:t>
      </w:r>
      <w:r w:rsidR="00C24A7E" w:rsidRPr="006A5D68">
        <w:t>.</w:t>
      </w:r>
    </w:p>
    <w:bookmarkEnd w:id="475"/>
    <w:p w14:paraId="6E7F0730" w14:textId="4199D2AC" w:rsidR="008C53A9" w:rsidRDefault="00EC73AF" w:rsidP="00012B3C">
      <w:pPr>
        <w:pStyle w:val="BodyCopy"/>
      </w:pPr>
      <w:r>
        <w:t>D</w:t>
      </w:r>
      <w:r w:rsidR="00635083">
        <w:t>irect implementation</w:t>
      </w:r>
      <w:r w:rsidR="00B2071B">
        <w:t xml:space="preserve"> represents the status quo.</w:t>
      </w:r>
      <w:r w:rsidR="00830D17">
        <w:t xml:space="preserve"> </w:t>
      </w:r>
      <w:r w:rsidR="0045756F">
        <w:t xml:space="preserve">The increases of </w:t>
      </w:r>
      <w:r w:rsidR="00B83C63">
        <w:t>2.75, 3.0 and</w:t>
      </w:r>
      <w:r w:rsidR="0045756F">
        <w:t xml:space="preserve"> 3</w:t>
      </w:r>
      <w:r w:rsidR="000E71D9">
        <w:t>.5</w:t>
      </w:r>
      <w:r w:rsidR="00272BD6">
        <w:t xml:space="preserve"> per cent</w:t>
      </w:r>
      <w:r w:rsidR="0045756F">
        <w:t xml:space="preserve"> </w:t>
      </w:r>
      <w:r w:rsidR="004810A6">
        <w:t xml:space="preserve">shown in </w:t>
      </w:r>
      <w:r w:rsidR="001E1ED0">
        <w:t>pathway</w:t>
      </w:r>
      <w:r w:rsidR="004810A6">
        <w:t xml:space="preserve"> 1 of the three-year fixed price path option a</w:t>
      </w:r>
      <w:r w:rsidR="0045756F">
        <w:t>re intended to</w:t>
      </w:r>
      <w:r w:rsidR="000E71D9">
        <w:t xml:space="preserve"> reflect </w:t>
      </w:r>
      <w:r w:rsidR="00B83C63">
        <w:t xml:space="preserve">a moderate approach that strikes </w:t>
      </w:r>
      <w:r w:rsidR="00337FAC">
        <w:t>a</w:t>
      </w:r>
      <w:r w:rsidR="00B83C63">
        <w:t xml:space="preserve"> balance between stakeholder views on the industry’s </w:t>
      </w:r>
      <w:r w:rsidR="00337FAC">
        <w:t xml:space="preserve">capacity to pay and the cost recovery principles. In the C-RIS, this example was specified as three equal yearly increases of 3.5 per cent. The NTC </w:t>
      </w:r>
      <w:r w:rsidR="002A1D44">
        <w:t>revised</w:t>
      </w:r>
      <w:r w:rsidR="00337FAC">
        <w:t xml:space="preserve"> this </w:t>
      </w:r>
      <w:r w:rsidR="00604C45">
        <w:t>pathway</w:t>
      </w:r>
      <w:r w:rsidR="00337FAC">
        <w:t xml:space="preserve"> in light of </w:t>
      </w:r>
      <w:r w:rsidR="002A1D44">
        <w:t>stakeholder feedback</w:t>
      </w:r>
      <w:r w:rsidR="002E1787">
        <w:t xml:space="preserve"> </w:t>
      </w:r>
      <w:r w:rsidR="00074A3A">
        <w:t>as outlined in section</w:t>
      </w:r>
      <w:r w:rsidR="00582E9B">
        <w:t xml:space="preserve"> </w:t>
      </w:r>
      <w:r w:rsidR="004F668F">
        <w:fldChar w:fldCharType="begin"/>
      </w:r>
      <w:r w:rsidR="004F668F">
        <w:instrText xml:space="preserve"> REF _Ref82502398 \r \h </w:instrText>
      </w:r>
      <w:r w:rsidR="004F668F">
        <w:fldChar w:fldCharType="separate"/>
      </w:r>
      <w:r w:rsidR="00225EEA">
        <w:t>6.6.4</w:t>
      </w:r>
      <w:r w:rsidR="004F668F">
        <w:fldChar w:fldCharType="end"/>
      </w:r>
      <w:r w:rsidR="002A1D44">
        <w:t xml:space="preserve">. </w:t>
      </w:r>
      <w:r w:rsidR="00312BBF">
        <w:t xml:space="preserve">The </w:t>
      </w:r>
      <w:r w:rsidR="00560DEB">
        <w:t>6</w:t>
      </w:r>
      <w:r w:rsidR="00272BD6">
        <w:t xml:space="preserve"> per cent</w:t>
      </w:r>
      <w:r w:rsidR="00560DEB">
        <w:t xml:space="preserve"> yearly increase in</w:t>
      </w:r>
      <w:r w:rsidR="004810A6">
        <w:t xml:space="preserve"> </w:t>
      </w:r>
      <w:r w:rsidR="001E1ED0">
        <w:t>pathway</w:t>
      </w:r>
      <w:r w:rsidR="004810A6">
        <w:t xml:space="preserve"> 2 of</w:t>
      </w:r>
      <w:r w:rsidR="003A27BB">
        <w:t xml:space="preserve"> </w:t>
      </w:r>
      <w:r w:rsidR="002D033D">
        <w:t>the</w:t>
      </w:r>
      <w:r w:rsidR="004810A6">
        <w:t xml:space="preserve"> three-year fixed price path option</w:t>
      </w:r>
      <w:r w:rsidR="000C644D">
        <w:t xml:space="preserve"> would see charges increase </w:t>
      </w:r>
      <w:r w:rsidR="002A1D44">
        <w:t>at a faster rate</w:t>
      </w:r>
      <w:r w:rsidR="000A7451">
        <w:t xml:space="preserve"> in an attempt to move closer to full cost recovery over time</w:t>
      </w:r>
      <w:r w:rsidR="003A27BB">
        <w:t xml:space="preserve">. </w:t>
      </w:r>
    </w:p>
    <w:p w14:paraId="70E4552F" w14:textId="48322FAB" w:rsidR="008047C9" w:rsidRDefault="008E3007" w:rsidP="00012B3C">
      <w:pPr>
        <w:pStyle w:val="BodyCopy"/>
      </w:pPr>
      <w:r>
        <w:t>For direct implementation, the NTC has retained the existing RUC</w:t>
      </w:r>
      <w:r w:rsidR="00C06255">
        <w:t xml:space="preserve"> revenue</w:t>
      </w:r>
      <w:r>
        <w:t xml:space="preserve"> to registration revenue ratio from 2021</w:t>
      </w:r>
      <w:r w:rsidR="00272BD6">
        <w:t>–2</w:t>
      </w:r>
      <w:r>
        <w:t>2 of 56.6 per cent RUC revenue and 43.4 per cent registration revenue (from the roads component of registration charges).</w:t>
      </w:r>
      <w:r w:rsidR="00C06255">
        <w:t xml:space="preserve"> That is, the RUC rate is calculated as the rate needed to recover 56.6 per cent of total revenue from fuel used by heavy vehicles (where total fuel use</w:t>
      </w:r>
      <w:r w:rsidR="005B6868">
        <w:t>d by heavy vehicles</w:t>
      </w:r>
      <w:r w:rsidR="00C06255">
        <w:t xml:space="preserve"> has been reduced by 4.</w:t>
      </w:r>
      <w:r w:rsidR="00BA6F84">
        <w:t>0</w:t>
      </w:r>
      <w:r w:rsidR="00C06255">
        <w:t xml:space="preserve"> per cent to reflect estimated RUC leakages). </w:t>
      </w:r>
    </w:p>
    <w:p w14:paraId="3E860381" w14:textId="58AD91CB" w:rsidR="008E3007" w:rsidRDefault="00C06255" w:rsidP="00012B3C">
      <w:pPr>
        <w:pStyle w:val="BodyCopy"/>
      </w:pPr>
      <w:r>
        <w:t>Registration charges under th</w:t>
      </w:r>
      <w:r w:rsidR="008047C9">
        <w:t>e direct i</w:t>
      </w:r>
      <w:r>
        <w:t xml:space="preserve">mplementation option are set to recover 43.4 per cent of total revenue and </w:t>
      </w:r>
      <w:r w:rsidR="00FA5065">
        <w:t xml:space="preserve">to </w:t>
      </w:r>
      <w:r>
        <w:t>maintain existing charge relativities</w:t>
      </w:r>
      <w:r w:rsidR="005B6868">
        <w:t xml:space="preserve"> between different types of vehicles and trailers</w:t>
      </w:r>
      <w:r>
        <w:t xml:space="preserve"> where possible. However, registration charges for some types of powered unit</w:t>
      </w:r>
      <w:r w:rsidR="00FA5065">
        <w:t>s</w:t>
      </w:r>
      <w:r>
        <w:t xml:space="preserve"> need to increase significantly to </w:t>
      </w:r>
      <w:r w:rsidR="002545EC">
        <w:t xml:space="preserve">meet the calculated attributable costs for </w:t>
      </w:r>
      <w:r w:rsidR="008047C9">
        <w:t>the relevant</w:t>
      </w:r>
      <w:r w:rsidR="002545EC">
        <w:t xml:space="preserve"> vehicle class and therefore </w:t>
      </w:r>
      <w:r>
        <w:t>avoid cross</w:t>
      </w:r>
      <w:r w:rsidR="002545EC">
        <w:t>-subsidisation</w:t>
      </w:r>
      <w:r w:rsidR="005B6868">
        <w:t xml:space="preserve"> between vehicle classes</w:t>
      </w:r>
      <w:r w:rsidR="002545EC">
        <w:t>.</w:t>
      </w:r>
      <w:r w:rsidR="002545EC">
        <w:rPr>
          <w:rStyle w:val="FootnoteReference"/>
        </w:rPr>
        <w:footnoteReference w:id="22"/>
      </w:r>
      <w:r w:rsidR="002545EC">
        <w:t xml:space="preserve"> </w:t>
      </w:r>
      <w:r w:rsidR="008047C9">
        <w:t>Where</w:t>
      </w:r>
      <w:r w:rsidR="002545EC">
        <w:t xml:space="preserve"> increases</w:t>
      </w:r>
      <w:r w:rsidR="008047C9">
        <w:t xml:space="preserve"> to registration charges are necessary to avoid cross-subsidisation, they</w:t>
      </w:r>
      <w:r w:rsidR="005B6868">
        <w:t xml:space="preserve"> have been kept as low as possible </w:t>
      </w:r>
      <w:r w:rsidR="008047C9">
        <w:t>while still</w:t>
      </w:r>
      <w:r w:rsidR="005B6868">
        <w:t xml:space="preserve"> satisfy</w:t>
      </w:r>
      <w:r w:rsidR="008047C9">
        <w:t>ing</w:t>
      </w:r>
      <w:r w:rsidR="005B6868">
        <w:t xml:space="preserve"> the constraints check</w:t>
      </w:r>
      <w:r w:rsidR="008047C9">
        <w:t xml:space="preserve">. </w:t>
      </w:r>
      <w:r w:rsidR="00FA5065">
        <w:t>Nonetheless</w:t>
      </w:r>
      <w:r w:rsidR="008047C9">
        <w:t>, the necessary increases to registration charges to avoid cross-subsidisation are</w:t>
      </w:r>
      <w:r w:rsidR="001510BF">
        <w:t>,</w:t>
      </w:r>
      <w:r w:rsidR="008047C9">
        <w:t xml:space="preserve"> in </w:t>
      </w:r>
      <w:r w:rsidR="00B362E3">
        <w:t>some</w:t>
      </w:r>
      <w:r w:rsidR="008047C9">
        <w:t xml:space="preserve"> cases</w:t>
      </w:r>
      <w:r w:rsidR="001510BF">
        <w:t>,</w:t>
      </w:r>
      <w:r w:rsidR="008047C9">
        <w:t xml:space="preserve"> very large, which is primarily due to the revised ESAs, along with changes in usage data from the SMVU.</w:t>
      </w:r>
    </w:p>
    <w:p w14:paraId="402801FE" w14:textId="14EE31AE" w:rsidR="008E3007" w:rsidRPr="00B77264" w:rsidRDefault="004810A6" w:rsidP="00012B3C">
      <w:pPr>
        <w:pStyle w:val="BodyCopy"/>
      </w:pPr>
      <w:r>
        <w:t xml:space="preserve">Both </w:t>
      </w:r>
      <w:r w:rsidR="00067ABB">
        <w:t>pathways</w:t>
      </w:r>
      <w:r>
        <w:t xml:space="preserve"> of the three-year fixed price path </w:t>
      </w:r>
      <w:r w:rsidR="00AF30CA">
        <w:t>specify</w:t>
      </w:r>
      <w:r>
        <w:t xml:space="preserve"> fixed</w:t>
      </w:r>
      <w:r w:rsidR="00AF30CA">
        <w:t xml:space="preserve"> percentage increases in overall heavy vehicle charges. However, in calculating the charges to apply under these </w:t>
      </w:r>
      <w:r w:rsidR="008E3007">
        <w:t xml:space="preserve">implementation </w:t>
      </w:r>
      <w:r w:rsidR="00AF30CA">
        <w:t>options,</w:t>
      </w:r>
      <w:r w:rsidR="00B86F6B">
        <w:t xml:space="preserve"> </w:t>
      </w:r>
      <w:r w:rsidR="00AF30CA">
        <w:t>the NTC has</w:t>
      </w:r>
      <w:r w:rsidR="00B86F6B">
        <w:t xml:space="preserve"> </w:t>
      </w:r>
      <w:r w:rsidR="00AF30CA">
        <w:t>had regard to the pricing principle relating to cross-subsidisation</w:t>
      </w:r>
      <w:r w:rsidR="00C241A6">
        <w:t>.</w:t>
      </w:r>
      <w:r w:rsidR="00AF30CA">
        <w:t xml:space="preserve"> </w:t>
      </w:r>
      <w:r w:rsidR="00C241A6">
        <w:t>This is done by</w:t>
      </w:r>
      <w:r w:rsidR="00AF30CA">
        <w:t xml:space="preserve"> allow</w:t>
      </w:r>
      <w:r w:rsidR="00C241A6">
        <w:t>ing</w:t>
      </w:r>
      <w:r w:rsidR="00AF30CA">
        <w:t xml:space="preserve"> for </w:t>
      </w:r>
      <w:r w:rsidR="008E3007">
        <w:t>differential rates of increase in the charges</w:t>
      </w:r>
      <w:r w:rsidR="00C06255">
        <w:t xml:space="preserve"> for different types of powered units and trailers</w:t>
      </w:r>
      <w:r w:rsidR="008E3007">
        <w:t xml:space="preserve"> while maintaining the</w:t>
      </w:r>
      <w:r w:rsidR="00C06255">
        <w:t xml:space="preserve"> same overall revenue as </w:t>
      </w:r>
      <w:r w:rsidR="00FA5065">
        <w:t xml:space="preserve">would be achieved </w:t>
      </w:r>
      <w:r w:rsidR="00C06255">
        <w:t xml:space="preserve">from a </w:t>
      </w:r>
      <w:r w:rsidR="005C7F6B">
        <w:t>2.75, 3</w:t>
      </w:r>
      <w:r w:rsidR="00262DA1">
        <w:t>.0</w:t>
      </w:r>
      <w:r w:rsidR="005C7F6B">
        <w:t xml:space="preserve"> and </w:t>
      </w:r>
      <w:r w:rsidR="008E3007">
        <w:t xml:space="preserve">3.5 per cent </w:t>
      </w:r>
      <w:r w:rsidR="00C241A6">
        <w:t xml:space="preserve">(under </w:t>
      </w:r>
      <w:r w:rsidR="0004745D">
        <w:t>pathway</w:t>
      </w:r>
      <w:r>
        <w:t xml:space="preserve"> </w:t>
      </w:r>
      <w:r w:rsidR="00C241A6">
        <w:t xml:space="preserve">1) </w:t>
      </w:r>
      <w:r w:rsidR="00C06255">
        <w:t>or</w:t>
      </w:r>
      <w:r w:rsidR="008E3007">
        <w:t xml:space="preserve"> 6 per cent </w:t>
      </w:r>
      <w:r w:rsidR="00C241A6">
        <w:t xml:space="preserve">(under </w:t>
      </w:r>
      <w:r w:rsidR="0004745D">
        <w:t>pathway</w:t>
      </w:r>
      <w:r>
        <w:t xml:space="preserve"> </w:t>
      </w:r>
      <w:r w:rsidR="00C241A6">
        <w:t xml:space="preserve">2) </w:t>
      </w:r>
      <w:r w:rsidR="00C06255">
        <w:t>charge</w:t>
      </w:r>
      <w:r w:rsidR="008E3007">
        <w:t xml:space="preserve"> increase</w:t>
      </w:r>
      <w:r w:rsidR="00FA5065">
        <w:t xml:space="preserve"> applied to all powered units and trailers</w:t>
      </w:r>
      <w:r w:rsidR="008E3007">
        <w:t xml:space="preserve">. That is, </w:t>
      </w:r>
      <w:r w:rsidR="00AF30CA">
        <w:t xml:space="preserve">certain charges increase faster </w:t>
      </w:r>
      <w:r w:rsidR="00C241A6">
        <w:t>(</w:t>
      </w:r>
      <w:r w:rsidR="008A48E6">
        <w:t>1.5 percentage points higher</w:t>
      </w:r>
      <w:r w:rsidR="00DF03AF">
        <w:rPr>
          <w:rStyle w:val="FootnoteReference"/>
        </w:rPr>
        <w:footnoteReference w:id="23"/>
      </w:r>
      <w:r w:rsidR="00C241A6">
        <w:t xml:space="preserve">) </w:t>
      </w:r>
      <w:r w:rsidR="00AF30CA">
        <w:t>than the specified</w:t>
      </w:r>
      <w:r w:rsidR="00C241A6">
        <w:t xml:space="preserve"> </w:t>
      </w:r>
      <w:r w:rsidR="006E1DD3">
        <w:t xml:space="preserve">annual percentage </w:t>
      </w:r>
      <w:r w:rsidR="00C241A6">
        <w:t>figure</w:t>
      </w:r>
      <w:r w:rsidR="00AF30CA">
        <w:t xml:space="preserve"> for the </w:t>
      </w:r>
      <w:r w:rsidR="00C24A7E">
        <w:t>i</w:t>
      </w:r>
      <w:r w:rsidR="00AF30CA">
        <w:t xml:space="preserve">mplementation </w:t>
      </w:r>
      <w:r w:rsidR="00AE0233">
        <w:t>pathway</w:t>
      </w:r>
      <w:r w:rsidR="008E3007">
        <w:t xml:space="preserve"> </w:t>
      </w:r>
      <w:r w:rsidR="00AF30CA">
        <w:t>to help reduce the degree of cross-subsidisation</w:t>
      </w:r>
      <w:r w:rsidR="00F64FBC">
        <w:t xml:space="preserve"> (while still </w:t>
      </w:r>
      <w:r w:rsidR="00F64FBC">
        <w:lastRenderedPageBreak/>
        <w:t>retaining some pragmatism about the rate of increase in charges that can be implemented for those vehicle classes)</w:t>
      </w:r>
      <w:r w:rsidR="00C241A6">
        <w:t>.</w:t>
      </w:r>
      <w:r w:rsidR="00AF30CA">
        <w:t xml:space="preserve"> </w:t>
      </w:r>
      <w:r w:rsidR="00C241A6">
        <w:t>C</w:t>
      </w:r>
      <w:r w:rsidR="00AF30CA">
        <w:t>harges for other types of vehicle</w:t>
      </w:r>
      <w:r w:rsidR="00FA5065">
        <w:t xml:space="preserve"> and trailer</w:t>
      </w:r>
      <w:r w:rsidR="00AF30CA">
        <w:t xml:space="preserve"> increase by less than the specified figure</w:t>
      </w:r>
      <w:r w:rsidR="008E3007">
        <w:t xml:space="preserve"> (around </w:t>
      </w:r>
      <w:r w:rsidR="00182465">
        <w:t>2.6, 2.8 and 3.3</w:t>
      </w:r>
      <w:r w:rsidR="008E3007">
        <w:t xml:space="preserve"> per cent </w:t>
      </w:r>
      <w:r w:rsidR="00DE78EC">
        <w:t>across the three years</w:t>
      </w:r>
      <w:r w:rsidR="007B2FB1">
        <w:t xml:space="preserve"> </w:t>
      </w:r>
      <w:r w:rsidR="008E3007">
        <w:t xml:space="preserve">under </w:t>
      </w:r>
      <w:r w:rsidR="00356193">
        <w:t>pathway</w:t>
      </w:r>
      <w:r w:rsidR="008E3007">
        <w:t xml:space="preserve"> 1; </w:t>
      </w:r>
      <w:r w:rsidR="00FA5065">
        <w:t xml:space="preserve">and </w:t>
      </w:r>
      <w:r w:rsidR="008E3007">
        <w:t>around 5.</w:t>
      </w:r>
      <w:r w:rsidR="00912F11">
        <w:t>8</w:t>
      </w:r>
      <w:r w:rsidR="008E3007">
        <w:t xml:space="preserve"> per cent </w:t>
      </w:r>
      <w:r w:rsidR="00973FF8">
        <w:t xml:space="preserve">each year </w:t>
      </w:r>
      <w:r w:rsidR="008E3007">
        <w:t xml:space="preserve">under </w:t>
      </w:r>
      <w:r w:rsidR="00356193">
        <w:t>pathway</w:t>
      </w:r>
      <w:r>
        <w:t xml:space="preserve"> </w:t>
      </w:r>
      <w:r w:rsidR="008E3007">
        <w:t>2)</w:t>
      </w:r>
      <w:r w:rsidR="00AF30CA">
        <w:t>.</w:t>
      </w:r>
      <w:r w:rsidR="00F64FBC">
        <w:t xml:space="preserve"> Overall, the amount of revenue collected nationally is the same as if </w:t>
      </w:r>
      <w:r w:rsidR="006E7809">
        <w:t>the headline</w:t>
      </w:r>
      <w:r w:rsidR="00F64FBC">
        <w:t xml:space="preserve"> increase</w:t>
      </w:r>
      <w:r w:rsidR="006E7809">
        <w:t>s</w:t>
      </w:r>
      <w:r w:rsidR="00F64FBC">
        <w:t xml:space="preserve"> had</w:t>
      </w:r>
      <w:r w:rsidR="00AF30CA">
        <w:t xml:space="preserve"> </w:t>
      </w:r>
      <w:r w:rsidR="00F64FBC">
        <w:t>been applied</w:t>
      </w:r>
      <w:r w:rsidR="006E7809">
        <w:t xml:space="preserve"> un</w:t>
      </w:r>
      <w:r w:rsidR="00C514FE">
        <w:t>iformly to all powered units and trailers</w:t>
      </w:r>
      <w:r w:rsidR="00F64FBC">
        <w:t xml:space="preserve"> under the</w:t>
      </w:r>
      <w:r>
        <w:t xml:space="preserve"> two </w:t>
      </w:r>
      <w:r w:rsidR="007F0303">
        <w:t>pathway</w:t>
      </w:r>
      <w:r w:rsidR="00CA544C">
        <w:t>s</w:t>
      </w:r>
      <w:r w:rsidR="007F0303">
        <w:t xml:space="preserve"> </w:t>
      </w:r>
      <w:r>
        <w:t>of the three-year fixed price path</w:t>
      </w:r>
      <w:r w:rsidR="00F64FBC">
        <w:t>.</w:t>
      </w:r>
      <w:r w:rsidR="00F64FBC">
        <w:rPr>
          <w:rStyle w:val="FootnoteReference"/>
        </w:rPr>
        <w:footnoteReference w:id="24"/>
      </w:r>
      <w:r w:rsidR="00F64FBC">
        <w:t xml:space="preserve"> </w:t>
      </w:r>
    </w:p>
    <w:p w14:paraId="32DF7A61" w14:textId="75254AC4" w:rsidR="008C53A9" w:rsidRDefault="00136847" w:rsidP="008C53A9">
      <w:pPr>
        <w:pStyle w:val="Heading2"/>
      </w:pPr>
      <w:bookmarkStart w:id="476" w:name="_Toc86158498"/>
      <w:r>
        <w:t xml:space="preserve">Assessment of </w:t>
      </w:r>
      <w:r w:rsidR="00846859">
        <w:t>i</w:t>
      </w:r>
      <w:r w:rsidR="008C53A9">
        <w:t xml:space="preserve">mplementation </w:t>
      </w:r>
      <w:r w:rsidR="00846859">
        <w:t>o</w:t>
      </w:r>
      <w:r w:rsidR="008C53A9">
        <w:t>ptions</w:t>
      </w:r>
      <w:bookmarkEnd w:id="476"/>
    </w:p>
    <w:p w14:paraId="5434D2A6" w14:textId="53FC3CED" w:rsidR="00767B45" w:rsidRDefault="00767B45" w:rsidP="00767B45">
      <w:pPr>
        <w:pStyle w:val="Heading3"/>
      </w:pPr>
      <w:bookmarkStart w:id="477" w:name="_Ref82075974"/>
      <w:bookmarkStart w:id="478" w:name="_Toc86158499"/>
      <w:r>
        <w:t>Financial and fiscal implications</w:t>
      </w:r>
      <w:bookmarkEnd w:id="477"/>
      <w:bookmarkEnd w:id="478"/>
    </w:p>
    <w:p w14:paraId="7D56A0AA" w14:textId="6E482958" w:rsidR="00A167B3" w:rsidRDefault="00CA28D8" w:rsidP="00CA28D8">
      <w:pPr>
        <w:pStyle w:val="BodyCopy"/>
      </w:pPr>
      <w:r>
        <w:t xml:space="preserve">Financial and fiscal outcomes will differ under each </w:t>
      </w:r>
      <w:r w:rsidR="005176A3">
        <w:t>implementation option</w:t>
      </w:r>
      <w:r w:rsidR="00CD263A">
        <w:t xml:space="preserve">, and for each </w:t>
      </w:r>
      <w:r w:rsidR="007F0303">
        <w:t>pathway</w:t>
      </w:r>
      <w:r w:rsidR="005176A3">
        <w:t xml:space="preserve">. </w:t>
      </w:r>
    </w:p>
    <w:p w14:paraId="2B1F01A0" w14:textId="74499CF8" w:rsidR="00385350" w:rsidRDefault="00385350" w:rsidP="00CA28D8">
      <w:pPr>
        <w:pStyle w:val="BodyCopy"/>
      </w:pPr>
      <w:r>
        <w:t xml:space="preserve">To illustrate the outcomes, we </w:t>
      </w:r>
      <w:r w:rsidR="00095A1E">
        <w:t xml:space="preserve">start with the current gap between the </w:t>
      </w:r>
      <w:r w:rsidR="00093FDD">
        <w:t>heavy vehicle cost base</w:t>
      </w:r>
      <w:r w:rsidR="00095A1E">
        <w:t xml:space="preserve"> </w:t>
      </w:r>
      <w:r w:rsidR="001A6068">
        <w:t>and revenue</w:t>
      </w:r>
      <w:r w:rsidR="00CF430B">
        <w:t>. The heavy vehicle cost base in future years is not yet known, as illustrated by the shaded area</w:t>
      </w:r>
      <w:r w:rsidR="009638B2">
        <w:t xml:space="preserve"> shown in </w:t>
      </w:r>
      <w:r w:rsidR="009638B2">
        <w:fldChar w:fldCharType="begin"/>
      </w:r>
      <w:r w:rsidR="009638B2">
        <w:instrText xml:space="preserve"> REF _Ref82011331 \r \h </w:instrText>
      </w:r>
      <w:r w:rsidR="009638B2">
        <w:fldChar w:fldCharType="separate"/>
      </w:r>
      <w:r w:rsidR="00225EEA">
        <w:t>Figure 9</w:t>
      </w:r>
      <w:r w:rsidR="009638B2">
        <w:fldChar w:fldCharType="end"/>
      </w:r>
      <w:r w:rsidR="00CF430B">
        <w:t>. The broken line represents an example where the cost base grows at 6 per cent per annum</w:t>
      </w:r>
      <w:r w:rsidR="001A6068">
        <w:t>.</w:t>
      </w:r>
      <w:r w:rsidR="00830D17">
        <w:t xml:space="preserve"> </w:t>
      </w:r>
      <w:r w:rsidR="000004D9">
        <w:t>We then compare the charges outcomes under the three implementation option</w:t>
      </w:r>
      <w:r w:rsidR="0054077D">
        <w:t>s</w:t>
      </w:r>
      <w:r w:rsidR="000004D9">
        <w:t xml:space="preserve"> against the estimated heavy vehicle cost base.</w:t>
      </w:r>
      <w:r w:rsidR="00830D17">
        <w:t xml:space="preserve"> </w:t>
      </w:r>
    </w:p>
    <w:p w14:paraId="51D3842C" w14:textId="3FF20827" w:rsidR="003B0524" w:rsidRDefault="003B0524" w:rsidP="00CA28D8">
      <w:pPr>
        <w:pStyle w:val="BodyCopy"/>
      </w:pPr>
      <w:r>
        <w:t xml:space="preserve">It is important to note that this representation is illustrative only. Annual changes in heavy vehicle expenditure are typically volatile and unpredictable. Also, the vehicle fleet and fuel consumption typically grow </w:t>
      </w:r>
      <w:r w:rsidR="009638B2">
        <w:t xml:space="preserve">from </w:t>
      </w:r>
      <w:r>
        <w:t>year</w:t>
      </w:r>
      <w:r w:rsidR="00AE68FE">
        <w:t xml:space="preserve"> </w:t>
      </w:r>
      <w:r>
        <w:t>to</w:t>
      </w:r>
      <w:r w:rsidR="00AE68FE">
        <w:t xml:space="preserve"> </w:t>
      </w:r>
      <w:r>
        <w:t>year</w:t>
      </w:r>
      <w:r w:rsidR="00AE68FE">
        <w:t>,</w:t>
      </w:r>
      <w:r>
        <w:t xml:space="preserve"> which would increase revenue further from the levels shown in </w:t>
      </w:r>
      <w:r w:rsidR="009638B2">
        <w:t>the figure.</w:t>
      </w:r>
    </w:p>
    <w:p w14:paraId="14D6C375" w14:textId="7477421D" w:rsidR="00C94121" w:rsidRDefault="00C94121" w:rsidP="00C94121">
      <w:pPr>
        <w:pStyle w:val="BodyCopy"/>
      </w:pPr>
      <w:r>
        <w:t xml:space="preserve">The estimates of RUC revenue shown in this section reflect the revised estimate of heavy vehicle fuel consumption that is subject to the RUC, based on the analysis of RUC leakages in section </w:t>
      </w:r>
      <w:r w:rsidR="007C0BB6">
        <w:fldChar w:fldCharType="begin"/>
      </w:r>
      <w:r w:rsidR="007C0BB6">
        <w:instrText xml:space="preserve"> REF _Ref64881068 \r \h </w:instrText>
      </w:r>
      <w:r w:rsidR="007C0BB6">
        <w:fldChar w:fldCharType="separate"/>
      </w:r>
      <w:r w:rsidR="00225EEA">
        <w:t>4.9</w:t>
      </w:r>
      <w:r w:rsidR="007C0BB6">
        <w:fldChar w:fldCharType="end"/>
      </w:r>
      <w:r>
        <w:t>. As a result, the estimate of fuel used by heavy vehicles has been reduced by 4 per cent. Under the direct implementation option, this reduction of fuel subject to the RUC is factored into the calculation of the RUC rate (to ensure 56.6 per cent of total revenue from heavy vehicles is sourced from the RUC). By contrast, for the two</w:t>
      </w:r>
      <w:r w:rsidR="00A9190C">
        <w:t xml:space="preserve"> </w:t>
      </w:r>
      <w:r w:rsidR="00CA544C">
        <w:t xml:space="preserve">pathways </w:t>
      </w:r>
      <w:r w:rsidR="00A9190C">
        <w:t>of the three-year fixed price implementation pathway,</w:t>
      </w:r>
      <w:r>
        <w:t xml:space="preserve"> the RUC leakages are simply reflected in lower estimated revenue due to the lower volume of fuel that is subject to the RUC.</w:t>
      </w:r>
    </w:p>
    <w:p w14:paraId="38C6BCB1" w14:textId="792CEEF5" w:rsidR="007B4B4C" w:rsidRDefault="00AE68FE" w:rsidP="0078066F">
      <w:pPr>
        <w:pStyle w:val="Figuretitle"/>
      </w:pPr>
      <w:bookmarkStart w:id="479" w:name="_Toc59436190"/>
      <w:bookmarkStart w:id="480" w:name="_Ref61619752"/>
      <w:bookmarkStart w:id="481" w:name="_Ref82011331"/>
      <w:bookmarkStart w:id="482" w:name="_Ref82425055"/>
      <w:bookmarkStart w:id="483" w:name="_Toc86158532"/>
      <w:r>
        <w:lastRenderedPageBreak/>
        <w:t>Projected f</w:t>
      </w:r>
      <w:r w:rsidR="00564042" w:rsidRPr="0078066F">
        <w:t>inancial implications</w:t>
      </w:r>
      <w:bookmarkEnd w:id="479"/>
      <w:bookmarkEnd w:id="480"/>
      <w:r>
        <w:t xml:space="preserve"> </w:t>
      </w:r>
      <w:r w:rsidR="00A83008">
        <w:t xml:space="preserve">for </w:t>
      </w:r>
      <w:r w:rsidR="00A83008" w:rsidRPr="00A83008">
        <w:t>heavy vehicle charge revenue</w:t>
      </w:r>
      <w:r w:rsidR="003F761D">
        <w:t xml:space="preserve"> ($m)</w:t>
      </w:r>
      <w:bookmarkEnd w:id="481"/>
      <w:bookmarkEnd w:id="482"/>
      <w:bookmarkEnd w:id="483"/>
    </w:p>
    <w:p w14:paraId="6C14BD5E" w14:textId="70C0F702" w:rsidR="00055ECD" w:rsidRDefault="00551F51" w:rsidP="00CA28D8">
      <w:pPr>
        <w:pStyle w:val="BodyCopy"/>
      </w:pPr>
      <w:r>
        <w:rPr>
          <w:noProof/>
          <w:lang w:eastAsia="en-AU"/>
        </w:rPr>
        <w:drawing>
          <wp:inline distT="0" distB="0" distL="0" distR="0" wp14:anchorId="4F44B058" wp14:editId="2D88B278">
            <wp:extent cx="5690555" cy="3268980"/>
            <wp:effectExtent l="0" t="0" r="5715" b="7620"/>
            <wp:docPr id="53" name="Picture 53"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6272" cy="3278009"/>
                    </a:xfrm>
                    <a:prstGeom prst="rect">
                      <a:avLst/>
                    </a:prstGeom>
                    <a:noFill/>
                  </pic:spPr>
                </pic:pic>
              </a:graphicData>
            </a:graphic>
          </wp:inline>
        </w:drawing>
      </w:r>
    </w:p>
    <w:p w14:paraId="39991879" w14:textId="1F5E6747" w:rsidR="007B4B4C" w:rsidRPr="00CA28D8" w:rsidRDefault="0025585A" w:rsidP="00055ECD">
      <w:pPr>
        <w:pStyle w:val="BodyCopy"/>
      </w:pPr>
      <w:r>
        <w:t>Under</w:t>
      </w:r>
      <w:r w:rsidR="008C7682">
        <w:t xml:space="preserve"> </w:t>
      </w:r>
      <w:r>
        <w:t>the direct implementation option, heavy vehicle charge</w:t>
      </w:r>
      <w:r w:rsidR="00162EF8">
        <w:t xml:space="preserve"> revenue </w:t>
      </w:r>
      <w:r>
        <w:t>would</w:t>
      </w:r>
      <w:r w:rsidR="00162EF8">
        <w:t xml:space="preserve"> need to</w:t>
      </w:r>
      <w:r>
        <w:t xml:space="preserve"> increase</w:t>
      </w:r>
      <w:r w:rsidR="00977D75">
        <w:t xml:space="preserve"> </w:t>
      </w:r>
      <w:r w:rsidR="00977D75" w:rsidRPr="00731987">
        <w:t xml:space="preserve">by </w:t>
      </w:r>
      <w:r w:rsidR="00162EF8" w:rsidRPr="00731987">
        <w:t xml:space="preserve">around </w:t>
      </w:r>
      <w:r w:rsidR="0029742B">
        <w:t>31</w:t>
      </w:r>
      <w:r w:rsidR="00AD02FD">
        <w:t>.</w:t>
      </w:r>
      <w:r w:rsidR="0029742B">
        <w:t>3</w:t>
      </w:r>
      <w:r w:rsidR="00977D75" w:rsidRPr="00731987">
        <w:t xml:space="preserve"> per cent</w:t>
      </w:r>
      <w:r w:rsidR="00162EF8" w:rsidRPr="00731987">
        <w:t xml:space="preserve"> (relative to</w:t>
      </w:r>
      <w:r w:rsidR="00162EF8">
        <w:t xml:space="preserve"> </w:t>
      </w:r>
      <w:r w:rsidR="00ED014F">
        <w:t>revenue collected if 2021–22 charges were frozen</w:t>
      </w:r>
      <w:r w:rsidR="00162EF8">
        <w:t>)</w:t>
      </w:r>
      <w:r w:rsidR="00977D75">
        <w:t xml:space="preserve"> in </w:t>
      </w:r>
      <w:r w:rsidR="00A83008">
        <w:t>y</w:t>
      </w:r>
      <w:r w:rsidR="00977D75">
        <w:t xml:space="preserve">ear 1 </w:t>
      </w:r>
      <w:r w:rsidR="00162EF8">
        <w:t>to</w:t>
      </w:r>
      <w:r w:rsidR="00977D75">
        <w:t xml:space="preserve"> fully eliminate the existing under-recovery.</w:t>
      </w:r>
      <w:r w:rsidR="00162EF8">
        <w:rPr>
          <w:rStyle w:val="FootnoteReference"/>
        </w:rPr>
        <w:footnoteReference w:id="25"/>
      </w:r>
      <w:r w:rsidR="00977D75">
        <w:t xml:space="preserve"> </w:t>
      </w:r>
      <w:r w:rsidR="00C94121">
        <w:t>However, this overall figure masks significant variation</w:t>
      </w:r>
      <w:r w:rsidR="00A83008">
        <w:t xml:space="preserve"> because</w:t>
      </w:r>
      <w:r w:rsidR="00C94121">
        <w:t xml:space="preserve"> the RUC </w:t>
      </w:r>
      <w:r w:rsidR="00C94121" w:rsidRPr="00055ECD">
        <w:t>rate</w:t>
      </w:r>
      <w:r w:rsidR="00C94121">
        <w:t xml:space="preserve"> would increase by </w:t>
      </w:r>
      <w:r w:rsidR="00763DE9">
        <w:t>around</w:t>
      </w:r>
      <w:r w:rsidR="00C94121">
        <w:t xml:space="preserve"> </w:t>
      </w:r>
      <w:r w:rsidR="00063E90">
        <w:t>35</w:t>
      </w:r>
      <w:r w:rsidR="00C94121">
        <w:t xml:space="preserve"> per cent</w:t>
      </w:r>
      <w:r w:rsidR="00AD02FD">
        <w:t xml:space="preserve"> (in part to compensate for RUC leakages)</w:t>
      </w:r>
      <w:r w:rsidR="00C94121">
        <w:t xml:space="preserve">, while registration charges would in some cases rise by several hundred per cent. </w:t>
      </w:r>
      <w:r w:rsidR="001D4A8C">
        <w:t>Further</w:t>
      </w:r>
      <w:r w:rsidR="00CB1A05">
        <w:t xml:space="preserve"> automatic annual adjustments </w:t>
      </w:r>
      <w:r w:rsidR="001D4A8C">
        <w:t xml:space="preserve">would follow in </w:t>
      </w:r>
      <w:r w:rsidR="00A83008">
        <w:t>y</w:t>
      </w:r>
      <w:r w:rsidR="001D4A8C">
        <w:t>ears 2 and 3</w:t>
      </w:r>
      <w:r w:rsidR="00A521C0">
        <w:t>. The magnitude of these increases is not known</w:t>
      </w:r>
      <w:r w:rsidR="00A14C41">
        <w:t xml:space="preserve"> and would depend on future changes in the heavy vehicle cost base. For illustration purposes, we have assumed these increases to be </w:t>
      </w:r>
      <w:r w:rsidR="004C3B81" w:rsidRPr="00E30B83">
        <w:t>6</w:t>
      </w:r>
      <w:r w:rsidR="00CB1A05" w:rsidRPr="0039717A">
        <w:t xml:space="preserve"> per cent</w:t>
      </w:r>
      <w:r w:rsidR="00EC7E1C">
        <w:t>,</w:t>
      </w:r>
      <w:r w:rsidR="00A14C41">
        <w:t xml:space="preserve"> which</w:t>
      </w:r>
      <w:r w:rsidR="004C3B81">
        <w:t xml:space="preserve"> reflect</w:t>
      </w:r>
      <w:r w:rsidR="00A14C41">
        <w:t>s</w:t>
      </w:r>
      <w:r w:rsidR="004C3B81">
        <w:t xml:space="preserve"> the average </w:t>
      </w:r>
      <w:r w:rsidR="00D406E5">
        <w:t xml:space="preserve">overall road expenditure growth rate over the </w:t>
      </w:r>
      <w:r w:rsidR="00EC7E1C">
        <w:t>p</w:t>
      </w:r>
      <w:r w:rsidR="00D406E5">
        <w:t xml:space="preserve">ast </w:t>
      </w:r>
      <w:r w:rsidR="00EC7E1C">
        <w:t xml:space="preserve">10 </w:t>
      </w:r>
      <w:r w:rsidR="00D406E5">
        <w:t>years</w:t>
      </w:r>
      <w:r w:rsidR="00A14C41">
        <w:t xml:space="preserve">. </w:t>
      </w:r>
      <w:r w:rsidR="00C05FF9">
        <w:t>This implementation option</w:t>
      </w:r>
      <w:r w:rsidR="00C94121">
        <w:t xml:space="preserve"> would</w:t>
      </w:r>
      <w:r w:rsidR="00C05FF9">
        <w:t xml:space="preserve"> achieve full cost recovery in all three years.</w:t>
      </w:r>
      <w:r w:rsidR="00830D17">
        <w:t xml:space="preserve"> </w:t>
      </w:r>
    </w:p>
    <w:p w14:paraId="003BE5FE" w14:textId="55F614E1" w:rsidR="00767B45" w:rsidRDefault="008C7682" w:rsidP="00767B45">
      <w:pPr>
        <w:pStyle w:val="BodyCopy"/>
      </w:pPr>
      <w:r>
        <w:t>Under</w:t>
      </w:r>
      <w:r w:rsidR="00E61C15">
        <w:t xml:space="preserve"> </w:t>
      </w:r>
      <w:r w:rsidR="00372421">
        <w:t>pathway</w:t>
      </w:r>
      <w:r w:rsidR="00103415">
        <w:t xml:space="preserve"> </w:t>
      </w:r>
      <w:r w:rsidR="00A94D53">
        <w:t>1</w:t>
      </w:r>
      <w:r w:rsidR="00103415">
        <w:t xml:space="preserve"> of the three-year fixed</w:t>
      </w:r>
      <w:r w:rsidR="00C415CC">
        <w:t xml:space="preserve"> </w:t>
      </w:r>
      <w:r w:rsidR="00103415">
        <w:t>price path</w:t>
      </w:r>
      <w:r w:rsidR="00E61C15">
        <w:t xml:space="preserve">, </w:t>
      </w:r>
      <w:r w:rsidR="00647BBA">
        <w:t>heavy vehicle charges would increase by a</w:t>
      </w:r>
      <w:r w:rsidR="00F756FE">
        <w:t>n average of</w:t>
      </w:r>
      <w:r w:rsidR="00BE43BA">
        <w:t xml:space="preserve"> 2.75, 3</w:t>
      </w:r>
      <w:r w:rsidR="00EC7E1C">
        <w:t>.0</w:t>
      </w:r>
      <w:r w:rsidR="00BE43BA">
        <w:t xml:space="preserve"> and</w:t>
      </w:r>
      <w:r w:rsidR="00F756FE">
        <w:t xml:space="preserve"> </w:t>
      </w:r>
      <w:r w:rsidR="00647BBA">
        <w:t>3.5</w:t>
      </w:r>
      <w:r w:rsidR="0057086C">
        <w:t xml:space="preserve"> per cent</w:t>
      </w:r>
      <w:r w:rsidR="00647BBA">
        <w:t xml:space="preserve"> </w:t>
      </w:r>
      <w:r w:rsidR="00F756FE">
        <w:t xml:space="preserve">in </w:t>
      </w:r>
      <w:r w:rsidR="00647BBA">
        <w:t xml:space="preserve">each of the </w:t>
      </w:r>
      <w:r w:rsidR="00647BBA" w:rsidRPr="001C2FE5">
        <w:t>three years</w:t>
      </w:r>
      <w:r w:rsidR="00F756FE" w:rsidRPr="001C2FE5">
        <w:t xml:space="preserve"> (with registration charges increasing by </w:t>
      </w:r>
      <w:r w:rsidR="0092557A">
        <w:t xml:space="preserve">4.25, 4.5 and </w:t>
      </w:r>
      <w:r w:rsidR="00F756FE" w:rsidRPr="001C2FE5">
        <w:t>5</w:t>
      </w:r>
      <w:r w:rsidR="00EC7E1C">
        <w:t>.0</w:t>
      </w:r>
      <w:r w:rsidR="00F756FE" w:rsidRPr="001C2FE5">
        <w:t xml:space="preserve"> per cent for some types of powered units</w:t>
      </w:r>
      <w:r w:rsidR="0092557A">
        <w:t>;</w:t>
      </w:r>
      <w:r w:rsidR="00F756FE" w:rsidRPr="001C2FE5">
        <w:t xml:space="preserve"> and by around </w:t>
      </w:r>
      <w:r w:rsidR="0092557A">
        <w:t xml:space="preserve">2.6, 2.8 and </w:t>
      </w:r>
      <w:r w:rsidR="00F756FE" w:rsidRPr="001C2FE5">
        <w:t>3.</w:t>
      </w:r>
      <w:r w:rsidR="0099020B">
        <w:t>3</w:t>
      </w:r>
      <w:r w:rsidR="00F756FE" w:rsidRPr="001C2FE5">
        <w:t xml:space="preserve"> per cent for trailers and other types of powered units)</w:t>
      </w:r>
      <w:r w:rsidR="00647BBA" w:rsidRPr="001C2FE5">
        <w:t xml:space="preserve">. </w:t>
      </w:r>
    </w:p>
    <w:p w14:paraId="11D9240A" w14:textId="38950F67" w:rsidR="009B3180" w:rsidRPr="009B3180" w:rsidRDefault="0057086C" w:rsidP="009B3180">
      <w:pPr>
        <w:pStyle w:val="BodyCopy"/>
      </w:pPr>
      <w:r>
        <w:t>Under</w:t>
      </w:r>
      <w:r w:rsidR="00A9190C">
        <w:t xml:space="preserve"> </w:t>
      </w:r>
      <w:r w:rsidR="00372421">
        <w:t>pathway</w:t>
      </w:r>
      <w:r w:rsidR="00103415">
        <w:t xml:space="preserve"> 2 of the three-year fixed</w:t>
      </w:r>
      <w:r w:rsidR="00C415CC">
        <w:t xml:space="preserve"> </w:t>
      </w:r>
      <w:r w:rsidR="00103415">
        <w:t>price path</w:t>
      </w:r>
      <w:r>
        <w:t>, heavy vehicle charges would increase by a</w:t>
      </w:r>
      <w:r w:rsidR="00F756FE">
        <w:t>n average of</w:t>
      </w:r>
      <w:r>
        <w:t xml:space="preserve"> 6 per cent in each</w:t>
      </w:r>
      <w:r w:rsidR="00F756FE">
        <w:t xml:space="preserve"> of the three</w:t>
      </w:r>
      <w:r>
        <w:t xml:space="preserve"> year</w:t>
      </w:r>
      <w:r w:rsidR="00F756FE">
        <w:t>s (with registration charges increasing by 7.5 per cent for some types of powered units and by around 5.</w:t>
      </w:r>
      <w:r w:rsidR="0099020B">
        <w:t>8</w:t>
      </w:r>
      <w:r w:rsidR="00F756FE">
        <w:t xml:space="preserve"> per cent for trailers and other types of powered units)</w:t>
      </w:r>
      <w:r>
        <w:t xml:space="preserve">. The gap between the estimated heavy vehicle cost base and heavy vehicle charges would </w:t>
      </w:r>
      <w:r w:rsidR="006D193F">
        <w:t xml:space="preserve">remain broadly </w:t>
      </w:r>
      <w:r w:rsidR="0008589F">
        <w:t>static</w:t>
      </w:r>
      <w:r w:rsidR="00F84D88">
        <w:t xml:space="preserve"> if the heavy vehicle cost base continues to grow at historic</w:t>
      </w:r>
      <w:r w:rsidR="00EC7E1C">
        <w:t>al</w:t>
      </w:r>
      <w:r w:rsidR="00F84D88">
        <w:t xml:space="preserve"> rates. </w:t>
      </w:r>
      <w:r w:rsidR="00210FE1">
        <w:t xml:space="preserve">This is a simple reflection that the yearly increase under this option is set </w:t>
      </w:r>
      <w:r w:rsidR="00FF21A1">
        <w:t xml:space="preserve">at the same rate as the </w:t>
      </w:r>
      <w:r w:rsidR="00210FE1">
        <w:t>assumed growth in the heavy vehicle cost base.</w:t>
      </w:r>
      <w:r w:rsidR="00830D17">
        <w:t xml:space="preserve"> </w:t>
      </w:r>
    </w:p>
    <w:p w14:paraId="4B55F08C" w14:textId="3FA385D1" w:rsidR="00AB14F0" w:rsidRDefault="00AB14F0" w:rsidP="00767B45">
      <w:pPr>
        <w:pStyle w:val="BodyCopy"/>
      </w:pPr>
      <w:r>
        <w:t>It is important</w:t>
      </w:r>
      <w:r w:rsidR="008514F2">
        <w:t>, again,</w:t>
      </w:r>
      <w:r>
        <w:t xml:space="preserve"> to note that</w:t>
      </w:r>
      <w:r w:rsidR="00A12846">
        <w:t xml:space="preserve"> actual outcomes</w:t>
      </w:r>
      <w:r w:rsidR="00A07A14">
        <w:t xml:space="preserve"> for the heavy vehicle cost base in </w:t>
      </w:r>
      <w:r w:rsidR="00EC7E1C">
        <w:br/>
      </w:r>
      <w:r w:rsidR="00D840C7">
        <w:t>2023–24</w:t>
      </w:r>
      <w:r w:rsidR="00A07A14">
        <w:t xml:space="preserve"> and </w:t>
      </w:r>
      <w:r w:rsidR="00D840C7">
        <w:t>202</w:t>
      </w:r>
      <w:r w:rsidR="00E87384">
        <w:t>4–25</w:t>
      </w:r>
      <w:r w:rsidR="00A12846">
        <w:t xml:space="preserve"> are likely to </w:t>
      </w:r>
      <w:r w:rsidR="0022412B">
        <w:t>be different</w:t>
      </w:r>
      <w:r w:rsidR="00913C58">
        <w:t xml:space="preserve"> from the </w:t>
      </w:r>
      <w:r w:rsidR="0022412B">
        <w:t xml:space="preserve">central estimate shown in </w:t>
      </w:r>
      <w:r w:rsidR="0022412B">
        <w:fldChar w:fldCharType="begin"/>
      </w:r>
      <w:r w:rsidR="0022412B">
        <w:instrText xml:space="preserve"> REF _Ref82425055 \r \h </w:instrText>
      </w:r>
      <w:r w:rsidR="0022412B">
        <w:fldChar w:fldCharType="separate"/>
      </w:r>
      <w:r w:rsidR="00225EEA">
        <w:t>Figure 9</w:t>
      </w:r>
      <w:r w:rsidR="0022412B">
        <w:fldChar w:fldCharType="end"/>
      </w:r>
      <w:r w:rsidR="0022412B">
        <w:t xml:space="preserve">. </w:t>
      </w:r>
      <w:r w:rsidR="0022412B">
        <w:lastRenderedPageBreak/>
        <w:t>Th</w:t>
      </w:r>
      <w:r w:rsidR="00926276">
        <w:t xml:space="preserve">is is illustrated by the wide range of plausible cost base outcomes shown </w:t>
      </w:r>
      <w:r w:rsidR="005950C3">
        <w:t>by the blue shaded area.</w:t>
      </w:r>
      <w:r w:rsidR="009E61AA">
        <w:t xml:space="preserve"> </w:t>
      </w:r>
    </w:p>
    <w:p w14:paraId="10F76F80" w14:textId="750F52A8" w:rsidR="0037098B" w:rsidRDefault="001C3C38" w:rsidP="00FD39C5">
      <w:pPr>
        <w:pStyle w:val="BodyCopy"/>
      </w:pPr>
      <w:r>
        <w:fldChar w:fldCharType="begin"/>
      </w:r>
      <w:r>
        <w:instrText xml:space="preserve"> REF _Ref82012467 \r \h </w:instrText>
      </w:r>
      <w:r>
        <w:fldChar w:fldCharType="separate"/>
      </w:r>
      <w:r w:rsidR="00225EEA">
        <w:t>Table 22</w:t>
      </w:r>
      <w:r>
        <w:fldChar w:fldCharType="end"/>
      </w:r>
      <w:r w:rsidR="00C6377D">
        <w:t xml:space="preserve"> shows the estimated revenue from the roads component of registration charges that would be received by each state and territory</w:t>
      </w:r>
      <w:r w:rsidR="00AC0978">
        <w:t xml:space="preserve"> </w:t>
      </w:r>
      <w:r w:rsidR="00076C2D">
        <w:t>under</w:t>
      </w:r>
      <w:r w:rsidR="00AC0978">
        <w:t xml:space="preserve"> </w:t>
      </w:r>
      <w:r w:rsidR="005950C3">
        <w:t>the recommended</w:t>
      </w:r>
      <w:r w:rsidR="00AC0978">
        <w:t xml:space="preserve"> </w:t>
      </w:r>
      <w:r w:rsidR="00C24A7E">
        <w:t>c</w:t>
      </w:r>
      <w:r w:rsidR="00AC0978">
        <w:t xml:space="preserve">ost </w:t>
      </w:r>
      <w:r w:rsidR="00C24A7E">
        <w:t>b</w:t>
      </w:r>
      <w:r w:rsidR="00AC0978">
        <w:t xml:space="preserve">ase </w:t>
      </w:r>
      <w:r w:rsidR="00C24A7E">
        <w:t>o</w:t>
      </w:r>
      <w:r w:rsidR="00AC0978">
        <w:t xml:space="preserve">ption </w:t>
      </w:r>
      <w:r w:rsidR="005950C3">
        <w:t>(</w:t>
      </w:r>
      <w:r w:rsidR="00C24A7E">
        <w:t>o</w:t>
      </w:r>
      <w:r w:rsidR="00AC0978">
        <w:t xml:space="preserve">ption </w:t>
      </w:r>
      <w:r w:rsidR="00257361">
        <w:t>B</w:t>
      </w:r>
      <w:r w:rsidR="005950C3">
        <w:t>)</w:t>
      </w:r>
      <w:r w:rsidR="00A83008">
        <w:t>,</w:t>
      </w:r>
      <w:r w:rsidR="00AC0978">
        <w:t xml:space="preserve"> which uses the </w:t>
      </w:r>
      <w:r w:rsidR="00257361">
        <w:t xml:space="preserve">modified </w:t>
      </w:r>
      <w:r w:rsidR="00AC0978">
        <w:t xml:space="preserve">cost allocation matrix </w:t>
      </w:r>
      <w:r w:rsidR="00257361">
        <w:t xml:space="preserve">(as recommended by HoustonKemp) </w:t>
      </w:r>
      <w:r w:rsidR="00AC0978">
        <w:t>and</w:t>
      </w:r>
      <w:r w:rsidR="00076C2D">
        <w:t xml:space="preserve"> the</w:t>
      </w:r>
      <w:r w:rsidR="00AC0978">
        <w:t xml:space="preserve"> </w:t>
      </w:r>
      <w:r w:rsidR="00076C2D">
        <w:t>direct implementation option</w:t>
      </w:r>
      <w:r w:rsidR="00A94D53">
        <w:t>.</w:t>
      </w:r>
      <w:r w:rsidR="00830D17">
        <w:t xml:space="preserve"> </w:t>
      </w:r>
    </w:p>
    <w:p w14:paraId="0585A7AE" w14:textId="04E30E7E" w:rsidR="00051754" w:rsidRDefault="00C859BB" w:rsidP="00AF6661">
      <w:pPr>
        <w:pStyle w:val="Tabletitle"/>
      </w:pPr>
      <w:bookmarkStart w:id="484" w:name="_Ref58918369"/>
      <w:bookmarkStart w:id="485" w:name="_Toc59436401"/>
      <w:bookmarkStart w:id="486" w:name="_Ref82012467"/>
      <w:bookmarkStart w:id="487" w:name="_Toc86158561"/>
      <w:r>
        <w:t xml:space="preserve">Estimated revenue from </w:t>
      </w:r>
      <w:r w:rsidR="00EC7E1C">
        <w:t xml:space="preserve">the </w:t>
      </w:r>
      <w:r>
        <w:t>roads component of registration charges</w:t>
      </w:r>
      <w:bookmarkEnd w:id="484"/>
      <w:r w:rsidR="00F906C4">
        <w:t xml:space="preserve"> </w:t>
      </w:r>
      <w:r w:rsidR="00423054">
        <w:t>and RUC</w:t>
      </w:r>
      <w:r w:rsidR="00F906C4">
        <w:t xml:space="preserve"> – direct implementation</w:t>
      </w:r>
      <w:bookmarkEnd w:id="485"/>
      <w:r w:rsidR="00F756FE">
        <w:t xml:space="preserve"> </w:t>
      </w:r>
      <w:r w:rsidR="00B86F6B">
        <w:t>($m)</w:t>
      </w:r>
      <w:bookmarkEnd w:id="486"/>
      <w:bookmarkEnd w:id="487"/>
    </w:p>
    <w:tbl>
      <w:tblPr>
        <w:tblStyle w:val="NTCtable"/>
        <w:tblW w:w="9214" w:type="dxa"/>
        <w:tblLayout w:type="fixed"/>
        <w:tblCellMar>
          <w:left w:w="28" w:type="dxa"/>
          <w:right w:w="28" w:type="dxa"/>
        </w:tblCellMar>
        <w:tblLook w:val="04A0" w:firstRow="1" w:lastRow="0" w:firstColumn="1" w:lastColumn="0" w:noHBand="0" w:noVBand="1"/>
      </w:tblPr>
      <w:tblGrid>
        <w:gridCol w:w="1560"/>
        <w:gridCol w:w="765"/>
        <w:gridCol w:w="765"/>
        <w:gridCol w:w="766"/>
        <w:gridCol w:w="765"/>
        <w:gridCol w:w="766"/>
        <w:gridCol w:w="765"/>
        <w:gridCol w:w="765"/>
        <w:gridCol w:w="766"/>
        <w:gridCol w:w="765"/>
        <w:gridCol w:w="766"/>
      </w:tblGrid>
      <w:tr w:rsidR="009F5DEE" w:rsidRPr="00B8142E" w14:paraId="10E6E8B3" w14:textId="50F9A160" w:rsidTr="00C4270B">
        <w:trPr>
          <w:cnfStyle w:val="100000000000" w:firstRow="1" w:lastRow="0" w:firstColumn="0" w:lastColumn="0" w:oddVBand="0" w:evenVBand="0" w:oddHBand="0" w:evenHBand="0" w:firstRowFirstColumn="0" w:firstRowLastColumn="0" w:lastRowFirstColumn="0" w:lastRowLastColumn="0"/>
          <w:tblHeader/>
        </w:trPr>
        <w:tc>
          <w:tcPr>
            <w:tcW w:w="1560" w:type="dxa"/>
          </w:tcPr>
          <w:p w14:paraId="160EE49D" w14:textId="245EDD52" w:rsidR="009F5DEE" w:rsidRPr="00CD6B04" w:rsidRDefault="00F906C4" w:rsidP="00051754">
            <w:pPr>
              <w:pStyle w:val="BodyCopy"/>
              <w:rPr>
                <w:b/>
                <w:bCs/>
                <w:sz w:val="18"/>
                <w:szCs w:val="20"/>
              </w:rPr>
            </w:pPr>
            <w:r w:rsidRPr="00CD6B04">
              <w:rPr>
                <w:b/>
                <w:bCs/>
                <w:sz w:val="18"/>
                <w:szCs w:val="20"/>
              </w:rPr>
              <w:t>Direct implementation</w:t>
            </w:r>
          </w:p>
        </w:tc>
        <w:tc>
          <w:tcPr>
            <w:tcW w:w="765" w:type="dxa"/>
            <w:vAlign w:val="center"/>
          </w:tcPr>
          <w:p w14:paraId="5465207E" w14:textId="2B84C734" w:rsidR="009F5DEE" w:rsidRPr="00CD6B04" w:rsidRDefault="009F5DEE" w:rsidP="00AF7B68">
            <w:pPr>
              <w:pStyle w:val="BodyCopy"/>
              <w:jc w:val="center"/>
              <w:rPr>
                <w:b/>
                <w:bCs/>
                <w:sz w:val="18"/>
                <w:szCs w:val="20"/>
              </w:rPr>
            </w:pPr>
            <w:r w:rsidRPr="00CD6B04">
              <w:rPr>
                <w:b/>
                <w:bCs/>
                <w:sz w:val="18"/>
                <w:szCs w:val="20"/>
              </w:rPr>
              <w:t>NSW</w:t>
            </w:r>
          </w:p>
        </w:tc>
        <w:tc>
          <w:tcPr>
            <w:tcW w:w="765" w:type="dxa"/>
            <w:vAlign w:val="center"/>
          </w:tcPr>
          <w:p w14:paraId="469C6A39" w14:textId="4DA3EF6F" w:rsidR="009F5DEE" w:rsidRPr="00CD6B04" w:rsidRDefault="009F5DEE" w:rsidP="00AF7B68">
            <w:pPr>
              <w:pStyle w:val="BodyCopy"/>
              <w:jc w:val="center"/>
              <w:rPr>
                <w:b/>
                <w:bCs/>
                <w:sz w:val="18"/>
                <w:szCs w:val="20"/>
              </w:rPr>
            </w:pPr>
            <w:r w:rsidRPr="00CD6B04">
              <w:rPr>
                <w:b/>
                <w:bCs/>
                <w:sz w:val="18"/>
                <w:szCs w:val="20"/>
              </w:rPr>
              <w:t>V</w:t>
            </w:r>
            <w:r w:rsidR="00C24A7E" w:rsidRPr="00CD6B04">
              <w:rPr>
                <w:b/>
                <w:bCs/>
                <w:sz w:val="18"/>
                <w:szCs w:val="20"/>
              </w:rPr>
              <w:t>ic</w:t>
            </w:r>
          </w:p>
        </w:tc>
        <w:tc>
          <w:tcPr>
            <w:tcW w:w="766" w:type="dxa"/>
            <w:vAlign w:val="center"/>
          </w:tcPr>
          <w:p w14:paraId="79A3EE7C" w14:textId="47CF785E" w:rsidR="009F5DEE" w:rsidRPr="00CD6B04" w:rsidRDefault="009F5DEE" w:rsidP="00AF7B68">
            <w:pPr>
              <w:pStyle w:val="BodyCopy"/>
              <w:jc w:val="center"/>
              <w:rPr>
                <w:b/>
                <w:bCs/>
                <w:sz w:val="18"/>
                <w:szCs w:val="20"/>
              </w:rPr>
            </w:pPr>
            <w:r w:rsidRPr="00CD6B04">
              <w:rPr>
                <w:b/>
                <w:bCs/>
                <w:sz w:val="18"/>
                <w:szCs w:val="20"/>
              </w:rPr>
              <w:t>Q</w:t>
            </w:r>
            <w:r w:rsidR="00C24A7E" w:rsidRPr="00CD6B04">
              <w:rPr>
                <w:b/>
                <w:bCs/>
                <w:sz w:val="18"/>
                <w:szCs w:val="20"/>
              </w:rPr>
              <w:t>ld</w:t>
            </w:r>
          </w:p>
        </w:tc>
        <w:tc>
          <w:tcPr>
            <w:tcW w:w="765" w:type="dxa"/>
            <w:vAlign w:val="center"/>
          </w:tcPr>
          <w:p w14:paraId="21010CD3" w14:textId="33F358A8" w:rsidR="009F5DEE" w:rsidRPr="00CD6B04" w:rsidRDefault="009F5DEE" w:rsidP="00AF7B68">
            <w:pPr>
              <w:pStyle w:val="BodyCopy"/>
              <w:jc w:val="center"/>
              <w:rPr>
                <w:b/>
                <w:bCs/>
                <w:sz w:val="18"/>
                <w:szCs w:val="20"/>
              </w:rPr>
            </w:pPr>
            <w:r w:rsidRPr="00CD6B04">
              <w:rPr>
                <w:b/>
                <w:bCs/>
                <w:sz w:val="18"/>
                <w:szCs w:val="20"/>
              </w:rPr>
              <w:t>SA</w:t>
            </w:r>
          </w:p>
        </w:tc>
        <w:tc>
          <w:tcPr>
            <w:tcW w:w="766" w:type="dxa"/>
            <w:vAlign w:val="center"/>
          </w:tcPr>
          <w:p w14:paraId="4055C535" w14:textId="0B816F88" w:rsidR="009F5DEE" w:rsidRPr="00CD6B04" w:rsidRDefault="009F5DEE" w:rsidP="00AF7B68">
            <w:pPr>
              <w:pStyle w:val="BodyCopy"/>
              <w:jc w:val="center"/>
              <w:rPr>
                <w:b/>
                <w:bCs/>
                <w:sz w:val="18"/>
                <w:szCs w:val="20"/>
              </w:rPr>
            </w:pPr>
            <w:r w:rsidRPr="00CD6B04">
              <w:rPr>
                <w:b/>
                <w:bCs/>
                <w:sz w:val="18"/>
                <w:szCs w:val="20"/>
              </w:rPr>
              <w:t>WA</w:t>
            </w:r>
          </w:p>
        </w:tc>
        <w:tc>
          <w:tcPr>
            <w:tcW w:w="765" w:type="dxa"/>
            <w:vAlign w:val="center"/>
          </w:tcPr>
          <w:p w14:paraId="357B51D4" w14:textId="207AD3A6" w:rsidR="009F5DEE" w:rsidRPr="00CD6B04" w:rsidRDefault="009F5DEE" w:rsidP="00AF7B68">
            <w:pPr>
              <w:pStyle w:val="BodyCopy"/>
              <w:jc w:val="center"/>
              <w:rPr>
                <w:b/>
                <w:bCs/>
                <w:sz w:val="18"/>
                <w:szCs w:val="20"/>
              </w:rPr>
            </w:pPr>
            <w:r w:rsidRPr="00CD6B04">
              <w:rPr>
                <w:b/>
                <w:bCs/>
                <w:sz w:val="18"/>
                <w:szCs w:val="20"/>
              </w:rPr>
              <w:t>T</w:t>
            </w:r>
            <w:r w:rsidR="00C24A7E" w:rsidRPr="00CD6B04">
              <w:rPr>
                <w:b/>
                <w:bCs/>
                <w:sz w:val="18"/>
                <w:szCs w:val="20"/>
              </w:rPr>
              <w:t>as</w:t>
            </w:r>
          </w:p>
        </w:tc>
        <w:tc>
          <w:tcPr>
            <w:tcW w:w="765" w:type="dxa"/>
            <w:vAlign w:val="center"/>
          </w:tcPr>
          <w:p w14:paraId="56FF081B" w14:textId="280D3827" w:rsidR="009F5DEE" w:rsidRPr="00CD6B04" w:rsidRDefault="009F5DEE" w:rsidP="00AF7B68">
            <w:pPr>
              <w:pStyle w:val="BodyCopy"/>
              <w:jc w:val="center"/>
              <w:rPr>
                <w:b/>
                <w:bCs/>
                <w:sz w:val="18"/>
                <w:szCs w:val="20"/>
              </w:rPr>
            </w:pPr>
            <w:r w:rsidRPr="00CD6B04">
              <w:rPr>
                <w:b/>
                <w:bCs/>
                <w:sz w:val="18"/>
                <w:szCs w:val="20"/>
              </w:rPr>
              <w:t>NT</w:t>
            </w:r>
          </w:p>
        </w:tc>
        <w:tc>
          <w:tcPr>
            <w:tcW w:w="766" w:type="dxa"/>
            <w:vAlign w:val="center"/>
          </w:tcPr>
          <w:p w14:paraId="75341FE3" w14:textId="42EDCCA8" w:rsidR="009F5DEE" w:rsidRPr="00CD6B04" w:rsidRDefault="009F5DEE" w:rsidP="00AF7B68">
            <w:pPr>
              <w:pStyle w:val="BodyCopy"/>
              <w:jc w:val="center"/>
              <w:rPr>
                <w:b/>
                <w:bCs/>
                <w:sz w:val="18"/>
                <w:szCs w:val="20"/>
              </w:rPr>
            </w:pPr>
            <w:r w:rsidRPr="00CD6B04">
              <w:rPr>
                <w:b/>
                <w:bCs/>
                <w:sz w:val="18"/>
                <w:szCs w:val="20"/>
              </w:rPr>
              <w:t>ACT</w:t>
            </w:r>
          </w:p>
        </w:tc>
        <w:tc>
          <w:tcPr>
            <w:tcW w:w="765" w:type="dxa"/>
            <w:vAlign w:val="center"/>
          </w:tcPr>
          <w:p w14:paraId="01D90BAE" w14:textId="7E716A31" w:rsidR="009F5DEE" w:rsidRPr="00CD6B04" w:rsidRDefault="009F5DEE" w:rsidP="00AF7B68">
            <w:pPr>
              <w:pStyle w:val="BodyCopy"/>
              <w:jc w:val="center"/>
              <w:rPr>
                <w:b/>
                <w:bCs/>
                <w:sz w:val="18"/>
                <w:szCs w:val="20"/>
              </w:rPr>
            </w:pPr>
            <w:r w:rsidRPr="00CD6B04">
              <w:rPr>
                <w:b/>
                <w:bCs/>
                <w:sz w:val="18"/>
                <w:szCs w:val="20"/>
              </w:rPr>
              <w:t>C</w:t>
            </w:r>
            <w:r w:rsidR="00C24A7E" w:rsidRPr="00CD6B04">
              <w:rPr>
                <w:b/>
                <w:bCs/>
                <w:sz w:val="18"/>
                <w:szCs w:val="20"/>
              </w:rPr>
              <w:t>w</w:t>
            </w:r>
            <w:r w:rsidR="00C81931" w:rsidRPr="00CD6B04">
              <w:rPr>
                <w:b/>
                <w:bCs/>
                <w:sz w:val="18"/>
                <w:szCs w:val="20"/>
              </w:rPr>
              <w:t>l</w:t>
            </w:r>
            <w:r w:rsidR="00C24A7E" w:rsidRPr="00CD6B04">
              <w:rPr>
                <w:b/>
                <w:bCs/>
                <w:sz w:val="18"/>
                <w:szCs w:val="20"/>
              </w:rPr>
              <w:t>th</w:t>
            </w:r>
          </w:p>
        </w:tc>
        <w:tc>
          <w:tcPr>
            <w:tcW w:w="766" w:type="dxa"/>
            <w:vAlign w:val="center"/>
          </w:tcPr>
          <w:p w14:paraId="2E1A5001" w14:textId="171E90C8" w:rsidR="009F5DEE" w:rsidRPr="00CD6B04" w:rsidRDefault="009F5DEE" w:rsidP="00AF7B68">
            <w:pPr>
              <w:pStyle w:val="BodyCopy"/>
              <w:jc w:val="center"/>
              <w:rPr>
                <w:b/>
                <w:bCs/>
                <w:sz w:val="18"/>
                <w:szCs w:val="20"/>
              </w:rPr>
            </w:pPr>
            <w:r w:rsidRPr="00CD6B04">
              <w:rPr>
                <w:b/>
                <w:bCs/>
                <w:sz w:val="18"/>
                <w:szCs w:val="20"/>
              </w:rPr>
              <w:t>Total</w:t>
            </w:r>
          </w:p>
        </w:tc>
      </w:tr>
      <w:tr w:rsidR="004D35EB" w:rsidRPr="00B8142E" w14:paraId="1280A65B" w14:textId="2CF6585D" w:rsidTr="00BD61D2">
        <w:tc>
          <w:tcPr>
            <w:tcW w:w="0" w:type="dxa"/>
          </w:tcPr>
          <w:p w14:paraId="0579DC4B" w14:textId="4E208583" w:rsidR="004D35EB" w:rsidRPr="00AF7B68" w:rsidRDefault="004D35EB" w:rsidP="004D35EB">
            <w:pPr>
              <w:pStyle w:val="BodyCopy"/>
              <w:rPr>
                <w:sz w:val="18"/>
                <w:szCs w:val="20"/>
              </w:rPr>
            </w:pPr>
            <w:r w:rsidRPr="00AF7B68">
              <w:rPr>
                <w:sz w:val="18"/>
                <w:szCs w:val="20"/>
              </w:rPr>
              <w:t>Year 1</w:t>
            </w:r>
          </w:p>
        </w:tc>
        <w:tc>
          <w:tcPr>
            <w:tcW w:w="0" w:type="dxa"/>
            <w:vAlign w:val="center"/>
          </w:tcPr>
          <w:p w14:paraId="2F04E4BE" w14:textId="3FB2EB3B" w:rsidR="004D35EB" w:rsidRPr="00DB7B99" w:rsidRDefault="004D35EB" w:rsidP="004D35EB">
            <w:pPr>
              <w:pStyle w:val="BodyCopy"/>
              <w:jc w:val="center"/>
              <w:rPr>
                <w:sz w:val="18"/>
                <w:szCs w:val="18"/>
              </w:rPr>
            </w:pPr>
            <w:r w:rsidRPr="00BD61D2">
              <w:rPr>
                <w:sz w:val="18"/>
                <w:szCs w:val="18"/>
              </w:rPr>
              <w:t>464.9</w:t>
            </w:r>
          </w:p>
        </w:tc>
        <w:tc>
          <w:tcPr>
            <w:tcW w:w="0" w:type="dxa"/>
            <w:vAlign w:val="center"/>
          </w:tcPr>
          <w:p w14:paraId="69C8090A" w14:textId="4DF6FB24" w:rsidR="004D35EB" w:rsidRPr="00DB7B99" w:rsidRDefault="004D35EB" w:rsidP="004D35EB">
            <w:pPr>
              <w:pStyle w:val="BodyCopy"/>
              <w:jc w:val="center"/>
              <w:rPr>
                <w:sz w:val="18"/>
                <w:szCs w:val="18"/>
              </w:rPr>
            </w:pPr>
            <w:r w:rsidRPr="00BD61D2">
              <w:rPr>
                <w:sz w:val="18"/>
                <w:szCs w:val="18"/>
              </w:rPr>
              <w:t>505.1</w:t>
            </w:r>
          </w:p>
        </w:tc>
        <w:tc>
          <w:tcPr>
            <w:tcW w:w="0" w:type="dxa"/>
            <w:vAlign w:val="center"/>
          </w:tcPr>
          <w:p w14:paraId="3A0FB16E" w14:textId="170D8393" w:rsidR="004D35EB" w:rsidRPr="00DB7B99" w:rsidRDefault="004D35EB" w:rsidP="004D35EB">
            <w:pPr>
              <w:pStyle w:val="BodyCopy"/>
              <w:jc w:val="center"/>
              <w:rPr>
                <w:sz w:val="18"/>
                <w:szCs w:val="18"/>
              </w:rPr>
            </w:pPr>
            <w:r w:rsidRPr="00BD61D2">
              <w:rPr>
                <w:sz w:val="18"/>
                <w:szCs w:val="18"/>
              </w:rPr>
              <w:t>453.3</w:t>
            </w:r>
          </w:p>
        </w:tc>
        <w:tc>
          <w:tcPr>
            <w:tcW w:w="0" w:type="dxa"/>
            <w:vAlign w:val="center"/>
          </w:tcPr>
          <w:p w14:paraId="071698EA" w14:textId="7C7D5CAA" w:rsidR="004D35EB" w:rsidRPr="00DB7B99" w:rsidRDefault="004D35EB" w:rsidP="004D35EB">
            <w:pPr>
              <w:pStyle w:val="BodyCopy"/>
              <w:jc w:val="center"/>
              <w:rPr>
                <w:sz w:val="18"/>
                <w:szCs w:val="18"/>
              </w:rPr>
            </w:pPr>
            <w:r w:rsidRPr="00BD61D2">
              <w:rPr>
                <w:sz w:val="18"/>
                <w:szCs w:val="18"/>
              </w:rPr>
              <w:t>152.4</w:t>
            </w:r>
          </w:p>
        </w:tc>
        <w:tc>
          <w:tcPr>
            <w:tcW w:w="0" w:type="dxa"/>
            <w:vAlign w:val="center"/>
          </w:tcPr>
          <w:p w14:paraId="08F4F538" w14:textId="7058E3C9" w:rsidR="004D35EB" w:rsidRPr="00DB7B99" w:rsidRDefault="004D35EB" w:rsidP="004D35EB">
            <w:pPr>
              <w:pStyle w:val="BodyCopy"/>
              <w:jc w:val="center"/>
              <w:rPr>
                <w:sz w:val="18"/>
                <w:szCs w:val="18"/>
              </w:rPr>
            </w:pPr>
            <w:r w:rsidRPr="00BD61D2">
              <w:rPr>
                <w:sz w:val="18"/>
                <w:szCs w:val="18"/>
              </w:rPr>
              <w:t>313.1</w:t>
            </w:r>
          </w:p>
        </w:tc>
        <w:tc>
          <w:tcPr>
            <w:tcW w:w="0" w:type="dxa"/>
            <w:vAlign w:val="center"/>
          </w:tcPr>
          <w:p w14:paraId="38701F44" w14:textId="1D2783F1" w:rsidR="004D35EB" w:rsidRPr="00DB7B99" w:rsidRDefault="004D35EB" w:rsidP="004D35EB">
            <w:pPr>
              <w:pStyle w:val="BodyCopy"/>
              <w:jc w:val="center"/>
              <w:rPr>
                <w:sz w:val="18"/>
                <w:szCs w:val="18"/>
              </w:rPr>
            </w:pPr>
            <w:r w:rsidRPr="00BD61D2">
              <w:rPr>
                <w:sz w:val="18"/>
                <w:szCs w:val="18"/>
              </w:rPr>
              <w:t>39.7</w:t>
            </w:r>
          </w:p>
        </w:tc>
        <w:tc>
          <w:tcPr>
            <w:tcW w:w="0" w:type="dxa"/>
            <w:vAlign w:val="center"/>
          </w:tcPr>
          <w:p w14:paraId="406C36D7" w14:textId="0FFD7A03" w:rsidR="004D35EB" w:rsidRPr="00DB7B99" w:rsidRDefault="004D35EB" w:rsidP="00096063">
            <w:pPr>
              <w:pStyle w:val="BodyCopy"/>
              <w:jc w:val="center"/>
              <w:rPr>
                <w:sz w:val="18"/>
                <w:szCs w:val="18"/>
              </w:rPr>
            </w:pPr>
            <w:r w:rsidRPr="00BD61D2">
              <w:rPr>
                <w:sz w:val="18"/>
                <w:szCs w:val="18"/>
              </w:rPr>
              <w:t>25.5</w:t>
            </w:r>
          </w:p>
        </w:tc>
        <w:tc>
          <w:tcPr>
            <w:tcW w:w="0" w:type="dxa"/>
            <w:vAlign w:val="center"/>
          </w:tcPr>
          <w:p w14:paraId="064BCE2D" w14:textId="0A3E872E" w:rsidR="004D35EB" w:rsidRPr="00DB7B99" w:rsidRDefault="004D35EB" w:rsidP="00142F71">
            <w:pPr>
              <w:pStyle w:val="BodyCopy"/>
              <w:jc w:val="center"/>
              <w:rPr>
                <w:sz w:val="18"/>
                <w:szCs w:val="18"/>
              </w:rPr>
            </w:pPr>
            <w:r w:rsidRPr="00BD61D2">
              <w:rPr>
                <w:sz w:val="18"/>
                <w:szCs w:val="18"/>
              </w:rPr>
              <w:t>5.9</w:t>
            </w:r>
          </w:p>
        </w:tc>
        <w:tc>
          <w:tcPr>
            <w:tcW w:w="0" w:type="dxa"/>
            <w:vAlign w:val="center"/>
          </w:tcPr>
          <w:p w14:paraId="3BAA6D84" w14:textId="1BD4AB22" w:rsidR="004D35EB" w:rsidRPr="00DB7B99" w:rsidRDefault="004D35EB" w:rsidP="00A32548">
            <w:pPr>
              <w:pStyle w:val="BodyCopy"/>
              <w:jc w:val="center"/>
              <w:rPr>
                <w:sz w:val="18"/>
                <w:szCs w:val="18"/>
              </w:rPr>
            </w:pPr>
            <w:r w:rsidRPr="00BD61D2">
              <w:rPr>
                <w:sz w:val="18"/>
                <w:szCs w:val="18"/>
              </w:rPr>
              <w:t>2,556.0</w:t>
            </w:r>
          </w:p>
        </w:tc>
        <w:tc>
          <w:tcPr>
            <w:tcW w:w="0" w:type="dxa"/>
            <w:vAlign w:val="center"/>
          </w:tcPr>
          <w:p w14:paraId="0F39A131" w14:textId="48B5EC67" w:rsidR="004D35EB" w:rsidRPr="00DB7B99" w:rsidRDefault="004D35EB" w:rsidP="00A32548">
            <w:pPr>
              <w:pStyle w:val="BodyCopy"/>
              <w:jc w:val="center"/>
              <w:rPr>
                <w:sz w:val="18"/>
                <w:szCs w:val="18"/>
              </w:rPr>
            </w:pPr>
            <w:r w:rsidRPr="00BD61D2">
              <w:rPr>
                <w:sz w:val="18"/>
                <w:szCs w:val="18"/>
              </w:rPr>
              <w:t>4,515.9</w:t>
            </w:r>
          </w:p>
        </w:tc>
      </w:tr>
      <w:tr w:rsidR="009F5DEE" w:rsidRPr="00B8142E" w14:paraId="13807125" w14:textId="6F30125B" w:rsidTr="00AF7B68">
        <w:tc>
          <w:tcPr>
            <w:tcW w:w="1560" w:type="dxa"/>
          </w:tcPr>
          <w:p w14:paraId="6C7AB923" w14:textId="1B8AB55F" w:rsidR="009F5DEE" w:rsidRPr="00AF7B68" w:rsidRDefault="00F906C4" w:rsidP="00051754">
            <w:pPr>
              <w:pStyle w:val="BodyCopy"/>
              <w:rPr>
                <w:sz w:val="18"/>
                <w:szCs w:val="20"/>
              </w:rPr>
            </w:pPr>
            <w:r w:rsidRPr="00AF7B68">
              <w:rPr>
                <w:sz w:val="18"/>
                <w:szCs w:val="20"/>
              </w:rPr>
              <w:t>Year 2</w:t>
            </w:r>
          </w:p>
        </w:tc>
        <w:tc>
          <w:tcPr>
            <w:tcW w:w="765" w:type="dxa"/>
            <w:vAlign w:val="center"/>
          </w:tcPr>
          <w:p w14:paraId="3B1D69E1" w14:textId="12A121EF" w:rsidR="009F5DEE" w:rsidRPr="00AF7B68" w:rsidRDefault="00F756FE" w:rsidP="00AF7B68">
            <w:pPr>
              <w:pStyle w:val="BodyCopy"/>
              <w:jc w:val="center"/>
              <w:rPr>
                <w:sz w:val="18"/>
                <w:szCs w:val="20"/>
              </w:rPr>
            </w:pPr>
            <w:r w:rsidRPr="00AF7B68">
              <w:rPr>
                <w:sz w:val="18"/>
                <w:szCs w:val="20"/>
              </w:rPr>
              <w:t>N/A</w:t>
            </w:r>
          </w:p>
        </w:tc>
        <w:tc>
          <w:tcPr>
            <w:tcW w:w="765" w:type="dxa"/>
            <w:vAlign w:val="center"/>
          </w:tcPr>
          <w:p w14:paraId="7273A172" w14:textId="38793EEC" w:rsidR="009F5DEE" w:rsidRPr="00AF7B68" w:rsidRDefault="00F756FE" w:rsidP="00AF7B68">
            <w:pPr>
              <w:pStyle w:val="BodyCopy"/>
              <w:jc w:val="center"/>
              <w:rPr>
                <w:sz w:val="18"/>
                <w:szCs w:val="20"/>
              </w:rPr>
            </w:pPr>
            <w:r w:rsidRPr="00AF7B68">
              <w:rPr>
                <w:sz w:val="18"/>
                <w:szCs w:val="20"/>
              </w:rPr>
              <w:t>N/A</w:t>
            </w:r>
          </w:p>
        </w:tc>
        <w:tc>
          <w:tcPr>
            <w:tcW w:w="766" w:type="dxa"/>
            <w:vAlign w:val="center"/>
          </w:tcPr>
          <w:p w14:paraId="590581E8" w14:textId="4DF537F8" w:rsidR="009F5DEE" w:rsidRPr="00AF7B68" w:rsidRDefault="00F756FE" w:rsidP="00AF7B68">
            <w:pPr>
              <w:pStyle w:val="BodyCopy"/>
              <w:jc w:val="center"/>
              <w:rPr>
                <w:sz w:val="18"/>
                <w:szCs w:val="20"/>
              </w:rPr>
            </w:pPr>
            <w:r w:rsidRPr="00AF7B68">
              <w:rPr>
                <w:sz w:val="18"/>
                <w:szCs w:val="20"/>
              </w:rPr>
              <w:t>N/A</w:t>
            </w:r>
          </w:p>
        </w:tc>
        <w:tc>
          <w:tcPr>
            <w:tcW w:w="765" w:type="dxa"/>
            <w:vAlign w:val="center"/>
          </w:tcPr>
          <w:p w14:paraId="435585E9" w14:textId="05C9E658" w:rsidR="009F5DEE" w:rsidRPr="00AF7B68" w:rsidRDefault="00F756FE" w:rsidP="00AF7B68">
            <w:pPr>
              <w:pStyle w:val="BodyCopy"/>
              <w:jc w:val="center"/>
              <w:rPr>
                <w:sz w:val="18"/>
                <w:szCs w:val="20"/>
              </w:rPr>
            </w:pPr>
            <w:r w:rsidRPr="00AF7B68">
              <w:rPr>
                <w:sz w:val="18"/>
                <w:szCs w:val="20"/>
              </w:rPr>
              <w:t>N/A</w:t>
            </w:r>
          </w:p>
        </w:tc>
        <w:tc>
          <w:tcPr>
            <w:tcW w:w="766" w:type="dxa"/>
            <w:vAlign w:val="center"/>
          </w:tcPr>
          <w:p w14:paraId="42FF1350" w14:textId="16DD9D69" w:rsidR="009F5DEE" w:rsidRPr="00AF7B68" w:rsidRDefault="00F756FE" w:rsidP="00AF7B68">
            <w:pPr>
              <w:pStyle w:val="BodyCopy"/>
              <w:jc w:val="center"/>
              <w:rPr>
                <w:sz w:val="18"/>
                <w:szCs w:val="20"/>
              </w:rPr>
            </w:pPr>
            <w:r w:rsidRPr="00AF7B68">
              <w:rPr>
                <w:sz w:val="18"/>
                <w:szCs w:val="20"/>
              </w:rPr>
              <w:t>N/A</w:t>
            </w:r>
          </w:p>
        </w:tc>
        <w:tc>
          <w:tcPr>
            <w:tcW w:w="765" w:type="dxa"/>
            <w:vAlign w:val="center"/>
          </w:tcPr>
          <w:p w14:paraId="4E94AB78" w14:textId="30924581" w:rsidR="009F5DEE" w:rsidRPr="00AF7B68" w:rsidRDefault="00F756FE" w:rsidP="00AF7B68">
            <w:pPr>
              <w:pStyle w:val="BodyCopy"/>
              <w:jc w:val="center"/>
              <w:rPr>
                <w:sz w:val="18"/>
                <w:szCs w:val="20"/>
              </w:rPr>
            </w:pPr>
            <w:r w:rsidRPr="00AF7B68">
              <w:rPr>
                <w:sz w:val="18"/>
                <w:szCs w:val="20"/>
              </w:rPr>
              <w:t>N/A</w:t>
            </w:r>
          </w:p>
        </w:tc>
        <w:tc>
          <w:tcPr>
            <w:tcW w:w="765" w:type="dxa"/>
            <w:vAlign w:val="center"/>
          </w:tcPr>
          <w:p w14:paraId="3882F868" w14:textId="21ABFD32" w:rsidR="009F5DEE" w:rsidRPr="00AF7B68" w:rsidRDefault="00F756FE" w:rsidP="00AF7B68">
            <w:pPr>
              <w:pStyle w:val="BodyCopy"/>
              <w:jc w:val="center"/>
              <w:rPr>
                <w:sz w:val="18"/>
                <w:szCs w:val="20"/>
              </w:rPr>
            </w:pPr>
            <w:r w:rsidRPr="00AF7B68">
              <w:rPr>
                <w:sz w:val="18"/>
                <w:szCs w:val="20"/>
              </w:rPr>
              <w:t>N/A</w:t>
            </w:r>
          </w:p>
        </w:tc>
        <w:tc>
          <w:tcPr>
            <w:tcW w:w="766" w:type="dxa"/>
            <w:vAlign w:val="center"/>
          </w:tcPr>
          <w:p w14:paraId="21FC82DF" w14:textId="77842CEF" w:rsidR="009F5DEE" w:rsidRPr="00AF7B68" w:rsidRDefault="00F756FE" w:rsidP="00AF7B68">
            <w:pPr>
              <w:pStyle w:val="BodyCopy"/>
              <w:jc w:val="center"/>
              <w:rPr>
                <w:sz w:val="18"/>
                <w:szCs w:val="20"/>
              </w:rPr>
            </w:pPr>
            <w:r w:rsidRPr="00AF7B68">
              <w:rPr>
                <w:sz w:val="18"/>
                <w:szCs w:val="20"/>
              </w:rPr>
              <w:t>N/A</w:t>
            </w:r>
          </w:p>
        </w:tc>
        <w:tc>
          <w:tcPr>
            <w:tcW w:w="765" w:type="dxa"/>
            <w:vAlign w:val="center"/>
          </w:tcPr>
          <w:p w14:paraId="12D3D920" w14:textId="1872012C" w:rsidR="009F5DEE" w:rsidRPr="00AF7B68" w:rsidRDefault="00F756FE" w:rsidP="00AF7B68">
            <w:pPr>
              <w:pStyle w:val="BodyCopy"/>
              <w:jc w:val="center"/>
              <w:rPr>
                <w:sz w:val="18"/>
                <w:szCs w:val="20"/>
              </w:rPr>
            </w:pPr>
            <w:r w:rsidRPr="00AF7B68">
              <w:rPr>
                <w:sz w:val="18"/>
                <w:szCs w:val="20"/>
              </w:rPr>
              <w:t>N/A</w:t>
            </w:r>
          </w:p>
        </w:tc>
        <w:tc>
          <w:tcPr>
            <w:tcW w:w="766" w:type="dxa"/>
            <w:vAlign w:val="center"/>
          </w:tcPr>
          <w:p w14:paraId="72564646" w14:textId="7E46D0E3" w:rsidR="009F5DEE" w:rsidRPr="00AF7B68" w:rsidRDefault="00F756FE" w:rsidP="00AF7B68">
            <w:pPr>
              <w:pStyle w:val="BodyCopy"/>
              <w:jc w:val="center"/>
              <w:rPr>
                <w:sz w:val="18"/>
                <w:szCs w:val="20"/>
              </w:rPr>
            </w:pPr>
            <w:r w:rsidRPr="00AF7B68">
              <w:rPr>
                <w:sz w:val="18"/>
                <w:szCs w:val="20"/>
              </w:rPr>
              <w:t>N/A</w:t>
            </w:r>
          </w:p>
        </w:tc>
      </w:tr>
      <w:tr w:rsidR="00F756FE" w:rsidRPr="00B8142E" w14:paraId="14FD6A80" w14:textId="77777777" w:rsidTr="00AF7B68">
        <w:tc>
          <w:tcPr>
            <w:tcW w:w="1560" w:type="dxa"/>
          </w:tcPr>
          <w:p w14:paraId="5D801FFA" w14:textId="1F5FCA0E" w:rsidR="00F756FE" w:rsidRPr="00AF7B68" w:rsidRDefault="00F756FE" w:rsidP="00F756FE">
            <w:pPr>
              <w:pStyle w:val="BodyCopy"/>
              <w:rPr>
                <w:sz w:val="18"/>
                <w:szCs w:val="20"/>
              </w:rPr>
            </w:pPr>
            <w:r w:rsidRPr="00AF7B68">
              <w:rPr>
                <w:sz w:val="18"/>
                <w:szCs w:val="20"/>
              </w:rPr>
              <w:t>Year 3</w:t>
            </w:r>
          </w:p>
        </w:tc>
        <w:tc>
          <w:tcPr>
            <w:tcW w:w="765" w:type="dxa"/>
            <w:vAlign w:val="center"/>
          </w:tcPr>
          <w:p w14:paraId="1757A412" w14:textId="7E730F1E"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183E0FBF" w14:textId="1F17F9E5"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1FEED79F" w14:textId="75DA93BD"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28D2C24F" w14:textId="5D62B9C9"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3875187B" w14:textId="2F7E453D"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7F3900F8" w14:textId="1A32FA3F"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48E72593" w14:textId="30B7087F"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66995F6D" w14:textId="78CDC028"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24EECF70" w14:textId="0851BE70"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7898B24F" w14:textId="43038490" w:rsidR="00F756FE" w:rsidRPr="00AF7B68" w:rsidRDefault="00F756FE" w:rsidP="00AF7B68">
            <w:pPr>
              <w:pStyle w:val="BodyCopy"/>
              <w:jc w:val="center"/>
              <w:rPr>
                <w:sz w:val="18"/>
                <w:szCs w:val="20"/>
              </w:rPr>
            </w:pPr>
            <w:r w:rsidRPr="00AF7B68">
              <w:rPr>
                <w:sz w:val="18"/>
                <w:szCs w:val="20"/>
              </w:rPr>
              <w:t>N/A</w:t>
            </w:r>
          </w:p>
        </w:tc>
      </w:tr>
      <w:tr w:rsidR="00F756FE" w:rsidRPr="00B8142E" w14:paraId="6A247DB1" w14:textId="004A820F" w:rsidTr="00AF7B68">
        <w:tc>
          <w:tcPr>
            <w:tcW w:w="1560" w:type="dxa"/>
          </w:tcPr>
          <w:p w14:paraId="4181573B" w14:textId="64680F6A" w:rsidR="00F756FE" w:rsidRPr="00AF7B68" w:rsidRDefault="00F756FE" w:rsidP="00F756FE">
            <w:pPr>
              <w:pStyle w:val="BodyCopy"/>
              <w:rPr>
                <w:sz w:val="18"/>
                <w:szCs w:val="20"/>
              </w:rPr>
            </w:pPr>
            <w:r w:rsidRPr="00AF7B68">
              <w:rPr>
                <w:sz w:val="18"/>
                <w:szCs w:val="20"/>
              </w:rPr>
              <w:t>Total over pricing period</w:t>
            </w:r>
          </w:p>
        </w:tc>
        <w:tc>
          <w:tcPr>
            <w:tcW w:w="765" w:type="dxa"/>
            <w:vAlign w:val="center"/>
          </w:tcPr>
          <w:p w14:paraId="19FC5484" w14:textId="03FA228E"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00431CE1" w14:textId="2E0C592F"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29B79DCF" w14:textId="2AC6315F"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042DDF47" w14:textId="1060E66D"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6EDB56D2" w14:textId="7074A010"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6F9EA0AF" w14:textId="452D760E"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33875715" w14:textId="7C16D4D1"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3E0F311A" w14:textId="12EF5F0C" w:rsidR="00F756FE" w:rsidRPr="00AF7B68" w:rsidRDefault="00F756FE" w:rsidP="00AF7B68">
            <w:pPr>
              <w:pStyle w:val="BodyCopy"/>
              <w:jc w:val="center"/>
              <w:rPr>
                <w:sz w:val="18"/>
                <w:szCs w:val="20"/>
              </w:rPr>
            </w:pPr>
            <w:r w:rsidRPr="00AF7B68">
              <w:rPr>
                <w:sz w:val="18"/>
                <w:szCs w:val="20"/>
              </w:rPr>
              <w:t>N/A</w:t>
            </w:r>
          </w:p>
        </w:tc>
        <w:tc>
          <w:tcPr>
            <w:tcW w:w="765" w:type="dxa"/>
            <w:vAlign w:val="center"/>
          </w:tcPr>
          <w:p w14:paraId="5B65915C" w14:textId="041E126D" w:rsidR="00F756FE" w:rsidRPr="00AF7B68" w:rsidRDefault="00F756FE" w:rsidP="00AF7B68">
            <w:pPr>
              <w:pStyle w:val="BodyCopy"/>
              <w:jc w:val="center"/>
              <w:rPr>
                <w:sz w:val="18"/>
                <w:szCs w:val="20"/>
              </w:rPr>
            </w:pPr>
            <w:r w:rsidRPr="00AF7B68">
              <w:rPr>
                <w:sz w:val="18"/>
                <w:szCs w:val="20"/>
              </w:rPr>
              <w:t>N/A</w:t>
            </w:r>
          </w:p>
        </w:tc>
        <w:tc>
          <w:tcPr>
            <w:tcW w:w="766" w:type="dxa"/>
            <w:vAlign w:val="center"/>
          </w:tcPr>
          <w:p w14:paraId="0813E69C" w14:textId="10B58284" w:rsidR="00F756FE" w:rsidRPr="00AF7B68" w:rsidRDefault="00F756FE" w:rsidP="00AF7B68">
            <w:pPr>
              <w:pStyle w:val="BodyCopy"/>
              <w:jc w:val="center"/>
              <w:rPr>
                <w:sz w:val="18"/>
                <w:szCs w:val="20"/>
              </w:rPr>
            </w:pPr>
            <w:r w:rsidRPr="00AF7B68">
              <w:rPr>
                <w:sz w:val="18"/>
                <w:szCs w:val="20"/>
              </w:rPr>
              <w:t>N/A</w:t>
            </w:r>
          </w:p>
        </w:tc>
      </w:tr>
    </w:tbl>
    <w:p w14:paraId="7473F6B5" w14:textId="6DC5C628" w:rsidR="00051754" w:rsidRDefault="001F3905" w:rsidP="00051754">
      <w:pPr>
        <w:pStyle w:val="BodyCopy"/>
      </w:pPr>
      <w:r>
        <w:fldChar w:fldCharType="begin"/>
      </w:r>
      <w:r>
        <w:instrText xml:space="preserve"> REF _Ref63755498 \r \h </w:instrText>
      </w:r>
      <w:r>
        <w:fldChar w:fldCharType="separate"/>
      </w:r>
      <w:r w:rsidR="00225EEA">
        <w:t>Table 23</w:t>
      </w:r>
      <w:r>
        <w:fldChar w:fldCharType="end"/>
      </w:r>
      <w:r w:rsidR="00A83008">
        <w:t xml:space="preserve"> and </w:t>
      </w:r>
      <w:r>
        <w:fldChar w:fldCharType="begin"/>
      </w:r>
      <w:r>
        <w:instrText xml:space="preserve"> REF _Ref63755526 \r \h </w:instrText>
      </w:r>
      <w:r>
        <w:fldChar w:fldCharType="separate"/>
      </w:r>
      <w:r w:rsidR="00225EEA">
        <w:t>Table 24</w:t>
      </w:r>
      <w:r>
        <w:fldChar w:fldCharType="end"/>
      </w:r>
      <w:r w:rsidR="00AC0978">
        <w:t xml:space="preserve"> show </w:t>
      </w:r>
      <w:r w:rsidR="00B86F6B">
        <w:t xml:space="preserve">estimated revenues </w:t>
      </w:r>
      <w:r w:rsidR="00257361">
        <w:t xml:space="preserve">from the roads component of registration charges and the RUC </w:t>
      </w:r>
      <w:r w:rsidR="00B86F6B">
        <w:t xml:space="preserve">under </w:t>
      </w:r>
      <w:r w:rsidR="00A83008">
        <w:t>i</w:t>
      </w:r>
      <w:r w:rsidR="00B86F6B">
        <w:t xml:space="preserve">mplementation </w:t>
      </w:r>
      <w:r w:rsidR="00C24A7E">
        <w:t>o</w:t>
      </w:r>
      <w:r w:rsidR="00B86F6B">
        <w:t>ptions 1 and 2.</w:t>
      </w:r>
      <w:r w:rsidR="00257361">
        <w:t xml:space="preserve"> For modelling purposes, the heavy vehicle and trailer fleet and fuel use have been assumed to be constant throughout the modelling period; in practice, outcomes will differ due to changes in the fleet and fuel use over time.</w:t>
      </w:r>
    </w:p>
    <w:p w14:paraId="2ADBF609" w14:textId="31E15FFD" w:rsidR="00C6377D" w:rsidRDefault="00354118" w:rsidP="00354118">
      <w:pPr>
        <w:pStyle w:val="Tabletitle"/>
      </w:pPr>
      <w:bookmarkStart w:id="488" w:name="_Toc59436402"/>
      <w:bookmarkStart w:id="489" w:name="_Ref63755498"/>
      <w:bookmarkStart w:id="490" w:name="_Toc86158562"/>
      <w:r>
        <w:t xml:space="preserve">Estimated revenue from </w:t>
      </w:r>
      <w:r w:rsidR="00EC7E1C">
        <w:t xml:space="preserve">the </w:t>
      </w:r>
      <w:r>
        <w:t>roads component of registration charges</w:t>
      </w:r>
      <w:r w:rsidR="00423054">
        <w:t xml:space="preserve"> and RUC</w:t>
      </w:r>
      <w:r>
        <w:t xml:space="preserve"> </w:t>
      </w:r>
      <w:r w:rsidR="00384A9F">
        <w:t>–</w:t>
      </w:r>
      <w:r>
        <w:t xml:space="preserve"> </w:t>
      </w:r>
      <w:r w:rsidR="008A449E">
        <w:t>three-year fixed price path</w:t>
      </w:r>
      <w:r w:rsidR="00FD6CFB">
        <w:t>way</w:t>
      </w:r>
      <w:r w:rsidR="00384A9F">
        <w:t xml:space="preserve"> 1: </w:t>
      </w:r>
      <w:r w:rsidR="00D9677F">
        <w:t xml:space="preserve">up to </w:t>
      </w:r>
      <w:r w:rsidR="00384A9F">
        <w:t>3.5</w:t>
      </w:r>
      <w:r w:rsidR="00272BD6">
        <w:t xml:space="preserve"> per cent</w:t>
      </w:r>
      <w:r w:rsidR="00384A9F">
        <w:t xml:space="preserve"> per annum</w:t>
      </w:r>
      <w:bookmarkEnd w:id="488"/>
      <w:r w:rsidR="00B86F6B">
        <w:t xml:space="preserve"> ($m)</w:t>
      </w:r>
      <w:bookmarkEnd w:id="489"/>
      <w:bookmarkEnd w:id="490"/>
    </w:p>
    <w:tbl>
      <w:tblPr>
        <w:tblStyle w:val="NTCtable"/>
        <w:tblW w:w="9214" w:type="dxa"/>
        <w:tblLayout w:type="fixed"/>
        <w:tblCellMar>
          <w:left w:w="28" w:type="dxa"/>
          <w:right w:w="28" w:type="dxa"/>
        </w:tblCellMar>
        <w:tblLook w:val="04A0" w:firstRow="1" w:lastRow="0" w:firstColumn="1" w:lastColumn="0" w:noHBand="0" w:noVBand="1"/>
      </w:tblPr>
      <w:tblGrid>
        <w:gridCol w:w="1276"/>
        <w:gridCol w:w="793"/>
        <w:gridCol w:w="794"/>
        <w:gridCol w:w="794"/>
        <w:gridCol w:w="794"/>
        <w:gridCol w:w="794"/>
        <w:gridCol w:w="793"/>
        <w:gridCol w:w="794"/>
        <w:gridCol w:w="794"/>
        <w:gridCol w:w="794"/>
        <w:gridCol w:w="794"/>
      </w:tblGrid>
      <w:tr w:rsidR="00501241" w:rsidRPr="00B8142E" w14:paraId="36F01AFE"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1276" w:type="dxa"/>
          </w:tcPr>
          <w:p w14:paraId="2D97DC27" w14:textId="5E05FC86" w:rsidR="00501241" w:rsidRPr="00CD6B04" w:rsidRDefault="00FD6CFB" w:rsidP="0077387A">
            <w:pPr>
              <w:pStyle w:val="BodyCopy"/>
              <w:rPr>
                <w:b/>
                <w:bCs/>
                <w:sz w:val="18"/>
                <w:szCs w:val="20"/>
              </w:rPr>
            </w:pPr>
            <w:r>
              <w:rPr>
                <w:b/>
                <w:bCs/>
                <w:sz w:val="18"/>
                <w:szCs w:val="20"/>
              </w:rPr>
              <w:t>Pathway</w:t>
            </w:r>
            <w:r w:rsidR="00501241" w:rsidRPr="00CD6B04">
              <w:rPr>
                <w:b/>
                <w:bCs/>
                <w:sz w:val="18"/>
                <w:szCs w:val="20"/>
              </w:rPr>
              <w:t xml:space="preserve"> 1: </w:t>
            </w:r>
            <w:r w:rsidR="00D9677F">
              <w:rPr>
                <w:b/>
                <w:bCs/>
                <w:sz w:val="18"/>
                <w:szCs w:val="20"/>
              </w:rPr>
              <w:t xml:space="preserve">up to </w:t>
            </w:r>
            <w:r w:rsidR="00501241" w:rsidRPr="00CD6B04">
              <w:rPr>
                <w:b/>
                <w:bCs/>
                <w:sz w:val="18"/>
                <w:szCs w:val="20"/>
              </w:rPr>
              <w:t>3.5% per annum</w:t>
            </w:r>
          </w:p>
        </w:tc>
        <w:tc>
          <w:tcPr>
            <w:tcW w:w="793" w:type="dxa"/>
            <w:vAlign w:val="center"/>
          </w:tcPr>
          <w:p w14:paraId="35E57D7D" w14:textId="77777777" w:rsidR="00501241" w:rsidRPr="00CD6B04" w:rsidRDefault="00501241" w:rsidP="00AF7B68">
            <w:pPr>
              <w:pStyle w:val="BodyCopy"/>
              <w:jc w:val="center"/>
              <w:rPr>
                <w:b/>
                <w:bCs/>
                <w:sz w:val="18"/>
                <w:szCs w:val="20"/>
              </w:rPr>
            </w:pPr>
            <w:r w:rsidRPr="00CD6B04">
              <w:rPr>
                <w:b/>
                <w:bCs/>
                <w:sz w:val="18"/>
                <w:szCs w:val="20"/>
              </w:rPr>
              <w:t>NSW</w:t>
            </w:r>
          </w:p>
        </w:tc>
        <w:tc>
          <w:tcPr>
            <w:tcW w:w="794" w:type="dxa"/>
            <w:vAlign w:val="center"/>
          </w:tcPr>
          <w:p w14:paraId="400BFC87" w14:textId="568972C6" w:rsidR="00501241" w:rsidRPr="00CD6B04" w:rsidRDefault="00501241" w:rsidP="00AF7B68">
            <w:pPr>
              <w:pStyle w:val="BodyCopy"/>
              <w:jc w:val="center"/>
              <w:rPr>
                <w:b/>
                <w:bCs/>
                <w:sz w:val="18"/>
                <w:szCs w:val="20"/>
              </w:rPr>
            </w:pPr>
            <w:r w:rsidRPr="00CD6B04">
              <w:rPr>
                <w:b/>
                <w:bCs/>
                <w:sz w:val="18"/>
                <w:szCs w:val="20"/>
              </w:rPr>
              <w:t>V</w:t>
            </w:r>
            <w:r w:rsidR="00C24A7E" w:rsidRPr="00CD6B04">
              <w:rPr>
                <w:b/>
                <w:bCs/>
                <w:sz w:val="18"/>
                <w:szCs w:val="20"/>
              </w:rPr>
              <w:t>ic</w:t>
            </w:r>
          </w:p>
        </w:tc>
        <w:tc>
          <w:tcPr>
            <w:tcW w:w="794" w:type="dxa"/>
            <w:vAlign w:val="center"/>
          </w:tcPr>
          <w:p w14:paraId="26E391E6" w14:textId="057C2FAB" w:rsidR="00501241" w:rsidRPr="00CD6B04" w:rsidRDefault="00501241" w:rsidP="00AF7B68">
            <w:pPr>
              <w:pStyle w:val="BodyCopy"/>
              <w:jc w:val="center"/>
              <w:rPr>
                <w:b/>
                <w:bCs/>
                <w:sz w:val="18"/>
                <w:szCs w:val="20"/>
              </w:rPr>
            </w:pPr>
            <w:r w:rsidRPr="00CD6B04">
              <w:rPr>
                <w:b/>
                <w:bCs/>
                <w:sz w:val="18"/>
                <w:szCs w:val="20"/>
              </w:rPr>
              <w:t>Q</w:t>
            </w:r>
            <w:r w:rsidR="00C24A7E" w:rsidRPr="00CD6B04">
              <w:rPr>
                <w:b/>
                <w:bCs/>
                <w:sz w:val="18"/>
                <w:szCs w:val="20"/>
              </w:rPr>
              <w:t>ld</w:t>
            </w:r>
          </w:p>
        </w:tc>
        <w:tc>
          <w:tcPr>
            <w:tcW w:w="794" w:type="dxa"/>
            <w:vAlign w:val="center"/>
          </w:tcPr>
          <w:p w14:paraId="0360E9A5" w14:textId="77777777" w:rsidR="00501241" w:rsidRPr="00CD6B04" w:rsidRDefault="00501241" w:rsidP="00AF7B68">
            <w:pPr>
              <w:pStyle w:val="BodyCopy"/>
              <w:jc w:val="center"/>
              <w:rPr>
                <w:b/>
                <w:bCs/>
                <w:sz w:val="18"/>
                <w:szCs w:val="20"/>
              </w:rPr>
            </w:pPr>
            <w:r w:rsidRPr="00CD6B04">
              <w:rPr>
                <w:b/>
                <w:bCs/>
                <w:sz w:val="18"/>
                <w:szCs w:val="20"/>
              </w:rPr>
              <w:t>SA</w:t>
            </w:r>
          </w:p>
        </w:tc>
        <w:tc>
          <w:tcPr>
            <w:tcW w:w="794" w:type="dxa"/>
            <w:vAlign w:val="center"/>
          </w:tcPr>
          <w:p w14:paraId="37EFFE30" w14:textId="77777777" w:rsidR="00501241" w:rsidRPr="00CD6B04" w:rsidRDefault="00501241" w:rsidP="00AF7B68">
            <w:pPr>
              <w:pStyle w:val="BodyCopy"/>
              <w:jc w:val="center"/>
              <w:rPr>
                <w:b/>
                <w:bCs/>
                <w:sz w:val="18"/>
                <w:szCs w:val="20"/>
              </w:rPr>
            </w:pPr>
            <w:r w:rsidRPr="00CD6B04">
              <w:rPr>
                <w:b/>
                <w:bCs/>
                <w:sz w:val="18"/>
                <w:szCs w:val="20"/>
              </w:rPr>
              <w:t>WA</w:t>
            </w:r>
          </w:p>
        </w:tc>
        <w:tc>
          <w:tcPr>
            <w:tcW w:w="793" w:type="dxa"/>
            <w:vAlign w:val="center"/>
          </w:tcPr>
          <w:p w14:paraId="0CF74777" w14:textId="6B8063DD" w:rsidR="00501241" w:rsidRPr="00CD6B04" w:rsidRDefault="00501241" w:rsidP="00AF7B68">
            <w:pPr>
              <w:pStyle w:val="BodyCopy"/>
              <w:jc w:val="center"/>
              <w:rPr>
                <w:b/>
                <w:bCs/>
                <w:sz w:val="18"/>
                <w:szCs w:val="20"/>
              </w:rPr>
            </w:pPr>
            <w:r w:rsidRPr="00CD6B04">
              <w:rPr>
                <w:b/>
                <w:bCs/>
                <w:sz w:val="18"/>
                <w:szCs w:val="20"/>
              </w:rPr>
              <w:t>T</w:t>
            </w:r>
            <w:r w:rsidR="00C24A7E" w:rsidRPr="00CD6B04">
              <w:rPr>
                <w:b/>
                <w:bCs/>
                <w:sz w:val="18"/>
                <w:szCs w:val="20"/>
              </w:rPr>
              <w:t>as</w:t>
            </w:r>
          </w:p>
        </w:tc>
        <w:tc>
          <w:tcPr>
            <w:tcW w:w="794" w:type="dxa"/>
            <w:vAlign w:val="center"/>
          </w:tcPr>
          <w:p w14:paraId="057D5369" w14:textId="77777777" w:rsidR="00501241" w:rsidRPr="00CD6B04" w:rsidRDefault="00501241" w:rsidP="00AF7B68">
            <w:pPr>
              <w:pStyle w:val="BodyCopy"/>
              <w:jc w:val="center"/>
              <w:rPr>
                <w:b/>
                <w:bCs/>
                <w:sz w:val="18"/>
                <w:szCs w:val="20"/>
              </w:rPr>
            </w:pPr>
            <w:r w:rsidRPr="00CD6B04">
              <w:rPr>
                <w:b/>
                <w:bCs/>
                <w:sz w:val="18"/>
                <w:szCs w:val="20"/>
              </w:rPr>
              <w:t>NT</w:t>
            </w:r>
          </w:p>
        </w:tc>
        <w:tc>
          <w:tcPr>
            <w:tcW w:w="794" w:type="dxa"/>
            <w:vAlign w:val="center"/>
          </w:tcPr>
          <w:p w14:paraId="33F598F2" w14:textId="77777777" w:rsidR="00501241" w:rsidRPr="00CD6B04" w:rsidRDefault="00501241" w:rsidP="00AF7B68">
            <w:pPr>
              <w:pStyle w:val="BodyCopy"/>
              <w:jc w:val="center"/>
              <w:rPr>
                <w:b/>
                <w:bCs/>
                <w:sz w:val="18"/>
                <w:szCs w:val="20"/>
              </w:rPr>
            </w:pPr>
            <w:r w:rsidRPr="00CD6B04">
              <w:rPr>
                <w:b/>
                <w:bCs/>
                <w:sz w:val="18"/>
                <w:szCs w:val="20"/>
              </w:rPr>
              <w:t>ACT</w:t>
            </w:r>
          </w:p>
        </w:tc>
        <w:tc>
          <w:tcPr>
            <w:tcW w:w="794" w:type="dxa"/>
            <w:vAlign w:val="center"/>
          </w:tcPr>
          <w:p w14:paraId="6FF93F6C" w14:textId="7EED9500" w:rsidR="00501241" w:rsidRPr="00CD6B04" w:rsidRDefault="00501241" w:rsidP="00AF7B68">
            <w:pPr>
              <w:pStyle w:val="BodyCopy"/>
              <w:jc w:val="center"/>
              <w:rPr>
                <w:b/>
                <w:bCs/>
                <w:sz w:val="18"/>
                <w:szCs w:val="20"/>
              </w:rPr>
            </w:pPr>
            <w:r w:rsidRPr="00CD6B04">
              <w:rPr>
                <w:b/>
                <w:bCs/>
                <w:sz w:val="18"/>
                <w:szCs w:val="20"/>
              </w:rPr>
              <w:t>C</w:t>
            </w:r>
            <w:r w:rsidR="00C24A7E" w:rsidRPr="00CD6B04">
              <w:rPr>
                <w:b/>
                <w:bCs/>
                <w:sz w:val="18"/>
                <w:szCs w:val="20"/>
              </w:rPr>
              <w:t>w</w:t>
            </w:r>
            <w:r w:rsidR="00C81931" w:rsidRPr="00CD6B04">
              <w:rPr>
                <w:b/>
                <w:bCs/>
                <w:sz w:val="18"/>
                <w:szCs w:val="20"/>
              </w:rPr>
              <w:t>l</w:t>
            </w:r>
            <w:r w:rsidR="00C24A7E" w:rsidRPr="00CD6B04">
              <w:rPr>
                <w:b/>
                <w:bCs/>
                <w:sz w:val="18"/>
                <w:szCs w:val="20"/>
              </w:rPr>
              <w:t>th</w:t>
            </w:r>
          </w:p>
        </w:tc>
        <w:tc>
          <w:tcPr>
            <w:tcW w:w="794" w:type="dxa"/>
            <w:vAlign w:val="center"/>
          </w:tcPr>
          <w:p w14:paraId="48030553" w14:textId="77777777" w:rsidR="00501241" w:rsidRPr="00CD6B04" w:rsidRDefault="00501241" w:rsidP="00AF7B68">
            <w:pPr>
              <w:pStyle w:val="BodyCopy"/>
              <w:jc w:val="center"/>
              <w:rPr>
                <w:b/>
                <w:bCs/>
                <w:sz w:val="18"/>
                <w:szCs w:val="20"/>
              </w:rPr>
            </w:pPr>
            <w:r w:rsidRPr="00CD6B04">
              <w:rPr>
                <w:b/>
                <w:bCs/>
                <w:sz w:val="18"/>
                <w:szCs w:val="20"/>
              </w:rPr>
              <w:t>Total</w:t>
            </w:r>
          </w:p>
        </w:tc>
      </w:tr>
      <w:tr w:rsidR="00374A20" w:rsidRPr="00B8142E" w14:paraId="76D79AF5" w14:textId="77777777" w:rsidTr="00BD61D2">
        <w:tc>
          <w:tcPr>
            <w:tcW w:w="0" w:type="dxa"/>
          </w:tcPr>
          <w:p w14:paraId="344853F2" w14:textId="77777777" w:rsidR="00374A20" w:rsidRPr="00AF7B68" w:rsidRDefault="00374A20" w:rsidP="00374A20">
            <w:pPr>
              <w:pStyle w:val="BodyCopy"/>
              <w:rPr>
                <w:sz w:val="18"/>
                <w:szCs w:val="20"/>
              </w:rPr>
            </w:pPr>
            <w:r w:rsidRPr="00AF7B68">
              <w:rPr>
                <w:sz w:val="18"/>
                <w:szCs w:val="20"/>
              </w:rPr>
              <w:t>Year 1</w:t>
            </w:r>
          </w:p>
        </w:tc>
        <w:tc>
          <w:tcPr>
            <w:tcW w:w="0" w:type="dxa"/>
            <w:vAlign w:val="center"/>
          </w:tcPr>
          <w:p w14:paraId="55C9444D" w14:textId="26B5884F" w:rsidR="00374A20" w:rsidRPr="00877541" w:rsidRDefault="002012CF" w:rsidP="00374A20">
            <w:pPr>
              <w:pStyle w:val="BodyCopy"/>
              <w:jc w:val="center"/>
              <w:rPr>
                <w:sz w:val="18"/>
                <w:szCs w:val="18"/>
              </w:rPr>
            </w:pPr>
            <w:r w:rsidRPr="00BD61D2">
              <w:rPr>
                <w:sz w:val="18"/>
                <w:szCs w:val="18"/>
              </w:rPr>
              <w:t>371.8</w:t>
            </w:r>
          </w:p>
        </w:tc>
        <w:tc>
          <w:tcPr>
            <w:tcW w:w="0" w:type="dxa"/>
            <w:vAlign w:val="center"/>
          </w:tcPr>
          <w:p w14:paraId="254E3290" w14:textId="1D3AFA32" w:rsidR="00374A20" w:rsidRPr="00877541" w:rsidRDefault="002012CF" w:rsidP="00374A20">
            <w:pPr>
              <w:pStyle w:val="BodyCopy"/>
              <w:jc w:val="center"/>
              <w:rPr>
                <w:sz w:val="18"/>
                <w:szCs w:val="18"/>
              </w:rPr>
            </w:pPr>
            <w:r w:rsidRPr="00BD61D2">
              <w:rPr>
                <w:sz w:val="18"/>
                <w:szCs w:val="18"/>
              </w:rPr>
              <w:t>413.1</w:t>
            </w:r>
          </w:p>
        </w:tc>
        <w:tc>
          <w:tcPr>
            <w:tcW w:w="0" w:type="dxa"/>
            <w:vAlign w:val="center"/>
          </w:tcPr>
          <w:p w14:paraId="43F68A11" w14:textId="7A9D0C2E" w:rsidR="00374A20" w:rsidRPr="00877541" w:rsidRDefault="002012CF" w:rsidP="00374A20">
            <w:pPr>
              <w:pStyle w:val="BodyCopy"/>
              <w:jc w:val="center"/>
              <w:rPr>
                <w:sz w:val="18"/>
                <w:szCs w:val="18"/>
              </w:rPr>
            </w:pPr>
            <w:r w:rsidRPr="00BD61D2">
              <w:rPr>
                <w:sz w:val="18"/>
                <w:szCs w:val="18"/>
              </w:rPr>
              <w:t>372.3</w:t>
            </w:r>
          </w:p>
        </w:tc>
        <w:tc>
          <w:tcPr>
            <w:tcW w:w="0" w:type="dxa"/>
            <w:vAlign w:val="center"/>
          </w:tcPr>
          <w:p w14:paraId="641B7A27" w14:textId="75E92D81" w:rsidR="00374A20" w:rsidRPr="00877541" w:rsidRDefault="002012CF" w:rsidP="00374A20">
            <w:pPr>
              <w:pStyle w:val="BodyCopy"/>
              <w:jc w:val="center"/>
              <w:rPr>
                <w:sz w:val="18"/>
                <w:szCs w:val="18"/>
              </w:rPr>
            </w:pPr>
            <w:r w:rsidRPr="00BD61D2">
              <w:rPr>
                <w:sz w:val="18"/>
                <w:szCs w:val="18"/>
              </w:rPr>
              <w:t>124.9</w:t>
            </w:r>
          </w:p>
        </w:tc>
        <w:tc>
          <w:tcPr>
            <w:tcW w:w="0" w:type="dxa"/>
            <w:vAlign w:val="center"/>
          </w:tcPr>
          <w:p w14:paraId="0D2A0B0E" w14:textId="0D83A42E" w:rsidR="00374A20" w:rsidRPr="00877541" w:rsidRDefault="002012CF" w:rsidP="00374A20">
            <w:pPr>
              <w:pStyle w:val="BodyCopy"/>
              <w:jc w:val="center"/>
              <w:rPr>
                <w:sz w:val="18"/>
                <w:szCs w:val="18"/>
              </w:rPr>
            </w:pPr>
            <w:r w:rsidRPr="00BD61D2">
              <w:rPr>
                <w:sz w:val="18"/>
                <w:szCs w:val="18"/>
              </w:rPr>
              <w:t>257.1</w:t>
            </w:r>
          </w:p>
        </w:tc>
        <w:tc>
          <w:tcPr>
            <w:tcW w:w="0" w:type="dxa"/>
            <w:vAlign w:val="center"/>
          </w:tcPr>
          <w:p w14:paraId="20F6C63E" w14:textId="0E3E24FF" w:rsidR="00374A20" w:rsidRPr="00877541" w:rsidRDefault="002012CF" w:rsidP="00374A20">
            <w:pPr>
              <w:pStyle w:val="BodyCopy"/>
              <w:jc w:val="center"/>
              <w:rPr>
                <w:sz w:val="18"/>
                <w:szCs w:val="18"/>
              </w:rPr>
            </w:pPr>
            <w:r w:rsidRPr="00BD61D2">
              <w:rPr>
                <w:sz w:val="18"/>
                <w:szCs w:val="18"/>
              </w:rPr>
              <w:t>31.2</w:t>
            </w:r>
          </w:p>
        </w:tc>
        <w:tc>
          <w:tcPr>
            <w:tcW w:w="0" w:type="dxa"/>
            <w:vAlign w:val="center"/>
          </w:tcPr>
          <w:p w14:paraId="36200E2B" w14:textId="011E0B87" w:rsidR="00374A20" w:rsidRPr="00877541" w:rsidRDefault="002012CF" w:rsidP="00096063">
            <w:pPr>
              <w:pStyle w:val="BodyCopy"/>
              <w:jc w:val="center"/>
              <w:rPr>
                <w:sz w:val="18"/>
                <w:szCs w:val="18"/>
              </w:rPr>
            </w:pPr>
            <w:r w:rsidRPr="00BD61D2">
              <w:rPr>
                <w:sz w:val="18"/>
                <w:szCs w:val="18"/>
              </w:rPr>
              <w:t>20.9</w:t>
            </w:r>
          </w:p>
        </w:tc>
        <w:tc>
          <w:tcPr>
            <w:tcW w:w="0" w:type="dxa"/>
            <w:vAlign w:val="center"/>
          </w:tcPr>
          <w:p w14:paraId="06CC52B4" w14:textId="78ACF90E" w:rsidR="00374A20" w:rsidRPr="00877541" w:rsidRDefault="002012CF" w:rsidP="00142F71">
            <w:pPr>
              <w:pStyle w:val="BodyCopy"/>
              <w:jc w:val="center"/>
              <w:rPr>
                <w:sz w:val="18"/>
                <w:szCs w:val="18"/>
              </w:rPr>
            </w:pPr>
            <w:r w:rsidRPr="00BD61D2">
              <w:rPr>
                <w:sz w:val="18"/>
                <w:szCs w:val="18"/>
              </w:rPr>
              <w:t>3.9</w:t>
            </w:r>
          </w:p>
        </w:tc>
        <w:tc>
          <w:tcPr>
            <w:tcW w:w="0" w:type="dxa"/>
            <w:vAlign w:val="center"/>
          </w:tcPr>
          <w:p w14:paraId="678D7704" w14:textId="1EDB8513" w:rsidR="00374A20" w:rsidRPr="00842616" w:rsidRDefault="002012CF" w:rsidP="00A32548">
            <w:pPr>
              <w:pStyle w:val="BodyCopy"/>
              <w:jc w:val="center"/>
              <w:rPr>
                <w:sz w:val="18"/>
                <w:szCs w:val="18"/>
              </w:rPr>
            </w:pPr>
            <w:r w:rsidRPr="00BD61D2">
              <w:rPr>
                <w:sz w:val="18"/>
                <w:szCs w:val="18"/>
              </w:rPr>
              <w:t>1,939.7</w:t>
            </w:r>
          </w:p>
        </w:tc>
        <w:tc>
          <w:tcPr>
            <w:tcW w:w="0" w:type="dxa"/>
            <w:vAlign w:val="center"/>
          </w:tcPr>
          <w:p w14:paraId="391BB410" w14:textId="668CFA00" w:rsidR="00374A20" w:rsidRPr="00842616" w:rsidRDefault="002012CF" w:rsidP="00A32548">
            <w:pPr>
              <w:pStyle w:val="BodyCopy"/>
              <w:jc w:val="center"/>
              <w:rPr>
                <w:sz w:val="18"/>
                <w:szCs w:val="18"/>
              </w:rPr>
            </w:pPr>
            <w:r w:rsidRPr="00BD61D2">
              <w:rPr>
                <w:sz w:val="18"/>
                <w:szCs w:val="18"/>
              </w:rPr>
              <w:t>3,534.9</w:t>
            </w:r>
          </w:p>
        </w:tc>
      </w:tr>
      <w:tr w:rsidR="00374A20" w:rsidRPr="00B8142E" w14:paraId="11304A06" w14:textId="77777777" w:rsidTr="00BD61D2">
        <w:tc>
          <w:tcPr>
            <w:tcW w:w="0" w:type="dxa"/>
          </w:tcPr>
          <w:p w14:paraId="48609E57" w14:textId="77777777" w:rsidR="00374A20" w:rsidRPr="00AF7B68" w:rsidRDefault="00374A20" w:rsidP="00374A20">
            <w:pPr>
              <w:pStyle w:val="BodyCopy"/>
              <w:rPr>
                <w:sz w:val="18"/>
                <w:szCs w:val="20"/>
              </w:rPr>
            </w:pPr>
            <w:r w:rsidRPr="00AF7B68">
              <w:rPr>
                <w:sz w:val="18"/>
                <w:szCs w:val="20"/>
              </w:rPr>
              <w:t>Year 2</w:t>
            </w:r>
          </w:p>
        </w:tc>
        <w:tc>
          <w:tcPr>
            <w:tcW w:w="0" w:type="dxa"/>
            <w:vAlign w:val="center"/>
          </w:tcPr>
          <w:p w14:paraId="3DA75AD4" w14:textId="495FB282" w:rsidR="00374A20" w:rsidRPr="00D344A7" w:rsidRDefault="002012CF" w:rsidP="00374A20">
            <w:pPr>
              <w:pStyle w:val="BodyCopy"/>
              <w:jc w:val="center"/>
              <w:rPr>
                <w:sz w:val="18"/>
                <w:szCs w:val="18"/>
              </w:rPr>
            </w:pPr>
            <w:r w:rsidRPr="00BD61D2">
              <w:rPr>
                <w:sz w:val="18"/>
                <w:szCs w:val="18"/>
              </w:rPr>
              <w:t>383.1</w:t>
            </w:r>
          </w:p>
        </w:tc>
        <w:tc>
          <w:tcPr>
            <w:tcW w:w="0" w:type="dxa"/>
            <w:vAlign w:val="center"/>
          </w:tcPr>
          <w:p w14:paraId="58544E15" w14:textId="774FFD44" w:rsidR="00374A20" w:rsidRPr="00D344A7" w:rsidRDefault="002012CF" w:rsidP="00374A20">
            <w:pPr>
              <w:pStyle w:val="BodyCopy"/>
              <w:jc w:val="center"/>
              <w:rPr>
                <w:sz w:val="18"/>
                <w:szCs w:val="18"/>
              </w:rPr>
            </w:pPr>
            <w:r w:rsidRPr="00BD61D2">
              <w:rPr>
                <w:sz w:val="18"/>
                <w:szCs w:val="18"/>
              </w:rPr>
              <w:t>425.5</w:t>
            </w:r>
          </w:p>
        </w:tc>
        <w:tc>
          <w:tcPr>
            <w:tcW w:w="0" w:type="dxa"/>
            <w:vAlign w:val="center"/>
          </w:tcPr>
          <w:p w14:paraId="35445804" w14:textId="52B403F3" w:rsidR="00374A20" w:rsidRPr="00D344A7" w:rsidRDefault="002012CF" w:rsidP="00374A20">
            <w:pPr>
              <w:pStyle w:val="BodyCopy"/>
              <w:jc w:val="center"/>
              <w:rPr>
                <w:sz w:val="18"/>
                <w:szCs w:val="18"/>
              </w:rPr>
            </w:pPr>
            <w:r w:rsidRPr="00BD61D2">
              <w:rPr>
                <w:sz w:val="18"/>
                <w:szCs w:val="18"/>
              </w:rPr>
              <w:t>383.4</w:t>
            </w:r>
          </w:p>
        </w:tc>
        <w:tc>
          <w:tcPr>
            <w:tcW w:w="0" w:type="dxa"/>
            <w:vAlign w:val="center"/>
          </w:tcPr>
          <w:p w14:paraId="19F169DF" w14:textId="5F0870FE" w:rsidR="00374A20" w:rsidRPr="00D344A7" w:rsidRDefault="002012CF" w:rsidP="00374A20">
            <w:pPr>
              <w:pStyle w:val="BodyCopy"/>
              <w:jc w:val="center"/>
              <w:rPr>
                <w:sz w:val="18"/>
                <w:szCs w:val="18"/>
              </w:rPr>
            </w:pPr>
            <w:r w:rsidRPr="00BD61D2">
              <w:rPr>
                <w:sz w:val="18"/>
                <w:szCs w:val="18"/>
              </w:rPr>
              <w:t>128.6</w:t>
            </w:r>
          </w:p>
        </w:tc>
        <w:tc>
          <w:tcPr>
            <w:tcW w:w="0" w:type="dxa"/>
            <w:vAlign w:val="center"/>
          </w:tcPr>
          <w:p w14:paraId="5D775060" w14:textId="61E3B9CE" w:rsidR="00374A20" w:rsidRPr="00D344A7" w:rsidRDefault="002012CF" w:rsidP="00374A20">
            <w:pPr>
              <w:pStyle w:val="BodyCopy"/>
              <w:jc w:val="center"/>
              <w:rPr>
                <w:sz w:val="18"/>
                <w:szCs w:val="18"/>
              </w:rPr>
            </w:pPr>
            <w:r w:rsidRPr="00BD61D2">
              <w:rPr>
                <w:sz w:val="18"/>
                <w:szCs w:val="18"/>
              </w:rPr>
              <w:t>264.8</w:t>
            </w:r>
          </w:p>
        </w:tc>
        <w:tc>
          <w:tcPr>
            <w:tcW w:w="0" w:type="dxa"/>
            <w:vAlign w:val="center"/>
          </w:tcPr>
          <w:p w14:paraId="45534DD7" w14:textId="785C0580" w:rsidR="00374A20" w:rsidRPr="00D344A7" w:rsidRDefault="002012CF" w:rsidP="00374A20">
            <w:pPr>
              <w:pStyle w:val="BodyCopy"/>
              <w:jc w:val="center"/>
              <w:rPr>
                <w:sz w:val="18"/>
                <w:szCs w:val="18"/>
              </w:rPr>
            </w:pPr>
            <w:r w:rsidRPr="00BD61D2">
              <w:rPr>
                <w:sz w:val="18"/>
                <w:szCs w:val="18"/>
              </w:rPr>
              <w:t>32.2</w:t>
            </w:r>
          </w:p>
        </w:tc>
        <w:tc>
          <w:tcPr>
            <w:tcW w:w="0" w:type="dxa"/>
            <w:vAlign w:val="center"/>
          </w:tcPr>
          <w:p w14:paraId="27DDF837" w14:textId="7D4BEE64" w:rsidR="00374A20" w:rsidRPr="00D344A7" w:rsidRDefault="002012CF" w:rsidP="00096063">
            <w:pPr>
              <w:pStyle w:val="BodyCopy"/>
              <w:jc w:val="center"/>
              <w:rPr>
                <w:sz w:val="18"/>
                <w:szCs w:val="18"/>
              </w:rPr>
            </w:pPr>
            <w:r w:rsidRPr="00BD61D2">
              <w:rPr>
                <w:sz w:val="18"/>
                <w:szCs w:val="18"/>
              </w:rPr>
              <w:t>21.5</w:t>
            </w:r>
          </w:p>
        </w:tc>
        <w:tc>
          <w:tcPr>
            <w:tcW w:w="0" w:type="dxa"/>
            <w:vAlign w:val="center"/>
          </w:tcPr>
          <w:p w14:paraId="098817EC" w14:textId="65056BEF" w:rsidR="00374A20" w:rsidRPr="00D344A7" w:rsidRDefault="002012CF" w:rsidP="00142F71">
            <w:pPr>
              <w:pStyle w:val="BodyCopy"/>
              <w:jc w:val="center"/>
              <w:rPr>
                <w:sz w:val="18"/>
                <w:szCs w:val="18"/>
              </w:rPr>
            </w:pPr>
            <w:r w:rsidRPr="00BD61D2">
              <w:rPr>
                <w:sz w:val="18"/>
                <w:szCs w:val="18"/>
              </w:rPr>
              <w:t>4.0</w:t>
            </w:r>
          </w:p>
        </w:tc>
        <w:tc>
          <w:tcPr>
            <w:tcW w:w="0" w:type="dxa"/>
            <w:vAlign w:val="center"/>
          </w:tcPr>
          <w:p w14:paraId="450A6637" w14:textId="1C0AA889" w:rsidR="00374A20" w:rsidRPr="00842616" w:rsidRDefault="002012CF" w:rsidP="00A32548">
            <w:pPr>
              <w:pStyle w:val="BodyCopy"/>
              <w:jc w:val="center"/>
              <w:rPr>
                <w:sz w:val="18"/>
                <w:szCs w:val="18"/>
              </w:rPr>
            </w:pPr>
            <w:r w:rsidRPr="00BD61D2">
              <w:rPr>
                <w:sz w:val="18"/>
                <w:szCs w:val="18"/>
              </w:rPr>
              <w:t>1,997.9</w:t>
            </w:r>
          </w:p>
        </w:tc>
        <w:tc>
          <w:tcPr>
            <w:tcW w:w="0" w:type="dxa"/>
            <w:vAlign w:val="center"/>
          </w:tcPr>
          <w:p w14:paraId="3B002FA3" w14:textId="5FF05B25" w:rsidR="00374A20" w:rsidRPr="00842616" w:rsidRDefault="002012CF" w:rsidP="00A32548">
            <w:pPr>
              <w:pStyle w:val="BodyCopy"/>
              <w:jc w:val="center"/>
              <w:rPr>
                <w:sz w:val="18"/>
                <w:szCs w:val="18"/>
              </w:rPr>
            </w:pPr>
            <w:r w:rsidRPr="00BD61D2">
              <w:rPr>
                <w:sz w:val="18"/>
                <w:szCs w:val="18"/>
              </w:rPr>
              <w:t>3,640.9</w:t>
            </w:r>
          </w:p>
        </w:tc>
      </w:tr>
      <w:tr w:rsidR="00374A20" w:rsidRPr="00B8142E" w14:paraId="37FC41FD" w14:textId="77777777" w:rsidTr="00BD61D2">
        <w:tc>
          <w:tcPr>
            <w:tcW w:w="0" w:type="dxa"/>
          </w:tcPr>
          <w:p w14:paraId="04947870" w14:textId="77777777" w:rsidR="00374A20" w:rsidRPr="00AF7B68" w:rsidRDefault="00374A20" w:rsidP="00374A20">
            <w:pPr>
              <w:pStyle w:val="BodyCopy"/>
              <w:rPr>
                <w:sz w:val="18"/>
                <w:szCs w:val="20"/>
              </w:rPr>
            </w:pPr>
            <w:r w:rsidRPr="00AF7B68">
              <w:rPr>
                <w:sz w:val="18"/>
                <w:szCs w:val="20"/>
              </w:rPr>
              <w:t>Year 3</w:t>
            </w:r>
          </w:p>
        </w:tc>
        <w:tc>
          <w:tcPr>
            <w:tcW w:w="0" w:type="dxa"/>
            <w:vAlign w:val="center"/>
          </w:tcPr>
          <w:p w14:paraId="4EDD1343" w14:textId="22E5904E" w:rsidR="00374A20" w:rsidRPr="00D344A7" w:rsidRDefault="002012CF" w:rsidP="00374A20">
            <w:pPr>
              <w:pStyle w:val="BodyCopy"/>
              <w:jc w:val="center"/>
              <w:rPr>
                <w:sz w:val="18"/>
                <w:szCs w:val="18"/>
              </w:rPr>
            </w:pPr>
            <w:r w:rsidRPr="00BD61D2">
              <w:rPr>
                <w:sz w:val="18"/>
                <w:szCs w:val="18"/>
              </w:rPr>
              <w:t>396.6</w:t>
            </w:r>
          </w:p>
        </w:tc>
        <w:tc>
          <w:tcPr>
            <w:tcW w:w="0" w:type="dxa"/>
            <w:vAlign w:val="center"/>
          </w:tcPr>
          <w:p w14:paraId="1238E27C" w14:textId="5BDDCF75" w:rsidR="00374A20" w:rsidRPr="00D344A7" w:rsidRDefault="002012CF" w:rsidP="00374A20">
            <w:pPr>
              <w:pStyle w:val="BodyCopy"/>
              <w:jc w:val="center"/>
              <w:rPr>
                <w:sz w:val="18"/>
                <w:szCs w:val="18"/>
              </w:rPr>
            </w:pPr>
            <w:r w:rsidRPr="00BD61D2">
              <w:rPr>
                <w:sz w:val="18"/>
                <w:szCs w:val="18"/>
              </w:rPr>
              <w:t>440.3</w:t>
            </w:r>
          </w:p>
        </w:tc>
        <w:tc>
          <w:tcPr>
            <w:tcW w:w="0" w:type="dxa"/>
            <w:vAlign w:val="center"/>
          </w:tcPr>
          <w:p w14:paraId="2B556D2A" w14:textId="676CB483" w:rsidR="00374A20" w:rsidRPr="00D344A7" w:rsidRDefault="002012CF" w:rsidP="00374A20">
            <w:pPr>
              <w:pStyle w:val="BodyCopy"/>
              <w:jc w:val="center"/>
              <w:rPr>
                <w:sz w:val="18"/>
                <w:szCs w:val="18"/>
              </w:rPr>
            </w:pPr>
            <w:r w:rsidRPr="00BD61D2">
              <w:rPr>
                <w:sz w:val="18"/>
                <w:szCs w:val="18"/>
              </w:rPr>
              <w:t>396.7</w:t>
            </w:r>
          </w:p>
        </w:tc>
        <w:tc>
          <w:tcPr>
            <w:tcW w:w="0" w:type="dxa"/>
            <w:vAlign w:val="center"/>
          </w:tcPr>
          <w:p w14:paraId="0749ADFE" w14:textId="5055ECD7" w:rsidR="00374A20" w:rsidRPr="00D344A7" w:rsidRDefault="002012CF" w:rsidP="00374A20">
            <w:pPr>
              <w:pStyle w:val="BodyCopy"/>
              <w:jc w:val="center"/>
              <w:rPr>
                <w:sz w:val="18"/>
                <w:szCs w:val="18"/>
              </w:rPr>
            </w:pPr>
            <w:r w:rsidRPr="00BD61D2">
              <w:rPr>
                <w:sz w:val="18"/>
                <w:szCs w:val="18"/>
              </w:rPr>
              <w:t>133.1</w:t>
            </w:r>
          </w:p>
        </w:tc>
        <w:tc>
          <w:tcPr>
            <w:tcW w:w="0" w:type="dxa"/>
            <w:vAlign w:val="center"/>
          </w:tcPr>
          <w:p w14:paraId="30A4928F" w14:textId="0B6BD97D" w:rsidR="00374A20" w:rsidRPr="00D344A7" w:rsidRDefault="002012CF" w:rsidP="00374A20">
            <w:pPr>
              <w:pStyle w:val="BodyCopy"/>
              <w:jc w:val="center"/>
              <w:rPr>
                <w:sz w:val="18"/>
                <w:szCs w:val="18"/>
              </w:rPr>
            </w:pPr>
            <w:r w:rsidRPr="00BD61D2">
              <w:rPr>
                <w:sz w:val="18"/>
                <w:szCs w:val="18"/>
              </w:rPr>
              <w:t>274.1</w:t>
            </w:r>
          </w:p>
        </w:tc>
        <w:tc>
          <w:tcPr>
            <w:tcW w:w="0" w:type="dxa"/>
            <w:vAlign w:val="center"/>
          </w:tcPr>
          <w:p w14:paraId="34975503" w14:textId="43833AAB" w:rsidR="00374A20" w:rsidRPr="00D344A7" w:rsidRDefault="002012CF" w:rsidP="00374A20">
            <w:pPr>
              <w:pStyle w:val="BodyCopy"/>
              <w:jc w:val="center"/>
              <w:rPr>
                <w:sz w:val="18"/>
                <w:szCs w:val="18"/>
              </w:rPr>
            </w:pPr>
            <w:r w:rsidRPr="00BD61D2">
              <w:rPr>
                <w:sz w:val="18"/>
                <w:szCs w:val="18"/>
              </w:rPr>
              <w:t>33.3</w:t>
            </w:r>
          </w:p>
        </w:tc>
        <w:tc>
          <w:tcPr>
            <w:tcW w:w="0" w:type="dxa"/>
            <w:vAlign w:val="center"/>
          </w:tcPr>
          <w:p w14:paraId="2CA51E7F" w14:textId="1C6E9D0C" w:rsidR="00374A20" w:rsidRPr="00D344A7" w:rsidRDefault="002012CF" w:rsidP="00096063">
            <w:pPr>
              <w:pStyle w:val="BodyCopy"/>
              <w:jc w:val="center"/>
              <w:rPr>
                <w:sz w:val="18"/>
                <w:szCs w:val="18"/>
              </w:rPr>
            </w:pPr>
            <w:r w:rsidRPr="00BD61D2">
              <w:rPr>
                <w:sz w:val="18"/>
                <w:szCs w:val="18"/>
              </w:rPr>
              <w:t>22.2</w:t>
            </w:r>
          </w:p>
        </w:tc>
        <w:tc>
          <w:tcPr>
            <w:tcW w:w="0" w:type="dxa"/>
            <w:vAlign w:val="center"/>
          </w:tcPr>
          <w:p w14:paraId="558FAFC6" w14:textId="5A8B908D" w:rsidR="00374A20" w:rsidRPr="00D344A7" w:rsidRDefault="002012CF" w:rsidP="00142F71">
            <w:pPr>
              <w:pStyle w:val="BodyCopy"/>
              <w:jc w:val="center"/>
              <w:rPr>
                <w:sz w:val="18"/>
                <w:szCs w:val="18"/>
              </w:rPr>
            </w:pPr>
            <w:r w:rsidRPr="00BD61D2">
              <w:rPr>
                <w:sz w:val="18"/>
                <w:szCs w:val="18"/>
              </w:rPr>
              <w:t>4.2</w:t>
            </w:r>
          </w:p>
        </w:tc>
        <w:tc>
          <w:tcPr>
            <w:tcW w:w="0" w:type="dxa"/>
            <w:vAlign w:val="center"/>
          </w:tcPr>
          <w:p w14:paraId="04571D45" w14:textId="37355E18" w:rsidR="00374A20" w:rsidRPr="00842616" w:rsidRDefault="002012CF" w:rsidP="00A32548">
            <w:pPr>
              <w:pStyle w:val="BodyCopy"/>
              <w:jc w:val="center"/>
              <w:rPr>
                <w:sz w:val="18"/>
                <w:szCs w:val="18"/>
              </w:rPr>
            </w:pPr>
            <w:r w:rsidRPr="00BD61D2">
              <w:rPr>
                <w:sz w:val="18"/>
                <w:szCs w:val="18"/>
              </w:rPr>
              <w:t>2,067.8</w:t>
            </w:r>
          </w:p>
        </w:tc>
        <w:tc>
          <w:tcPr>
            <w:tcW w:w="0" w:type="dxa"/>
            <w:vAlign w:val="center"/>
          </w:tcPr>
          <w:p w14:paraId="1D0A877B" w14:textId="156795A3" w:rsidR="00374A20" w:rsidRPr="00842616" w:rsidRDefault="002012CF" w:rsidP="00A32548">
            <w:pPr>
              <w:pStyle w:val="BodyCopy"/>
              <w:jc w:val="center"/>
              <w:rPr>
                <w:sz w:val="18"/>
                <w:szCs w:val="18"/>
              </w:rPr>
            </w:pPr>
            <w:r w:rsidRPr="00BD61D2">
              <w:rPr>
                <w:sz w:val="18"/>
                <w:szCs w:val="18"/>
              </w:rPr>
              <w:t>3,768.4</w:t>
            </w:r>
          </w:p>
        </w:tc>
      </w:tr>
      <w:tr w:rsidR="00374A20" w:rsidRPr="00B8142E" w14:paraId="37E2AE4F" w14:textId="77777777" w:rsidTr="00BD61D2">
        <w:tc>
          <w:tcPr>
            <w:tcW w:w="0" w:type="dxa"/>
          </w:tcPr>
          <w:p w14:paraId="637C6B9D" w14:textId="77777777" w:rsidR="00374A20" w:rsidRPr="00AF7B68" w:rsidRDefault="00374A20" w:rsidP="00374A20">
            <w:pPr>
              <w:pStyle w:val="BodyCopy"/>
              <w:rPr>
                <w:sz w:val="18"/>
                <w:szCs w:val="20"/>
              </w:rPr>
            </w:pPr>
            <w:r w:rsidRPr="00AF7B68">
              <w:rPr>
                <w:sz w:val="18"/>
                <w:szCs w:val="20"/>
              </w:rPr>
              <w:t>Total over pricing period</w:t>
            </w:r>
          </w:p>
        </w:tc>
        <w:tc>
          <w:tcPr>
            <w:tcW w:w="0" w:type="dxa"/>
            <w:vAlign w:val="center"/>
          </w:tcPr>
          <w:p w14:paraId="373944AC" w14:textId="41E45CAA" w:rsidR="00374A20" w:rsidRPr="00D344A7" w:rsidRDefault="002012CF" w:rsidP="00374A20">
            <w:pPr>
              <w:pStyle w:val="BodyCopy"/>
              <w:jc w:val="center"/>
              <w:rPr>
                <w:sz w:val="18"/>
                <w:szCs w:val="18"/>
              </w:rPr>
            </w:pPr>
            <w:r w:rsidRPr="00BD61D2">
              <w:rPr>
                <w:sz w:val="18"/>
                <w:szCs w:val="18"/>
              </w:rPr>
              <w:t>1,151.5</w:t>
            </w:r>
          </w:p>
        </w:tc>
        <w:tc>
          <w:tcPr>
            <w:tcW w:w="0" w:type="dxa"/>
            <w:vAlign w:val="center"/>
          </w:tcPr>
          <w:p w14:paraId="2B0C3DC6" w14:textId="70C3C66A" w:rsidR="00374A20" w:rsidRPr="00D344A7" w:rsidRDefault="002012CF" w:rsidP="00374A20">
            <w:pPr>
              <w:pStyle w:val="BodyCopy"/>
              <w:jc w:val="center"/>
              <w:rPr>
                <w:sz w:val="18"/>
                <w:szCs w:val="18"/>
              </w:rPr>
            </w:pPr>
            <w:r w:rsidRPr="00BD61D2">
              <w:rPr>
                <w:sz w:val="18"/>
                <w:szCs w:val="18"/>
              </w:rPr>
              <w:t>1,278.9</w:t>
            </w:r>
          </w:p>
        </w:tc>
        <w:tc>
          <w:tcPr>
            <w:tcW w:w="0" w:type="dxa"/>
            <w:vAlign w:val="center"/>
          </w:tcPr>
          <w:p w14:paraId="0FAA8CC1" w14:textId="219FB67D" w:rsidR="00374A20" w:rsidRPr="00D344A7" w:rsidRDefault="002012CF" w:rsidP="00374A20">
            <w:pPr>
              <w:pStyle w:val="BodyCopy"/>
              <w:jc w:val="center"/>
              <w:rPr>
                <w:sz w:val="18"/>
                <w:szCs w:val="18"/>
              </w:rPr>
            </w:pPr>
            <w:r w:rsidRPr="00BD61D2">
              <w:rPr>
                <w:sz w:val="18"/>
                <w:szCs w:val="18"/>
              </w:rPr>
              <w:t>1,152.4</w:t>
            </w:r>
          </w:p>
        </w:tc>
        <w:tc>
          <w:tcPr>
            <w:tcW w:w="0" w:type="dxa"/>
            <w:vAlign w:val="center"/>
          </w:tcPr>
          <w:p w14:paraId="1CE687F4" w14:textId="07289522" w:rsidR="00374A20" w:rsidRPr="00D344A7" w:rsidRDefault="002012CF" w:rsidP="00374A20">
            <w:pPr>
              <w:pStyle w:val="BodyCopy"/>
              <w:jc w:val="center"/>
              <w:rPr>
                <w:sz w:val="18"/>
                <w:szCs w:val="18"/>
              </w:rPr>
            </w:pPr>
            <w:r w:rsidRPr="00BD61D2">
              <w:rPr>
                <w:sz w:val="18"/>
                <w:szCs w:val="18"/>
              </w:rPr>
              <w:t>386.6</w:t>
            </w:r>
          </w:p>
        </w:tc>
        <w:tc>
          <w:tcPr>
            <w:tcW w:w="0" w:type="dxa"/>
            <w:vAlign w:val="center"/>
          </w:tcPr>
          <w:p w14:paraId="52FA6C30" w14:textId="3AEDE3E9" w:rsidR="00374A20" w:rsidRPr="00D344A7" w:rsidRDefault="002012CF" w:rsidP="00374A20">
            <w:pPr>
              <w:pStyle w:val="BodyCopy"/>
              <w:jc w:val="center"/>
              <w:rPr>
                <w:sz w:val="18"/>
                <w:szCs w:val="18"/>
              </w:rPr>
            </w:pPr>
            <w:r w:rsidRPr="00BD61D2">
              <w:rPr>
                <w:sz w:val="18"/>
                <w:szCs w:val="18"/>
              </w:rPr>
              <w:t>796.0</w:t>
            </w:r>
          </w:p>
        </w:tc>
        <w:tc>
          <w:tcPr>
            <w:tcW w:w="0" w:type="dxa"/>
            <w:vAlign w:val="center"/>
          </w:tcPr>
          <w:p w14:paraId="6C155164" w14:textId="534D4214" w:rsidR="00374A20" w:rsidRPr="00D344A7" w:rsidRDefault="002012CF" w:rsidP="00374A20">
            <w:pPr>
              <w:pStyle w:val="BodyCopy"/>
              <w:jc w:val="center"/>
              <w:rPr>
                <w:sz w:val="18"/>
                <w:szCs w:val="18"/>
              </w:rPr>
            </w:pPr>
            <w:r w:rsidRPr="00BD61D2">
              <w:rPr>
                <w:sz w:val="18"/>
                <w:szCs w:val="18"/>
              </w:rPr>
              <w:t>96.8</w:t>
            </w:r>
          </w:p>
        </w:tc>
        <w:tc>
          <w:tcPr>
            <w:tcW w:w="0" w:type="dxa"/>
            <w:vAlign w:val="center"/>
          </w:tcPr>
          <w:p w14:paraId="08E04F02" w14:textId="55ECCA56" w:rsidR="00374A20" w:rsidRPr="00D344A7" w:rsidRDefault="002012CF" w:rsidP="00096063">
            <w:pPr>
              <w:pStyle w:val="BodyCopy"/>
              <w:jc w:val="center"/>
              <w:rPr>
                <w:sz w:val="18"/>
                <w:szCs w:val="18"/>
              </w:rPr>
            </w:pPr>
            <w:r w:rsidRPr="00BD61D2">
              <w:rPr>
                <w:sz w:val="18"/>
                <w:szCs w:val="18"/>
              </w:rPr>
              <w:t>64.6</w:t>
            </w:r>
          </w:p>
        </w:tc>
        <w:tc>
          <w:tcPr>
            <w:tcW w:w="0" w:type="dxa"/>
            <w:vAlign w:val="center"/>
          </w:tcPr>
          <w:p w14:paraId="2043C5F0" w14:textId="781B339C" w:rsidR="00374A20" w:rsidRPr="00D344A7" w:rsidRDefault="002012CF" w:rsidP="00142F71">
            <w:pPr>
              <w:pStyle w:val="BodyCopy"/>
              <w:jc w:val="center"/>
              <w:rPr>
                <w:sz w:val="18"/>
                <w:szCs w:val="18"/>
              </w:rPr>
            </w:pPr>
            <w:r w:rsidRPr="00BD61D2">
              <w:rPr>
                <w:sz w:val="18"/>
                <w:szCs w:val="18"/>
              </w:rPr>
              <w:t>12.1</w:t>
            </w:r>
          </w:p>
        </w:tc>
        <w:tc>
          <w:tcPr>
            <w:tcW w:w="0" w:type="dxa"/>
            <w:vAlign w:val="center"/>
          </w:tcPr>
          <w:p w14:paraId="630D433B" w14:textId="4697D6DE" w:rsidR="00374A20" w:rsidRPr="00842616" w:rsidRDefault="002012CF" w:rsidP="00A32548">
            <w:pPr>
              <w:pStyle w:val="BodyCopy"/>
              <w:jc w:val="center"/>
              <w:rPr>
                <w:sz w:val="18"/>
                <w:szCs w:val="18"/>
              </w:rPr>
            </w:pPr>
            <w:r w:rsidRPr="00BD61D2">
              <w:rPr>
                <w:sz w:val="18"/>
                <w:szCs w:val="18"/>
              </w:rPr>
              <w:t>6,005.4</w:t>
            </w:r>
          </w:p>
        </w:tc>
        <w:tc>
          <w:tcPr>
            <w:tcW w:w="0" w:type="dxa"/>
            <w:vAlign w:val="center"/>
          </w:tcPr>
          <w:p w14:paraId="0ED90D5F" w14:textId="4A1ACB67" w:rsidR="00374A20" w:rsidRPr="00842616" w:rsidRDefault="002012CF" w:rsidP="00A32548">
            <w:pPr>
              <w:pStyle w:val="BodyCopy"/>
              <w:jc w:val="center"/>
              <w:rPr>
                <w:sz w:val="18"/>
                <w:szCs w:val="18"/>
              </w:rPr>
            </w:pPr>
            <w:r w:rsidRPr="00BD61D2">
              <w:rPr>
                <w:sz w:val="18"/>
                <w:szCs w:val="18"/>
              </w:rPr>
              <w:t>10,944.2</w:t>
            </w:r>
          </w:p>
        </w:tc>
      </w:tr>
    </w:tbl>
    <w:p w14:paraId="09BA27E2" w14:textId="77777777" w:rsidR="00C6377D" w:rsidRDefault="00C6377D" w:rsidP="00051754">
      <w:pPr>
        <w:pStyle w:val="BodyCopy"/>
      </w:pPr>
    </w:p>
    <w:p w14:paraId="42FF17E5" w14:textId="46505858" w:rsidR="00423054" w:rsidRDefault="00423054" w:rsidP="00423054">
      <w:pPr>
        <w:pStyle w:val="Tabletitle"/>
      </w:pPr>
      <w:bookmarkStart w:id="491" w:name="_Toc59436403"/>
      <w:bookmarkStart w:id="492" w:name="_Ref63755526"/>
      <w:bookmarkStart w:id="493" w:name="_Toc86158563"/>
      <w:r>
        <w:lastRenderedPageBreak/>
        <w:t xml:space="preserve">Estimated revenue from </w:t>
      </w:r>
      <w:r w:rsidR="00EC7E1C">
        <w:t xml:space="preserve">the </w:t>
      </w:r>
      <w:r>
        <w:t>roads component of registration charges and RUC –</w:t>
      </w:r>
      <w:r w:rsidR="008A449E">
        <w:t xml:space="preserve"> three-year fixed price path</w:t>
      </w:r>
      <w:r w:rsidR="00D604EC">
        <w:t>way</w:t>
      </w:r>
      <w:r>
        <w:t xml:space="preserve"> </w:t>
      </w:r>
      <w:r w:rsidR="00A94D53">
        <w:t>2</w:t>
      </w:r>
      <w:r>
        <w:t xml:space="preserve">: </w:t>
      </w:r>
      <w:r w:rsidR="009760B2">
        <w:t>6</w:t>
      </w:r>
      <w:r w:rsidR="00272BD6">
        <w:t xml:space="preserve"> per cent</w:t>
      </w:r>
      <w:r>
        <w:t xml:space="preserve"> per annum</w:t>
      </w:r>
      <w:bookmarkEnd w:id="491"/>
      <w:r w:rsidR="00B86F6B">
        <w:t xml:space="preserve"> ($m)</w:t>
      </w:r>
      <w:bookmarkEnd w:id="492"/>
      <w:bookmarkEnd w:id="493"/>
    </w:p>
    <w:tbl>
      <w:tblPr>
        <w:tblStyle w:val="NTCtable"/>
        <w:tblW w:w="9214" w:type="dxa"/>
        <w:tblLayout w:type="fixed"/>
        <w:tblCellMar>
          <w:left w:w="28" w:type="dxa"/>
          <w:right w:w="28" w:type="dxa"/>
        </w:tblCellMar>
        <w:tblLook w:val="04A0" w:firstRow="1" w:lastRow="0" w:firstColumn="1" w:lastColumn="0" w:noHBand="0" w:noVBand="1"/>
      </w:tblPr>
      <w:tblGrid>
        <w:gridCol w:w="1276"/>
        <w:gridCol w:w="793"/>
        <w:gridCol w:w="794"/>
        <w:gridCol w:w="794"/>
        <w:gridCol w:w="794"/>
        <w:gridCol w:w="794"/>
        <w:gridCol w:w="793"/>
        <w:gridCol w:w="794"/>
        <w:gridCol w:w="794"/>
        <w:gridCol w:w="794"/>
        <w:gridCol w:w="794"/>
      </w:tblGrid>
      <w:tr w:rsidR="0018588B" w:rsidRPr="00B8142E" w14:paraId="3A39660E"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1276" w:type="dxa"/>
          </w:tcPr>
          <w:p w14:paraId="444B37C9" w14:textId="1540A4F3" w:rsidR="0018588B" w:rsidRPr="00CD6B04" w:rsidRDefault="00D604EC" w:rsidP="0077387A">
            <w:pPr>
              <w:pStyle w:val="BodyCopy"/>
              <w:rPr>
                <w:b/>
                <w:bCs/>
                <w:sz w:val="18"/>
                <w:szCs w:val="20"/>
              </w:rPr>
            </w:pPr>
            <w:r>
              <w:rPr>
                <w:b/>
                <w:bCs/>
                <w:sz w:val="18"/>
                <w:szCs w:val="20"/>
              </w:rPr>
              <w:t>Pathway</w:t>
            </w:r>
            <w:r w:rsidR="0018588B" w:rsidRPr="00CD6B04">
              <w:rPr>
                <w:b/>
                <w:bCs/>
                <w:sz w:val="18"/>
                <w:szCs w:val="20"/>
              </w:rPr>
              <w:t xml:space="preserve"> 2: 6% per annum</w:t>
            </w:r>
          </w:p>
        </w:tc>
        <w:tc>
          <w:tcPr>
            <w:tcW w:w="793" w:type="dxa"/>
            <w:vAlign w:val="center"/>
          </w:tcPr>
          <w:p w14:paraId="14A7EE51" w14:textId="77777777" w:rsidR="0018588B" w:rsidRPr="00CD6B04" w:rsidRDefault="0018588B" w:rsidP="00AF7B68">
            <w:pPr>
              <w:pStyle w:val="BodyCopy"/>
              <w:jc w:val="center"/>
              <w:rPr>
                <w:b/>
                <w:bCs/>
                <w:sz w:val="18"/>
                <w:szCs w:val="20"/>
              </w:rPr>
            </w:pPr>
            <w:r w:rsidRPr="00CD6B04">
              <w:rPr>
                <w:b/>
                <w:bCs/>
                <w:sz w:val="18"/>
                <w:szCs w:val="20"/>
              </w:rPr>
              <w:t>NSW</w:t>
            </w:r>
          </w:p>
        </w:tc>
        <w:tc>
          <w:tcPr>
            <w:tcW w:w="794" w:type="dxa"/>
            <w:vAlign w:val="center"/>
          </w:tcPr>
          <w:p w14:paraId="096E5A2B" w14:textId="5818BCA3" w:rsidR="0018588B" w:rsidRPr="00CD6B04" w:rsidRDefault="0018588B" w:rsidP="00AF7B68">
            <w:pPr>
              <w:pStyle w:val="BodyCopy"/>
              <w:jc w:val="center"/>
              <w:rPr>
                <w:b/>
                <w:bCs/>
                <w:sz w:val="18"/>
                <w:szCs w:val="20"/>
              </w:rPr>
            </w:pPr>
            <w:r w:rsidRPr="00CD6B04">
              <w:rPr>
                <w:b/>
                <w:bCs/>
                <w:sz w:val="18"/>
                <w:szCs w:val="20"/>
              </w:rPr>
              <w:t>V</w:t>
            </w:r>
            <w:r w:rsidR="00C81931" w:rsidRPr="00CD6B04">
              <w:rPr>
                <w:b/>
                <w:bCs/>
                <w:sz w:val="18"/>
                <w:szCs w:val="20"/>
              </w:rPr>
              <w:t>ic</w:t>
            </w:r>
          </w:p>
        </w:tc>
        <w:tc>
          <w:tcPr>
            <w:tcW w:w="794" w:type="dxa"/>
            <w:vAlign w:val="center"/>
          </w:tcPr>
          <w:p w14:paraId="6985D4B2" w14:textId="4A9BE5A4" w:rsidR="0018588B" w:rsidRPr="00CD6B04" w:rsidRDefault="0018588B" w:rsidP="00AF7B68">
            <w:pPr>
              <w:pStyle w:val="BodyCopy"/>
              <w:jc w:val="center"/>
              <w:rPr>
                <w:b/>
                <w:bCs/>
                <w:sz w:val="18"/>
                <w:szCs w:val="20"/>
              </w:rPr>
            </w:pPr>
            <w:r w:rsidRPr="00CD6B04">
              <w:rPr>
                <w:b/>
                <w:bCs/>
                <w:sz w:val="18"/>
                <w:szCs w:val="20"/>
              </w:rPr>
              <w:t>Q</w:t>
            </w:r>
            <w:r w:rsidR="00C81931" w:rsidRPr="00CD6B04">
              <w:rPr>
                <w:b/>
                <w:bCs/>
                <w:sz w:val="18"/>
                <w:szCs w:val="20"/>
              </w:rPr>
              <w:t>ld</w:t>
            </w:r>
          </w:p>
        </w:tc>
        <w:tc>
          <w:tcPr>
            <w:tcW w:w="794" w:type="dxa"/>
            <w:vAlign w:val="center"/>
          </w:tcPr>
          <w:p w14:paraId="4E3DAFE4" w14:textId="77777777" w:rsidR="0018588B" w:rsidRPr="00CD6B04" w:rsidRDefault="0018588B" w:rsidP="00AF7B68">
            <w:pPr>
              <w:pStyle w:val="BodyCopy"/>
              <w:jc w:val="center"/>
              <w:rPr>
                <w:b/>
                <w:bCs/>
                <w:sz w:val="18"/>
                <w:szCs w:val="20"/>
              </w:rPr>
            </w:pPr>
            <w:r w:rsidRPr="00CD6B04">
              <w:rPr>
                <w:b/>
                <w:bCs/>
                <w:sz w:val="18"/>
                <w:szCs w:val="20"/>
              </w:rPr>
              <w:t>SA</w:t>
            </w:r>
          </w:p>
        </w:tc>
        <w:tc>
          <w:tcPr>
            <w:tcW w:w="794" w:type="dxa"/>
            <w:vAlign w:val="center"/>
          </w:tcPr>
          <w:p w14:paraId="2F91A801" w14:textId="77777777" w:rsidR="0018588B" w:rsidRPr="00CD6B04" w:rsidRDefault="0018588B" w:rsidP="00AF7B68">
            <w:pPr>
              <w:pStyle w:val="BodyCopy"/>
              <w:jc w:val="center"/>
              <w:rPr>
                <w:b/>
                <w:bCs/>
                <w:sz w:val="18"/>
                <w:szCs w:val="20"/>
              </w:rPr>
            </w:pPr>
            <w:r w:rsidRPr="00CD6B04">
              <w:rPr>
                <w:b/>
                <w:bCs/>
                <w:sz w:val="18"/>
                <w:szCs w:val="20"/>
              </w:rPr>
              <w:t>WA</w:t>
            </w:r>
          </w:p>
        </w:tc>
        <w:tc>
          <w:tcPr>
            <w:tcW w:w="793" w:type="dxa"/>
            <w:vAlign w:val="center"/>
          </w:tcPr>
          <w:p w14:paraId="01E6F09B" w14:textId="065B5ECB" w:rsidR="0018588B" w:rsidRPr="00CD6B04" w:rsidRDefault="0018588B" w:rsidP="00AF7B68">
            <w:pPr>
              <w:pStyle w:val="BodyCopy"/>
              <w:jc w:val="center"/>
              <w:rPr>
                <w:b/>
                <w:bCs/>
                <w:sz w:val="18"/>
                <w:szCs w:val="20"/>
              </w:rPr>
            </w:pPr>
            <w:r w:rsidRPr="00CD6B04">
              <w:rPr>
                <w:b/>
                <w:bCs/>
                <w:sz w:val="18"/>
                <w:szCs w:val="20"/>
              </w:rPr>
              <w:t>T</w:t>
            </w:r>
            <w:r w:rsidR="00C81931" w:rsidRPr="00CD6B04">
              <w:rPr>
                <w:b/>
                <w:bCs/>
                <w:sz w:val="18"/>
                <w:szCs w:val="20"/>
              </w:rPr>
              <w:t>as</w:t>
            </w:r>
          </w:p>
        </w:tc>
        <w:tc>
          <w:tcPr>
            <w:tcW w:w="794" w:type="dxa"/>
            <w:vAlign w:val="center"/>
          </w:tcPr>
          <w:p w14:paraId="13A90D4E" w14:textId="77777777" w:rsidR="0018588B" w:rsidRPr="00CD6B04" w:rsidRDefault="0018588B" w:rsidP="00AF7B68">
            <w:pPr>
              <w:pStyle w:val="BodyCopy"/>
              <w:jc w:val="center"/>
              <w:rPr>
                <w:b/>
                <w:bCs/>
                <w:sz w:val="18"/>
                <w:szCs w:val="20"/>
              </w:rPr>
            </w:pPr>
            <w:r w:rsidRPr="00CD6B04">
              <w:rPr>
                <w:b/>
                <w:bCs/>
                <w:sz w:val="18"/>
                <w:szCs w:val="20"/>
              </w:rPr>
              <w:t>NT</w:t>
            </w:r>
          </w:p>
        </w:tc>
        <w:tc>
          <w:tcPr>
            <w:tcW w:w="794" w:type="dxa"/>
            <w:vAlign w:val="center"/>
          </w:tcPr>
          <w:p w14:paraId="57701625" w14:textId="77777777" w:rsidR="0018588B" w:rsidRPr="00CD6B04" w:rsidRDefault="0018588B" w:rsidP="00AF7B68">
            <w:pPr>
              <w:pStyle w:val="BodyCopy"/>
              <w:jc w:val="center"/>
              <w:rPr>
                <w:b/>
                <w:bCs/>
                <w:sz w:val="18"/>
                <w:szCs w:val="20"/>
              </w:rPr>
            </w:pPr>
            <w:r w:rsidRPr="00CD6B04">
              <w:rPr>
                <w:b/>
                <w:bCs/>
                <w:sz w:val="18"/>
                <w:szCs w:val="20"/>
              </w:rPr>
              <w:t>ACT</w:t>
            </w:r>
          </w:p>
        </w:tc>
        <w:tc>
          <w:tcPr>
            <w:tcW w:w="794" w:type="dxa"/>
            <w:vAlign w:val="center"/>
          </w:tcPr>
          <w:p w14:paraId="020E6BC0" w14:textId="5295BA66" w:rsidR="0018588B" w:rsidRPr="00CD6B04" w:rsidRDefault="0018588B" w:rsidP="00AF7B68">
            <w:pPr>
              <w:pStyle w:val="BodyCopy"/>
              <w:jc w:val="center"/>
              <w:rPr>
                <w:b/>
                <w:bCs/>
                <w:sz w:val="18"/>
                <w:szCs w:val="20"/>
              </w:rPr>
            </w:pPr>
            <w:r w:rsidRPr="00CD6B04">
              <w:rPr>
                <w:b/>
                <w:bCs/>
                <w:sz w:val="18"/>
                <w:szCs w:val="20"/>
              </w:rPr>
              <w:t>C</w:t>
            </w:r>
            <w:r w:rsidR="00C81931" w:rsidRPr="00CD6B04">
              <w:rPr>
                <w:b/>
                <w:bCs/>
                <w:sz w:val="18"/>
                <w:szCs w:val="20"/>
              </w:rPr>
              <w:t>wlth</w:t>
            </w:r>
          </w:p>
        </w:tc>
        <w:tc>
          <w:tcPr>
            <w:tcW w:w="794" w:type="dxa"/>
            <w:vAlign w:val="center"/>
          </w:tcPr>
          <w:p w14:paraId="7E486436" w14:textId="77777777" w:rsidR="0018588B" w:rsidRPr="00CD6B04" w:rsidRDefault="0018588B" w:rsidP="00AF7B68">
            <w:pPr>
              <w:pStyle w:val="BodyCopy"/>
              <w:jc w:val="center"/>
              <w:rPr>
                <w:b/>
                <w:bCs/>
                <w:sz w:val="18"/>
                <w:szCs w:val="20"/>
              </w:rPr>
            </w:pPr>
            <w:r w:rsidRPr="00CD6B04">
              <w:rPr>
                <w:b/>
                <w:bCs/>
                <w:sz w:val="18"/>
                <w:szCs w:val="20"/>
              </w:rPr>
              <w:t>Total</w:t>
            </w:r>
          </w:p>
        </w:tc>
      </w:tr>
      <w:tr w:rsidR="00842616" w:rsidRPr="00B8142E" w14:paraId="03F4C0C4" w14:textId="77777777" w:rsidTr="00BD61D2">
        <w:tc>
          <w:tcPr>
            <w:tcW w:w="0" w:type="dxa"/>
          </w:tcPr>
          <w:p w14:paraId="470CE9FF" w14:textId="77777777" w:rsidR="00842616" w:rsidRPr="00AF7B68" w:rsidRDefault="00842616" w:rsidP="00842616">
            <w:pPr>
              <w:pStyle w:val="BodyCopy"/>
              <w:rPr>
                <w:sz w:val="18"/>
                <w:szCs w:val="20"/>
              </w:rPr>
            </w:pPr>
            <w:r w:rsidRPr="00AF7B68">
              <w:rPr>
                <w:sz w:val="18"/>
                <w:szCs w:val="20"/>
              </w:rPr>
              <w:t>Year 1</w:t>
            </w:r>
          </w:p>
        </w:tc>
        <w:tc>
          <w:tcPr>
            <w:tcW w:w="0" w:type="dxa"/>
            <w:vAlign w:val="center"/>
          </w:tcPr>
          <w:p w14:paraId="5579BD58" w14:textId="6C04C3CF" w:rsidR="00842616" w:rsidRPr="00D344A7" w:rsidRDefault="00E35187" w:rsidP="00842616">
            <w:pPr>
              <w:pStyle w:val="BodyCopy"/>
              <w:jc w:val="center"/>
              <w:rPr>
                <w:sz w:val="18"/>
                <w:szCs w:val="18"/>
              </w:rPr>
            </w:pPr>
            <w:r w:rsidRPr="00BD61D2">
              <w:rPr>
                <w:sz w:val="18"/>
                <w:szCs w:val="18"/>
              </w:rPr>
              <w:t>383.6</w:t>
            </w:r>
          </w:p>
        </w:tc>
        <w:tc>
          <w:tcPr>
            <w:tcW w:w="0" w:type="dxa"/>
            <w:vAlign w:val="center"/>
          </w:tcPr>
          <w:p w14:paraId="3A61AD6A" w14:textId="0DD8D71F" w:rsidR="00842616" w:rsidRPr="00D344A7" w:rsidRDefault="00E35187" w:rsidP="00142F71">
            <w:pPr>
              <w:pStyle w:val="BodyCopy"/>
              <w:jc w:val="center"/>
              <w:rPr>
                <w:sz w:val="18"/>
                <w:szCs w:val="18"/>
              </w:rPr>
            </w:pPr>
            <w:r w:rsidRPr="00BD61D2">
              <w:rPr>
                <w:sz w:val="18"/>
                <w:szCs w:val="18"/>
              </w:rPr>
              <w:t>426.2</w:t>
            </w:r>
          </w:p>
        </w:tc>
        <w:tc>
          <w:tcPr>
            <w:tcW w:w="0" w:type="dxa"/>
            <w:vAlign w:val="center"/>
          </w:tcPr>
          <w:p w14:paraId="50468A2F" w14:textId="52C18652" w:rsidR="00842616" w:rsidRPr="00D344A7" w:rsidRDefault="00E35187" w:rsidP="00A32548">
            <w:pPr>
              <w:pStyle w:val="BodyCopy"/>
              <w:jc w:val="center"/>
              <w:rPr>
                <w:sz w:val="18"/>
                <w:szCs w:val="18"/>
              </w:rPr>
            </w:pPr>
            <w:r w:rsidRPr="00BD61D2">
              <w:rPr>
                <w:sz w:val="18"/>
                <w:szCs w:val="18"/>
              </w:rPr>
              <w:t>384.0</w:t>
            </w:r>
          </w:p>
        </w:tc>
        <w:tc>
          <w:tcPr>
            <w:tcW w:w="0" w:type="dxa"/>
            <w:vAlign w:val="center"/>
          </w:tcPr>
          <w:p w14:paraId="3D2FFC46" w14:textId="654ACB42" w:rsidR="00842616" w:rsidRPr="00D344A7" w:rsidRDefault="00E35187" w:rsidP="00A32548">
            <w:pPr>
              <w:pStyle w:val="BodyCopy"/>
              <w:jc w:val="center"/>
              <w:rPr>
                <w:sz w:val="18"/>
                <w:szCs w:val="18"/>
              </w:rPr>
            </w:pPr>
            <w:r w:rsidRPr="00BD61D2">
              <w:rPr>
                <w:sz w:val="18"/>
                <w:szCs w:val="18"/>
              </w:rPr>
              <w:t>128.8</w:t>
            </w:r>
          </w:p>
        </w:tc>
        <w:tc>
          <w:tcPr>
            <w:tcW w:w="0" w:type="dxa"/>
            <w:vAlign w:val="center"/>
          </w:tcPr>
          <w:p w14:paraId="74EDE30B" w14:textId="01648A28" w:rsidR="00842616" w:rsidRPr="00D344A7" w:rsidRDefault="00E35187" w:rsidP="00A32548">
            <w:pPr>
              <w:pStyle w:val="BodyCopy"/>
              <w:jc w:val="center"/>
              <w:rPr>
                <w:sz w:val="18"/>
                <w:szCs w:val="18"/>
              </w:rPr>
            </w:pPr>
            <w:r w:rsidRPr="00BD61D2">
              <w:rPr>
                <w:sz w:val="18"/>
                <w:szCs w:val="18"/>
              </w:rPr>
              <w:t>265.2</w:t>
            </w:r>
          </w:p>
        </w:tc>
        <w:tc>
          <w:tcPr>
            <w:tcW w:w="0" w:type="dxa"/>
            <w:vAlign w:val="center"/>
          </w:tcPr>
          <w:p w14:paraId="652C0020" w14:textId="0914D895" w:rsidR="00842616" w:rsidRPr="00D344A7" w:rsidRDefault="00E35187" w:rsidP="00920234">
            <w:pPr>
              <w:pStyle w:val="BodyCopy"/>
              <w:jc w:val="center"/>
              <w:rPr>
                <w:sz w:val="18"/>
                <w:szCs w:val="18"/>
              </w:rPr>
            </w:pPr>
            <w:r w:rsidRPr="00BD61D2">
              <w:rPr>
                <w:sz w:val="18"/>
                <w:szCs w:val="18"/>
              </w:rPr>
              <w:t>32.2</w:t>
            </w:r>
          </w:p>
        </w:tc>
        <w:tc>
          <w:tcPr>
            <w:tcW w:w="0" w:type="dxa"/>
            <w:vAlign w:val="center"/>
          </w:tcPr>
          <w:p w14:paraId="640DB173" w14:textId="7FC57A82" w:rsidR="00842616" w:rsidRPr="00D344A7" w:rsidRDefault="00E35187" w:rsidP="00920234">
            <w:pPr>
              <w:pStyle w:val="BodyCopy"/>
              <w:jc w:val="center"/>
              <w:rPr>
                <w:sz w:val="18"/>
                <w:szCs w:val="18"/>
              </w:rPr>
            </w:pPr>
            <w:r w:rsidRPr="00BD61D2">
              <w:rPr>
                <w:sz w:val="18"/>
                <w:szCs w:val="18"/>
              </w:rPr>
              <w:t>21.5</w:t>
            </w:r>
          </w:p>
        </w:tc>
        <w:tc>
          <w:tcPr>
            <w:tcW w:w="0" w:type="dxa"/>
            <w:vAlign w:val="center"/>
          </w:tcPr>
          <w:p w14:paraId="7C5D8335" w14:textId="55F9C346" w:rsidR="00842616" w:rsidRPr="00D344A7" w:rsidRDefault="00E35187" w:rsidP="00920234">
            <w:pPr>
              <w:pStyle w:val="BodyCopy"/>
              <w:jc w:val="center"/>
              <w:rPr>
                <w:sz w:val="18"/>
                <w:szCs w:val="18"/>
              </w:rPr>
            </w:pPr>
            <w:r w:rsidRPr="00BD61D2">
              <w:rPr>
                <w:sz w:val="18"/>
                <w:szCs w:val="18"/>
              </w:rPr>
              <w:t>4.0</w:t>
            </w:r>
          </w:p>
        </w:tc>
        <w:tc>
          <w:tcPr>
            <w:tcW w:w="0" w:type="dxa"/>
            <w:vAlign w:val="center"/>
          </w:tcPr>
          <w:p w14:paraId="2A7F80D1" w14:textId="69C54831" w:rsidR="00842616" w:rsidRPr="00842616" w:rsidRDefault="00E35187" w:rsidP="00B018BA">
            <w:pPr>
              <w:pStyle w:val="BodyCopy"/>
              <w:jc w:val="center"/>
              <w:rPr>
                <w:sz w:val="18"/>
                <w:szCs w:val="18"/>
              </w:rPr>
            </w:pPr>
            <w:r w:rsidRPr="00BD61D2">
              <w:rPr>
                <w:sz w:val="18"/>
                <w:szCs w:val="18"/>
              </w:rPr>
              <w:t>2,001.0</w:t>
            </w:r>
          </w:p>
        </w:tc>
        <w:tc>
          <w:tcPr>
            <w:tcW w:w="0" w:type="dxa"/>
            <w:vAlign w:val="center"/>
          </w:tcPr>
          <w:p w14:paraId="787D8F70" w14:textId="506F71FE" w:rsidR="00842616" w:rsidRPr="00842616" w:rsidRDefault="00E35187" w:rsidP="00B018BA">
            <w:pPr>
              <w:pStyle w:val="BodyCopy"/>
              <w:jc w:val="center"/>
              <w:rPr>
                <w:sz w:val="18"/>
                <w:szCs w:val="18"/>
              </w:rPr>
            </w:pPr>
            <w:r w:rsidRPr="00BD61D2">
              <w:rPr>
                <w:sz w:val="18"/>
                <w:szCs w:val="18"/>
              </w:rPr>
              <w:t>3,646.7</w:t>
            </w:r>
          </w:p>
        </w:tc>
      </w:tr>
      <w:tr w:rsidR="00842616" w:rsidRPr="00B8142E" w14:paraId="4C3485EB" w14:textId="77777777" w:rsidTr="00BD61D2">
        <w:tc>
          <w:tcPr>
            <w:tcW w:w="0" w:type="dxa"/>
          </w:tcPr>
          <w:p w14:paraId="5F93C318" w14:textId="77777777" w:rsidR="00842616" w:rsidRPr="00AF7B68" w:rsidRDefault="00842616" w:rsidP="00842616">
            <w:pPr>
              <w:pStyle w:val="BodyCopy"/>
              <w:rPr>
                <w:sz w:val="18"/>
                <w:szCs w:val="20"/>
              </w:rPr>
            </w:pPr>
            <w:r w:rsidRPr="00AF7B68">
              <w:rPr>
                <w:sz w:val="18"/>
                <w:szCs w:val="20"/>
              </w:rPr>
              <w:t>Year 2</w:t>
            </w:r>
          </w:p>
        </w:tc>
        <w:tc>
          <w:tcPr>
            <w:tcW w:w="0" w:type="dxa"/>
            <w:vAlign w:val="center"/>
          </w:tcPr>
          <w:p w14:paraId="42B049C8" w14:textId="5E74F038" w:rsidR="00842616" w:rsidRPr="00D344A7" w:rsidRDefault="00E35187" w:rsidP="00842616">
            <w:pPr>
              <w:pStyle w:val="BodyCopy"/>
              <w:jc w:val="center"/>
              <w:rPr>
                <w:sz w:val="18"/>
                <w:szCs w:val="18"/>
              </w:rPr>
            </w:pPr>
            <w:r w:rsidRPr="00BD61D2">
              <w:rPr>
                <w:sz w:val="18"/>
                <w:szCs w:val="18"/>
              </w:rPr>
              <w:t>406.7</w:t>
            </w:r>
          </w:p>
        </w:tc>
        <w:tc>
          <w:tcPr>
            <w:tcW w:w="0" w:type="dxa"/>
            <w:vAlign w:val="center"/>
          </w:tcPr>
          <w:p w14:paraId="000B643D" w14:textId="4730711B" w:rsidR="00842616" w:rsidRPr="00D344A7" w:rsidRDefault="00E35187" w:rsidP="00142F71">
            <w:pPr>
              <w:pStyle w:val="BodyCopy"/>
              <w:jc w:val="center"/>
              <w:rPr>
                <w:sz w:val="18"/>
                <w:szCs w:val="18"/>
              </w:rPr>
            </w:pPr>
            <w:r w:rsidRPr="00BD61D2">
              <w:rPr>
                <w:sz w:val="18"/>
                <w:szCs w:val="18"/>
              </w:rPr>
              <w:t>451.7</w:t>
            </w:r>
          </w:p>
        </w:tc>
        <w:tc>
          <w:tcPr>
            <w:tcW w:w="0" w:type="dxa"/>
            <w:vAlign w:val="center"/>
          </w:tcPr>
          <w:p w14:paraId="50111ED3" w14:textId="286FEDB4" w:rsidR="00842616" w:rsidRPr="00D344A7" w:rsidRDefault="00E35187" w:rsidP="00A32548">
            <w:pPr>
              <w:pStyle w:val="BodyCopy"/>
              <w:jc w:val="center"/>
              <w:rPr>
                <w:sz w:val="18"/>
                <w:szCs w:val="18"/>
              </w:rPr>
            </w:pPr>
            <w:r w:rsidRPr="00BD61D2">
              <w:rPr>
                <w:sz w:val="18"/>
                <w:szCs w:val="18"/>
              </w:rPr>
              <w:t>407.0</w:t>
            </w:r>
          </w:p>
        </w:tc>
        <w:tc>
          <w:tcPr>
            <w:tcW w:w="0" w:type="dxa"/>
            <w:vAlign w:val="center"/>
          </w:tcPr>
          <w:p w14:paraId="3BD85401" w14:textId="68FEE483" w:rsidR="00842616" w:rsidRPr="00D344A7" w:rsidRDefault="00E35187" w:rsidP="00A32548">
            <w:pPr>
              <w:pStyle w:val="BodyCopy"/>
              <w:jc w:val="center"/>
              <w:rPr>
                <w:sz w:val="18"/>
                <w:szCs w:val="18"/>
              </w:rPr>
            </w:pPr>
            <w:r w:rsidRPr="00BD61D2">
              <w:rPr>
                <w:sz w:val="18"/>
                <w:szCs w:val="18"/>
              </w:rPr>
              <w:t>136.6</w:t>
            </w:r>
          </w:p>
        </w:tc>
        <w:tc>
          <w:tcPr>
            <w:tcW w:w="0" w:type="dxa"/>
            <w:vAlign w:val="center"/>
          </w:tcPr>
          <w:p w14:paraId="751B792F" w14:textId="1591526E" w:rsidR="00842616" w:rsidRPr="00D344A7" w:rsidRDefault="00E35187" w:rsidP="00A32548">
            <w:pPr>
              <w:pStyle w:val="BodyCopy"/>
              <w:jc w:val="center"/>
              <w:rPr>
                <w:sz w:val="18"/>
                <w:szCs w:val="18"/>
              </w:rPr>
            </w:pPr>
            <w:r w:rsidRPr="00BD61D2">
              <w:rPr>
                <w:sz w:val="18"/>
                <w:szCs w:val="18"/>
              </w:rPr>
              <w:t>281.1</w:t>
            </w:r>
          </w:p>
        </w:tc>
        <w:tc>
          <w:tcPr>
            <w:tcW w:w="0" w:type="dxa"/>
            <w:vAlign w:val="center"/>
          </w:tcPr>
          <w:p w14:paraId="3A050393" w14:textId="0313FB77" w:rsidR="00842616" w:rsidRPr="00D344A7" w:rsidRDefault="00E35187" w:rsidP="00920234">
            <w:pPr>
              <w:pStyle w:val="BodyCopy"/>
              <w:jc w:val="center"/>
              <w:rPr>
                <w:sz w:val="18"/>
                <w:szCs w:val="18"/>
              </w:rPr>
            </w:pPr>
            <w:r w:rsidRPr="00BD61D2">
              <w:rPr>
                <w:sz w:val="18"/>
                <w:szCs w:val="18"/>
              </w:rPr>
              <w:t>34.2</w:t>
            </w:r>
          </w:p>
        </w:tc>
        <w:tc>
          <w:tcPr>
            <w:tcW w:w="0" w:type="dxa"/>
            <w:vAlign w:val="center"/>
          </w:tcPr>
          <w:p w14:paraId="6D66EFD9" w14:textId="30A2ABDE" w:rsidR="00842616" w:rsidRPr="00D344A7" w:rsidRDefault="00E35187" w:rsidP="00920234">
            <w:pPr>
              <w:pStyle w:val="BodyCopy"/>
              <w:jc w:val="center"/>
              <w:rPr>
                <w:sz w:val="18"/>
                <w:szCs w:val="18"/>
              </w:rPr>
            </w:pPr>
            <w:r w:rsidRPr="00BD61D2">
              <w:rPr>
                <w:sz w:val="18"/>
                <w:szCs w:val="18"/>
              </w:rPr>
              <w:t>22.8</w:t>
            </w:r>
          </w:p>
        </w:tc>
        <w:tc>
          <w:tcPr>
            <w:tcW w:w="0" w:type="dxa"/>
            <w:vAlign w:val="center"/>
          </w:tcPr>
          <w:p w14:paraId="210C42AF" w14:textId="6BA840DC" w:rsidR="00842616" w:rsidRPr="00D344A7" w:rsidRDefault="00E35187" w:rsidP="00920234">
            <w:pPr>
              <w:pStyle w:val="BodyCopy"/>
              <w:jc w:val="center"/>
              <w:rPr>
                <w:sz w:val="18"/>
                <w:szCs w:val="18"/>
              </w:rPr>
            </w:pPr>
            <w:r w:rsidRPr="00BD61D2">
              <w:rPr>
                <w:sz w:val="18"/>
                <w:szCs w:val="18"/>
              </w:rPr>
              <w:t>4.3</w:t>
            </w:r>
          </w:p>
        </w:tc>
        <w:tc>
          <w:tcPr>
            <w:tcW w:w="0" w:type="dxa"/>
            <w:vAlign w:val="center"/>
          </w:tcPr>
          <w:p w14:paraId="6E66E7F2" w14:textId="30CD2744" w:rsidR="00842616" w:rsidRPr="00842616" w:rsidRDefault="00E35187" w:rsidP="00B018BA">
            <w:pPr>
              <w:pStyle w:val="BodyCopy"/>
              <w:jc w:val="center"/>
              <w:rPr>
                <w:sz w:val="18"/>
                <w:szCs w:val="18"/>
              </w:rPr>
            </w:pPr>
            <w:r w:rsidRPr="00BD61D2">
              <w:rPr>
                <w:sz w:val="18"/>
                <w:szCs w:val="18"/>
              </w:rPr>
              <w:t>2,121.1</w:t>
            </w:r>
          </w:p>
        </w:tc>
        <w:tc>
          <w:tcPr>
            <w:tcW w:w="0" w:type="dxa"/>
            <w:vAlign w:val="center"/>
          </w:tcPr>
          <w:p w14:paraId="7CDD2DD7" w14:textId="4968328B" w:rsidR="00842616" w:rsidRPr="00842616" w:rsidRDefault="00E35187" w:rsidP="00B018BA">
            <w:pPr>
              <w:pStyle w:val="BodyCopy"/>
              <w:jc w:val="center"/>
              <w:rPr>
                <w:sz w:val="18"/>
                <w:szCs w:val="18"/>
              </w:rPr>
            </w:pPr>
            <w:r w:rsidRPr="00BD61D2">
              <w:rPr>
                <w:sz w:val="18"/>
                <w:szCs w:val="18"/>
              </w:rPr>
              <w:t>3,865.5</w:t>
            </w:r>
          </w:p>
        </w:tc>
      </w:tr>
      <w:tr w:rsidR="00842616" w:rsidRPr="00B8142E" w14:paraId="7A82D1A4" w14:textId="77777777" w:rsidTr="00BD61D2">
        <w:tc>
          <w:tcPr>
            <w:tcW w:w="0" w:type="dxa"/>
          </w:tcPr>
          <w:p w14:paraId="1602691B" w14:textId="77777777" w:rsidR="00842616" w:rsidRPr="00AF7B68" w:rsidRDefault="00842616" w:rsidP="00842616">
            <w:pPr>
              <w:pStyle w:val="BodyCopy"/>
              <w:rPr>
                <w:sz w:val="18"/>
                <w:szCs w:val="20"/>
              </w:rPr>
            </w:pPr>
            <w:r w:rsidRPr="00AF7B68">
              <w:rPr>
                <w:sz w:val="18"/>
                <w:szCs w:val="20"/>
              </w:rPr>
              <w:t>Year 3</w:t>
            </w:r>
          </w:p>
        </w:tc>
        <w:tc>
          <w:tcPr>
            <w:tcW w:w="0" w:type="dxa"/>
            <w:vAlign w:val="center"/>
          </w:tcPr>
          <w:p w14:paraId="7586F763" w14:textId="3D67EC57" w:rsidR="00842616" w:rsidRPr="00D344A7" w:rsidRDefault="00E35187" w:rsidP="00842616">
            <w:pPr>
              <w:pStyle w:val="BodyCopy"/>
              <w:jc w:val="center"/>
              <w:rPr>
                <w:sz w:val="18"/>
                <w:szCs w:val="18"/>
              </w:rPr>
            </w:pPr>
            <w:r w:rsidRPr="00BD61D2">
              <w:rPr>
                <w:sz w:val="18"/>
                <w:szCs w:val="18"/>
              </w:rPr>
              <w:t>431.2</w:t>
            </w:r>
          </w:p>
        </w:tc>
        <w:tc>
          <w:tcPr>
            <w:tcW w:w="0" w:type="dxa"/>
            <w:vAlign w:val="center"/>
          </w:tcPr>
          <w:p w14:paraId="55CD9536" w14:textId="56E2AA62" w:rsidR="00842616" w:rsidRPr="00D344A7" w:rsidRDefault="00E35187" w:rsidP="00142F71">
            <w:pPr>
              <w:pStyle w:val="BodyCopy"/>
              <w:jc w:val="center"/>
              <w:rPr>
                <w:sz w:val="18"/>
                <w:szCs w:val="18"/>
              </w:rPr>
            </w:pPr>
            <w:r w:rsidRPr="00BD61D2">
              <w:rPr>
                <w:sz w:val="18"/>
                <w:szCs w:val="18"/>
              </w:rPr>
              <w:t>478.8</w:t>
            </w:r>
          </w:p>
        </w:tc>
        <w:tc>
          <w:tcPr>
            <w:tcW w:w="0" w:type="dxa"/>
            <w:vAlign w:val="center"/>
          </w:tcPr>
          <w:p w14:paraId="4AE22962" w14:textId="50AF5734" w:rsidR="00842616" w:rsidRPr="00D344A7" w:rsidRDefault="00E35187" w:rsidP="00A32548">
            <w:pPr>
              <w:pStyle w:val="BodyCopy"/>
              <w:jc w:val="center"/>
              <w:rPr>
                <w:sz w:val="18"/>
                <w:szCs w:val="18"/>
              </w:rPr>
            </w:pPr>
            <w:r w:rsidRPr="00BD61D2">
              <w:rPr>
                <w:sz w:val="18"/>
                <w:szCs w:val="18"/>
              </w:rPr>
              <w:t>431.4</w:t>
            </w:r>
          </w:p>
        </w:tc>
        <w:tc>
          <w:tcPr>
            <w:tcW w:w="0" w:type="dxa"/>
            <w:vAlign w:val="center"/>
          </w:tcPr>
          <w:p w14:paraId="615A7C9A" w14:textId="71B14B6A" w:rsidR="00842616" w:rsidRPr="00D344A7" w:rsidRDefault="00E35187" w:rsidP="00A32548">
            <w:pPr>
              <w:pStyle w:val="BodyCopy"/>
              <w:jc w:val="center"/>
              <w:rPr>
                <w:sz w:val="18"/>
                <w:szCs w:val="18"/>
              </w:rPr>
            </w:pPr>
            <w:r w:rsidRPr="00BD61D2">
              <w:rPr>
                <w:sz w:val="18"/>
                <w:szCs w:val="18"/>
              </w:rPr>
              <w:t>144.7</w:t>
            </w:r>
          </w:p>
        </w:tc>
        <w:tc>
          <w:tcPr>
            <w:tcW w:w="0" w:type="dxa"/>
            <w:vAlign w:val="center"/>
          </w:tcPr>
          <w:p w14:paraId="676AFE47" w14:textId="39A7266E" w:rsidR="00842616" w:rsidRPr="00D344A7" w:rsidRDefault="00E35187" w:rsidP="00A32548">
            <w:pPr>
              <w:pStyle w:val="BodyCopy"/>
              <w:jc w:val="center"/>
              <w:rPr>
                <w:sz w:val="18"/>
                <w:szCs w:val="18"/>
              </w:rPr>
            </w:pPr>
            <w:r w:rsidRPr="00BD61D2">
              <w:rPr>
                <w:sz w:val="18"/>
                <w:szCs w:val="18"/>
              </w:rPr>
              <w:t>298.0</w:t>
            </w:r>
          </w:p>
        </w:tc>
        <w:tc>
          <w:tcPr>
            <w:tcW w:w="0" w:type="dxa"/>
            <w:vAlign w:val="center"/>
          </w:tcPr>
          <w:p w14:paraId="0EA9DDEF" w14:textId="5C7A2CCA" w:rsidR="00842616" w:rsidRPr="00D344A7" w:rsidRDefault="00E35187" w:rsidP="00920234">
            <w:pPr>
              <w:pStyle w:val="BodyCopy"/>
              <w:jc w:val="center"/>
              <w:rPr>
                <w:sz w:val="18"/>
                <w:szCs w:val="18"/>
              </w:rPr>
            </w:pPr>
            <w:r w:rsidRPr="00BD61D2">
              <w:rPr>
                <w:sz w:val="18"/>
                <w:szCs w:val="18"/>
              </w:rPr>
              <w:t>36.3</w:t>
            </w:r>
          </w:p>
        </w:tc>
        <w:tc>
          <w:tcPr>
            <w:tcW w:w="0" w:type="dxa"/>
            <w:vAlign w:val="center"/>
          </w:tcPr>
          <w:p w14:paraId="25B3E222" w14:textId="561531A0" w:rsidR="00842616" w:rsidRPr="00D344A7" w:rsidRDefault="00E35187" w:rsidP="00920234">
            <w:pPr>
              <w:pStyle w:val="BodyCopy"/>
              <w:jc w:val="center"/>
              <w:rPr>
                <w:sz w:val="18"/>
                <w:szCs w:val="18"/>
              </w:rPr>
            </w:pPr>
            <w:r w:rsidRPr="00BD61D2">
              <w:rPr>
                <w:sz w:val="18"/>
                <w:szCs w:val="18"/>
              </w:rPr>
              <w:t>24.2</w:t>
            </w:r>
          </w:p>
        </w:tc>
        <w:tc>
          <w:tcPr>
            <w:tcW w:w="0" w:type="dxa"/>
            <w:vAlign w:val="center"/>
          </w:tcPr>
          <w:p w14:paraId="00F6F0B2" w14:textId="061DA4B7" w:rsidR="00842616" w:rsidRPr="00D344A7" w:rsidRDefault="00E35187" w:rsidP="00920234">
            <w:pPr>
              <w:pStyle w:val="BodyCopy"/>
              <w:jc w:val="center"/>
              <w:rPr>
                <w:sz w:val="18"/>
                <w:szCs w:val="18"/>
              </w:rPr>
            </w:pPr>
            <w:r w:rsidRPr="00BD61D2">
              <w:rPr>
                <w:sz w:val="18"/>
                <w:szCs w:val="18"/>
              </w:rPr>
              <w:t>4.5</w:t>
            </w:r>
          </w:p>
        </w:tc>
        <w:tc>
          <w:tcPr>
            <w:tcW w:w="0" w:type="dxa"/>
            <w:vAlign w:val="center"/>
          </w:tcPr>
          <w:p w14:paraId="1C7C94F0" w14:textId="3A44AEF0" w:rsidR="00842616" w:rsidRPr="00842616" w:rsidRDefault="00E35187" w:rsidP="00B018BA">
            <w:pPr>
              <w:pStyle w:val="BodyCopy"/>
              <w:jc w:val="center"/>
              <w:rPr>
                <w:sz w:val="18"/>
                <w:szCs w:val="18"/>
              </w:rPr>
            </w:pPr>
            <w:r w:rsidRPr="00BD61D2">
              <w:rPr>
                <w:sz w:val="18"/>
                <w:szCs w:val="18"/>
              </w:rPr>
              <w:t>2,248.4</w:t>
            </w:r>
          </w:p>
        </w:tc>
        <w:tc>
          <w:tcPr>
            <w:tcW w:w="0" w:type="dxa"/>
            <w:vAlign w:val="center"/>
          </w:tcPr>
          <w:p w14:paraId="726A7E79" w14:textId="77F7F856" w:rsidR="00842616" w:rsidRPr="00842616" w:rsidRDefault="00E35187" w:rsidP="00B018BA">
            <w:pPr>
              <w:pStyle w:val="BodyCopy"/>
              <w:jc w:val="center"/>
              <w:rPr>
                <w:sz w:val="18"/>
                <w:szCs w:val="18"/>
              </w:rPr>
            </w:pPr>
            <w:r w:rsidRPr="00BD61D2">
              <w:rPr>
                <w:sz w:val="18"/>
                <w:szCs w:val="18"/>
              </w:rPr>
              <w:t>4,097.4</w:t>
            </w:r>
          </w:p>
        </w:tc>
      </w:tr>
      <w:tr w:rsidR="00842616" w:rsidRPr="00B8142E" w14:paraId="2914FBAD" w14:textId="77777777" w:rsidTr="00BD61D2">
        <w:tc>
          <w:tcPr>
            <w:tcW w:w="0" w:type="dxa"/>
          </w:tcPr>
          <w:p w14:paraId="07B1758C" w14:textId="77777777" w:rsidR="00842616" w:rsidRPr="00AF7B68" w:rsidRDefault="00842616" w:rsidP="00842616">
            <w:pPr>
              <w:pStyle w:val="BodyCopy"/>
              <w:rPr>
                <w:sz w:val="18"/>
                <w:szCs w:val="20"/>
              </w:rPr>
            </w:pPr>
            <w:r w:rsidRPr="00AF7B68">
              <w:rPr>
                <w:sz w:val="18"/>
                <w:szCs w:val="20"/>
              </w:rPr>
              <w:t>Total over pricing period</w:t>
            </w:r>
          </w:p>
        </w:tc>
        <w:tc>
          <w:tcPr>
            <w:tcW w:w="0" w:type="dxa"/>
            <w:vAlign w:val="center"/>
          </w:tcPr>
          <w:p w14:paraId="3DF71DCD" w14:textId="7EFF028F" w:rsidR="00842616" w:rsidRPr="00D344A7" w:rsidRDefault="00E35187" w:rsidP="00842616">
            <w:pPr>
              <w:pStyle w:val="BodyCopy"/>
              <w:jc w:val="center"/>
              <w:rPr>
                <w:sz w:val="18"/>
                <w:szCs w:val="18"/>
              </w:rPr>
            </w:pPr>
            <w:r w:rsidRPr="00BD61D2">
              <w:rPr>
                <w:sz w:val="18"/>
                <w:szCs w:val="18"/>
              </w:rPr>
              <w:t>1,221.5</w:t>
            </w:r>
          </w:p>
        </w:tc>
        <w:tc>
          <w:tcPr>
            <w:tcW w:w="0" w:type="dxa"/>
            <w:vAlign w:val="center"/>
          </w:tcPr>
          <w:p w14:paraId="4C3F262D" w14:textId="181229F4" w:rsidR="00842616" w:rsidRPr="00D344A7" w:rsidRDefault="00E35187" w:rsidP="00142F71">
            <w:pPr>
              <w:pStyle w:val="BodyCopy"/>
              <w:jc w:val="center"/>
              <w:rPr>
                <w:sz w:val="18"/>
                <w:szCs w:val="18"/>
              </w:rPr>
            </w:pPr>
            <w:r w:rsidRPr="00BD61D2">
              <w:rPr>
                <w:sz w:val="18"/>
                <w:szCs w:val="18"/>
              </w:rPr>
              <w:t>1,356.6</w:t>
            </w:r>
          </w:p>
        </w:tc>
        <w:tc>
          <w:tcPr>
            <w:tcW w:w="0" w:type="dxa"/>
            <w:vAlign w:val="center"/>
          </w:tcPr>
          <w:p w14:paraId="2DA86AFC" w14:textId="0BE02ED0" w:rsidR="00842616" w:rsidRPr="00D344A7" w:rsidRDefault="00E35187" w:rsidP="00A32548">
            <w:pPr>
              <w:pStyle w:val="BodyCopy"/>
              <w:jc w:val="center"/>
              <w:rPr>
                <w:sz w:val="18"/>
                <w:szCs w:val="18"/>
              </w:rPr>
            </w:pPr>
            <w:r w:rsidRPr="00BD61D2">
              <w:rPr>
                <w:sz w:val="18"/>
                <w:szCs w:val="18"/>
              </w:rPr>
              <w:t>1,222.4</w:t>
            </w:r>
          </w:p>
        </w:tc>
        <w:tc>
          <w:tcPr>
            <w:tcW w:w="0" w:type="dxa"/>
            <w:vAlign w:val="center"/>
          </w:tcPr>
          <w:p w14:paraId="311D08D5" w14:textId="3270ABBE" w:rsidR="00842616" w:rsidRPr="00D344A7" w:rsidRDefault="00E35187" w:rsidP="00A32548">
            <w:pPr>
              <w:pStyle w:val="BodyCopy"/>
              <w:jc w:val="center"/>
              <w:rPr>
                <w:sz w:val="18"/>
                <w:szCs w:val="18"/>
              </w:rPr>
            </w:pPr>
            <w:r w:rsidRPr="00BD61D2">
              <w:rPr>
                <w:sz w:val="18"/>
                <w:szCs w:val="18"/>
              </w:rPr>
              <w:t>410.1</w:t>
            </w:r>
          </w:p>
        </w:tc>
        <w:tc>
          <w:tcPr>
            <w:tcW w:w="0" w:type="dxa"/>
            <w:vAlign w:val="center"/>
          </w:tcPr>
          <w:p w14:paraId="41E8B190" w14:textId="27796B1F" w:rsidR="00842616" w:rsidRPr="00D344A7" w:rsidRDefault="00E35187" w:rsidP="00A32548">
            <w:pPr>
              <w:pStyle w:val="BodyCopy"/>
              <w:jc w:val="center"/>
              <w:rPr>
                <w:sz w:val="18"/>
                <w:szCs w:val="18"/>
              </w:rPr>
            </w:pPr>
            <w:r w:rsidRPr="00BD61D2">
              <w:rPr>
                <w:sz w:val="18"/>
                <w:szCs w:val="18"/>
              </w:rPr>
              <w:t>844.4</w:t>
            </w:r>
          </w:p>
        </w:tc>
        <w:tc>
          <w:tcPr>
            <w:tcW w:w="0" w:type="dxa"/>
            <w:vAlign w:val="center"/>
          </w:tcPr>
          <w:p w14:paraId="16F0C784" w14:textId="780F4898" w:rsidR="00842616" w:rsidRPr="00D344A7" w:rsidRDefault="00E35187" w:rsidP="00920234">
            <w:pPr>
              <w:pStyle w:val="BodyCopy"/>
              <w:jc w:val="center"/>
              <w:rPr>
                <w:sz w:val="18"/>
                <w:szCs w:val="18"/>
              </w:rPr>
            </w:pPr>
            <w:r w:rsidRPr="00BD61D2">
              <w:rPr>
                <w:sz w:val="18"/>
                <w:szCs w:val="18"/>
              </w:rPr>
              <w:t>102.7</w:t>
            </w:r>
          </w:p>
        </w:tc>
        <w:tc>
          <w:tcPr>
            <w:tcW w:w="0" w:type="dxa"/>
            <w:vAlign w:val="center"/>
          </w:tcPr>
          <w:p w14:paraId="2E22E381" w14:textId="7D60E23B" w:rsidR="00842616" w:rsidRPr="00D344A7" w:rsidRDefault="00E35187" w:rsidP="00920234">
            <w:pPr>
              <w:pStyle w:val="BodyCopy"/>
              <w:jc w:val="center"/>
              <w:rPr>
                <w:sz w:val="18"/>
                <w:szCs w:val="18"/>
              </w:rPr>
            </w:pPr>
            <w:r w:rsidRPr="00BD61D2">
              <w:rPr>
                <w:sz w:val="18"/>
                <w:szCs w:val="18"/>
              </w:rPr>
              <w:t>68.5</w:t>
            </w:r>
          </w:p>
        </w:tc>
        <w:tc>
          <w:tcPr>
            <w:tcW w:w="0" w:type="dxa"/>
            <w:vAlign w:val="center"/>
          </w:tcPr>
          <w:p w14:paraId="0B7E8975" w14:textId="08D3EABF" w:rsidR="00842616" w:rsidRPr="00D344A7" w:rsidRDefault="00E35187" w:rsidP="00920234">
            <w:pPr>
              <w:pStyle w:val="BodyCopy"/>
              <w:jc w:val="center"/>
              <w:rPr>
                <w:sz w:val="18"/>
                <w:szCs w:val="18"/>
              </w:rPr>
            </w:pPr>
            <w:r w:rsidRPr="00BD61D2">
              <w:rPr>
                <w:sz w:val="18"/>
                <w:szCs w:val="18"/>
              </w:rPr>
              <w:t>12.8</w:t>
            </w:r>
          </w:p>
        </w:tc>
        <w:tc>
          <w:tcPr>
            <w:tcW w:w="0" w:type="dxa"/>
            <w:vAlign w:val="center"/>
          </w:tcPr>
          <w:p w14:paraId="106C0CD2" w14:textId="44E157DC" w:rsidR="00842616" w:rsidRPr="00842616" w:rsidRDefault="00E35187" w:rsidP="00B018BA">
            <w:pPr>
              <w:pStyle w:val="BodyCopy"/>
              <w:jc w:val="center"/>
              <w:rPr>
                <w:sz w:val="18"/>
                <w:szCs w:val="18"/>
              </w:rPr>
            </w:pPr>
            <w:r w:rsidRPr="00BD61D2">
              <w:rPr>
                <w:sz w:val="18"/>
                <w:szCs w:val="18"/>
              </w:rPr>
              <w:t>6,370.5</w:t>
            </w:r>
          </w:p>
        </w:tc>
        <w:tc>
          <w:tcPr>
            <w:tcW w:w="0" w:type="dxa"/>
            <w:vAlign w:val="center"/>
          </w:tcPr>
          <w:p w14:paraId="1C349A6D" w14:textId="13F46EC9" w:rsidR="00842616" w:rsidRPr="00842616" w:rsidRDefault="00E35187" w:rsidP="00B018BA">
            <w:pPr>
              <w:pStyle w:val="BodyCopy"/>
              <w:jc w:val="center"/>
              <w:rPr>
                <w:sz w:val="18"/>
                <w:szCs w:val="18"/>
              </w:rPr>
            </w:pPr>
            <w:r w:rsidRPr="00BD61D2">
              <w:rPr>
                <w:sz w:val="18"/>
                <w:szCs w:val="18"/>
              </w:rPr>
              <w:t>11,609.6</w:t>
            </w:r>
          </w:p>
        </w:tc>
      </w:tr>
    </w:tbl>
    <w:p w14:paraId="78C77433" w14:textId="2FFD5CD6" w:rsidR="008514F2" w:rsidRDefault="00DC15F4" w:rsidP="00257361">
      <w:pPr>
        <w:pStyle w:val="BodyCopy"/>
      </w:pPr>
      <w:r>
        <w:fldChar w:fldCharType="begin"/>
      </w:r>
      <w:r>
        <w:instrText xml:space="preserve"> REF _Ref63754967 \r \h </w:instrText>
      </w:r>
      <w:r>
        <w:fldChar w:fldCharType="separate"/>
      </w:r>
      <w:r w:rsidR="00225EEA">
        <w:t>Table 25</w:t>
      </w:r>
      <w:r>
        <w:fldChar w:fldCharType="end"/>
      </w:r>
      <w:r w:rsidR="00257361">
        <w:t xml:space="preserve"> shows the estimated revenue from the regulatory component of registration charges, </w:t>
      </w:r>
      <w:r w:rsidR="00B018BA">
        <w:t>which have been set</w:t>
      </w:r>
      <w:r w:rsidR="00071962">
        <w:t xml:space="preserve"> to recover the NHVR’s indicative budget – as published in the NHVR’s </w:t>
      </w:r>
      <w:r w:rsidR="00071962" w:rsidRPr="006A648D">
        <w:t>c</w:t>
      </w:r>
      <w:r w:rsidR="00071962" w:rsidRPr="00FD7360">
        <w:t>orporate plan</w:t>
      </w:r>
      <w:r w:rsidR="00071962">
        <w:t xml:space="preserve"> </w:t>
      </w:r>
      <w:sdt>
        <w:sdtPr>
          <w:id w:val="-1903055006"/>
          <w:citation/>
        </w:sdtPr>
        <w:sdtContent>
          <w:r w:rsidR="00C23F5D">
            <w:fldChar w:fldCharType="begin"/>
          </w:r>
          <w:r w:rsidR="00C23F5D">
            <w:instrText xml:space="preserve"> CITATION NHV21 \l 3081 </w:instrText>
          </w:r>
          <w:r w:rsidR="00C23F5D">
            <w:fldChar w:fldCharType="separate"/>
          </w:r>
          <w:r w:rsidR="000A4DC7" w:rsidRPr="000A4DC7">
            <w:rPr>
              <w:noProof/>
            </w:rPr>
            <w:t>(NHVR, 2021)</w:t>
          </w:r>
          <w:r w:rsidR="00C23F5D">
            <w:fldChar w:fldCharType="end"/>
          </w:r>
        </w:sdtContent>
      </w:sdt>
      <w:r w:rsidR="00C23F5D">
        <w:t xml:space="preserve"> </w:t>
      </w:r>
      <w:r w:rsidR="00071962">
        <w:t>–</w:t>
      </w:r>
      <w:r w:rsidR="00B018BA">
        <w:t xml:space="preserve"> </w:t>
      </w:r>
      <w:r w:rsidR="00257361">
        <w:t>assuming the heavy vehicle and trailer fleet remain constant throughout the three years.</w:t>
      </w:r>
      <w:r w:rsidR="00071962">
        <w:t xml:space="preserve"> In practice the</w:t>
      </w:r>
      <w:r w:rsidR="00C33679">
        <w:t xml:space="preserve"> NHVR’s budget is subject to approval at ITMM</w:t>
      </w:r>
      <w:r w:rsidR="00EC7E1C">
        <w:t>,</w:t>
      </w:r>
      <w:r w:rsidR="00C33679">
        <w:t xml:space="preserve"> so the amounts to be recovered in years 2 and 3 may differ</w:t>
      </w:r>
      <w:r w:rsidR="00876FEB">
        <w:t xml:space="preserve"> from those assumed</w:t>
      </w:r>
      <w:r w:rsidR="00C33679">
        <w:t xml:space="preserve">. Further, </w:t>
      </w:r>
      <w:r w:rsidR="00506B25">
        <w:t xml:space="preserve">changes to the size of the registered </w:t>
      </w:r>
      <w:r w:rsidR="00876FEB">
        <w:t>heavy vehicle</w:t>
      </w:r>
      <w:r w:rsidR="00506B25">
        <w:t xml:space="preserve"> fleet in participating jurisdictions would affect the charges necessary to recover the NHVR’s budget</w:t>
      </w:r>
      <w:r w:rsidR="00A3126F">
        <w:t>, so charges modelled here should be treated as indicative</w:t>
      </w:r>
      <w:r w:rsidR="00E30B83">
        <w:t>.</w:t>
      </w:r>
      <w:r w:rsidR="008514F2">
        <w:rPr>
          <w:rStyle w:val="FootnoteReference"/>
        </w:rPr>
        <w:footnoteReference w:id="26"/>
      </w:r>
      <w:r w:rsidR="00C33679">
        <w:t xml:space="preserve"> </w:t>
      </w:r>
    </w:p>
    <w:p w14:paraId="6D095134" w14:textId="2FCD5A30" w:rsidR="00257361" w:rsidRPr="00564725" w:rsidRDefault="00257361" w:rsidP="000A4DC7">
      <w:pPr>
        <w:pStyle w:val="Tabletitle"/>
      </w:pPr>
      <w:bookmarkStart w:id="494" w:name="_Ref63754967"/>
      <w:bookmarkStart w:id="495" w:name="_Toc86158564"/>
      <w:r w:rsidRPr="00564725">
        <w:t xml:space="preserve">Estimated revenue from </w:t>
      </w:r>
      <w:r w:rsidR="00EC7E1C" w:rsidRPr="00564725">
        <w:t xml:space="preserve">the </w:t>
      </w:r>
      <w:r w:rsidRPr="00564725">
        <w:t>regulatory component of registration charges ($m)</w:t>
      </w:r>
      <w:bookmarkEnd w:id="494"/>
      <w:bookmarkEnd w:id="495"/>
    </w:p>
    <w:tbl>
      <w:tblPr>
        <w:tblStyle w:val="NTCtable"/>
        <w:tblW w:w="9214" w:type="dxa"/>
        <w:tblLayout w:type="fixed"/>
        <w:tblCellMar>
          <w:left w:w="28" w:type="dxa"/>
          <w:right w:w="28" w:type="dxa"/>
        </w:tblCellMar>
        <w:tblLook w:val="04A0" w:firstRow="1" w:lastRow="0" w:firstColumn="1" w:lastColumn="0" w:noHBand="0" w:noVBand="1"/>
      </w:tblPr>
      <w:tblGrid>
        <w:gridCol w:w="1276"/>
        <w:gridCol w:w="793"/>
        <w:gridCol w:w="794"/>
        <w:gridCol w:w="794"/>
        <w:gridCol w:w="794"/>
        <w:gridCol w:w="794"/>
        <w:gridCol w:w="793"/>
        <w:gridCol w:w="794"/>
        <w:gridCol w:w="794"/>
        <w:gridCol w:w="794"/>
        <w:gridCol w:w="794"/>
      </w:tblGrid>
      <w:tr w:rsidR="00257361" w:rsidRPr="00B8142E" w14:paraId="346DB9BF"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1276" w:type="dxa"/>
          </w:tcPr>
          <w:p w14:paraId="071AA96B" w14:textId="19385441" w:rsidR="00257361" w:rsidRPr="00CD6B04" w:rsidRDefault="00257361" w:rsidP="001A697E">
            <w:pPr>
              <w:pStyle w:val="BodyCopy"/>
              <w:rPr>
                <w:b/>
                <w:bCs/>
                <w:sz w:val="18"/>
                <w:szCs w:val="20"/>
              </w:rPr>
            </w:pPr>
            <w:r w:rsidRPr="00CD6B04">
              <w:rPr>
                <w:b/>
                <w:bCs/>
                <w:sz w:val="18"/>
                <w:szCs w:val="20"/>
              </w:rPr>
              <w:t>Regulatory component</w:t>
            </w:r>
          </w:p>
        </w:tc>
        <w:tc>
          <w:tcPr>
            <w:tcW w:w="793" w:type="dxa"/>
            <w:vAlign w:val="center"/>
          </w:tcPr>
          <w:p w14:paraId="24E21A15" w14:textId="77777777" w:rsidR="00257361" w:rsidRPr="00CD6B04" w:rsidRDefault="00257361" w:rsidP="001A697E">
            <w:pPr>
              <w:pStyle w:val="BodyCopy"/>
              <w:jc w:val="center"/>
              <w:rPr>
                <w:b/>
                <w:bCs/>
                <w:sz w:val="18"/>
                <w:szCs w:val="20"/>
              </w:rPr>
            </w:pPr>
            <w:r w:rsidRPr="00CD6B04">
              <w:rPr>
                <w:b/>
                <w:bCs/>
                <w:sz w:val="18"/>
                <w:szCs w:val="20"/>
              </w:rPr>
              <w:t>NSW</w:t>
            </w:r>
          </w:p>
        </w:tc>
        <w:tc>
          <w:tcPr>
            <w:tcW w:w="794" w:type="dxa"/>
            <w:vAlign w:val="center"/>
          </w:tcPr>
          <w:p w14:paraId="110F518D" w14:textId="7097391D" w:rsidR="00257361" w:rsidRPr="00CD6B04" w:rsidRDefault="00257361" w:rsidP="001A697E">
            <w:pPr>
              <w:pStyle w:val="BodyCopy"/>
              <w:jc w:val="center"/>
              <w:rPr>
                <w:b/>
                <w:bCs/>
                <w:sz w:val="18"/>
                <w:szCs w:val="20"/>
              </w:rPr>
            </w:pPr>
            <w:r w:rsidRPr="00CD6B04">
              <w:rPr>
                <w:b/>
                <w:bCs/>
                <w:sz w:val="18"/>
                <w:szCs w:val="20"/>
              </w:rPr>
              <w:t>V</w:t>
            </w:r>
            <w:r w:rsidR="00C4270B">
              <w:rPr>
                <w:b/>
                <w:bCs/>
                <w:sz w:val="18"/>
                <w:szCs w:val="20"/>
              </w:rPr>
              <w:t>ic</w:t>
            </w:r>
          </w:p>
        </w:tc>
        <w:tc>
          <w:tcPr>
            <w:tcW w:w="794" w:type="dxa"/>
            <w:vAlign w:val="center"/>
          </w:tcPr>
          <w:p w14:paraId="13B8515D" w14:textId="4A762AEE" w:rsidR="00257361" w:rsidRPr="00CD6B04" w:rsidRDefault="00257361" w:rsidP="001A697E">
            <w:pPr>
              <w:pStyle w:val="BodyCopy"/>
              <w:jc w:val="center"/>
              <w:rPr>
                <w:b/>
                <w:bCs/>
                <w:sz w:val="18"/>
                <w:szCs w:val="20"/>
              </w:rPr>
            </w:pPr>
            <w:r w:rsidRPr="00CD6B04">
              <w:rPr>
                <w:b/>
                <w:bCs/>
                <w:sz w:val="18"/>
                <w:szCs w:val="20"/>
              </w:rPr>
              <w:t>Q</w:t>
            </w:r>
            <w:r w:rsidR="00C4270B">
              <w:rPr>
                <w:b/>
                <w:bCs/>
                <w:sz w:val="18"/>
                <w:szCs w:val="20"/>
              </w:rPr>
              <w:t>ld</w:t>
            </w:r>
          </w:p>
        </w:tc>
        <w:tc>
          <w:tcPr>
            <w:tcW w:w="794" w:type="dxa"/>
            <w:vAlign w:val="center"/>
          </w:tcPr>
          <w:p w14:paraId="211606AC" w14:textId="77777777" w:rsidR="00257361" w:rsidRPr="00CD6B04" w:rsidRDefault="00257361" w:rsidP="001A697E">
            <w:pPr>
              <w:pStyle w:val="BodyCopy"/>
              <w:jc w:val="center"/>
              <w:rPr>
                <w:b/>
                <w:bCs/>
                <w:sz w:val="18"/>
                <w:szCs w:val="20"/>
              </w:rPr>
            </w:pPr>
            <w:r w:rsidRPr="00CD6B04">
              <w:rPr>
                <w:b/>
                <w:bCs/>
                <w:sz w:val="18"/>
                <w:szCs w:val="20"/>
              </w:rPr>
              <w:t>SA</w:t>
            </w:r>
          </w:p>
        </w:tc>
        <w:tc>
          <w:tcPr>
            <w:tcW w:w="794" w:type="dxa"/>
            <w:vAlign w:val="center"/>
          </w:tcPr>
          <w:p w14:paraId="650ABC90" w14:textId="77777777" w:rsidR="00257361" w:rsidRPr="00CD6B04" w:rsidRDefault="00257361" w:rsidP="001A697E">
            <w:pPr>
              <w:pStyle w:val="BodyCopy"/>
              <w:jc w:val="center"/>
              <w:rPr>
                <w:b/>
                <w:bCs/>
                <w:sz w:val="18"/>
                <w:szCs w:val="20"/>
              </w:rPr>
            </w:pPr>
            <w:r w:rsidRPr="00CD6B04">
              <w:rPr>
                <w:b/>
                <w:bCs/>
                <w:sz w:val="18"/>
                <w:szCs w:val="20"/>
              </w:rPr>
              <w:t>WA</w:t>
            </w:r>
          </w:p>
        </w:tc>
        <w:tc>
          <w:tcPr>
            <w:tcW w:w="793" w:type="dxa"/>
            <w:vAlign w:val="center"/>
          </w:tcPr>
          <w:p w14:paraId="67F0D679" w14:textId="25CC25C2" w:rsidR="00257361" w:rsidRPr="00CD6B04" w:rsidRDefault="00257361" w:rsidP="001A697E">
            <w:pPr>
              <w:pStyle w:val="BodyCopy"/>
              <w:jc w:val="center"/>
              <w:rPr>
                <w:b/>
                <w:bCs/>
                <w:sz w:val="18"/>
                <w:szCs w:val="20"/>
              </w:rPr>
            </w:pPr>
            <w:r w:rsidRPr="00CD6B04">
              <w:rPr>
                <w:b/>
                <w:bCs/>
                <w:sz w:val="18"/>
                <w:szCs w:val="20"/>
              </w:rPr>
              <w:t>T</w:t>
            </w:r>
            <w:r w:rsidR="00C4270B">
              <w:rPr>
                <w:b/>
                <w:bCs/>
                <w:sz w:val="18"/>
                <w:szCs w:val="20"/>
              </w:rPr>
              <w:t>as</w:t>
            </w:r>
          </w:p>
        </w:tc>
        <w:tc>
          <w:tcPr>
            <w:tcW w:w="794" w:type="dxa"/>
            <w:vAlign w:val="center"/>
          </w:tcPr>
          <w:p w14:paraId="1D60CAF5" w14:textId="77777777" w:rsidR="00257361" w:rsidRPr="00CD6B04" w:rsidRDefault="00257361" w:rsidP="001A697E">
            <w:pPr>
              <w:pStyle w:val="BodyCopy"/>
              <w:jc w:val="center"/>
              <w:rPr>
                <w:b/>
                <w:bCs/>
                <w:sz w:val="18"/>
                <w:szCs w:val="20"/>
              </w:rPr>
            </w:pPr>
            <w:r w:rsidRPr="00CD6B04">
              <w:rPr>
                <w:b/>
                <w:bCs/>
                <w:sz w:val="18"/>
                <w:szCs w:val="20"/>
              </w:rPr>
              <w:t>NT</w:t>
            </w:r>
          </w:p>
        </w:tc>
        <w:tc>
          <w:tcPr>
            <w:tcW w:w="794" w:type="dxa"/>
            <w:vAlign w:val="center"/>
          </w:tcPr>
          <w:p w14:paraId="2556DB2B" w14:textId="77777777" w:rsidR="00257361" w:rsidRPr="00CD6B04" w:rsidRDefault="00257361" w:rsidP="001A697E">
            <w:pPr>
              <w:pStyle w:val="BodyCopy"/>
              <w:jc w:val="center"/>
              <w:rPr>
                <w:b/>
                <w:bCs/>
                <w:sz w:val="18"/>
                <w:szCs w:val="20"/>
              </w:rPr>
            </w:pPr>
            <w:r w:rsidRPr="00CD6B04">
              <w:rPr>
                <w:b/>
                <w:bCs/>
                <w:sz w:val="18"/>
                <w:szCs w:val="20"/>
              </w:rPr>
              <w:t>ACT</w:t>
            </w:r>
          </w:p>
        </w:tc>
        <w:tc>
          <w:tcPr>
            <w:tcW w:w="794" w:type="dxa"/>
            <w:vAlign w:val="center"/>
          </w:tcPr>
          <w:p w14:paraId="1022C303" w14:textId="4AE070D0" w:rsidR="00257361" w:rsidRPr="00CD6B04" w:rsidRDefault="00257361" w:rsidP="001A697E">
            <w:pPr>
              <w:pStyle w:val="BodyCopy"/>
              <w:jc w:val="center"/>
              <w:rPr>
                <w:b/>
                <w:bCs/>
                <w:sz w:val="18"/>
                <w:szCs w:val="20"/>
              </w:rPr>
            </w:pPr>
            <w:r w:rsidRPr="00CD6B04">
              <w:rPr>
                <w:b/>
                <w:bCs/>
                <w:sz w:val="18"/>
                <w:szCs w:val="20"/>
              </w:rPr>
              <w:t>C</w:t>
            </w:r>
            <w:r w:rsidR="00C4270B">
              <w:rPr>
                <w:b/>
                <w:bCs/>
                <w:sz w:val="18"/>
                <w:szCs w:val="20"/>
              </w:rPr>
              <w:t>wlth</w:t>
            </w:r>
          </w:p>
        </w:tc>
        <w:tc>
          <w:tcPr>
            <w:tcW w:w="794" w:type="dxa"/>
            <w:vAlign w:val="center"/>
          </w:tcPr>
          <w:p w14:paraId="209FFB05" w14:textId="77777777" w:rsidR="00257361" w:rsidRPr="00CD6B04" w:rsidRDefault="00257361" w:rsidP="001A697E">
            <w:pPr>
              <w:pStyle w:val="BodyCopy"/>
              <w:jc w:val="center"/>
              <w:rPr>
                <w:b/>
                <w:bCs/>
                <w:sz w:val="18"/>
                <w:szCs w:val="20"/>
              </w:rPr>
            </w:pPr>
            <w:r w:rsidRPr="00CD6B04">
              <w:rPr>
                <w:b/>
                <w:bCs/>
                <w:sz w:val="18"/>
                <w:szCs w:val="20"/>
              </w:rPr>
              <w:t>Total</w:t>
            </w:r>
          </w:p>
        </w:tc>
      </w:tr>
      <w:tr w:rsidR="00DB7B99" w:rsidRPr="00B8142E" w14:paraId="071DFDE2" w14:textId="77777777" w:rsidTr="00BD61D2">
        <w:tc>
          <w:tcPr>
            <w:tcW w:w="0" w:type="dxa"/>
          </w:tcPr>
          <w:p w14:paraId="707BA070" w14:textId="77777777" w:rsidR="00DB7B99" w:rsidRPr="00877C9E" w:rsidRDefault="00DB7B99" w:rsidP="00DB7B99">
            <w:pPr>
              <w:pStyle w:val="BodyCopy"/>
              <w:rPr>
                <w:sz w:val="18"/>
                <w:szCs w:val="20"/>
              </w:rPr>
            </w:pPr>
            <w:r w:rsidRPr="00877C9E">
              <w:rPr>
                <w:sz w:val="18"/>
                <w:szCs w:val="20"/>
              </w:rPr>
              <w:t>Year 1</w:t>
            </w:r>
          </w:p>
        </w:tc>
        <w:tc>
          <w:tcPr>
            <w:tcW w:w="0" w:type="dxa"/>
            <w:vAlign w:val="center"/>
          </w:tcPr>
          <w:p w14:paraId="51C6D08A" w14:textId="233FD5AA" w:rsidR="00DB7B99" w:rsidRPr="00DB7B99" w:rsidRDefault="00FE34E4" w:rsidP="00DB7B99">
            <w:pPr>
              <w:pStyle w:val="BodyCopy"/>
              <w:jc w:val="center"/>
              <w:rPr>
                <w:sz w:val="18"/>
                <w:szCs w:val="18"/>
              </w:rPr>
            </w:pPr>
            <w:r w:rsidRPr="00BD61D2">
              <w:rPr>
                <w:sz w:val="18"/>
                <w:szCs w:val="18"/>
              </w:rPr>
              <w:t>50.4</w:t>
            </w:r>
          </w:p>
        </w:tc>
        <w:tc>
          <w:tcPr>
            <w:tcW w:w="0" w:type="dxa"/>
            <w:vAlign w:val="center"/>
          </w:tcPr>
          <w:p w14:paraId="533B0EAE" w14:textId="62F4944D" w:rsidR="00DB7B99" w:rsidRPr="00DB7B99" w:rsidRDefault="00FE34E4" w:rsidP="00DB7B99">
            <w:pPr>
              <w:pStyle w:val="BodyCopy"/>
              <w:jc w:val="center"/>
              <w:rPr>
                <w:sz w:val="18"/>
                <w:szCs w:val="18"/>
              </w:rPr>
            </w:pPr>
            <w:r w:rsidRPr="00BD61D2">
              <w:rPr>
                <w:sz w:val="18"/>
                <w:szCs w:val="18"/>
              </w:rPr>
              <w:t>50.7</w:t>
            </w:r>
          </w:p>
        </w:tc>
        <w:tc>
          <w:tcPr>
            <w:tcW w:w="0" w:type="dxa"/>
            <w:vAlign w:val="center"/>
          </w:tcPr>
          <w:p w14:paraId="1BAF0D2B" w14:textId="5BEA3AFE" w:rsidR="00DB7B99" w:rsidRPr="00DB7B99" w:rsidRDefault="00FE34E4" w:rsidP="00DB7B99">
            <w:pPr>
              <w:pStyle w:val="BodyCopy"/>
              <w:jc w:val="center"/>
              <w:rPr>
                <w:sz w:val="18"/>
                <w:szCs w:val="18"/>
              </w:rPr>
            </w:pPr>
            <w:r w:rsidRPr="00BD61D2">
              <w:rPr>
                <w:sz w:val="18"/>
                <w:szCs w:val="18"/>
              </w:rPr>
              <w:t>44.2</w:t>
            </w:r>
          </w:p>
        </w:tc>
        <w:tc>
          <w:tcPr>
            <w:tcW w:w="0" w:type="dxa"/>
            <w:vAlign w:val="center"/>
          </w:tcPr>
          <w:p w14:paraId="2598E9F0" w14:textId="43E60721" w:rsidR="00DB7B99" w:rsidRPr="00DB7B99" w:rsidRDefault="00FE34E4" w:rsidP="00DB7B99">
            <w:pPr>
              <w:pStyle w:val="BodyCopy"/>
              <w:jc w:val="center"/>
              <w:rPr>
                <w:sz w:val="18"/>
                <w:szCs w:val="18"/>
              </w:rPr>
            </w:pPr>
            <w:r w:rsidRPr="00BD61D2">
              <w:rPr>
                <w:sz w:val="18"/>
                <w:szCs w:val="18"/>
              </w:rPr>
              <w:t>15.1</w:t>
            </w:r>
          </w:p>
        </w:tc>
        <w:tc>
          <w:tcPr>
            <w:tcW w:w="0" w:type="dxa"/>
            <w:vAlign w:val="center"/>
          </w:tcPr>
          <w:p w14:paraId="76536251" w14:textId="6AAC4332"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77EFBE39" w14:textId="6D9AB692" w:rsidR="00DB7B99" w:rsidRPr="00DB7B99" w:rsidRDefault="00FE34E4" w:rsidP="00DB7B99">
            <w:pPr>
              <w:pStyle w:val="BodyCopy"/>
              <w:jc w:val="center"/>
              <w:rPr>
                <w:sz w:val="18"/>
                <w:szCs w:val="18"/>
              </w:rPr>
            </w:pPr>
            <w:r w:rsidRPr="00BD61D2">
              <w:rPr>
                <w:sz w:val="18"/>
                <w:szCs w:val="18"/>
              </w:rPr>
              <w:t>4.7</w:t>
            </w:r>
          </w:p>
        </w:tc>
        <w:tc>
          <w:tcPr>
            <w:tcW w:w="0" w:type="dxa"/>
            <w:vAlign w:val="center"/>
          </w:tcPr>
          <w:p w14:paraId="43619A33" w14:textId="635ADDF9"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12657C5C" w14:textId="300278B1" w:rsidR="00DB7B99" w:rsidRPr="00DB7B99" w:rsidRDefault="00FE34E4" w:rsidP="00DB7B99">
            <w:pPr>
              <w:pStyle w:val="BodyCopy"/>
              <w:jc w:val="center"/>
              <w:rPr>
                <w:sz w:val="18"/>
                <w:szCs w:val="18"/>
              </w:rPr>
            </w:pPr>
            <w:r w:rsidRPr="00BD61D2">
              <w:rPr>
                <w:sz w:val="18"/>
                <w:szCs w:val="18"/>
              </w:rPr>
              <w:t>0.8</w:t>
            </w:r>
          </w:p>
        </w:tc>
        <w:tc>
          <w:tcPr>
            <w:tcW w:w="0" w:type="dxa"/>
            <w:vAlign w:val="center"/>
          </w:tcPr>
          <w:p w14:paraId="5A608320" w14:textId="69DCF2F8" w:rsidR="00DB7B99" w:rsidRPr="00DB7B99" w:rsidRDefault="00FE34E4" w:rsidP="00DB7B99">
            <w:pPr>
              <w:pStyle w:val="BodyCopy"/>
              <w:jc w:val="center"/>
              <w:rPr>
                <w:sz w:val="18"/>
                <w:szCs w:val="18"/>
              </w:rPr>
            </w:pPr>
            <w:r w:rsidRPr="00BD61D2">
              <w:rPr>
                <w:sz w:val="18"/>
                <w:szCs w:val="18"/>
              </w:rPr>
              <w:t>N/A</w:t>
            </w:r>
          </w:p>
        </w:tc>
        <w:tc>
          <w:tcPr>
            <w:tcW w:w="0" w:type="dxa"/>
            <w:vAlign w:val="center"/>
          </w:tcPr>
          <w:p w14:paraId="43935B2F" w14:textId="5C61F7AC" w:rsidR="00DB7B99" w:rsidRPr="00DB7B99" w:rsidRDefault="00FE34E4" w:rsidP="00DB7B99">
            <w:pPr>
              <w:pStyle w:val="BodyCopy"/>
              <w:jc w:val="center"/>
              <w:rPr>
                <w:sz w:val="18"/>
                <w:szCs w:val="18"/>
              </w:rPr>
            </w:pPr>
            <w:r w:rsidRPr="00BD61D2">
              <w:rPr>
                <w:sz w:val="18"/>
                <w:szCs w:val="18"/>
              </w:rPr>
              <w:t>165.9</w:t>
            </w:r>
          </w:p>
        </w:tc>
      </w:tr>
      <w:tr w:rsidR="00DB7B99" w:rsidRPr="00B8142E" w14:paraId="2833CBC0" w14:textId="77777777" w:rsidTr="00BD61D2">
        <w:tc>
          <w:tcPr>
            <w:tcW w:w="0" w:type="dxa"/>
          </w:tcPr>
          <w:p w14:paraId="24A1787B" w14:textId="77777777" w:rsidR="00DB7B99" w:rsidRPr="00877C9E" w:rsidRDefault="00DB7B99" w:rsidP="00DB7B99">
            <w:pPr>
              <w:pStyle w:val="BodyCopy"/>
              <w:rPr>
                <w:sz w:val="18"/>
                <w:szCs w:val="20"/>
              </w:rPr>
            </w:pPr>
            <w:r w:rsidRPr="00877C9E">
              <w:rPr>
                <w:sz w:val="18"/>
                <w:szCs w:val="20"/>
              </w:rPr>
              <w:t>Year 2</w:t>
            </w:r>
          </w:p>
        </w:tc>
        <w:tc>
          <w:tcPr>
            <w:tcW w:w="0" w:type="dxa"/>
            <w:vAlign w:val="center"/>
          </w:tcPr>
          <w:p w14:paraId="6197D50F" w14:textId="35676AAF" w:rsidR="00DB7B99" w:rsidRPr="00DB7B99" w:rsidRDefault="00FE34E4" w:rsidP="00DB7B99">
            <w:pPr>
              <w:pStyle w:val="BodyCopy"/>
              <w:jc w:val="center"/>
              <w:rPr>
                <w:sz w:val="18"/>
                <w:szCs w:val="18"/>
              </w:rPr>
            </w:pPr>
            <w:r w:rsidRPr="00BD61D2">
              <w:rPr>
                <w:sz w:val="18"/>
                <w:szCs w:val="18"/>
              </w:rPr>
              <w:t>51.9</w:t>
            </w:r>
          </w:p>
        </w:tc>
        <w:tc>
          <w:tcPr>
            <w:tcW w:w="0" w:type="dxa"/>
            <w:vAlign w:val="center"/>
          </w:tcPr>
          <w:p w14:paraId="18D57A24" w14:textId="5B749650" w:rsidR="00DB7B99" w:rsidRPr="00DB7B99" w:rsidRDefault="00FE34E4" w:rsidP="00DB7B99">
            <w:pPr>
              <w:pStyle w:val="BodyCopy"/>
              <w:jc w:val="center"/>
              <w:rPr>
                <w:sz w:val="18"/>
                <w:szCs w:val="18"/>
              </w:rPr>
            </w:pPr>
            <w:r w:rsidRPr="00BD61D2">
              <w:rPr>
                <w:sz w:val="18"/>
                <w:szCs w:val="18"/>
              </w:rPr>
              <w:t>52.3</w:t>
            </w:r>
          </w:p>
        </w:tc>
        <w:tc>
          <w:tcPr>
            <w:tcW w:w="0" w:type="dxa"/>
            <w:vAlign w:val="center"/>
          </w:tcPr>
          <w:p w14:paraId="50BB7AD0" w14:textId="22B753A1" w:rsidR="00DB7B99" w:rsidRPr="00DB7B99" w:rsidRDefault="00FE34E4" w:rsidP="00DB7B99">
            <w:pPr>
              <w:pStyle w:val="BodyCopy"/>
              <w:jc w:val="center"/>
              <w:rPr>
                <w:sz w:val="18"/>
                <w:szCs w:val="18"/>
              </w:rPr>
            </w:pPr>
            <w:r w:rsidRPr="00BD61D2">
              <w:rPr>
                <w:sz w:val="18"/>
                <w:szCs w:val="18"/>
              </w:rPr>
              <w:t>45.5</w:t>
            </w:r>
          </w:p>
        </w:tc>
        <w:tc>
          <w:tcPr>
            <w:tcW w:w="0" w:type="dxa"/>
            <w:vAlign w:val="center"/>
          </w:tcPr>
          <w:p w14:paraId="43635F32" w14:textId="6E1015C9" w:rsidR="00DB7B99" w:rsidRPr="00DB7B99" w:rsidRDefault="00FE34E4" w:rsidP="00DB7B99">
            <w:pPr>
              <w:pStyle w:val="BodyCopy"/>
              <w:jc w:val="center"/>
              <w:rPr>
                <w:sz w:val="18"/>
                <w:szCs w:val="18"/>
              </w:rPr>
            </w:pPr>
            <w:r w:rsidRPr="00BD61D2">
              <w:rPr>
                <w:sz w:val="18"/>
                <w:szCs w:val="18"/>
              </w:rPr>
              <w:t>15.6</w:t>
            </w:r>
          </w:p>
        </w:tc>
        <w:tc>
          <w:tcPr>
            <w:tcW w:w="0" w:type="dxa"/>
            <w:vAlign w:val="center"/>
          </w:tcPr>
          <w:p w14:paraId="5647CEA4" w14:textId="7A20B91A"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1BCF3C60" w14:textId="546A08AA" w:rsidR="00DB7B99" w:rsidRPr="00DB7B99" w:rsidRDefault="00FE34E4" w:rsidP="00DB7B99">
            <w:pPr>
              <w:pStyle w:val="BodyCopy"/>
              <w:jc w:val="center"/>
              <w:rPr>
                <w:sz w:val="18"/>
                <w:szCs w:val="18"/>
              </w:rPr>
            </w:pPr>
            <w:r w:rsidRPr="00BD61D2">
              <w:rPr>
                <w:sz w:val="18"/>
                <w:szCs w:val="18"/>
              </w:rPr>
              <w:t>4.8</w:t>
            </w:r>
          </w:p>
        </w:tc>
        <w:tc>
          <w:tcPr>
            <w:tcW w:w="0" w:type="dxa"/>
            <w:vAlign w:val="center"/>
          </w:tcPr>
          <w:p w14:paraId="784BFDB2" w14:textId="02DB4318"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1650992B" w14:textId="30A9A153" w:rsidR="00DB7B99" w:rsidRPr="00DB7B99" w:rsidRDefault="00FE34E4" w:rsidP="00DB7B99">
            <w:pPr>
              <w:pStyle w:val="BodyCopy"/>
              <w:jc w:val="center"/>
              <w:rPr>
                <w:sz w:val="18"/>
                <w:szCs w:val="18"/>
              </w:rPr>
            </w:pPr>
            <w:r w:rsidRPr="00BD61D2">
              <w:rPr>
                <w:sz w:val="18"/>
                <w:szCs w:val="18"/>
              </w:rPr>
              <w:t>0.8</w:t>
            </w:r>
          </w:p>
        </w:tc>
        <w:tc>
          <w:tcPr>
            <w:tcW w:w="0" w:type="dxa"/>
            <w:vAlign w:val="center"/>
          </w:tcPr>
          <w:p w14:paraId="2D10B1B5" w14:textId="769EAA12" w:rsidR="00DB7B99" w:rsidRPr="00DB7B99" w:rsidRDefault="00FE34E4" w:rsidP="00DB7B99">
            <w:pPr>
              <w:pStyle w:val="BodyCopy"/>
              <w:jc w:val="center"/>
              <w:rPr>
                <w:sz w:val="18"/>
                <w:szCs w:val="18"/>
              </w:rPr>
            </w:pPr>
            <w:r w:rsidRPr="00BD61D2">
              <w:rPr>
                <w:sz w:val="18"/>
                <w:szCs w:val="18"/>
              </w:rPr>
              <w:t>N/A</w:t>
            </w:r>
          </w:p>
        </w:tc>
        <w:tc>
          <w:tcPr>
            <w:tcW w:w="0" w:type="dxa"/>
            <w:vAlign w:val="center"/>
          </w:tcPr>
          <w:p w14:paraId="747E313C" w14:textId="3FEF58DE" w:rsidR="00DB7B99" w:rsidRPr="00DB7B99" w:rsidRDefault="00FE34E4" w:rsidP="00DB7B99">
            <w:pPr>
              <w:pStyle w:val="BodyCopy"/>
              <w:jc w:val="center"/>
              <w:rPr>
                <w:sz w:val="18"/>
                <w:szCs w:val="18"/>
              </w:rPr>
            </w:pPr>
            <w:r w:rsidRPr="00BD61D2">
              <w:rPr>
                <w:sz w:val="18"/>
                <w:szCs w:val="18"/>
              </w:rPr>
              <w:t>170.9</w:t>
            </w:r>
          </w:p>
        </w:tc>
      </w:tr>
      <w:tr w:rsidR="00DB7B99" w:rsidRPr="00B8142E" w14:paraId="1873F6FF" w14:textId="77777777" w:rsidTr="00BD61D2">
        <w:tc>
          <w:tcPr>
            <w:tcW w:w="0" w:type="dxa"/>
          </w:tcPr>
          <w:p w14:paraId="661C4F74" w14:textId="77777777" w:rsidR="00DB7B99" w:rsidRPr="00877C9E" w:rsidRDefault="00DB7B99" w:rsidP="00DB7B99">
            <w:pPr>
              <w:pStyle w:val="BodyCopy"/>
              <w:rPr>
                <w:sz w:val="18"/>
                <w:szCs w:val="20"/>
              </w:rPr>
            </w:pPr>
            <w:r w:rsidRPr="00877C9E">
              <w:rPr>
                <w:sz w:val="18"/>
                <w:szCs w:val="20"/>
              </w:rPr>
              <w:t>Year 3</w:t>
            </w:r>
          </w:p>
        </w:tc>
        <w:tc>
          <w:tcPr>
            <w:tcW w:w="0" w:type="dxa"/>
            <w:vAlign w:val="center"/>
          </w:tcPr>
          <w:p w14:paraId="6720F2A6" w14:textId="5C311EE1" w:rsidR="00DB7B99" w:rsidRPr="00DB7B99" w:rsidRDefault="00FE34E4" w:rsidP="00DB7B99">
            <w:pPr>
              <w:pStyle w:val="BodyCopy"/>
              <w:jc w:val="center"/>
              <w:rPr>
                <w:sz w:val="18"/>
                <w:szCs w:val="18"/>
              </w:rPr>
            </w:pPr>
            <w:r w:rsidRPr="00BD61D2">
              <w:rPr>
                <w:sz w:val="18"/>
                <w:szCs w:val="18"/>
              </w:rPr>
              <w:t>53.5</w:t>
            </w:r>
          </w:p>
        </w:tc>
        <w:tc>
          <w:tcPr>
            <w:tcW w:w="0" w:type="dxa"/>
            <w:vAlign w:val="center"/>
          </w:tcPr>
          <w:p w14:paraId="7609BE84" w14:textId="637A7C98" w:rsidR="00DB7B99" w:rsidRPr="00DB7B99" w:rsidRDefault="00FE34E4" w:rsidP="00DB7B99">
            <w:pPr>
              <w:pStyle w:val="BodyCopy"/>
              <w:jc w:val="center"/>
              <w:rPr>
                <w:sz w:val="18"/>
                <w:szCs w:val="18"/>
              </w:rPr>
            </w:pPr>
            <w:r w:rsidRPr="00BD61D2">
              <w:rPr>
                <w:sz w:val="18"/>
                <w:szCs w:val="18"/>
              </w:rPr>
              <w:t>53.8</w:t>
            </w:r>
          </w:p>
        </w:tc>
        <w:tc>
          <w:tcPr>
            <w:tcW w:w="0" w:type="dxa"/>
            <w:vAlign w:val="center"/>
          </w:tcPr>
          <w:p w14:paraId="6EDEC397" w14:textId="6D0AD1C5" w:rsidR="00DB7B99" w:rsidRPr="00DB7B99" w:rsidRDefault="00FE34E4" w:rsidP="00DB7B99">
            <w:pPr>
              <w:pStyle w:val="BodyCopy"/>
              <w:jc w:val="center"/>
              <w:rPr>
                <w:sz w:val="18"/>
                <w:szCs w:val="18"/>
              </w:rPr>
            </w:pPr>
            <w:r w:rsidRPr="00BD61D2">
              <w:rPr>
                <w:sz w:val="18"/>
                <w:szCs w:val="18"/>
              </w:rPr>
              <w:t>46.8</w:t>
            </w:r>
          </w:p>
        </w:tc>
        <w:tc>
          <w:tcPr>
            <w:tcW w:w="0" w:type="dxa"/>
            <w:vAlign w:val="center"/>
          </w:tcPr>
          <w:p w14:paraId="73025896" w14:textId="531E6AC0" w:rsidR="00DB7B99" w:rsidRPr="00DB7B99" w:rsidRDefault="00FE34E4" w:rsidP="00DB7B99">
            <w:pPr>
              <w:pStyle w:val="BodyCopy"/>
              <w:jc w:val="center"/>
              <w:rPr>
                <w:sz w:val="18"/>
                <w:szCs w:val="18"/>
              </w:rPr>
            </w:pPr>
            <w:r w:rsidRPr="00BD61D2">
              <w:rPr>
                <w:sz w:val="18"/>
                <w:szCs w:val="18"/>
              </w:rPr>
              <w:t>16.1</w:t>
            </w:r>
          </w:p>
        </w:tc>
        <w:tc>
          <w:tcPr>
            <w:tcW w:w="0" w:type="dxa"/>
            <w:vAlign w:val="center"/>
          </w:tcPr>
          <w:p w14:paraId="3C0D5F83" w14:textId="50F22F13"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68160984" w14:textId="7604D83F" w:rsidR="00DB7B99" w:rsidRPr="00DB7B99" w:rsidRDefault="00FE34E4" w:rsidP="00DB7B99">
            <w:pPr>
              <w:pStyle w:val="BodyCopy"/>
              <w:jc w:val="center"/>
              <w:rPr>
                <w:sz w:val="18"/>
                <w:szCs w:val="18"/>
              </w:rPr>
            </w:pPr>
            <w:r w:rsidRPr="00BD61D2">
              <w:rPr>
                <w:sz w:val="18"/>
                <w:szCs w:val="18"/>
              </w:rPr>
              <w:t>5.0</w:t>
            </w:r>
          </w:p>
        </w:tc>
        <w:tc>
          <w:tcPr>
            <w:tcW w:w="0" w:type="dxa"/>
            <w:vAlign w:val="center"/>
          </w:tcPr>
          <w:p w14:paraId="3078007E" w14:textId="32E8DBC1"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06B7BF10" w14:textId="2A434020" w:rsidR="00DB7B99" w:rsidRPr="00DB7B99" w:rsidRDefault="00FE34E4" w:rsidP="00DB7B99">
            <w:pPr>
              <w:pStyle w:val="BodyCopy"/>
              <w:jc w:val="center"/>
              <w:rPr>
                <w:sz w:val="18"/>
                <w:szCs w:val="18"/>
              </w:rPr>
            </w:pPr>
            <w:r w:rsidRPr="00BD61D2">
              <w:rPr>
                <w:sz w:val="18"/>
                <w:szCs w:val="18"/>
              </w:rPr>
              <w:t>0.9</w:t>
            </w:r>
          </w:p>
        </w:tc>
        <w:tc>
          <w:tcPr>
            <w:tcW w:w="0" w:type="dxa"/>
            <w:vAlign w:val="center"/>
          </w:tcPr>
          <w:p w14:paraId="522981C2" w14:textId="70FFCA43" w:rsidR="00DB7B99" w:rsidRPr="00DB7B99" w:rsidRDefault="00FE34E4" w:rsidP="00DB7B99">
            <w:pPr>
              <w:pStyle w:val="BodyCopy"/>
              <w:jc w:val="center"/>
              <w:rPr>
                <w:sz w:val="18"/>
                <w:szCs w:val="18"/>
              </w:rPr>
            </w:pPr>
            <w:r w:rsidRPr="00BD61D2">
              <w:rPr>
                <w:sz w:val="18"/>
                <w:szCs w:val="18"/>
              </w:rPr>
              <w:t>N/A</w:t>
            </w:r>
          </w:p>
        </w:tc>
        <w:tc>
          <w:tcPr>
            <w:tcW w:w="0" w:type="dxa"/>
            <w:vAlign w:val="center"/>
          </w:tcPr>
          <w:p w14:paraId="1D63CB1E" w14:textId="1FFF66DA" w:rsidR="00DB7B99" w:rsidRPr="00DB7B99" w:rsidRDefault="00FE34E4" w:rsidP="00DB7B99">
            <w:pPr>
              <w:pStyle w:val="BodyCopy"/>
              <w:jc w:val="center"/>
              <w:rPr>
                <w:sz w:val="18"/>
                <w:szCs w:val="18"/>
              </w:rPr>
            </w:pPr>
            <w:r w:rsidRPr="00BD61D2">
              <w:rPr>
                <w:sz w:val="18"/>
                <w:szCs w:val="18"/>
              </w:rPr>
              <w:t>176.0</w:t>
            </w:r>
          </w:p>
        </w:tc>
      </w:tr>
      <w:tr w:rsidR="00DB7B99" w:rsidRPr="00B8142E" w14:paraId="635BCB2B" w14:textId="77777777" w:rsidTr="00BD61D2">
        <w:tc>
          <w:tcPr>
            <w:tcW w:w="0" w:type="dxa"/>
          </w:tcPr>
          <w:p w14:paraId="33D757D9" w14:textId="77777777" w:rsidR="00DB7B99" w:rsidRPr="00877C9E" w:rsidRDefault="00DB7B99" w:rsidP="00DB7B99">
            <w:pPr>
              <w:pStyle w:val="BodyCopy"/>
              <w:rPr>
                <w:sz w:val="18"/>
                <w:szCs w:val="20"/>
              </w:rPr>
            </w:pPr>
            <w:r w:rsidRPr="00877C9E">
              <w:rPr>
                <w:sz w:val="18"/>
                <w:szCs w:val="20"/>
              </w:rPr>
              <w:t>Total over pricing period</w:t>
            </w:r>
          </w:p>
        </w:tc>
        <w:tc>
          <w:tcPr>
            <w:tcW w:w="0" w:type="dxa"/>
            <w:vAlign w:val="center"/>
          </w:tcPr>
          <w:p w14:paraId="6751F70C" w14:textId="24196C13" w:rsidR="00DB7B99" w:rsidRPr="00DB7B99" w:rsidRDefault="00FE34E4" w:rsidP="00DB7B99">
            <w:pPr>
              <w:pStyle w:val="BodyCopy"/>
              <w:jc w:val="center"/>
              <w:rPr>
                <w:sz w:val="18"/>
                <w:szCs w:val="18"/>
              </w:rPr>
            </w:pPr>
            <w:r w:rsidRPr="00BD61D2">
              <w:rPr>
                <w:sz w:val="18"/>
                <w:szCs w:val="18"/>
              </w:rPr>
              <w:t>155.7</w:t>
            </w:r>
          </w:p>
        </w:tc>
        <w:tc>
          <w:tcPr>
            <w:tcW w:w="0" w:type="dxa"/>
            <w:vAlign w:val="center"/>
          </w:tcPr>
          <w:p w14:paraId="4E7F71AF" w14:textId="7E53D530" w:rsidR="00DB7B99" w:rsidRPr="00DB7B99" w:rsidRDefault="00FE34E4" w:rsidP="00DB7B99">
            <w:pPr>
              <w:pStyle w:val="BodyCopy"/>
              <w:jc w:val="center"/>
              <w:rPr>
                <w:sz w:val="18"/>
                <w:szCs w:val="18"/>
              </w:rPr>
            </w:pPr>
            <w:r w:rsidRPr="00BD61D2">
              <w:rPr>
                <w:sz w:val="18"/>
                <w:szCs w:val="18"/>
              </w:rPr>
              <w:t>156.8</w:t>
            </w:r>
          </w:p>
        </w:tc>
        <w:tc>
          <w:tcPr>
            <w:tcW w:w="0" w:type="dxa"/>
            <w:vAlign w:val="center"/>
          </w:tcPr>
          <w:p w14:paraId="0A3916C0" w14:textId="71268CCB" w:rsidR="00DB7B99" w:rsidRPr="00DB7B99" w:rsidRDefault="00FE34E4" w:rsidP="00DB7B99">
            <w:pPr>
              <w:pStyle w:val="BodyCopy"/>
              <w:jc w:val="center"/>
              <w:rPr>
                <w:sz w:val="18"/>
                <w:szCs w:val="18"/>
              </w:rPr>
            </w:pPr>
            <w:r w:rsidRPr="00BD61D2">
              <w:rPr>
                <w:sz w:val="18"/>
                <w:szCs w:val="18"/>
              </w:rPr>
              <w:t>136.5</w:t>
            </w:r>
          </w:p>
        </w:tc>
        <w:tc>
          <w:tcPr>
            <w:tcW w:w="0" w:type="dxa"/>
            <w:vAlign w:val="center"/>
          </w:tcPr>
          <w:p w14:paraId="4B2A84DD" w14:textId="6EF43969" w:rsidR="00DB7B99" w:rsidRPr="00DB7B99" w:rsidRDefault="00FE34E4" w:rsidP="00DB7B99">
            <w:pPr>
              <w:pStyle w:val="BodyCopy"/>
              <w:jc w:val="center"/>
              <w:rPr>
                <w:sz w:val="18"/>
                <w:szCs w:val="18"/>
              </w:rPr>
            </w:pPr>
            <w:r w:rsidRPr="00BD61D2">
              <w:rPr>
                <w:sz w:val="18"/>
                <w:szCs w:val="18"/>
              </w:rPr>
              <w:t>46.8</w:t>
            </w:r>
          </w:p>
        </w:tc>
        <w:tc>
          <w:tcPr>
            <w:tcW w:w="0" w:type="dxa"/>
            <w:vAlign w:val="center"/>
          </w:tcPr>
          <w:p w14:paraId="3937E635" w14:textId="2A4B601D"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30874384" w14:textId="28B312D3" w:rsidR="00DB7B99" w:rsidRPr="00DB7B99" w:rsidRDefault="00FE34E4" w:rsidP="00DB7B99">
            <w:pPr>
              <w:pStyle w:val="BodyCopy"/>
              <w:jc w:val="center"/>
              <w:rPr>
                <w:sz w:val="18"/>
                <w:szCs w:val="18"/>
              </w:rPr>
            </w:pPr>
            <w:r w:rsidRPr="00BD61D2">
              <w:rPr>
                <w:sz w:val="18"/>
                <w:szCs w:val="18"/>
              </w:rPr>
              <w:t>14.4</w:t>
            </w:r>
          </w:p>
        </w:tc>
        <w:tc>
          <w:tcPr>
            <w:tcW w:w="0" w:type="dxa"/>
            <w:vAlign w:val="center"/>
          </w:tcPr>
          <w:p w14:paraId="5035E4A3" w14:textId="78E5FDC5"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3E911835" w14:textId="2A455598" w:rsidR="00DB7B99" w:rsidRPr="00DB7B99" w:rsidRDefault="00FE34E4" w:rsidP="00DB7B99">
            <w:pPr>
              <w:pStyle w:val="BodyCopy"/>
              <w:jc w:val="center"/>
              <w:rPr>
                <w:sz w:val="18"/>
                <w:szCs w:val="18"/>
              </w:rPr>
            </w:pPr>
            <w:r w:rsidRPr="00BD61D2">
              <w:rPr>
                <w:sz w:val="18"/>
                <w:szCs w:val="18"/>
              </w:rPr>
              <w:t>2.5</w:t>
            </w:r>
          </w:p>
        </w:tc>
        <w:tc>
          <w:tcPr>
            <w:tcW w:w="0" w:type="dxa"/>
            <w:vAlign w:val="center"/>
          </w:tcPr>
          <w:p w14:paraId="5F5A7EAC" w14:textId="40F178C4" w:rsidR="00DB7B99" w:rsidRPr="00DB7B99" w:rsidRDefault="00FE34E4" w:rsidP="00DB7B99">
            <w:pPr>
              <w:pStyle w:val="BodyCopy"/>
              <w:jc w:val="center"/>
              <w:rPr>
                <w:sz w:val="18"/>
                <w:szCs w:val="18"/>
              </w:rPr>
            </w:pPr>
            <w:r w:rsidRPr="00BD61D2">
              <w:rPr>
                <w:sz w:val="18"/>
                <w:szCs w:val="18"/>
              </w:rPr>
              <w:t>0.0</w:t>
            </w:r>
          </w:p>
        </w:tc>
        <w:tc>
          <w:tcPr>
            <w:tcW w:w="0" w:type="dxa"/>
            <w:vAlign w:val="center"/>
          </w:tcPr>
          <w:p w14:paraId="2DBA6906" w14:textId="0AB2DB29" w:rsidR="00DB7B99" w:rsidRPr="00DB7B99" w:rsidRDefault="00FE34E4" w:rsidP="00DB7B99">
            <w:pPr>
              <w:pStyle w:val="BodyCopy"/>
              <w:jc w:val="center"/>
              <w:rPr>
                <w:sz w:val="18"/>
                <w:szCs w:val="18"/>
              </w:rPr>
            </w:pPr>
            <w:r w:rsidRPr="00BD61D2">
              <w:rPr>
                <w:sz w:val="18"/>
                <w:szCs w:val="18"/>
              </w:rPr>
              <w:t>512.9</w:t>
            </w:r>
          </w:p>
        </w:tc>
      </w:tr>
    </w:tbl>
    <w:p w14:paraId="01169A57" w14:textId="6976AD47" w:rsidR="004643D9" w:rsidRDefault="006F4E31" w:rsidP="006175F6">
      <w:pPr>
        <w:pStyle w:val="Heading3"/>
      </w:pPr>
      <w:bookmarkStart w:id="496" w:name="_Toc86158500"/>
      <w:r>
        <w:lastRenderedPageBreak/>
        <w:t xml:space="preserve">Impact on </w:t>
      </w:r>
      <w:r w:rsidR="0095435F">
        <w:t>industry</w:t>
      </w:r>
      <w:bookmarkEnd w:id="496"/>
    </w:p>
    <w:p w14:paraId="2C5E733A" w14:textId="361A7F67" w:rsidR="00EF21E9" w:rsidRPr="00651E86" w:rsidRDefault="00EF21E9" w:rsidP="00357D40">
      <w:pPr>
        <w:pStyle w:val="BodyCopy"/>
        <w:keepNext/>
        <w:rPr>
          <w:b/>
          <w:bCs/>
        </w:rPr>
      </w:pPr>
      <w:r w:rsidRPr="00651E86">
        <w:rPr>
          <w:b/>
          <w:bCs/>
        </w:rPr>
        <w:t xml:space="preserve">Road </w:t>
      </w:r>
      <w:r w:rsidR="00934298">
        <w:rPr>
          <w:b/>
          <w:bCs/>
        </w:rPr>
        <w:t>u</w:t>
      </w:r>
      <w:r w:rsidRPr="00651E86">
        <w:rPr>
          <w:b/>
          <w:bCs/>
        </w:rPr>
        <w:t xml:space="preserve">ser </w:t>
      </w:r>
      <w:r w:rsidR="00934298">
        <w:rPr>
          <w:b/>
          <w:bCs/>
        </w:rPr>
        <w:t>c</w:t>
      </w:r>
      <w:r w:rsidRPr="00651E86">
        <w:rPr>
          <w:b/>
          <w:bCs/>
        </w:rPr>
        <w:t>harge</w:t>
      </w:r>
    </w:p>
    <w:p w14:paraId="3600DB4D" w14:textId="78DF660C" w:rsidR="00EF21E9" w:rsidRDefault="003C2812" w:rsidP="00ED3A28">
      <w:pPr>
        <w:pStyle w:val="BodyCopy"/>
      </w:pPr>
      <w:r>
        <w:fldChar w:fldCharType="begin"/>
      </w:r>
      <w:r>
        <w:instrText xml:space="preserve"> REF _Ref82013150 \r \h </w:instrText>
      </w:r>
      <w:r>
        <w:fldChar w:fldCharType="separate"/>
      </w:r>
      <w:r w:rsidR="00225EEA">
        <w:t>Table 26</w:t>
      </w:r>
      <w:r>
        <w:fldChar w:fldCharType="end"/>
      </w:r>
      <w:r w:rsidR="00571A8D">
        <w:t xml:space="preserve"> shows the estimated </w:t>
      </w:r>
      <w:r w:rsidR="00934298">
        <w:t>RUC</w:t>
      </w:r>
      <w:r w:rsidR="00571A8D">
        <w:t xml:space="preserve"> in cents per litre of diesel fuel that would apply over the first three years of this determination under the three implementation options. </w:t>
      </w:r>
      <w:r w:rsidR="00257361">
        <w:t>The RUC rate is significantly higher u</w:t>
      </w:r>
      <w:r w:rsidR="00922F76">
        <w:t>nder the direct implementation option</w:t>
      </w:r>
      <w:r w:rsidR="00571A8D">
        <w:t xml:space="preserve"> </w:t>
      </w:r>
      <w:r w:rsidR="00257361">
        <w:t xml:space="preserve">than it is currently due to both the higher cost base and the need to increase the RUC rate to make up for the shortfall in revenue arising from RUC leakages. Under the other two implementation options, the RUC rate is simply increased by the specified percentage with no adjustment for RUC leakages. (However, the estimates of RUC revenue in </w:t>
      </w:r>
      <w:r w:rsidR="00F9426F">
        <w:fldChar w:fldCharType="begin"/>
      </w:r>
      <w:r w:rsidR="00F9426F">
        <w:instrText xml:space="preserve"> REF _Ref63755498 \r \h </w:instrText>
      </w:r>
      <w:r w:rsidR="00F9426F">
        <w:fldChar w:fldCharType="separate"/>
      </w:r>
      <w:r w:rsidR="00225EEA">
        <w:t>Table 23</w:t>
      </w:r>
      <w:r w:rsidR="00F9426F">
        <w:fldChar w:fldCharType="end"/>
      </w:r>
      <w:r w:rsidR="00A83008">
        <w:t xml:space="preserve"> and </w:t>
      </w:r>
      <w:r w:rsidR="00F9426F">
        <w:fldChar w:fldCharType="begin"/>
      </w:r>
      <w:r w:rsidR="00F9426F">
        <w:instrText xml:space="preserve"> REF _Ref63755526 \r \h </w:instrText>
      </w:r>
      <w:r w:rsidR="00F9426F">
        <w:fldChar w:fldCharType="separate"/>
      </w:r>
      <w:r w:rsidR="00225EEA">
        <w:t>Table 24</w:t>
      </w:r>
      <w:r w:rsidR="00F9426F">
        <w:fldChar w:fldCharType="end"/>
      </w:r>
      <w:r w:rsidR="00257361">
        <w:t xml:space="preserve"> reflect the lower amount of fuel estimated to be subject to RUC.)</w:t>
      </w:r>
    </w:p>
    <w:p w14:paraId="4BD045A0" w14:textId="0C8049AC" w:rsidR="00F87FB4" w:rsidRDefault="00571A8D" w:rsidP="00571A8D">
      <w:pPr>
        <w:pStyle w:val="Tabletitle"/>
      </w:pPr>
      <w:bookmarkStart w:id="497" w:name="_Ref59003252"/>
      <w:bookmarkStart w:id="498" w:name="_Toc59436404"/>
      <w:bookmarkStart w:id="499" w:name="_Ref82013150"/>
      <w:bookmarkStart w:id="500" w:name="_Toc86158565"/>
      <w:r>
        <w:t xml:space="preserve">Road </w:t>
      </w:r>
      <w:r w:rsidR="00EC4D84">
        <w:t>u</w:t>
      </w:r>
      <w:r>
        <w:t xml:space="preserve">ser </w:t>
      </w:r>
      <w:r w:rsidR="00EC4D84">
        <w:t>c</w:t>
      </w:r>
      <w:r>
        <w:t>harge</w:t>
      </w:r>
      <w:r w:rsidR="00F77907">
        <w:t xml:space="preserve"> under </w:t>
      </w:r>
      <w:r w:rsidR="00EC4D84">
        <w:t>c</w:t>
      </w:r>
      <w:r w:rsidR="00F77907">
        <w:t xml:space="preserve">urrent cost allocation option for </w:t>
      </w:r>
      <w:r>
        <w:t>each implementation option</w:t>
      </w:r>
      <w:bookmarkEnd w:id="497"/>
      <w:bookmarkEnd w:id="498"/>
      <w:r w:rsidR="00B8142E">
        <w:t xml:space="preserve"> (cents per litre)</w:t>
      </w:r>
      <w:bookmarkEnd w:id="499"/>
      <w:bookmarkEnd w:id="500"/>
    </w:p>
    <w:tbl>
      <w:tblPr>
        <w:tblStyle w:val="NTCtable"/>
        <w:tblW w:w="5000" w:type="pct"/>
        <w:tblLook w:val="04A0" w:firstRow="1" w:lastRow="0" w:firstColumn="1" w:lastColumn="0" w:noHBand="0" w:noVBand="1"/>
      </w:tblPr>
      <w:tblGrid>
        <w:gridCol w:w="3623"/>
        <w:gridCol w:w="1802"/>
        <w:gridCol w:w="1802"/>
        <w:gridCol w:w="1800"/>
      </w:tblGrid>
      <w:tr w:rsidR="00A62732" w14:paraId="6700A311" w14:textId="77777777" w:rsidTr="00431B99">
        <w:trPr>
          <w:cnfStyle w:val="100000000000" w:firstRow="1" w:lastRow="0" w:firstColumn="0" w:lastColumn="0" w:oddVBand="0" w:evenVBand="0" w:oddHBand="0" w:evenHBand="0" w:firstRowFirstColumn="0" w:firstRowLastColumn="0" w:lastRowFirstColumn="0" w:lastRowLastColumn="0"/>
          <w:tblHeader/>
        </w:trPr>
        <w:tc>
          <w:tcPr>
            <w:tcW w:w="2007" w:type="pct"/>
          </w:tcPr>
          <w:p w14:paraId="4E02C801" w14:textId="6BB44A3B" w:rsidR="00A62732" w:rsidRPr="00C4270B" w:rsidRDefault="00C415CC" w:rsidP="000F32C2">
            <w:pPr>
              <w:pStyle w:val="BodyCopy"/>
              <w:rPr>
                <w:sz w:val="20"/>
                <w:szCs w:val="20"/>
              </w:rPr>
            </w:pPr>
            <w:r>
              <w:rPr>
                <w:b/>
                <w:bCs/>
                <w:sz w:val="20"/>
                <w:szCs w:val="20"/>
              </w:rPr>
              <w:t>I</w:t>
            </w:r>
            <w:r w:rsidRPr="00564725">
              <w:rPr>
                <w:b/>
                <w:bCs/>
                <w:sz w:val="20"/>
                <w:szCs w:val="20"/>
              </w:rPr>
              <w:t>mplementation option</w:t>
            </w:r>
          </w:p>
        </w:tc>
        <w:tc>
          <w:tcPr>
            <w:tcW w:w="998" w:type="pct"/>
            <w:vAlign w:val="center"/>
          </w:tcPr>
          <w:p w14:paraId="5BBFBF47" w14:textId="22488F89" w:rsidR="00A62732" w:rsidRPr="00CD6B04" w:rsidRDefault="00A62732" w:rsidP="00AF7B68">
            <w:pPr>
              <w:pStyle w:val="BodyCopy"/>
              <w:jc w:val="center"/>
              <w:rPr>
                <w:b/>
                <w:bCs/>
                <w:sz w:val="20"/>
                <w:szCs w:val="20"/>
              </w:rPr>
            </w:pPr>
            <w:r w:rsidRPr="00CD6B04">
              <w:rPr>
                <w:b/>
                <w:bCs/>
                <w:sz w:val="20"/>
                <w:szCs w:val="20"/>
              </w:rPr>
              <w:t>Year 1</w:t>
            </w:r>
          </w:p>
        </w:tc>
        <w:tc>
          <w:tcPr>
            <w:tcW w:w="998" w:type="pct"/>
            <w:vAlign w:val="center"/>
          </w:tcPr>
          <w:p w14:paraId="6619FCBA" w14:textId="69F2E1B2" w:rsidR="00A62732" w:rsidRPr="00CD6B04" w:rsidRDefault="00A62732" w:rsidP="00AF7B68">
            <w:pPr>
              <w:pStyle w:val="BodyCopy"/>
              <w:jc w:val="center"/>
              <w:rPr>
                <w:b/>
                <w:bCs/>
                <w:sz w:val="20"/>
                <w:szCs w:val="20"/>
              </w:rPr>
            </w:pPr>
            <w:r w:rsidRPr="00CD6B04">
              <w:rPr>
                <w:b/>
                <w:bCs/>
                <w:sz w:val="20"/>
                <w:szCs w:val="20"/>
              </w:rPr>
              <w:t>Year 2</w:t>
            </w:r>
          </w:p>
        </w:tc>
        <w:tc>
          <w:tcPr>
            <w:tcW w:w="997" w:type="pct"/>
            <w:vAlign w:val="center"/>
          </w:tcPr>
          <w:p w14:paraId="0E016808" w14:textId="62317CE7" w:rsidR="00A62732" w:rsidRPr="00CD6B04" w:rsidRDefault="00A62732" w:rsidP="00AF7B68">
            <w:pPr>
              <w:pStyle w:val="BodyCopy"/>
              <w:jc w:val="center"/>
              <w:rPr>
                <w:b/>
                <w:bCs/>
                <w:sz w:val="20"/>
                <w:szCs w:val="20"/>
              </w:rPr>
            </w:pPr>
            <w:r w:rsidRPr="00CD6B04">
              <w:rPr>
                <w:b/>
                <w:bCs/>
                <w:sz w:val="20"/>
                <w:szCs w:val="20"/>
              </w:rPr>
              <w:t>Year 3</w:t>
            </w:r>
          </w:p>
        </w:tc>
      </w:tr>
      <w:tr w:rsidR="00A62732" w14:paraId="6D57E6DB" w14:textId="77777777" w:rsidTr="00431B99">
        <w:tc>
          <w:tcPr>
            <w:tcW w:w="2007" w:type="pct"/>
          </w:tcPr>
          <w:p w14:paraId="1E7CAACE" w14:textId="5FB925C9" w:rsidR="00A62732" w:rsidRPr="00C4270B" w:rsidRDefault="00A62732" w:rsidP="00ED3A28">
            <w:pPr>
              <w:pStyle w:val="BodyCopy"/>
              <w:rPr>
                <w:sz w:val="20"/>
                <w:szCs w:val="20"/>
              </w:rPr>
            </w:pPr>
            <w:r w:rsidRPr="00C4270B">
              <w:rPr>
                <w:sz w:val="20"/>
                <w:szCs w:val="20"/>
              </w:rPr>
              <w:t>Direct implementation</w:t>
            </w:r>
          </w:p>
        </w:tc>
        <w:tc>
          <w:tcPr>
            <w:tcW w:w="998" w:type="pct"/>
            <w:vAlign w:val="center"/>
          </w:tcPr>
          <w:p w14:paraId="2FB15C55" w14:textId="24D2D88F" w:rsidR="00A62732" w:rsidRPr="00C4270B" w:rsidRDefault="00132D8E" w:rsidP="00AF7B68">
            <w:pPr>
              <w:pStyle w:val="BodyCopy"/>
              <w:jc w:val="center"/>
              <w:rPr>
                <w:sz w:val="20"/>
                <w:szCs w:val="20"/>
              </w:rPr>
            </w:pPr>
            <w:r w:rsidRPr="00132D8E">
              <w:rPr>
                <w:sz w:val="20"/>
                <w:szCs w:val="20"/>
              </w:rPr>
              <w:t>35.8</w:t>
            </w:r>
          </w:p>
        </w:tc>
        <w:tc>
          <w:tcPr>
            <w:tcW w:w="998" w:type="pct"/>
            <w:vAlign w:val="center"/>
          </w:tcPr>
          <w:p w14:paraId="422FE4E6" w14:textId="2D9AD627" w:rsidR="00A62732" w:rsidRPr="00C4270B" w:rsidRDefault="00B86F6B" w:rsidP="00AF7B68">
            <w:pPr>
              <w:pStyle w:val="BodyCopy"/>
              <w:jc w:val="center"/>
              <w:rPr>
                <w:sz w:val="20"/>
                <w:szCs w:val="20"/>
              </w:rPr>
            </w:pPr>
            <w:r w:rsidRPr="00C4270B">
              <w:rPr>
                <w:sz w:val="20"/>
                <w:szCs w:val="20"/>
              </w:rPr>
              <w:t>N/A</w:t>
            </w:r>
          </w:p>
        </w:tc>
        <w:tc>
          <w:tcPr>
            <w:tcW w:w="997" w:type="pct"/>
            <w:vAlign w:val="center"/>
          </w:tcPr>
          <w:p w14:paraId="426D11FD" w14:textId="213D77F3" w:rsidR="00A62732" w:rsidRPr="00C4270B" w:rsidRDefault="00B86F6B" w:rsidP="00AF7B68">
            <w:pPr>
              <w:pStyle w:val="BodyCopy"/>
              <w:jc w:val="center"/>
              <w:rPr>
                <w:sz w:val="20"/>
                <w:szCs w:val="20"/>
              </w:rPr>
            </w:pPr>
            <w:r w:rsidRPr="00C4270B">
              <w:rPr>
                <w:sz w:val="20"/>
                <w:szCs w:val="20"/>
              </w:rPr>
              <w:t>N/A</w:t>
            </w:r>
          </w:p>
        </w:tc>
      </w:tr>
      <w:tr w:rsidR="00B8142E" w14:paraId="4044ED30" w14:textId="77777777" w:rsidTr="00BD61D2">
        <w:tc>
          <w:tcPr>
            <w:tcW w:w="0" w:type="pct"/>
          </w:tcPr>
          <w:p w14:paraId="12206C81" w14:textId="47CAB73F" w:rsidR="00B8142E" w:rsidRPr="00C4270B" w:rsidRDefault="008A449E" w:rsidP="00B8142E">
            <w:pPr>
              <w:pStyle w:val="BodyCopy"/>
              <w:rPr>
                <w:sz w:val="20"/>
                <w:szCs w:val="20"/>
              </w:rPr>
            </w:pPr>
            <w:r>
              <w:rPr>
                <w:sz w:val="20"/>
                <w:szCs w:val="20"/>
              </w:rPr>
              <w:t xml:space="preserve">Three-year fixed price </w:t>
            </w:r>
            <w:r w:rsidR="00B438B7">
              <w:rPr>
                <w:sz w:val="20"/>
                <w:szCs w:val="20"/>
              </w:rPr>
              <w:t>pathway</w:t>
            </w:r>
            <w:r w:rsidR="00B8142E" w:rsidRPr="00C4270B">
              <w:rPr>
                <w:sz w:val="20"/>
                <w:szCs w:val="20"/>
              </w:rPr>
              <w:t xml:space="preserve"> 1: </w:t>
            </w:r>
            <w:r w:rsidR="00C22C44">
              <w:rPr>
                <w:sz w:val="20"/>
                <w:szCs w:val="20"/>
              </w:rPr>
              <w:t xml:space="preserve">up to </w:t>
            </w:r>
            <w:r w:rsidR="00B8142E" w:rsidRPr="00C4270B">
              <w:rPr>
                <w:sz w:val="20"/>
                <w:szCs w:val="20"/>
              </w:rPr>
              <w:t>3.5% per annum</w:t>
            </w:r>
          </w:p>
        </w:tc>
        <w:tc>
          <w:tcPr>
            <w:tcW w:w="0" w:type="pct"/>
            <w:vAlign w:val="center"/>
          </w:tcPr>
          <w:p w14:paraId="00EF5341" w14:textId="51F81CF0" w:rsidR="00B8142E" w:rsidRPr="00C4270B" w:rsidRDefault="00431B99" w:rsidP="00AF7B68">
            <w:pPr>
              <w:pStyle w:val="BodyCopy"/>
              <w:jc w:val="center"/>
              <w:rPr>
                <w:sz w:val="20"/>
                <w:szCs w:val="20"/>
              </w:rPr>
            </w:pPr>
            <w:r w:rsidRPr="00BD61D2">
              <w:rPr>
                <w:sz w:val="20"/>
                <w:szCs w:val="20"/>
              </w:rPr>
              <w:t>27.2</w:t>
            </w:r>
          </w:p>
        </w:tc>
        <w:tc>
          <w:tcPr>
            <w:tcW w:w="0" w:type="pct"/>
            <w:vAlign w:val="center"/>
          </w:tcPr>
          <w:p w14:paraId="7859958A" w14:textId="367B136E" w:rsidR="00B8142E" w:rsidRPr="00C4270B" w:rsidRDefault="00431B99" w:rsidP="00AF7B68">
            <w:pPr>
              <w:pStyle w:val="BodyCopy"/>
              <w:jc w:val="center"/>
              <w:rPr>
                <w:sz w:val="20"/>
                <w:szCs w:val="20"/>
              </w:rPr>
            </w:pPr>
            <w:r w:rsidRPr="00BD61D2">
              <w:rPr>
                <w:sz w:val="20"/>
                <w:szCs w:val="20"/>
              </w:rPr>
              <w:t>28.0</w:t>
            </w:r>
          </w:p>
        </w:tc>
        <w:tc>
          <w:tcPr>
            <w:tcW w:w="997" w:type="pct"/>
            <w:vAlign w:val="center"/>
          </w:tcPr>
          <w:p w14:paraId="1FCAC06E" w14:textId="2AA5408C" w:rsidR="00B8142E" w:rsidRPr="00C4270B" w:rsidRDefault="00431B99" w:rsidP="00AF7B68">
            <w:pPr>
              <w:pStyle w:val="BodyCopy"/>
              <w:jc w:val="center"/>
              <w:rPr>
                <w:sz w:val="20"/>
                <w:szCs w:val="20"/>
              </w:rPr>
            </w:pPr>
            <w:r w:rsidRPr="00BD61D2">
              <w:rPr>
                <w:sz w:val="20"/>
                <w:szCs w:val="20"/>
              </w:rPr>
              <w:t>29.0</w:t>
            </w:r>
          </w:p>
        </w:tc>
      </w:tr>
      <w:tr w:rsidR="00B8142E" w14:paraId="6D146E6E" w14:textId="77777777" w:rsidTr="00431B99">
        <w:tc>
          <w:tcPr>
            <w:tcW w:w="2007" w:type="pct"/>
          </w:tcPr>
          <w:p w14:paraId="7D8D8325" w14:textId="20AA0FAE" w:rsidR="00B8142E" w:rsidRPr="00C4270B" w:rsidRDefault="008A449E" w:rsidP="00B8142E">
            <w:pPr>
              <w:pStyle w:val="BodyCopy"/>
              <w:rPr>
                <w:sz w:val="20"/>
                <w:szCs w:val="20"/>
              </w:rPr>
            </w:pPr>
            <w:r>
              <w:rPr>
                <w:sz w:val="20"/>
                <w:szCs w:val="20"/>
              </w:rPr>
              <w:t>Three-year fixed price path</w:t>
            </w:r>
            <w:r w:rsidR="00B438B7">
              <w:rPr>
                <w:sz w:val="20"/>
                <w:szCs w:val="20"/>
              </w:rPr>
              <w:t>way</w:t>
            </w:r>
            <w:r>
              <w:rPr>
                <w:sz w:val="20"/>
                <w:szCs w:val="20"/>
              </w:rPr>
              <w:t xml:space="preserve"> 2</w:t>
            </w:r>
            <w:r w:rsidR="00B8142E" w:rsidRPr="00C4270B">
              <w:rPr>
                <w:sz w:val="20"/>
                <w:szCs w:val="20"/>
              </w:rPr>
              <w:t>: 6% per annum</w:t>
            </w:r>
          </w:p>
        </w:tc>
        <w:tc>
          <w:tcPr>
            <w:tcW w:w="998" w:type="pct"/>
            <w:vAlign w:val="center"/>
          </w:tcPr>
          <w:p w14:paraId="38ED147C" w14:textId="3BC2B9D5" w:rsidR="00B8142E" w:rsidRPr="00C4270B" w:rsidRDefault="00B8142E" w:rsidP="00AF7B68">
            <w:pPr>
              <w:pStyle w:val="BodyCopy"/>
              <w:jc w:val="center"/>
              <w:rPr>
                <w:sz w:val="20"/>
                <w:szCs w:val="20"/>
              </w:rPr>
            </w:pPr>
            <w:r w:rsidRPr="00C4270B">
              <w:rPr>
                <w:sz w:val="20"/>
                <w:szCs w:val="20"/>
              </w:rPr>
              <w:t>28.0</w:t>
            </w:r>
          </w:p>
        </w:tc>
        <w:tc>
          <w:tcPr>
            <w:tcW w:w="998" w:type="pct"/>
            <w:vAlign w:val="center"/>
          </w:tcPr>
          <w:p w14:paraId="7A379E34" w14:textId="385FF3C6" w:rsidR="00B8142E" w:rsidRPr="00C4270B" w:rsidRDefault="00B8142E" w:rsidP="00AF7B68">
            <w:pPr>
              <w:pStyle w:val="BodyCopy"/>
              <w:jc w:val="center"/>
              <w:rPr>
                <w:sz w:val="20"/>
                <w:szCs w:val="20"/>
              </w:rPr>
            </w:pPr>
            <w:r w:rsidRPr="00C4270B">
              <w:rPr>
                <w:sz w:val="20"/>
                <w:szCs w:val="20"/>
              </w:rPr>
              <w:t>29.7</w:t>
            </w:r>
          </w:p>
        </w:tc>
        <w:tc>
          <w:tcPr>
            <w:tcW w:w="997" w:type="pct"/>
            <w:vAlign w:val="center"/>
          </w:tcPr>
          <w:p w14:paraId="42BD23D5" w14:textId="5417D323" w:rsidR="00B8142E" w:rsidRPr="00C4270B" w:rsidRDefault="00B8142E" w:rsidP="00AF7B68">
            <w:pPr>
              <w:pStyle w:val="BodyCopy"/>
              <w:jc w:val="center"/>
              <w:rPr>
                <w:sz w:val="20"/>
                <w:szCs w:val="20"/>
              </w:rPr>
            </w:pPr>
            <w:r w:rsidRPr="00C4270B">
              <w:rPr>
                <w:sz w:val="20"/>
                <w:szCs w:val="20"/>
              </w:rPr>
              <w:t>31.5</w:t>
            </w:r>
          </w:p>
        </w:tc>
      </w:tr>
    </w:tbl>
    <w:p w14:paraId="60605EEF" w14:textId="25BE6BB2" w:rsidR="00167CBC" w:rsidRDefault="00EF21E9" w:rsidP="00ED3A28">
      <w:pPr>
        <w:pStyle w:val="BodyCopy"/>
        <w:rPr>
          <w:b/>
          <w:bCs/>
        </w:rPr>
      </w:pPr>
      <w:r w:rsidRPr="00651E86">
        <w:rPr>
          <w:b/>
          <w:bCs/>
        </w:rPr>
        <w:t>Registration charges</w:t>
      </w:r>
      <w:r w:rsidR="00E95182">
        <w:rPr>
          <w:b/>
          <w:bCs/>
        </w:rPr>
        <w:t xml:space="preserve"> for common vehicle types</w:t>
      </w:r>
      <w:r w:rsidRPr="00651E86">
        <w:rPr>
          <w:b/>
          <w:bCs/>
        </w:rPr>
        <w:t xml:space="preserve"> (including roads and regulatory components)</w:t>
      </w:r>
    </w:p>
    <w:p w14:paraId="4AF2A911" w14:textId="54972CA2" w:rsidR="00A94D53" w:rsidRDefault="00D1041A" w:rsidP="008E0DAC">
      <w:pPr>
        <w:pStyle w:val="BodyCopy"/>
      </w:pPr>
      <w:r>
        <w:t>Tables 27–29</w:t>
      </w:r>
      <w:r w:rsidR="008E0DAC">
        <w:t xml:space="preserve"> show the estimated registration charges (including both roads and regulatory components) that would apply under the three implementation options over the three years following the determination. </w:t>
      </w:r>
      <w:r w:rsidR="00996609">
        <w:t xml:space="preserve">Under the direct implementation option, charges for the second and third year are not known </w:t>
      </w:r>
      <w:r w:rsidR="003300C1">
        <w:t xml:space="preserve">because </w:t>
      </w:r>
      <w:r w:rsidR="00996609">
        <w:t>they depend on future expenditure and usage data.</w:t>
      </w:r>
    </w:p>
    <w:p w14:paraId="226FCAB2" w14:textId="0DFEC06A" w:rsidR="008E0DAC" w:rsidRDefault="005F2E1C" w:rsidP="008E0DAC">
      <w:pPr>
        <w:pStyle w:val="BodyCopy"/>
      </w:pPr>
      <w:r>
        <w:t xml:space="preserve">As noted in section </w:t>
      </w:r>
      <w:r>
        <w:fldChar w:fldCharType="begin"/>
      </w:r>
      <w:r>
        <w:instrText xml:space="preserve"> REF _Ref82075974 \r \h </w:instrText>
      </w:r>
      <w:r>
        <w:fldChar w:fldCharType="separate"/>
      </w:r>
      <w:r w:rsidR="00225EEA">
        <w:t>6.6.1</w:t>
      </w:r>
      <w:r>
        <w:fldChar w:fldCharType="end"/>
      </w:r>
      <w:r w:rsidR="00A94D53">
        <w:t xml:space="preserve">, the regulatory component of registration charges </w:t>
      </w:r>
      <w:r w:rsidR="00A82833">
        <w:t>for years 2 and 3 (2023–24 and 2024–25) are</w:t>
      </w:r>
      <w:r w:rsidR="008270E9">
        <w:t xml:space="preserve"> indicative only</w:t>
      </w:r>
      <w:r w:rsidR="00FA186C">
        <w:t>; final charges</w:t>
      </w:r>
      <w:r w:rsidR="008270E9">
        <w:t xml:space="preserve"> </w:t>
      </w:r>
      <w:r w:rsidR="007931A9">
        <w:t xml:space="preserve">would be available once the NHVR’s </w:t>
      </w:r>
      <w:r w:rsidR="00FA186C">
        <w:t>approved budget and vehicle fleet numbers are known</w:t>
      </w:r>
      <w:r w:rsidR="00024AC0">
        <w:t xml:space="preserve"> </w:t>
      </w:r>
      <w:r w:rsidR="00451D2E">
        <w:t>in future</w:t>
      </w:r>
      <w:r w:rsidR="00275EF9">
        <w:t xml:space="preserve"> years</w:t>
      </w:r>
      <w:r w:rsidR="00A94D53">
        <w:t>.</w:t>
      </w:r>
      <w:r w:rsidR="00830D17">
        <w:t xml:space="preserve"> </w:t>
      </w:r>
    </w:p>
    <w:p w14:paraId="13AE0057" w14:textId="7F49262B" w:rsidR="008E0DAC" w:rsidRPr="008E0DAC" w:rsidRDefault="006823D3" w:rsidP="008E0DAC">
      <w:pPr>
        <w:pStyle w:val="Tabletitle"/>
      </w:pPr>
      <w:bookmarkStart w:id="501" w:name="_Toc59436405"/>
      <w:bookmarkStart w:id="502" w:name="_Toc86158566"/>
      <w:r>
        <w:t xml:space="preserve">Registration charges for common vehicle types: </w:t>
      </w:r>
      <w:r w:rsidR="00C81931">
        <w:t>d</w:t>
      </w:r>
      <w:r>
        <w:t>irect implementation</w:t>
      </w:r>
      <w:bookmarkEnd w:id="501"/>
      <w:bookmarkEnd w:id="502"/>
    </w:p>
    <w:tbl>
      <w:tblPr>
        <w:tblStyle w:val="NTCtable"/>
        <w:tblW w:w="9072" w:type="dxa"/>
        <w:tblLayout w:type="fixed"/>
        <w:tblLook w:val="04A0" w:firstRow="1" w:lastRow="0" w:firstColumn="1" w:lastColumn="0" w:noHBand="0" w:noVBand="1"/>
      </w:tblPr>
      <w:tblGrid>
        <w:gridCol w:w="2694"/>
        <w:gridCol w:w="1559"/>
        <w:gridCol w:w="1204"/>
        <w:gridCol w:w="1205"/>
        <w:gridCol w:w="1205"/>
        <w:gridCol w:w="1205"/>
      </w:tblGrid>
      <w:tr w:rsidR="002437BB" w:rsidRPr="00035E77" w14:paraId="06B93DD2" w14:textId="77777777" w:rsidTr="00C4270B">
        <w:trPr>
          <w:cnfStyle w:val="100000000000" w:firstRow="1" w:lastRow="0" w:firstColumn="0" w:lastColumn="0" w:oddVBand="0" w:evenVBand="0" w:oddHBand="0" w:evenHBand="0" w:firstRowFirstColumn="0" w:firstRowLastColumn="0" w:lastRowFirstColumn="0" w:lastRowLastColumn="0"/>
          <w:trHeight w:val="300"/>
          <w:tblHeader/>
        </w:trPr>
        <w:tc>
          <w:tcPr>
            <w:tcW w:w="2694" w:type="dxa"/>
            <w:noWrap/>
            <w:hideMark/>
          </w:tcPr>
          <w:p w14:paraId="2DDF4973" w14:textId="1D2E2769" w:rsidR="002437BB" w:rsidRPr="00CD6B04" w:rsidRDefault="002437BB" w:rsidP="00035E77">
            <w:pPr>
              <w:pStyle w:val="BodyCopy"/>
              <w:rPr>
                <w:b/>
                <w:bCs/>
                <w:sz w:val="20"/>
                <w:szCs w:val="20"/>
              </w:rPr>
            </w:pPr>
            <w:bookmarkStart w:id="503" w:name="_Hlk64035122"/>
            <w:r w:rsidRPr="00CD6B04">
              <w:rPr>
                <w:b/>
                <w:bCs/>
                <w:sz w:val="20"/>
                <w:szCs w:val="20"/>
              </w:rPr>
              <w:t xml:space="preserve">Vehicle </w:t>
            </w:r>
            <w:r w:rsidR="00314A7D" w:rsidRPr="00CD6B04">
              <w:rPr>
                <w:b/>
                <w:bCs/>
                <w:sz w:val="20"/>
                <w:szCs w:val="20"/>
              </w:rPr>
              <w:t>t</w:t>
            </w:r>
            <w:r w:rsidRPr="00CD6B04">
              <w:rPr>
                <w:b/>
                <w:bCs/>
                <w:sz w:val="20"/>
                <w:szCs w:val="20"/>
              </w:rPr>
              <w:t>ype</w:t>
            </w:r>
          </w:p>
        </w:tc>
        <w:tc>
          <w:tcPr>
            <w:tcW w:w="1559" w:type="dxa"/>
            <w:noWrap/>
            <w:hideMark/>
          </w:tcPr>
          <w:p w14:paraId="6A117CDE" w14:textId="3E1D8997" w:rsidR="002437BB" w:rsidRPr="00CD6B04" w:rsidRDefault="002437BB" w:rsidP="00035E77">
            <w:pPr>
              <w:pStyle w:val="BodyCopy"/>
              <w:rPr>
                <w:b/>
                <w:bCs/>
                <w:sz w:val="20"/>
                <w:szCs w:val="20"/>
              </w:rPr>
            </w:pPr>
            <w:r w:rsidRPr="00CD6B04">
              <w:rPr>
                <w:b/>
                <w:bCs/>
                <w:sz w:val="20"/>
                <w:szCs w:val="20"/>
              </w:rPr>
              <w:t>Mass rating for charging</w:t>
            </w:r>
          </w:p>
        </w:tc>
        <w:tc>
          <w:tcPr>
            <w:tcW w:w="1204" w:type="dxa"/>
          </w:tcPr>
          <w:p w14:paraId="5FAE6726" w14:textId="02B5A467" w:rsidR="002437BB" w:rsidRPr="00CD6B04" w:rsidRDefault="002437BB" w:rsidP="00035E77">
            <w:pPr>
              <w:pStyle w:val="BodyCopy"/>
              <w:rPr>
                <w:b/>
                <w:bCs/>
                <w:sz w:val="20"/>
                <w:szCs w:val="20"/>
              </w:rPr>
            </w:pPr>
            <w:r w:rsidRPr="00CD6B04">
              <w:rPr>
                <w:b/>
                <w:bCs/>
                <w:sz w:val="20"/>
                <w:szCs w:val="20"/>
              </w:rPr>
              <w:t>Current (2021</w:t>
            </w:r>
            <w:r w:rsidR="00272BD6" w:rsidRPr="00CD6B04">
              <w:rPr>
                <w:b/>
                <w:bCs/>
                <w:sz w:val="20"/>
                <w:szCs w:val="20"/>
              </w:rPr>
              <w:t>–2</w:t>
            </w:r>
            <w:r w:rsidRPr="00CD6B04">
              <w:rPr>
                <w:b/>
                <w:bCs/>
                <w:sz w:val="20"/>
                <w:szCs w:val="20"/>
              </w:rPr>
              <w:t>2)</w:t>
            </w:r>
          </w:p>
        </w:tc>
        <w:tc>
          <w:tcPr>
            <w:tcW w:w="1205" w:type="dxa"/>
            <w:noWrap/>
          </w:tcPr>
          <w:p w14:paraId="3BF0446A" w14:textId="500EB7CF" w:rsidR="002437BB" w:rsidRPr="00CD6B04" w:rsidRDefault="002437BB" w:rsidP="00035E77">
            <w:pPr>
              <w:pStyle w:val="BodyCopy"/>
              <w:rPr>
                <w:b/>
                <w:bCs/>
                <w:sz w:val="20"/>
                <w:szCs w:val="20"/>
              </w:rPr>
            </w:pPr>
            <w:r w:rsidRPr="00CD6B04">
              <w:rPr>
                <w:b/>
                <w:bCs/>
                <w:sz w:val="20"/>
                <w:szCs w:val="20"/>
              </w:rPr>
              <w:t>Year 1</w:t>
            </w:r>
          </w:p>
        </w:tc>
        <w:tc>
          <w:tcPr>
            <w:tcW w:w="1205" w:type="dxa"/>
            <w:noWrap/>
          </w:tcPr>
          <w:p w14:paraId="0B7D6257" w14:textId="61697BE4" w:rsidR="002437BB" w:rsidRPr="00CD6B04" w:rsidRDefault="002437BB" w:rsidP="00035E77">
            <w:pPr>
              <w:pStyle w:val="BodyCopy"/>
              <w:rPr>
                <w:b/>
                <w:bCs/>
                <w:sz w:val="20"/>
                <w:szCs w:val="20"/>
              </w:rPr>
            </w:pPr>
            <w:r w:rsidRPr="00CD6B04">
              <w:rPr>
                <w:b/>
                <w:bCs/>
                <w:sz w:val="20"/>
                <w:szCs w:val="20"/>
              </w:rPr>
              <w:t>Year 2</w:t>
            </w:r>
          </w:p>
        </w:tc>
        <w:tc>
          <w:tcPr>
            <w:tcW w:w="1205" w:type="dxa"/>
            <w:noWrap/>
          </w:tcPr>
          <w:p w14:paraId="64325030" w14:textId="7645B1A3" w:rsidR="002437BB" w:rsidRPr="00CD6B04" w:rsidRDefault="002437BB" w:rsidP="00035E77">
            <w:pPr>
              <w:pStyle w:val="BodyCopy"/>
              <w:rPr>
                <w:b/>
                <w:bCs/>
                <w:sz w:val="20"/>
                <w:szCs w:val="20"/>
              </w:rPr>
            </w:pPr>
            <w:r w:rsidRPr="00CD6B04">
              <w:rPr>
                <w:b/>
                <w:bCs/>
                <w:sz w:val="20"/>
                <w:szCs w:val="20"/>
              </w:rPr>
              <w:t>Year 3</w:t>
            </w:r>
          </w:p>
        </w:tc>
      </w:tr>
      <w:tr w:rsidR="008B4CF7" w:rsidRPr="00035E77" w14:paraId="6DACFCB1" w14:textId="77777777" w:rsidTr="002437BB">
        <w:trPr>
          <w:trHeight w:val="283"/>
        </w:trPr>
        <w:tc>
          <w:tcPr>
            <w:tcW w:w="2694" w:type="dxa"/>
            <w:vMerge w:val="restart"/>
            <w:noWrap/>
          </w:tcPr>
          <w:p w14:paraId="4ED5D4AD" w14:textId="5D52E83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56" behindDoc="0" locked="0" layoutInCell="1" allowOverlap="1" wp14:anchorId="4C88D5E4" wp14:editId="3FD7C1D9">
                  <wp:simplePos x="0" y="0"/>
                  <wp:positionH relativeFrom="column">
                    <wp:posOffset>-68580</wp:posOffset>
                  </wp:positionH>
                  <wp:positionV relativeFrom="paragraph">
                    <wp:posOffset>69215</wp:posOffset>
                  </wp:positionV>
                  <wp:extent cx="683212" cy="266700"/>
                  <wp:effectExtent l="0" t="0" r="3175" b="0"/>
                  <wp:wrapNone/>
                  <wp:docPr id="63"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7C4CD77F" w14:textId="28AAA065"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12.0 t</w:t>
            </w:r>
          </w:p>
        </w:tc>
        <w:tc>
          <w:tcPr>
            <w:tcW w:w="1204" w:type="dxa"/>
          </w:tcPr>
          <w:p w14:paraId="6FCB0397" w14:textId="58B66A05" w:rsidR="008B4CF7" w:rsidRPr="00C4270B" w:rsidRDefault="008B4CF7" w:rsidP="008B4CF7">
            <w:pPr>
              <w:pStyle w:val="BodyCopy"/>
              <w:spacing w:before="0" w:after="0"/>
              <w:rPr>
                <w:sz w:val="20"/>
                <w:szCs w:val="20"/>
              </w:rPr>
            </w:pPr>
            <w:r>
              <w:rPr>
                <w:sz w:val="20"/>
                <w:szCs w:val="20"/>
              </w:rPr>
              <w:t>617</w:t>
            </w:r>
          </w:p>
        </w:tc>
        <w:tc>
          <w:tcPr>
            <w:tcW w:w="1205" w:type="dxa"/>
            <w:noWrap/>
          </w:tcPr>
          <w:p w14:paraId="2AF41D7F" w14:textId="7FDF3439" w:rsidR="008B4CF7" w:rsidRPr="008B4CF7" w:rsidRDefault="00117DA8" w:rsidP="008B4CF7">
            <w:pPr>
              <w:pStyle w:val="BodyCopy"/>
              <w:spacing w:before="0" w:after="0"/>
              <w:rPr>
                <w:sz w:val="20"/>
                <w:szCs w:val="20"/>
              </w:rPr>
            </w:pPr>
            <w:r w:rsidRPr="00BD61D2">
              <w:rPr>
                <w:sz w:val="20"/>
                <w:szCs w:val="20"/>
              </w:rPr>
              <w:t>687</w:t>
            </w:r>
          </w:p>
        </w:tc>
        <w:tc>
          <w:tcPr>
            <w:tcW w:w="1205" w:type="dxa"/>
            <w:noWrap/>
            <w:vAlign w:val="center"/>
          </w:tcPr>
          <w:p w14:paraId="721C5C70" w14:textId="547E81CC" w:rsidR="008B4CF7" w:rsidRPr="00C4270B" w:rsidRDefault="008B4CF7" w:rsidP="008B4CF7">
            <w:pPr>
              <w:pStyle w:val="BodyCopy"/>
              <w:spacing w:before="0" w:after="0"/>
              <w:rPr>
                <w:sz w:val="20"/>
                <w:szCs w:val="20"/>
              </w:rPr>
            </w:pPr>
            <w:r w:rsidRPr="00C4270B">
              <w:rPr>
                <w:sz w:val="20"/>
                <w:szCs w:val="20"/>
              </w:rPr>
              <w:t>N/A</w:t>
            </w:r>
          </w:p>
        </w:tc>
        <w:tc>
          <w:tcPr>
            <w:tcW w:w="1205" w:type="dxa"/>
            <w:noWrap/>
            <w:vAlign w:val="center"/>
          </w:tcPr>
          <w:p w14:paraId="45132395" w14:textId="5F235688"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6FB3ADE8" w14:textId="77777777" w:rsidTr="002437BB">
        <w:trPr>
          <w:trHeight w:val="283"/>
        </w:trPr>
        <w:tc>
          <w:tcPr>
            <w:tcW w:w="2694" w:type="dxa"/>
            <w:vMerge/>
          </w:tcPr>
          <w:p w14:paraId="20670ED5" w14:textId="77777777" w:rsidR="008B4CF7" w:rsidRPr="00C4270B" w:rsidRDefault="008B4CF7" w:rsidP="008B4CF7">
            <w:pPr>
              <w:pStyle w:val="BodyCopy"/>
              <w:spacing w:before="0" w:after="0"/>
              <w:rPr>
                <w:sz w:val="20"/>
                <w:szCs w:val="20"/>
              </w:rPr>
            </w:pPr>
          </w:p>
        </w:tc>
        <w:tc>
          <w:tcPr>
            <w:tcW w:w="1559" w:type="dxa"/>
            <w:vAlign w:val="center"/>
          </w:tcPr>
          <w:p w14:paraId="2CB0D706" w14:textId="4DA7C2FC"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12.0 t</w:t>
            </w:r>
          </w:p>
        </w:tc>
        <w:tc>
          <w:tcPr>
            <w:tcW w:w="1204" w:type="dxa"/>
          </w:tcPr>
          <w:p w14:paraId="22191083" w14:textId="2B385691" w:rsidR="008B4CF7" w:rsidRPr="00C4270B" w:rsidRDefault="008B4CF7" w:rsidP="008B4CF7">
            <w:pPr>
              <w:pStyle w:val="BodyCopy"/>
              <w:spacing w:before="0" w:after="0"/>
              <w:rPr>
                <w:sz w:val="20"/>
                <w:szCs w:val="20"/>
              </w:rPr>
            </w:pPr>
            <w:r>
              <w:rPr>
                <w:sz w:val="20"/>
                <w:szCs w:val="20"/>
              </w:rPr>
              <w:t>993</w:t>
            </w:r>
          </w:p>
        </w:tc>
        <w:tc>
          <w:tcPr>
            <w:tcW w:w="1205" w:type="dxa"/>
            <w:noWrap/>
          </w:tcPr>
          <w:p w14:paraId="1735CC43" w14:textId="30E365EB" w:rsidR="008B4CF7" w:rsidRPr="008B4CF7" w:rsidRDefault="00117DA8" w:rsidP="008B4CF7">
            <w:pPr>
              <w:pStyle w:val="BodyCopy"/>
              <w:spacing w:before="0" w:after="0"/>
              <w:rPr>
                <w:sz w:val="20"/>
                <w:szCs w:val="20"/>
              </w:rPr>
            </w:pPr>
            <w:r w:rsidRPr="00BD61D2">
              <w:rPr>
                <w:sz w:val="20"/>
                <w:szCs w:val="20"/>
              </w:rPr>
              <w:t>1,717</w:t>
            </w:r>
          </w:p>
        </w:tc>
        <w:tc>
          <w:tcPr>
            <w:tcW w:w="1205" w:type="dxa"/>
            <w:noWrap/>
            <w:vAlign w:val="center"/>
          </w:tcPr>
          <w:p w14:paraId="05E9D9F8" w14:textId="5F02539B" w:rsidR="008B4CF7" w:rsidRPr="00C4270B" w:rsidRDefault="008B4CF7" w:rsidP="008B4CF7">
            <w:pPr>
              <w:pStyle w:val="BodyCopy"/>
              <w:spacing w:before="0" w:after="0"/>
              <w:rPr>
                <w:sz w:val="20"/>
                <w:szCs w:val="20"/>
              </w:rPr>
            </w:pPr>
            <w:r w:rsidRPr="00C4270B">
              <w:rPr>
                <w:sz w:val="20"/>
                <w:szCs w:val="20"/>
              </w:rPr>
              <w:t>N/A</w:t>
            </w:r>
          </w:p>
        </w:tc>
        <w:tc>
          <w:tcPr>
            <w:tcW w:w="1205" w:type="dxa"/>
            <w:noWrap/>
            <w:vAlign w:val="center"/>
          </w:tcPr>
          <w:p w14:paraId="775BB856" w14:textId="69BB85FB"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129AD1A8" w14:textId="77777777" w:rsidTr="002437BB">
        <w:trPr>
          <w:trHeight w:val="283"/>
        </w:trPr>
        <w:tc>
          <w:tcPr>
            <w:tcW w:w="2694" w:type="dxa"/>
            <w:noWrap/>
          </w:tcPr>
          <w:p w14:paraId="16F05333" w14:textId="50A37CF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55" behindDoc="0" locked="0" layoutInCell="1" allowOverlap="1" wp14:anchorId="3901DA8B" wp14:editId="3D974AB0">
                  <wp:simplePos x="0" y="0"/>
                  <wp:positionH relativeFrom="column">
                    <wp:posOffset>-68580</wp:posOffset>
                  </wp:positionH>
                  <wp:positionV relativeFrom="paragraph">
                    <wp:posOffset>-24765</wp:posOffset>
                  </wp:positionV>
                  <wp:extent cx="967740" cy="266700"/>
                  <wp:effectExtent l="0" t="0" r="3810" b="0"/>
                  <wp:wrapNone/>
                  <wp:docPr id="51" name="Picture 51"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51" name="Picture 51"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5"/>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1CB49A94" w14:textId="5C131CED"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42.5 t</w:t>
            </w:r>
          </w:p>
        </w:tc>
        <w:tc>
          <w:tcPr>
            <w:tcW w:w="1204" w:type="dxa"/>
          </w:tcPr>
          <w:p w14:paraId="7DA9B824" w14:textId="2B5DC5C7" w:rsidR="008B4CF7" w:rsidRPr="00C4270B" w:rsidRDefault="008B4CF7" w:rsidP="008B4CF7">
            <w:pPr>
              <w:pStyle w:val="BodyCopy"/>
              <w:spacing w:before="0" w:after="0"/>
              <w:rPr>
                <w:sz w:val="20"/>
                <w:szCs w:val="20"/>
              </w:rPr>
            </w:pPr>
            <w:r>
              <w:rPr>
                <w:sz w:val="20"/>
                <w:szCs w:val="20"/>
              </w:rPr>
              <w:t>2,334</w:t>
            </w:r>
          </w:p>
        </w:tc>
        <w:tc>
          <w:tcPr>
            <w:tcW w:w="1205" w:type="dxa"/>
            <w:noWrap/>
          </w:tcPr>
          <w:p w14:paraId="579AEB71" w14:textId="1EC9C1EA" w:rsidR="008B4CF7" w:rsidRPr="008B4CF7" w:rsidRDefault="00117DA8" w:rsidP="008B4CF7">
            <w:pPr>
              <w:pStyle w:val="BodyCopy"/>
              <w:spacing w:before="0" w:after="0"/>
              <w:rPr>
                <w:sz w:val="20"/>
                <w:szCs w:val="20"/>
              </w:rPr>
            </w:pPr>
            <w:r w:rsidRPr="00BD61D2">
              <w:rPr>
                <w:sz w:val="20"/>
                <w:szCs w:val="20"/>
              </w:rPr>
              <w:t>3,233</w:t>
            </w:r>
          </w:p>
        </w:tc>
        <w:tc>
          <w:tcPr>
            <w:tcW w:w="1205" w:type="dxa"/>
            <w:noWrap/>
          </w:tcPr>
          <w:p w14:paraId="6D47396C" w14:textId="71888A5E"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6072C93C" w14:textId="5A0FE192"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1D981D82" w14:textId="77777777" w:rsidTr="002437BB">
        <w:trPr>
          <w:trHeight w:val="283"/>
        </w:trPr>
        <w:tc>
          <w:tcPr>
            <w:tcW w:w="2694" w:type="dxa"/>
            <w:vMerge w:val="restart"/>
          </w:tcPr>
          <w:p w14:paraId="5869DF30" w14:textId="2AFDFAA8"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63" behindDoc="0" locked="0" layoutInCell="1" allowOverlap="1" wp14:anchorId="0AFBEB90" wp14:editId="6F6B2417">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65"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70A42760" w14:textId="30300478"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16.5 t</w:t>
            </w:r>
          </w:p>
        </w:tc>
        <w:tc>
          <w:tcPr>
            <w:tcW w:w="1204" w:type="dxa"/>
          </w:tcPr>
          <w:p w14:paraId="6845C2B3" w14:textId="4779399C" w:rsidR="008B4CF7" w:rsidRPr="00C4270B" w:rsidRDefault="008B4CF7" w:rsidP="008B4CF7">
            <w:pPr>
              <w:pStyle w:val="BodyCopy"/>
              <w:spacing w:before="0" w:after="0"/>
              <w:rPr>
                <w:sz w:val="20"/>
                <w:szCs w:val="20"/>
              </w:rPr>
            </w:pPr>
            <w:r>
              <w:rPr>
                <w:sz w:val="20"/>
                <w:szCs w:val="20"/>
              </w:rPr>
              <w:t>968</w:t>
            </w:r>
          </w:p>
        </w:tc>
        <w:tc>
          <w:tcPr>
            <w:tcW w:w="1205" w:type="dxa"/>
            <w:noWrap/>
          </w:tcPr>
          <w:p w14:paraId="64878024" w14:textId="3D20E3CF" w:rsidR="008B4CF7" w:rsidRPr="008B4CF7" w:rsidRDefault="00117DA8" w:rsidP="008B4CF7">
            <w:pPr>
              <w:pStyle w:val="BodyCopy"/>
              <w:spacing w:before="0" w:after="0"/>
              <w:rPr>
                <w:sz w:val="20"/>
                <w:szCs w:val="20"/>
              </w:rPr>
            </w:pPr>
            <w:r w:rsidRPr="00BD61D2">
              <w:rPr>
                <w:sz w:val="20"/>
                <w:szCs w:val="20"/>
              </w:rPr>
              <w:t>1,691</w:t>
            </w:r>
          </w:p>
        </w:tc>
        <w:tc>
          <w:tcPr>
            <w:tcW w:w="1205" w:type="dxa"/>
            <w:noWrap/>
          </w:tcPr>
          <w:p w14:paraId="3D4BBF11" w14:textId="79D25EDC"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1DEDCEC9" w14:textId="2E4D93C1"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0DA6D499" w14:textId="77777777" w:rsidTr="002437BB">
        <w:trPr>
          <w:trHeight w:val="283"/>
        </w:trPr>
        <w:tc>
          <w:tcPr>
            <w:tcW w:w="2694" w:type="dxa"/>
            <w:vMerge/>
          </w:tcPr>
          <w:p w14:paraId="6FB0B587" w14:textId="77777777" w:rsidR="008B4CF7" w:rsidRPr="00C4270B" w:rsidRDefault="008B4CF7" w:rsidP="008B4CF7">
            <w:pPr>
              <w:pStyle w:val="BodyCopy"/>
              <w:spacing w:before="0" w:after="0"/>
              <w:rPr>
                <w:sz w:val="20"/>
                <w:szCs w:val="20"/>
              </w:rPr>
            </w:pPr>
          </w:p>
        </w:tc>
        <w:tc>
          <w:tcPr>
            <w:tcW w:w="1559" w:type="dxa"/>
            <w:vAlign w:val="center"/>
          </w:tcPr>
          <w:p w14:paraId="6930E9D0" w14:textId="550BB0FD"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16.5 t</w:t>
            </w:r>
          </w:p>
        </w:tc>
        <w:tc>
          <w:tcPr>
            <w:tcW w:w="1204" w:type="dxa"/>
          </w:tcPr>
          <w:p w14:paraId="7DBF2F09" w14:textId="10A3F91B" w:rsidR="008B4CF7" w:rsidRPr="00C4270B" w:rsidRDefault="008B4CF7" w:rsidP="008B4CF7">
            <w:pPr>
              <w:pStyle w:val="BodyCopy"/>
              <w:spacing w:before="0" w:after="0"/>
              <w:rPr>
                <w:sz w:val="20"/>
                <w:szCs w:val="20"/>
              </w:rPr>
            </w:pPr>
            <w:r>
              <w:rPr>
                <w:sz w:val="20"/>
                <w:szCs w:val="20"/>
              </w:rPr>
              <w:t>1,162</w:t>
            </w:r>
          </w:p>
        </w:tc>
        <w:tc>
          <w:tcPr>
            <w:tcW w:w="1205" w:type="dxa"/>
            <w:noWrap/>
          </w:tcPr>
          <w:p w14:paraId="1486AE73" w14:textId="31D03FB6" w:rsidR="008B4CF7" w:rsidRPr="008B4CF7" w:rsidRDefault="00117DA8" w:rsidP="008B4CF7">
            <w:pPr>
              <w:pStyle w:val="BodyCopy"/>
              <w:spacing w:before="0" w:after="0"/>
              <w:rPr>
                <w:sz w:val="20"/>
                <w:szCs w:val="20"/>
              </w:rPr>
            </w:pPr>
            <w:r w:rsidRPr="00BD61D2">
              <w:rPr>
                <w:sz w:val="20"/>
                <w:szCs w:val="20"/>
              </w:rPr>
              <w:t>1,987</w:t>
            </w:r>
          </w:p>
        </w:tc>
        <w:tc>
          <w:tcPr>
            <w:tcW w:w="1205" w:type="dxa"/>
            <w:noWrap/>
          </w:tcPr>
          <w:p w14:paraId="0DDF3C1C" w14:textId="12EAF690"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4811B8D7" w14:textId="712A144C"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6DE951F3" w14:textId="77777777" w:rsidTr="002437BB">
        <w:trPr>
          <w:trHeight w:val="283"/>
        </w:trPr>
        <w:tc>
          <w:tcPr>
            <w:tcW w:w="2694" w:type="dxa"/>
            <w:vMerge w:val="restart"/>
          </w:tcPr>
          <w:p w14:paraId="5436B77D" w14:textId="6C85BA39"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66" behindDoc="0" locked="0" layoutInCell="1" allowOverlap="1" wp14:anchorId="20D18256" wp14:editId="199CE3DA">
                  <wp:simplePos x="0" y="0"/>
                  <wp:positionH relativeFrom="column">
                    <wp:posOffset>-68580</wp:posOffset>
                  </wp:positionH>
                  <wp:positionV relativeFrom="paragraph">
                    <wp:posOffset>11479</wp:posOffset>
                  </wp:positionV>
                  <wp:extent cx="1069675" cy="271862"/>
                  <wp:effectExtent l="0" t="0" r="0" b="0"/>
                  <wp:wrapNone/>
                  <wp:docPr id="66"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9281" b="-19281"/>
                          <a:stretch>
                            <a:fillRect/>
                          </a:stretch>
                        </pic:blipFill>
                        <pic:spPr bwMode="auto">
                          <a:xfrm>
                            <a:off x="0" y="0"/>
                            <a:ext cx="1076115" cy="273499"/>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522A224E" w14:textId="0E20E4A7"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42.5 t</w:t>
            </w:r>
          </w:p>
        </w:tc>
        <w:tc>
          <w:tcPr>
            <w:tcW w:w="1204" w:type="dxa"/>
          </w:tcPr>
          <w:p w14:paraId="00CD818E" w14:textId="7D9835B4" w:rsidR="008B4CF7" w:rsidRPr="00C4270B" w:rsidRDefault="008B4CF7" w:rsidP="008B4CF7">
            <w:pPr>
              <w:pStyle w:val="BodyCopy"/>
              <w:spacing w:before="0" w:after="0"/>
              <w:rPr>
                <w:sz w:val="20"/>
                <w:szCs w:val="20"/>
              </w:rPr>
            </w:pPr>
            <w:r>
              <w:rPr>
                <w:sz w:val="20"/>
                <w:szCs w:val="20"/>
              </w:rPr>
              <w:t>3,135</w:t>
            </w:r>
          </w:p>
        </w:tc>
        <w:tc>
          <w:tcPr>
            <w:tcW w:w="1205" w:type="dxa"/>
            <w:noWrap/>
          </w:tcPr>
          <w:p w14:paraId="3572F9C1" w14:textId="1D28F5D9" w:rsidR="008B4CF7" w:rsidRPr="008B4CF7" w:rsidRDefault="00117DA8" w:rsidP="008B4CF7">
            <w:pPr>
              <w:pStyle w:val="BodyCopy"/>
              <w:spacing w:before="0" w:after="0"/>
              <w:rPr>
                <w:sz w:val="20"/>
                <w:szCs w:val="20"/>
              </w:rPr>
            </w:pPr>
            <w:r w:rsidRPr="00BD61D2">
              <w:rPr>
                <w:sz w:val="20"/>
                <w:szCs w:val="20"/>
              </w:rPr>
              <w:t>4,221</w:t>
            </w:r>
          </w:p>
        </w:tc>
        <w:tc>
          <w:tcPr>
            <w:tcW w:w="1205" w:type="dxa"/>
            <w:noWrap/>
          </w:tcPr>
          <w:p w14:paraId="16E43EC7" w14:textId="2C1CB1F3"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4D490DB7" w14:textId="7659A8DC"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238EB44A" w14:textId="77777777" w:rsidTr="002437BB">
        <w:trPr>
          <w:trHeight w:val="283"/>
        </w:trPr>
        <w:tc>
          <w:tcPr>
            <w:tcW w:w="2694" w:type="dxa"/>
            <w:vMerge/>
          </w:tcPr>
          <w:p w14:paraId="2AF9C280" w14:textId="77777777" w:rsidR="008B4CF7" w:rsidRPr="00C4270B" w:rsidRDefault="008B4CF7" w:rsidP="008B4CF7">
            <w:pPr>
              <w:pStyle w:val="BodyCopy"/>
              <w:spacing w:before="0" w:after="0"/>
              <w:rPr>
                <w:sz w:val="20"/>
                <w:szCs w:val="20"/>
              </w:rPr>
            </w:pPr>
          </w:p>
        </w:tc>
        <w:tc>
          <w:tcPr>
            <w:tcW w:w="1559" w:type="dxa"/>
            <w:vAlign w:val="center"/>
          </w:tcPr>
          <w:p w14:paraId="4AA77FA4" w14:textId="65227856"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42.5 t</w:t>
            </w:r>
          </w:p>
        </w:tc>
        <w:tc>
          <w:tcPr>
            <w:tcW w:w="1204" w:type="dxa"/>
          </w:tcPr>
          <w:p w14:paraId="1A380FE0" w14:textId="535143BC" w:rsidR="008B4CF7" w:rsidRPr="00C4270B" w:rsidRDefault="008B4CF7" w:rsidP="008B4CF7">
            <w:pPr>
              <w:pStyle w:val="BodyCopy"/>
              <w:spacing w:before="0" w:after="0"/>
              <w:rPr>
                <w:sz w:val="20"/>
                <w:szCs w:val="20"/>
              </w:rPr>
            </w:pPr>
            <w:r>
              <w:rPr>
                <w:sz w:val="20"/>
                <w:szCs w:val="20"/>
              </w:rPr>
              <w:t>11,713</w:t>
            </w:r>
          </w:p>
        </w:tc>
        <w:tc>
          <w:tcPr>
            <w:tcW w:w="1205" w:type="dxa"/>
            <w:noWrap/>
          </w:tcPr>
          <w:p w14:paraId="16D899F0" w14:textId="476C394F" w:rsidR="008B4CF7" w:rsidRPr="008B4CF7" w:rsidRDefault="00117DA8" w:rsidP="008B4CF7">
            <w:pPr>
              <w:pStyle w:val="BodyCopy"/>
              <w:spacing w:before="0" w:after="0"/>
              <w:rPr>
                <w:sz w:val="20"/>
                <w:szCs w:val="20"/>
              </w:rPr>
            </w:pPr>
            <w:r w:rsidRPr="00BD61D2">
              <w:rPr>
                <w:sz w:val="20"/>
                <w:szCs w:val="20"/>
              </w:rPr>
              <w:t>13,374</w:t>
            </w:r>
          </w:p>
        </w:tc>
        <w:tc>
          <w:tcPr>
            <w:tcW w:w="1205" w:type="dxa"/>
            <w:noWrap/>
          </w:tcPr>
          <w:p w14:paraId="0E963A1F" w14:textId="78F70750"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34407800" w14:textId="68AFE67F"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6B16C808" w14:textId="77777777" w:rsidTr="002437BB">
        <w:trPr>
          <w:trHeight w:val="283"/>
        </w:trPr>
        <w:tc>
          <w:tcPr>
            <w:tcW w:w="2694" w:type="dxa"/>
            <w:noWrap/>
          </w:tcPr>
          <w:p w14:paraId="3D304E04" w14:textId="61460993" w:rsidR="008B4CF7" w:rsidRPr="00C4270B" w:rsidRDefault="008B4CF7" w:rsidP="008B4CF7">
            <w:pPr>
              <w:pStyle w:val="BodyCopy"/>
              <w:spacing w:before="0" w:after="0"/>
              <w:rPr>
                <w:sz w:val="20"/>
                <w:szCs w:val="20"/>
              </w:rPr>
            </w:pPr>
            <w:r w:rsidRPr="00C4270B">
              <w:rPr>
                <w:noProof/>
                <w:sz w:val="20"/>
                <w:szCs w:val="20"/>
                <w:lang w:eastAsia="en-AU"/>
              </w:rPr>
              <w:lastRenderedPageBreak/>
              <w:drawing>
                <wp:anchor distT="0" distB="0" distL="114300" distR="114300" simplePos="0" relativeHeight="251658257" behindDoc="0" locked="0" layoutInCell="1" allowOverlap="1" wp14:anchorId="3C0EB0FD" wp14:editId="78E45649">
                  <wp:simplePos x="0" y="0"/>
                  <wp:positionH relativeFrom="column">
                    <wp:posOffset>-68580</wp:posOffset>
                  </wp:positionH>
                  <wp:positionV relativeFrom="paragraph">
                    <wp:posOffset>-15875</wp:posOffset>
                  </wp:positionV>
                  <wp:extent cx="1013460" cy="213360"/>
                  <wp:effectExtent l="0" t="0" r="0" b="0"/>
                  <wp:wrapNone/>
                  <wp:docPr id="52" name="Picture 52"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52" name="Picture 52"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8"/>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012DC39B" w14:textId="5A9148BD"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42.5 t</w:t>
            </w:r>
          </w:p>
        </w:tc>
        <w:tc>
          <w:tcPr>
            <w:tcW w:w="1204" w:type="dxa"/>
          </w:tcPr>
          <w:p w14:paraId="06ABCF85" w14:textId="6FA05B2F" w:rsidR="008B4CF7" w:rsidRPr="00C4270B" w:rsidRDefault="008B4CF7" w:rsidP="008B4CF7">
            <w:pPr>
              <w:pStyle w:val="BodyCopy"/>
              <w:spacing w:before="0" w:after="0"/>
              <w:rPr>
                <w:sz w:val="20"/>
                <w:szCs w:val="20"/>
              </w:rPr>
            </w:pPr>
            <w:r>
              <w:rPr>
                <w:sz w:val="20"/>
                <w:szCs w:val="20"/>
              </w:rPr>
              <w:t>12,342</w:t>
            </w:r>
          </w:p>
        </w:tc>
        <w:tc>
          <w:tcPr>
            <w:tcW w:w="1205" w:type="dxa"/>
            <w:noWrap/>
          </w:tcPr>
          <w:p w14:paraId="53B5B4C0" w14:textId="1DDF5D60" w:rsidR="008B4CF7" w:rsidRPr="008B4CF7" w:rsidRDefault="00117DA8" w:rsidP="008B4CF7">
            <w:pPr>
              <w:pStyle w:val="BodyCopy"/>
              <w:spacing w:before="0" w:after="0"/>
              <w:rPr>
                <w:sz w:val="20"/>
                <w:szCs w:val="20"/>
              </w:rPr>
            </w:pPr>
            <w:r w:rsidRPr="00BD61D2">
              <w:rPr>
                <w:sz w:val="20"/>
                <w:szCs w:val="20"/>
              </w:rPr>
              <w:t>14,098</w:t>
            </w:r>
          </w:p>
        </w:tc>
        <w:tc>
          <w:tcPr>
            <w:tcW w:w="1205" w:type="dxa"/>
            <w:noWrap/>
          </w:tcPr>
          <w:p w14:paraId="7CE4005D" w14:textId="1EFA5435"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51EEFA8D" w14:textId="3F2A899A"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7D0329E0" w14:textId="77777777" w:rsidTr="002437BB">
        <w:trPr>
          <w:trHeight w:val="283"/>
        </w:trPr>
        <w:tc>
          <w:tcPr>
            <w:tcW w:w="2694" w:type="dxa"/>
            <w:vMerge w:val="restart"/>
          </w:tcPr>
          <w:p w14:paraId="6404DDBB" w14:textId="56EA49C2"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64" behindDoc="0" locked="0" layoutInCell="1" allowOverlap="1" wp14:anchorId="1E548377" wp14:editId="71B03E44">
                  <wp:simplePos x="0" y="0"/>
                  <wp:positionH relativeFrom="column">
                    <wp:posOffset>-68580</wp:posOffset>
                  </wp:positionH>
                  <wp:positionV relativeFrom="paragraph">
                    <wp:posOffset>81915</wp:posOffset>
                  </wp:positionV>
                  <wp:extent cx="693420" cy="245234"/>
                  <wp:effectExtent l="0" t="0" r="0" b="2540"/>
                  <wp:wrapNone/>
                  <wp:docPr id="68"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559" w:type="dxa"/>
            <w:vAlign w:val="center"/>
          </w:tcPr>
          <w:p w14:paraId="29BB2E78" w14:textId="75BB5ABA"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20.0 t</w:t>
            </w:r>
          </w:p>
        </w:tc>
        <w:tc>
          <w:tcPr>
            <w:tcW w:w="1204" w:type="dxa"/>
          </w:tcPr>
          <w:p w14:paraId="5661A1DD" w14:textId="75D71CBF" w:rsidR="008B4CF7" w:rsidRPr="00C4270B" w:rsidRDefault="008B4CF7" w:rsidP="008B4CF7">
            <w:pPr>
              <w:pStyle w:val="BodyCopy"/>
              <w:spacing w:before="0" w:after="0"/>
              <w:rPr>
                <w:sz w:val="20"/>
                <w:szCs w:val="20"/>
              </w:rPr>
            </w:pPr>
            <w:r>
              <w:rPr>
                <w:sz w:val="20"/>
                <w:szCs w:val="20"/>
              </w:rPr>
              <w:t>983</w:t>
            </w:r>
          </w:p>
        </w:tc>
        <w:tc>
          <w:tcPr>
            <w:tcW w:w="1205" w:type="dxa"/>
            <w:noWrap/>
          </w:tcPr>
          <w:p w14:paraId="0CF27BC7" w14:textId="1D0DDEE7" w:rsidR="008B4CF7" w:rsidRPr="008B4CF7" w:rsidRDefault="00117DA8" w:rsidP="008B4CF7">
            <w:pPr>
              <w:pStyle w:val="BodyCopy"/>
              <w:spacing w:before="0" w:after="0"/>
              <w:rPr>
                <w:sz w:val="20"/>
                <w:szCs w:val="20"/>
              </w:rPr>
            </w:pPr>
            <w:r w:rsidRPr="00BD61D2">
              <w:rPr>
                <w:sz w:val="20"/>
                <w:szCs w:val="20"/>
              </w:rPr>
              <w:t>1,723</w:t>
            </w:r>
          </w:p>
        </w:tc>
        <w:tc>
          <w:tcPr>
            <w:tcW w:w="1205" w:type="dxa"/>
            <w:noWrap/>
          </w:tcPr>
          <w:p w14:paraId="4D832E06" w14:textId="7793F99E"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3C8986E1" w14:textId="5DEDAF43"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7DE9F74F" w14:textId="77777777" w:rsidTr="002437BB">
        <w:trPr>
          <w:trHeight w:val="283"/>
        </w:trPr>
        <w:tc>
          <w:tcPr>
            <w:tcW w:w="2694" w:type="dxa"/>
            <w:vMerge/>
          </w:tcPr>
          <w:p w14:paraId="7D6A7DEB" w14:textId="77777777" w:rsidR="008B4CF7" w:rsidRPr="00C4270B" w:rsidRDefault="008B4CF7" w:rsidP="008B4CF7">
            <w:pPr>
              <w:pStyle w:val="BodyCopy"/>
              <w:spacing w:before="0" w:after="0"/>
              <w:rPr>
                <w:sz w:val="20"/>
                <w:szCs w:val="20"/>
              </w:rPr>
            </w:pPr>
          </w:p>
        </w:tc>
        <w:tc>
          <w:tcPr>
            <w:tcW w:w="1559" w:type="dxa"/>
            <w:vAlign w:val="center"/>
          </w:tcPr>
          <w:p w14:paraId="796D90D6" w14:textId="5379F867"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20.0 t</w:t>
            </w:r>
          </w:p>
        </w:tc>
        <w:tc>
          <w:tcPr>
            <w:tcW w:w="1204" w:type="dxa"/>
          </w:tcPr>
          <w:p w14:paraId="51D16D0A" w14:textId="5876C332" w:rsidR="008B4CF7" w:rsidRPr="00C4270B" w:rsidRDefault="008B4CF7" w:rsidP="008B4CF7">
            <w:pPr>
              <w:pStyle w:val="BodyCopy"/>
              <w:spacing w:before="0" w:after="0"/>
              <w:rPr>
                <w:sz w:val="20"/>
                <w:szCs w:val="20"/>
              </w:rPr>
            </w:pPr>
            <w:r>
              <w:rPr>
                <w:sz w:val="20"/>
                <w:szCs w:val="20"/>
              </w:rPr>
              <w:t>1,183</w:t>
            </w:r>
          </w:p>
        </w:tc>
        <w:tc>
          <w:tcPr>
            <w:tcW w:w="1205" w:type="dxa"/>
            <w:noWrap/>
          </w:tcPr>
          <w:p w14:paraId="7B5A544E" w14:textId="382D1225" w:rsidR="008B4CF7" w:rsidRPr="008B4CF7" w:rsidRDefault="00117DA8" w:rsidP="008B4CF7">
            <w:pPr>
              <w:pStyle w:val="BodyCopy"/>
              <w:spacing w:before="0" w:after="0"/>
              <w:rPr>
                <w:sz w:val="20"/>
                <w:szCs w:val="20"/>
              </w:rPr>
            </w:pPr>
            <w:r w:rsidRPr="00BD61D2">
              <w:rPr>
                <w:sz w:val="20"/>
                <w:szCs w:val="20"/>
              </w:rPr>
              <w:t>2,033</w:t>
            </w:r>
          </w:p>
        </w:tc>
        <w:tc>
          <w:tcPr>
            <w:tcW w:w="1205" w:type="dxa"/>
            <w:noWrap/>
          </w:tcPr>
          <w:p w14:paraId="53612A33" w14:textId="73F1A36E"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519CB5BA" w14:textId="026980C6"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2457EC18" w14:textId="77777777" w:rsidTr="002437BB">
        <w:trPr>
          <w:trHeight w:val="283"/>
        </w:trPr>
        <w:tc>
          <w:tcPr>
            <w:tcW w:w="2694" w:type="dxa"/>
            <w:vMerge w:val="restart"/>
            <w:noWrap/>
          </w:tcPr>
          <w:p w14:paraId="5A79F741" w14:textId="751C6CE4"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65" behindDoc="0" locked="0" layoutInCell="1" allowOverlap="1" wp14:anchorId="337BAB12" wp14:editId="25546FEF">
                  <wp:simplePos x="0" y="0"/>
                  <wp:positionH relativeFrom="column">
                    <wp:posOffset>-68580</wp:posOffset>
                  </wp:positionH>
                  <wp:positionV relativeFrom="paragraph">
                    <wp:posOffset>71755</wp:posOffset>
                  </wp:positionV>
                  <wp:extent cx="899160" cy="264160"/>
                  <wp:effectExtent l="0" t="0" r="0" b="2540"/>
                  <wp:wrapNone/>
                  <wp:docPr id="57" name="Picture 57"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wo axle b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559" w:type="dxa"/>
            <w:vAlign w:val="center"/>
          </w:tcPr>
          <w:p w14:paraId="140F4E7C" w14:textId="4D70AA68"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12.0 t</w:t>
            </w:r>
          </w:p>
        </w:tc>
        <w:tc>
          <w:tcPr>
            <w:tcW w:w="1204" w:type="dxa"/>
          </w:tcPr>
          <w:p w14:paraId="3FCBCE1C" w14:textId="5F2B4016" w:rsidR="008B4CF7" w:rsidRPr="00C4270B" w:rsidRDefault="008B4CF7" w:rsidP="008B4CF7">
            <w:pPr>
              <w:pStyle w:val="BodyCopy"/>
              <w:spacing w:before="0" w:after="0"/>
              <w:rPr>
                <w:sz w:val="20"/>
                <w:szCs w:val="20"/>
              </w:rPr>
            </w:pPr>
            <w:r>
              <w:rPr>
                <w:sz w:val="20"/>
                <w:szCs w:val="20"/>
              </w:rPr>
              <w:t>521</w:t>
            </w:r>
          </w:p>
        </w:tc>
        <w:tc>
          <w:tcPr>
            <w:tcW w:w="1205" w:type="dxa"/>
            <w:noWrap/>
          </w:tcPr>
          <w:p w14:paraId="2A42A4AB" w14:textId="341DE132" w:rsidR="008B4CF7" w:rsidRPr="008B4CF7" w:rsidRDefault="00117DA8" w:rsidP="008B4CF7">
            <w:pPr>
              <w:pStyle w:val="BodyCopy"/>
              <w:spacing w:before="0" w:after="0"/>
              <w:rPr>
                <w:sz w:val="20"/>
                <w:szCs w:val="20"/>
              </w:rPr>
            </w:pPr>
            <w:r w:rsidRPr="00BD61D2">
              <w:rPr>
                <w:sz w:val="20"/>
                <w:szCs w:val="20"/>
              </w:rPr>
              <w:t>561</w:t>
            </w:r>
          </w:p>
        </w:tc>
        <w:tc>
          <w:tcPr>
            <w:tcW w:w="1205" w:type="dxa"/>
            <w:noWrap/>
          </w:tcPr>
          <w:p w14:paraId="59B401BF" w14:textId="4CAFDB68"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69B3DD1E" w14:textId="247DE0D5"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5BD4FA88" w14:textId="77777777" w:rsidTr="002437BB">
        <w:trPr>
          <w:trHeight w:val="283"/>
        </w:trPr>
        <w:tc>
          <w:tcPr>
            <w:tcW w:w="2694" w:type="dxa"/>
            <w:vMerge/>
          </w:tcPr>
          <w:p w14:paraId="5C092245" w14:textId="77777777" w:rsidR="008B4CF7" w:rsidRPr="00C4270B" w:rsidRDefault="008B4CF7" w:rsidP="008B4CF7">
            <w:pPr>
              <w:pStyle w:val="BodyCopy"/>
              <w:spacing w:before="0" w:after="0"/>
              <w:rPr>
                <w:sz w:val="20"/>
                <w:szCs w:val="20"/>
              </w:rPr>
            </w:pPr>
          </w:p>
        </w:tc>
        <w:tc>
          <w:tcPr>
            <w:tcW w:w="1559" w:type="dxa"/>
            <w:vAlign w:val="center"/>
          </w:tcPr>
          <w:p w14:paraId="65748AD4" w14:textId="7FE01FC9"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12.0 t</w:t>
            </w:r>
          </w:p>
        </w:tc>
        <w:tc>
          <w:tcPr>
            <w:tcW w:w="1204" w:type="dxa"/>
          </w:tcPr>
          <w:p w14:paraId="38B1184C" w14:textId="19466D8D" w:rsidR="008B4CF7" w:rsidRPr="00C4270B" w:rsidRDefault="008B4CF7" w:rsidP="008B4CF7">
            <w:pPr>
              <w:pStyle w:val="BodyCopy"/>
              <w:spacing w:before="0" w:after="0"/>
              <w:rPr>
                <w:sz w:val="20"/>
                <w:szCs w:val="20"/>
              </w:rPr>
            </w:pPr>
            <w:r>
              <w:rPr>
                <w:sz w:val="20"/>
                <w:szCs w:val="20"/>
              </w:rPr>
              <w:t>651</w:t>
            </w:r>
          </w:p>
        </w:tc>
        <w:tc>
          <w:tcPr>
            <w:tcW w:w="1205" w:type="dxa"/>
            <w:noWrap/>
          </w:tcPr>
          <w:p w14:paraId="42FED815" w14:textId="79550723" w:rsidR="008B4CF7" w:rsidRPr="008B4CF7" w:rsidRDefault="00117DA8" w:rsidP="008B4CF7">
            <w:pPr>
              <w:pStyle w:val="BodyCopy"/>
              <w:spacing w:before="0" w:after="0"/>
              <w:rPr>
                <w:sz w:val="20"/>
                <w:szCs w:val="20"/>
              </w:rPr>
            </w:pPr>
            <w:r w:rsidRPr="00BD61D2">
              <w:rPr>
                <w:sz w:val="20"/>
                <w:szCs w:val="20"/>
              </w:rPr>
              <w:t>2,504</w:t>
            </w:r>
          </w:p>
        </w:tc>
        <w:tc>
          <w:tcPr>
            <w:tcW w:w="1205" w:type="dxa"/>
            <w:noWrap/>
          </w:tcPr>
          <w:p w14:paraId="45B47B24" w14:textId="196AD769"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37E4E1EE" w14:textId="0C270800"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1D9F03F9" w14:textId="77777777" w:rsidTr="002437BB">
        <w:trPr>
          <w:trHeight w:val="283"/>
        </w:trPr>
        <w:tc>
          <w:tcPr>
            <w:tcW w:w="2694" w:type="dxa"/>
            <w:noWrap/>
          </w:tcPr>
          <w:p w14:paraId="7FBBDCC2" w14:textId="7F06EAFE"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59" behindDoc="0" locked="0" layoutInCell="1" allowOverlap="1" wp14:anchorId="64669860" wp14:editId="690542D9">
                  <wp:simplePos x="0" y="0"/>
                  <wp:positionH relativeFrom="column">
                    <wp:posOffset>-68580</wp:posOffset>
                  </wp:positionH>
                  <wp:positionV relativeFrom="paragraph">
                    <wp:posOffset>229235</wp:posOffset>
                  </wp:positionV>
                  <wp:extent cx="751632" cy="190500"/>
                  <wp:effectExtent l="0" t="0" r="0" b="0"/>
                  <wp:wrapNone/>
                  <wp:docPr id="71"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58" behindDoc="0" locked="0" layoutInCell="1" allowOverlap="1" wp14:anchorId="1C011EBA" wp14:editId="5D015FC5">
                  <wp:simplePos x="0" y="0"/>
                  <wp:positionH relativeFrom="column">
                    <wp:posOffset>-68580</wp:posOffset>
                  </wp:positionH>
                  <wp:positionV relativeFrom="paragraph">
                    <wp:posOffset>15875</wp:posOffset>
                  </wp:positionV>
                  <wp:extent cx="594360" cy="196302"/>
                  <wp:effectExtent l="0" t="0" r="0" b="0"/>
                  <wp:wrapNone/>
                  <wp:docPr id="58"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2"/>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6510FEFA" w14:textId="32049A2A" w:rsidR="008B4CF7" w:rsidRPr="00C4270B" w:rsidRDefault="008B4CF7" w:rsidP="008B4CF7">
            <w:pPr>
              <w:pStyle w:val="BodyCopy"/>
              <w:spacing w:before="0" w:after="0"/>
              <w:rPr>
                <w:sz w:val="20"/>
                <w:szCs w:val="20"/>
              </w:rPr>
            </w:pPr>
            <w:r w:rsidRPr="00C4270B">
              <w:rPr>
                <w:rFonts w:ascii="Calibri" w:hAnsi="Calibri" w:cs="Calibri"/>
                <w:sz w:val="20"/>
                <w:szCs w:val="20"/>
              </w:rPr>
              <w:t> </w:t>
            </w:r>
          </w:p>
        </w:tc>
        <w:tc>
          <w:tcPr>
            <w:tcW w:w="1204" w:type="dxa"/>
          </w:tcPr>
          <w:p w14:paraId="338AA7CC" w14:textId="3DE580BB" w:rsidR="008B4CF7" w:rsidRPr="00C4270B" w:rsidRDefault="008B4CF7" w:rsidP="008B4CF7">
            <w:pPr>
              <w:pStyle w:val="BodyCopy"/>
              <w:spacing w:before="0" w:after="0"/>
              <w:rPr>
                <w:sz w:val="20"/>
                <w:szCs w:val="20"/>
              </w:rPr>
            </w:pPr>
            <w:r>
              <w:rPr>
                <w:sz w:val="20"/>
                <w:szCs w:val="20"/>
              </w:rPr>
              <w:t>2,731</w:t>
            </w:r>
          </w:p>
        </w:tc>
        <w:tc>
          <w:tcPr>
            <w:tcW w:w="1205" w:type="dxa"/>
            <w:noWrap/>
          </w:tcPr>
          <w:p w14:paraId="5812AA70" w14:textId="4DFFD0F6" w:rsidR="008B4CF7" w:rsidRPr="008B4CF7" w:rsidRDefault="00117DA8" w:rsidP="008B4CF7">
            <w:pPr>
              <w:pStyle w:val="BodyCopy"/>
              <w:spacing w:before="0" w:after="0"/>
              <w:rPr>
                <w:sz w:val="20"/>
                <w:szCs w:val="20"/>
              </w:rPr>
            </w:pPr>
            <w:r w:rsidRPr="00BD61D2">
              <w:rPr>
                <w:sz w:val="20"/>
                <w:szCs w:val="20"/>
              </w:rPr>
              <w:t>7,841</w:t>
            </w:r>
          </w:p>
        </w:tc>
        <w:tc>
          <w:tcPr>
            <w:tcW w:w="1205" w:type="dxa"/>
            <w:noWrap/>
          </w:tcPr>
          <w:p w14:paraId="5F2180EC" w14:textId="0F02A5C9"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235BCFB4" w14:textId="506AB074"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38652625" w14:textId="77777777" w:rsidTr="002437BB">
        <w:trPr>
          <w:trHeight w:val="283"/>
        </w:trPr>
        <w:tc>
          <w:tcPr>
            <w:tcW w:w="2694" w:type="dxa"/>
          </w:tcPr>
          <w:p w14:paraId="78681755" w14:textId="5C88DC5D" w:rsidR="008B4CF7" w:rsidRPr="00C4270B" w:rsidRDefault="008B4CF7" w:rsidP="008B4CF7">
            <w:pPr>
              <w:pStyle w:val="BodyCopy"/>
              <w:spacing w:before="0" w:after="0"/>
              <w:rPr>
                <w:b/>
                <w:bCs/>
                <w:sz w:val="20"/>
                <w:szCs w:val="20"/>
              </w:rPr>
            </w:pPr>
          </w:p>
        </w:tc>
        <w:tc>
          <w:tcPr>
            <w:tcW w:w="1559" w:type="dxa"/>
            <w:vAlign w:val="center"/>
          </w:tcPr>
          <w:p w14:paraId="4C541AB4" w14:textId="759B19B7" w:rsidR="008B4CF7" w:rsidRPr="00C4270B" w:rsidRDefault="008B4CF7" w:rsidP="008B4CF7">
            <w:pPr>
              <w:pStyle w:val="BodyCopy"/>
              <w:spacing w:before="0" w:after="0"/>
              <w:rPr>
                <w:sz w:val="20"/>
                <w:szCs w:val="20"/>
              </w:rPr>
            </w:pPr>
            <w:r w:rsidRPr="00C4270B">
              <w:rPr>
                <w:rFonts w:ascii="Calibri" w:hAnsi="Calibri" w:cs="Calibri"/>
                <w:sz w:val="20"/>
                <w:szCs w:val="20"/>
              </w:rPr>
              <w:t> </w:t>
            </w:r>
          </w:p>
        </w:tc>
        <w:tc>
          <w:tcPr>
            <w:tcW w:w="1204" w:type="dxa"/>
          </w:tcPr>
          <w:p w14:paraId="5A4636D8" w14:textId="28885CDA" w:rsidR="008B4CF7" w:rsidRPr="00C4270B" w:rsidRDefault="008B4CF7" w:rsidP="008B4CF7">
            <w:pPr>
              <w:pStyle w:val="BodyCopy"/>
              <w:spacing w:before="0" w:after="0"/>
              <w:rPr>
                <w:sz w:val="20"/>
                <w:szCs w:val="20"/>
              </w:rPr>
            </w:pPr>
            <w:r>
              <w:rPr>
                <w:sz w:val="20"/>
                <w:szCs w:val="20"/>
              </w:rPr>
              <w:t>6,369</w:t>
            </w:r>
          </w:p>
        </w:tc>
        <w:tc>
          <w:tcPr>
            <w:tcW w:w="1205" w:type="dxa"/>
            <w:noWrap/>
          </w:tcPr>
          <w:p w14:paraId="51914AEC" w14:textId="6A0041F6" w:rsidR="008B4CF7" w:rsidRPr="008B4CF7" w:rsidRDefault="00117DA8" w:rsidP="008B4CF7">
            <w:pPr>
              <w:pStyle w:val="BodyCopy"/>
              <w:spacing w:before="0" w:after="0"/>
              <w:rPr>
                <w:sz w:val="20"/>
                <w:szCs w:val="20"/>
              </w:rPr>
            </w:pPr>
            <w:r w:rsidRPr="00BD61D2">
              <w:rPr>
                <w:sz w:val="20"/>
                <w:szCs w:val="20"/>
              </w:rPr>
              <w:t>7,239</w:t>
            </w:r>
          </w:p>
        </w:tc>
        <w:tc>
          <w:tcPr>
            <w:tcW w:w="1205" w:type="dxa"/>
            <w:noWrap/>
          </w:tcPr>
          <w:p w14:paraId="4DF43047" w14:textId="0C95B5C4"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2BECE6E4" w14:textId="280044C8"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2D27417F" w14:textId="77777777" w:rsidTr="002437BB">
        <w:trPr>
          <w:trHeight w:val="283"/>
        </w:trPr>
        <w:tc>
          <w:tcPr>
            <w:tcW w:w="2694" w:type="dxa"/>
            <w:noWrap/>
          </w:tcPr>
          <w:p w14:paraId="44E32FE1" w14:textId="7FF93018"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61" behindDoc="0" locked="0" layoutInCell="1" allowOverlap="1" wp14:anchorId="6F73F46A" wp14:editId="3D0DD8B5">
                  <wp:simplePos x="0" y="0"/>
                  <wp:positionH relativeFrom="column">
                    <wp:posOffset>-68580</wp:posOffset>
                  </wp:positionH>
                  <wp:positionV relativeFrom="paragraph">
                    <wp:posOffset>207645</wp:posOffset>
                  </wp:positionV>
                  <wp:extent cx="1082040" cy="248285"/>
                  <wp:effectExtent l="0" t="0" r="3810" b="0"/>
                  <wp:wrapNone/>
                  <wp:docPr id="73"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0"/>
                <w:lang w:eastAsia="en-AU"/>
              </w:rPr>
              <w:drawing>
                <wp:anchor distT="0" distB="0" distL="114300" distR="114300" simplePos="0" relativeHeight="251658260" behindDoc="0" locked="0" layoutInCell="1" allowOverlap="1" wp14:anchorId="1A53C5EB" wp14:editId="0050AFF3">
                  <wp:simplePos x="0" y="0"/>
                  <wp:positionH relativeFrom="column">
                    <wp:posOffset>-68580</wp:posOffset>
                  </wp:positionH>
                  <wp:positionV relativeFrom="paragraph">
                    <wp:posOffset>1905</wp:posOffset>
                  </wp:positionV>
                  <wp:extent cx="944880" cy="209968"/>
                  <wp:effectExtent l="0" t="0" r="7620" b="0"/>
                  <wp:wrapNone/>
                  <wp:docPr id="59"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4"/>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5AB09DE8" w14:textId="5A36873A" w:rsidR="008B4CF7" w:rsidRPr="00C4270B" w:rsidRDefault="008B4CF7" w:rsidP="008B4CF7">
            <w:pPr>
              <w:pStyle w:val="BodyCopy"/>
              <w:spacing w:before="0" w:after="0"/>
              <w:rPr>
                <w:b/>
                <w:bCs/>
                <w:sz w:val="20"/>
                <w:szCs w:val="20"/>
              </w:rPr>
            </w:pPr>
            <w:r w:rsidRPr="00C4270B">
              <w:rPr>
                <w:rFonts w:ascii="Calibri" w:hAnsi="Calibri" w:cs="Calibri"/>
                <w:b/>
                <w:bCs/>
                <w:sz w:val="20"/>
                <w:szCs w:val="20"/>
              </w:rPr>
              <w:t> </w:t>
            </w:r>
          </w:p>
        </w:tc>
        <w:tc>
          <w:tcPr>
            <w:tcW w:w="1204" w:type="dxa"/>
          </w:tcPr>
          <w:p w14:paraId="34300B37" w14:textId="125EE5A6" w:rsidR="008B4CF7" w:rsidRPr="00C4270B" w:rsidRDefault="008B4CF7" w:rsidP="008B4CF7">
            <w:pPr>
              <w:pStyle w:val="BodyCopy"/>
              <w:spacing w:before="0" w:after="0"/>
              <w:rPr>
                <w:sz w:val="20"/>
                <w:szCs w:val="20"/>
              </w:rPr>
            </w:pPr>
            <w:r>
              <w:rPr>
                <w:sz w:val="20"/>
                <w:szCs w:val="20"/>
              </w:rPr>
              <w:t>15,102</w:t>
            </w:r>
          </w:p>
        </w:tc>
        <w:tc>
          <w:tcPr>
            <w:tcW w:w="1205" w:type="dxa"/>
            <w:noWrap/>
          </w:tcPr>
          <w:p w14:paraId="44A6BEF3" w14:textId="26EF56FB" w:rsidR="008B4CF7" w:rsidRPr="008B4CF7" w:rsidRDefault="00117DA8" w:rsidP="008B4CF7">
            <w:pPr>
              <w:pStyle w:val="BodyCopy"/>
              <w:spacing w:before="0" w:after="0"/>
              <w:rPr>
                <w:sz w:val="20"/>
                <w:szCs w:val="20"/>
              </w:rPr>
            </w:pPr>
            <w:r w:rsidRPr="00BD61D2">
              <w:rPr>
                <w:sz w:val="20"/>
                <w:szCs w:val="20"/>
              </w:rPr>
              <w:t>17,178</w:t>
            </w:r>
          </w:p>
        </w:tc>
        <w:tc>
          <w:tcPr>
            <w:tcW w:w="1205" w:type="dxa"/>
            <w:noWrap/>
          </w:tcPr>
          <w:p w14:paraId="4BF838CF" w14:textId="39CD4232"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0CA83073" w14:textId="2D5B830D"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761A712B" w14:textId="77777777" w:rsidTr="002437BB">
        <w:trPr>
          <w:trHeight w:val="283"/>
        </w:trPr>
        <w:tc>
          <w:tcPr>
            <w:tcW w:w="2694" w:type="dxa"/>
          </w:tcPr>
          <w:p w14:paraId="56087AA1" w14:textId="36DC5FAD" w:rsidR="008B4CF7" w:rsidRPr="00C4270B" w:rsidRDefault="008B4CF7" w:rsidP="008B4CF7">
            <w:pPr>
              <w:pStyle w:val="BodyCopy"/>
              <w:spacing w:before="0" w:after="0"/>
              <w:rPr>
                <w:sz w:val="20"/>
                <w:szCs w:val="20"/>
              </w:rPr>
            </w:pPr>
          </w:p>
        </w:tc>
        <w:tc>
          <w:tcPr>
            <w:tcW w:w="1559" w:type="dxa"/>
            <w:vAlign w:val="center"/>
          </w:tcPr>
          <w:p w14:paraId="1E5555FF" w14:textId="78EE9EBF" w:rsidR="008B4CF7" w:rsidRPr="00C4270B" w:rsidRDefault="008B4CF7" w:rsidP="008B4CF7">
            <w:pPr>
              <w:pStyle w:val="BodyCopy"/>
              <w:spacing w:before="0" w:after="0"/>
              <w:rPr>
                <w:sz w:val="20"/>
                <w:szCs w:val="20"/>
              </w:rPr>
            </w:pPr>
            <w:r w:rsidRPr="00C4270B">
              <w:rPr>
                <w:rFonts w:ascii="Calibri" w:hAnsi="Calibri" w:cs="Calibri"/>
                <w:sz w:val="20"/>
                <w:szCs w:val="20"/>
              </w:rPr>
              <w:t> </w:t>
            </w:r>
          </w:p>
        </w:tc>
        <w:tc>
          <w:tcPr>
            <w:tcW w:w="1204" w:type="dxa"/>
          </w:tcPr>
          <w:p w14:paraId="36CFEDBA" w14:textId="5D9CCB99" w:rsidR="008B4CF7" w:rsidRPr="00C4270B" w:rsidRDefault="008B4CF7" w:rsidP="008B4CF7">
            <w:pPr>
              <w:pStyle w:val="BodyCopy"/>
              <w:spacing w:before="0" w:after="0"/>
              <w:rPr>
                <w:sz w:val="20"/>
                <w:szCs w:val="20"/>
              </w:rPr>
            </w:pPr>
            <w:r>
              <w:rPr>
                <w:sz w:val="20"/>
                <w:szCs w:val="20"/>
              </w:rPr>
              <w:t>15,158</w:t>
            </w:r>
          </w:p>
        </w:tc>
        <w:tc>
          <w:tcPr>
            <w:tcW w:w="1205" w:type="dxa"/>
            <w:noWrap/>
          </w:tcPr>
          <w:p w14:paraId="4AD0D381" w14:textId="46E8A224" w:rsidR="008B4CF7" w:rsidRPr="008B4CF7" w:rsidRDefault="00117DA8" w:rsidP="008B4CF7">
            <w:pPr>
              <w:pStyle w:val="BodyCopy"/>
              <w:spacing w:before="0" w:after="0"/>
              <w:rPr>
                <w:sz w:val="20"/>
                <w:szCs w:val="20"/>
              </w:rPr>
            </w:pPr>
            <w:r w:rsidRPr="00BD61D2">
              <w:rPr>
                <w:sz w:val="20"/>
                <w:szCs w:val="20"/>
              </w:rPr>
              <w:t>17,234</w:t>
            </w:r>
          </w:p>
        </w:tc>
        <w:tc>
          <w:tcPr>
            <w:tcW w:w="1205" w:type="dxa"/>
            <w:noWrap/>
          </w:tcPr>
          <w:p w14:paraId="484EDAB9" w14:textId="5B8D7ECE"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1429C367" w14:textId="2ABF4DC2" w:rsidR="008B4CF7" w:rsidRPr="00C4270B" w:rsidRDefault="008B4CF7" w:rsidP="008B4CF7">
            <w:pPr>
              <w:pStyle w:val="BodyCopy"/>
              <w:spacing w:before="0" w:after="0"/>
              <w:rPr>
                <w:sz w:val="20"/>
                <w:szCs w:val="20"/>
              </w:rPr>
            </w:pPr>
            <w:r w:rsidRPr="00C4270B">
              <w:rPr>
                <w:sz w:val="20"/>
                <w:szCs w:val="20"/>
              </w:rPr>
              <w:t>N/A</w:t>
            </w:r>
          </w:p>
        </w:tc>
      </w:tr>
      <w:tr w:rsidR="008B4CF7" w:rsidRPr="00035E77" w14:paraId="0D2596CB" w14:textId="77777777" w:rsidTr="002437BB">
        <w:trPr>
          <w:trHeight w:val="283"/>
        </w:trPr>
        <w:tc>
          <w:tcPr>
            <w:tcW w:w="2694" w:type="dxa"/>
          </w:tcPr>
          <w:p w14:paraId="6F748304" w14:textId="15B6FD76"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62" behindDoc="0" locked="0" layoutInCell="1" allowOverlap="1" wp14:anchorId="4543EB0F" wp14:editId="1D8C56D7">
                  <wp:simplePos x="0" y="0"/>
                  <wp:positionH relativeFrom="column">
                    <wp:posOffset>-67310</wp:posOffset>
                  </wp:positionH>
                  <wp:positionV relativeFrom="paragraph">
                    <wp:posOffset>-12065</wp:posOffset>
                  </wp:positionV>
                  <wp:extent cx="1348740" cy="253513"/>
                  <wp:effectExtent l="0" t="0" r="3810" b="0"/>
                  <wp:wrapNone/>
                  <wp:docPr id="74"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63D32F28" w14:textId="754D0E0E" w:rsidR="008B4CF7" w:rsidRPr="00C4270B" w:rsidRDefault="008B4CF7" w:rsidP="008B4CF7">
            <w:pPr>
              <w:pStyle w:val="BodyCopy"/>
              <w:spacing w:before="0" w:after="0"/>
              <w:rPr>
                <w:sz w:val="20"/>
                <w:szCs w:val="20"/>
              </w:rPr>
            </w:pPr>
            <w:r w:rsidRPr="00C4270B">
              <w:rPr>
                <w:rFonts w:ascii="Calibri" w:hAnsi="Calibri" w:cs="Calibri"/>
                <w:sz w:val="20"/>
                <w:szCs w:val="20"/>
              </w:rPr>
              <w:t> </w:t>
            </w:r>
          </w:p>
        </w:tc>
        <w:tc>
          <w:tcPr>
            <w:tcW w:w="1204" w:type="dxa"/>
          </w:tcPr>
          <w:p w14:paraId="5EE3427E" w14:textId="633B928F" w:rsidR="008B4CF7" w:rsidRPr="00C4270B" w:rsidRDefault="008B4CF7" w:rsidP="008B4CF7">
            <w:pPr>
              <w:pStyle w:val="BodyCopy"/>
              <w:spacing w:before="0" w:after="0"/>
              <w:rPr>
                <w:sz w:val="20"/>
                <w:szCs w:val="20"/>
              </w:rPr>
            </w:pPr>
            <w:r>
              <w:rPr>
                <w:sz w:val="20"/>
                <w:szCs w:val="20"/>
              </w:rPr>
              <w:t>16,969</w:t>
            </w:r>
          </w:p>
        </w:tc>
        <w:tc>
          <w:tcPr>
            <w:tcW w:w="1205" w:type="dxa"/>
            <w:noWrap/>
          </w:tcPr>
          <w:p w14:paraId="37C4F15E" w14:textId="65A11971" w:rsidR="008B4CF7" w:rsidRPr="008B4CF7" w:rsidRDefault="00117DA8" w:rsidP="008B4CF7">
            <w:pPr>
              <w:pStyle w:val="BodyCopy"/>
              <w:spacing w:before="0" w:after="0"/>
              <w:rPr>
                <w:sz w:val="20"/>
                <w:szCs w:val="20"/>
              </w:rPr>
            </w:pPr>
            <w:r w:rsidRPr="00BD61D2">
              <w:rPr>
                <w:sz w:val="20"/>
                <w:szCs w:val="20"/>
              </w:rPr>
              <w:t>19,300</w:t>
            </w:r>
          </w:p>
        </w:tc>
        <w:tc>
          <w:tcPr>
            <w:tcW w:w="1205" w:type="dxa"/>
            <w:noWrap/>
          </w:tcPr>
          <w:p w14:paraId="196C62D7" w14:textId="456200C2" w:rsidR="008B4CF7" w:rsidRPr="00C4270B" w:rsidRDefault="008B4CF7" w:rsidP="008B4CF7">
            <w:pPr>
              <w:pStyle w:val="BodyCopy"/>
              <w:spacing w:before="0" w:after="0"/>
              <w:rPr>
                <w:sz w:val="20"/>
                <w:szCs w:val="20"/>
              </w:rPr>
            </w:pPr>
            <w:r w:rsidRPr="00C4270B">
              <w:rPr>
                <w:sz w:val="20"/>
                <w:szCs w:val="20"/>
              </w:rPr>
              <w:t>N/A</w:t>
            </w:r>
          </w:p>
        </w:tc>
        <w:tc>
          <w:tcPr>
            <w:tcW w:w="1205" w:type="dxa"/>
            <w:noWrap/>
          </w:tcPr>
          <w:p w14:paraId="6E1894B7" w14:textId="0816E29F" w:rsidR="008B4CF7" w:rsidRPr="00C4270B" w:rsidRDefault="008B4CF7" w:rsidP="008B4CF7">
            <w:pPr>
              <w:pStyle w:val="BodyCopy"/>
              <w:spacing w:before="0" w:after="0"/>
              <w:rPr>
                <w:sz w:val="20"/>
                <w:szCs w:val="20"/>
              </w:rPr>
            </w:pPr>
            <w:r w:rsidRPr="00C4270B">
              <w:rPr>
                <w:sz w:val="20"/>
                <w:szCs w:val="20"/>
              </w:rPr>
              <w:t>N/A</w:t>
            </w:r>
          </w:p>
        </w:tc>
      </w:tr>
    </w:tbl>
    <w:p w14:paraId="24760E8C" w14:textId="7059E023" w:rsidR="006823D3" w:rsidRDefault="006823D3" w:rsidP="006823D3">
      <w:pPr>
        <w:pStyle w:val="Tabletitle"/>
      </w:pPr>
      <w:bookmarkStart w:id="504" w:name="_Toc59436406"/>
      <w:bookmarkStart w:id="505" w:name="_Toc86158567"/>
      <w:bookmarkEnd w:id="503"/>
      <w:r>
        <w:t xml:space="preserve">Registration charges for common vehicle types: </w:t>
      </w:r>
      <w:r w:rsidR="008A449E">
        <w:t>three-year fixed price path</w:t>
      </w:r>
      <w:r w:rsidR="00560CD5">
        <w:t>way</w:t>
      </w:r>
      <w:r>
        <w:t xml:space="preserve"> 1: </w:t>
      </w:r>
      <w:r w:rsidR="00560CD5">
        <w:t xml:space="preserve">up to </w:t>
      </w:r>
      <w:r>
        <w:t>3.5</w:t>
      </w:r>
      <w:r w:rsidR="00272BD6">
        <w:t xml:space="preserve"> per cent</w:t>
      </w:r>
      <w:r>
        <w:t xml:space="preserve"> per annum</w:t>
      </w:r>
      <w:bookmarkEnd w:id="504"/>
      <w:bookmarkEnd w:id="505"/>
    </w:p>
    <w:tbl>
      <w:tblPr>
        <w:tblStyle w:val="NTCtable"/>
        <w:tblW w:w="9072" w:type="dxa"/>
        <w:tblLayout w:type="fixed"/>
        <w:tblLook w:val="04A0" w:firstRow="1" w:lastRow="0" w:firstColumn="1" w:lastColumn="0" w:noHBand="0" w:noVBand="1"/>
      </w:tblPr>
      <w:tblGrid>
        <w:gridCol w:w="2694"/>
        <w:gridCol w:w="1559"/>
        <w:gridCol w:w="1204"/>
        <w:gridCol w:w="1205"/>
        <w:gridCol w:w="1205"/>
        <w:gridCol w:w="1205"/>
      </w:tblGrid>
      <w:tr w:rsidR="002437BB" w:rsidRPr="00035E77" w14:paraId="67996241" w14:textId="77777777" w:rsidTr="00C4270B">
        <w:trPr>
          <w:cnfStyle w:val="100000000000" w:firstRow="1" w:lastRow="0" w:firstColumn="0" w:lastColumn="0" w:oddVBand="0" w:evenVBand="0" w:oddHBand="0" w:evenHBand="0" w:firstRowFirstColumn="0" w:firstRowLastColumn="0" w:lastRowFirstColumn="0" w:lastRowLastColumn="0"/>
          <w:trHeight w:val="300"/>
          <w:tblHeader/>
        </w:trPr>
        <w:tc>
          <w:tcPr>
            <w:tcW w:w="2694" w:type="dxa"/>
            <w:noWrap/>
            <w:hideMark/>
          </w:tcPr>
          <w:p w14:paraId="62881826" w14:textId="1EF93E48" w:rsidR="002437BB" w:rsidRPr="00CD6B04" w:rsidRDefault="002437BB" w:rsidP="002437BB">
            <w:pPr>
              <w:pStyle w:val="BodyCopy"/>
              <w:rPr>
                <w:b/>
                <w:bCs/>
                <w:sz w:val="20"/>
                <w:szCs w:val="22"/>
              </w:rPr>
            </w:pPr>
            <w:r w:rsidRPr="00CD6B04">
              <w:rPr>
                <w:b/>
                <w:bCs/>
                <w:sz w:val="20"/>
                <w:szCs w:val="22"/>
              </w:rPr>
              <w:t xml:space="preserve">Vehicle </w:t>
            </w:r>
            <w:r w:rsidR="00314A7D" w:rsidRPr="00CD6B04">
              <w:rPr>
                <w:b/>
                <w:bCs/>
                <w:sz w:val="20"/>
                <w:szCs w:val="22"/>
              </w:rPr>
              <w:t>t</w:t>
            </w:r>
            <w:r w:rsidRPr="00CD6B04">
              <w:rPr>
                <w:b/>
                <w:bCs/>
                <w:sz w:val="20"/>
                <w:szCs w:val="22"/>
              </w:rPr>
              <w:t>ype</w:t>
            </w:r>
          </w:p>
        </w:tc>
        <w:tc>
          <w:tcPr>
            <w:tcW w:w="1559" w:type="dxa"/>
            <w:noWrap/>
            <w:hideMark/>
          </w:tcPr>
          <w:p w14:paraId="1A135B19" w14:textId="77777777" w:rsidR="002437BB" w:rsidRPr="00CD6B04" w:rsidRDefault="002437BB" w:rsidP="002437BB">
            <w:pPr>
              <w:pStyle w:val="BodyCopy"/>
              <w:rPr>
                <w:b/>
                <w:bCs/>
                <w:sz w:val="20"/>
                <w:szCs w:val="22"/>
              </w:rPr>
            </w:pPr>
            <w:r w:rsidRPr="00CD6B04">
              <w:rPr>
                <w:b/>
                <w:bCs/>
                <w:sz w:val="20"/>
                <w:szCs w:val="22"/>
              </w:rPr>
              <w:t>Mass rating for charging</w:t>
            </w:r>
          </w:p>
        </w:tc>
        <w:tc>
          <w:tcPr>
            <w:tcW w:w="1204" w:type="dxa"/>
          </w:tcPr>
          <w:p w14:paraId="739A9A22" w14:textId="7D616E7F" w:rsidR="002437BB" w:rsidRPr="00CD6B04" w:rsidRDefault="002437BB" w:rsidP="002437BB">
            <w:pPr>
              <w:pStyle w:val="BodyCopy"/>
              <w:rPr>
                <w:b/>
                <w:bCs/>
                <w:sz w:val="20"/>
                <w:szCs w:val="22"/>
              </w:rPr>
            </w:pPr>
            <w:r w:rsidRPr="00CD6B04">
              <w:rPr>
                <w:b/>
                <w:bCs/>
                <w:sz w:val="20"/>
                <w:szCs w:val="22"/>
              </w:rPr>
              <w:t>Current (2021</w:t>
            </w:r>
            <w:r w:rsidR="00272BD6" w:rsidRPr="00CD6B04">
              <w:rPr>
                <w:b/>
                <w:bCs/>
                <w:sz w:val="20"/>
                <w:szCs w:val="22"/>
              </w:rPr>
              <w:t>–2</w:t>
            </w:r>
            <w:r w:rsidRPr="00CD6B04">
              <w:rPr>
                <w:b/>
                <w:bCs/>
                <w:sz w:val="20"/>
                <w:szCs w:val="22"/>
              </w:rPr>
              <w:t>2)</w:t>
            </w:r>
          </w:p>
        </w:tc>
        <w:tc>
          <w:tcPr>
            <w:tcW w:w="1205" w:type="dxa"/>
            <w:noWrap/>
          </w:tcPr>
          <w:p w14:paraId="0D17F235" w14:textId="77777777" w:rsidR="002437BB" w:rsidRPr="00CD6B04" w:rsidRDefault="002437BB" w:rsidP="002437BB">
            <w:pPr>
              <w:pStyle w:val="BodyCopy"/>
              <w:rPr>
                <w:b/>
                <w:bCs/>
                <w:sz w:val="20"/>
                <w:szCs w:val="22"/>
              </w:rPr>
            </w:pPr>
            <w:r w:rsidRPr="00CD6B04">
              <w:rPr>
                <w:b/>
                <w:bCs/>
                <w:sz w:val="20"/>
                <w:szCs w:val="22"/>
              </w:rPr>
              <w:t>Year 1</w:t>
            </w:r>
          </w:p>
        </w:tc>
        <w:tc>
          <w:tcPr>
            <w:tcW w:w="1205" w:type="dxa"/>
            <w:noWrap/>
          </w:tcPr>
          <w:p w14:paraId="6AB38570" w14:textId="77777777" w:rsidR="002437BB" w:rsidRPr="00CD6B04" w:rsidRDefault="002437BB" w:rsidP="002437BB">
            <w:pPr>
              <w:pStyle w:val="BodyCopy"/>
              <w:rPr>
                <w:b/>
                <w:bCs/>
                <w:sz w:val="20"/>
                <w:szCs w:val="22"/>
              </w:rPr>
            </w:pPr>
            <w:r w:rsidRPr="00CD6B04">
              <w:rPr>
                <w:b/>
                <w:bCs/>
                <w:sz w:val="20"/>
                <w:szCs w:val="22"/>
              </w:rPr>
              <w:t>Year 2</w:t>
            </w:r>
          </w:p>
        </w:tc>
        <w:tc>
          <w:tcPr>
            <w:tcW w:w="1205" w:type="dxa"/>
            <w:noWrap/>
          </w:tcPr>
          <w:p w14:paraId="0412FDA5" w14:textId="77777777" w:rsidR="002437BB" w:rsidRPr="00CD6B04" w:rsidRDefault="002437BB" w:rsidP="002437BB">
            <w:pPr>
              <w:pStyle w:val="BodyCopy"/>
              <w:rPr>
                <w:b/>
                <w:bCs/>
                <w:sz w:val="20"/>
                <w:szCs w:val="22"/>
              </w:rPr>
            </w:pPr>
            <w:r w:rsidRPr="00CD6B04">
              <w:rPr>
                <w:b/>
                <w:bCs/>
                <w:sz w:val="20"/>
                <w:szCs w:val="22"/>
              </w:rPr>
              <w:t>Year 3</w:t>
            </w:r>
          </w:p>
        </w:tc>
      </w:tr>
      <w:tr w:rsidR="008B4CF7" w:rsidRPr="00035E77" w14:paraId="2B8B0C59" w14:textId="77777777" w:rsidTr="002437BB">
        <w:trPr>
          <w:trHeight w:val="283"/>
        </w:trPr>
        <w:tc>
          <w:tcPr>
            <w:tcW w:w="2694" w:type="dxa"/>
            <w:vMerge w:val="restart"/>
            <w:noWrap/>
          </w:tcPr>
          <w:p w14:paraId="025B441D"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68" behindDoc="0" locked="0" layoutInCell="1" allowOverlap="1" wp14:anchorId="6CBB5354" wp14:editId="1374EF44">
                  <wp:simplePos x="0" y="0"/>
                  <wp:positionH relativeFrom="column">
                    <wp:posOffset>-68580</wp:posOffset>
                  </wp:positionH>
                  <wp:positionV relativeFrom="paragraph">
                    <wp:posOffset>69215</wp:posOffset>
                  </wp:positionV>
                  <wp:extent cx="683212" cy="266700"/>
                  <wp:effectExtent l="0" t="0" r="3175" b="0"/>
                  <wp:wrapNone/>
                  <wp:docPr id="6"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0250C09D" w14:textId="2883E45C"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12.0 t</w:t>
            </w:r>
          </w:p>
        </w:tc>
        <w:tc>
          <w:tcPr>
            <w:tcW w:w="1204" w:type="dxa"/>
          </w:tcPr>
          <w:p w14:paraId="6EFA03BA" w14:textId="0CF812E4" w:rsidR="008B4CF7" w:rsidRPr="00C4270B" w:rsidRDefault="008B4CF7" w:rsidP="008B4CF7">
            <w:pPr>
              <w:pStyle w:val="BodyCopy"/>
              <w:spacing w:before="0" w:after="0"/>
              <w:rPr>
                <w:sz w:val="20"/>
                <w:szCs w:val="22"/>
              </w:rPr>
            </w:pPr>
            <w:r>
              <w:rPr>
                <w:sz w:val="20"/>
                <w:szCs w:val="20"/>
              </w:rPr>
              <w:t>617</w:t>
            </w:r>
          </w:p>
        </w:tc>
        <w:tc>
          <w:tcPr>
            <w:tcW w:w="1205" w:type="dxa"/>
            <w:noWrap/>
          </w:tcPr>
          <w:p w14:paraId="086DEC5B" w14:textId="42F8819F" w:rsidR="008B4CF7" w:rsidRPr="008B4CF7" w:rsidRDefault="004D3DBE" w:rsidP="008B4CF7">
            <w:pPr>
              <w:pStyle w:val="BodyCopy"/>
              <w:spacing w:before="0" w:after="0"/>
              <w:rPr>
                <w:sz w:val="20"/>
                <w:szCs w:val="20"/>
              </w:rPr>
            </w:pPr>
            <w:r w:rsidRPr="00BD61D2">
              <w:rPr>
                <w:sz w:val="20"/>
                <w:szCs w:val="20"/>
              </w:rPr>
              <w:t>635</w:t>
            </w:r>
          </w:p>
        </w:tc>
        <w:tc>
          <w:tcPr>
            <w:tcW w:w="1205" w:type="dxa"/>
            <w:noWrap/>
          </w:tcPr>
          <w:p w14:paraId="7C111FB8" w14:textId="5291819C" w:rsidR="008B4CF7" w:rsidRPr="008B4CF7" w:rsidRDefault="004D3DBE" w:rsidP="008B4CF7">
            <w:pPr>
              <w:pStyle w:val="BodyCopy"/>
              <w:spacing w:before="0" w:after="0"/>
              <w:rPr>
                <w:sz w:val="20"/>
                <w:szCs w:val="20"/>
              </w:rPr>
            </w:pPr>
            <w:r w:rsidRPr="00BD61D2">
              <w:rPr>
                <w:sz w:val="20"/>
                <w:szCs w:val="20"/>
              </w:rPr>
              <w:t>653</w:t>
            </w:r>
          </w:p>
        </w:tc>
        <w:tc>
          <w:tcPr>
            <w:tcW w:w="1205" w:type="dxa"/>
            <w:noWrap/>
          </w:tcPr>
          <w:p w14:paraId="37FACCAE" w14:textId="33261723" w:rsidR="008B4CF7" w:rsidRPr="008B4CF7" w:rsidRDefault="004D3DBE" w:rsidP="008B4CF7">
            <w:pPr>
              <w:pStyle w:val="BodyCopy"/>
              <w:spacing w:before="0" w:after="0"/>
              <w:rPr>
                <w:sz w:val="20"/>
                <w:szCs w:val="20"/>
              </w:rPr>
            </w:pPr>
            <w:r w:rsidRPr="00BD61D2">
              <w:rPr>
                <w:sz w:val="20"/>
                <w:szCs w:val="20"/>
              </w:rPr>
              <w:t>675</w:t>
            </w:r>
          </w:p>
        </w:tc>
      </w:tr>
      <w:tr w:rsidR="008B4CF7" w:rsidRPr="00035E77" w14:paraId="449B10FB" w14:textId="77777777" w:rsidTr="002437BB">
        <w:trPr>
          <w:trHeight w:val="283"/>
        </w:trPr>
        <w:tc>
          <w:tcPr>
            <w:tcW w:w="2694" w:type="dxa"/>
            <w:vMerge/>
          </w:tcPr>
          <w:p w14:paraId="106583B5" w14:textId="77777777" w:rsidR="008B4CF7" w:rsidRPr="00C4270B" w:rsidRDefault="008B4CF7" w:rsidP="008B4CF7">
            <w:pPr>
              <w:pStyle w:val="BodyCopy"/>
              <w:spacing w:before="0" w:after="0"/>
              <w:rPr>
                <w:sz w:val="20"/>
                <w:szCs w:val="22"/>
              </w:rPr>
            </w:pPr>
          </w:p>
        </w:tc>
        <w:tc>
          <w:tcPr>
            <w:tcW w:w="1559" w:type="dxa"/>
            <w:vAlign w:val="center"/>
          </w:tcPr>
          <w:p w14:paraId="217A7446" w14:textId="3E9A0FD9"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12.0 t</w:t>
            </w:r>
          </w:p>
        </w:tc>
        <w:tc>
          <w:tcPr>
            <w:tcW w:w="1204" w:type="dxa"/>
          </w:tcPr>
          <w:p w14:paraId="71CB59C6" w14:textId="32EC80F5" w:rsidR="008B4CF7" w:rsidRPr="00C4270B" w:rsidRDefault="008B4CF7" w:rsidP="008B4CF7">
            <w:pPr>
              <w:pStyle w:val="BodyCopy"/>
              <w:spacing w:before="0" w:after="0"/>
              <w:rPr>
                <w:sz w:val="20"/>
                <w:szCs w:val="22"/>
              </w:rPr>
            </w:pPr>
            <w:r>
              <w:rPr>
                <w:sz w:val="20"/>
                <w:szCs w:val="20"/>
              </w:rPr>
              <w:t>993</w:t>
            </w:r>
          </w:p>
        </w:tc>
        <w:tc>
          <w:tcPr>
            <w:tcW w:w="1205" w:type="dxa"/>
            <w:noWrap/>
          </w:tcPr>
          <w:p w14:paraId="213FF18D" w14:textId="57526EE8" w:rsidR="008B4CF7" w:rsidRPr="008B4CF7" w:rsidRDefault="004D3DBE" w:rsidP="008B4CF7">
            <w:pPr>
              <w:pStyle w:val="BodyCopy"/>
              <w:spacing w:before="0" w:after="0"/>
              <w:rPr>
                <w:sz w:val="20"/>
                <w:szCs w:val="20"/>
              </w:rPr>
            </w:pPr>
            <w:r w:rsidRPr="00BD61D2">
              <w:rPr>
                <w:sz w:val="20"/>
                <w:szCs w:val="20"/>
              </w:rPr>
              <w:t>1,031</w:t>
            </w:r>
          </w:p>
        </w:tc>
        <w:tc>
          <w:tcPr>
            <w:tcW w:w="1205" w:type="dxa"/>
            <w:noWrap/>
          </w:tcPr>
          <w:p w14:paraId="2D226200" w14:textId="1075A847" w:rsidR="008B4CF7" w:rsidRPr="008B4CF7" w:rsidRDefault="004D3DBE" w:rsidP="008B4CF7">
            <w:pPr>
              <w:pStyle w:val="BodyCopy"/>
              <w:spacing w:before="0" w:after="0"/>
              <w:rPr>
                <w:sz w:val="20"/>
                <w:szCs w:val="20"/>
              </w:rPr>
            </w:pPr>
            <w:r w:rsidRPr="00BD61D2">
              <w:rPr>
                <w:sz w:val="20"/>
                <w:szCs w:val="20"/>
              </w:rPr>
              <w:t>1,074</w:t>
            </w:r>
          </w:p>
        </w:tc>
        <w:tc>
          <w:tcPr>
            <w:tcW w:w="1205" w:type="dxa"/>
            <w:noWrap/>
          </w:tcPr>
          <w:p w14:paraId="1B16612F" w14:textId="0CC57826" w:rsidR="008B4CF7" w:rsidRPr="008B4CF7" w:rsidRDefault="004D3DBE" w:rsidP="008B4CF7">
            <w:pPr>
              <w:pStyle w:val="BodyCopy"/>
              <w:spacing w:before="0" w:after="0"/>
              <w:rPr>
                <w:sz w:val="20"/>
                <w:szCs w:val="20"/>
              </w:rPr>
            </w:pPr>
            <w:r w:rsidRPr="00BD61D2">
              <w:rPr>
                <w:sz w:val="20"/>
                <w:szCs w:val="20"/>
              </w:rPr>
              <w:t>1,123</w:t>
            </w:r>
          </w:p>
        </w:tc>
      </w:tr>
      <w:tr w:rsidR="008B4CF7" w:rsidRPr="00035E77" w14:paraId="054A82FC" w14:textId="77777777" w:rsidTr="002437BB">
        <w:trPr>
          <w:trHeight w:val="283"/>
        </w:trPr>
        <w:tc>
          <w:tcPr>
            <w:tcW w:w="2694" w:type="dxa"/>
            <w:noWrap/>
          </w:tcPr>
          <w:p w14:paraId="0BE73CE9"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67" behindDoc="0" locked="0" layoutInCell="1" allowOverlap="1" wp14:anchorId="5661010B" wp14:editId="63A2BDF8">
                  <wp:simplePos x="0" y="0"/>
                  <wp:positionH relativeFrom="column">
                    <wp:posOffset>-68580</wp:posOffset>
                  </wp:positionH>
                  <wp:positionV relativeFrom="paragraph">
                    <wp:posOffset>-24765</wp:posOffset>
                  </wp:positionV>
                  <wp:extent cx="967740" cy="266700"/>
                  <wp:effectExtent l="0" t="0" r="3810" b="0"/>
                  <wp:wrapNone/>
                  <wp:docPr id="103" name="Picture 103"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103" name="Picture 103"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5"/>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41187450" w14:textId="29AEC270"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42.5 t</w:t>
            </w:r>
          </w:p>
        </w:tc>
        <w:tc>
          <w:tcPr>
            <w:tcW w:w="1204" w:type="dxa"/>
          </w:tcPr>
          <w:p w14:paraId="6232E758" w14:textId="361BFC77" w:rsidR="008B4CF7" w:rsidRPr="00C4270B" w:rsidRDefault="008B4CF7" w:rsidP="008B4CF7">
            <w:pPr>
              <w:pStyle w:val="BodyCopy"/>
              <w:spacing w:before="0" w:after="0"/>
              <w:rPr>
                <w:sz w:val="20"/>
                <w:szCs w:val="22"/>
              </w:rPr>
            </w:pPr>
            <w:r>
              <w:rPr>
                <w:sz w:val="20"/>
                <w:szCs w:val="20"/>
              </w:rPr>
              <w:t>2,334</w:t>
            </w:r>
          </w:p>
        </w:tc>
        <w:tc>
          <w:tcPr>
            <w:tcW w:w="1205" w:type="dxa"/>
            <w:noWrap/>
          </w:tcPr>
          <w:p w14:paraId="55E20358" w14:textId="0E9F00CE" w:rsidR="008B4CF7" w:rsidRPr="008B4CF7" w:rsidRDefault="004D3DBE" w:rsidP="008B4CF7">
            <w:pPr>
              <w:pStyle w:val="BodyCopy"/>
              <w:spacing w:before="0" w:after="0"/>
              <w:rPr>
                <w:sz w:val="20"/>
                <w:szCs w:val="20"/>
              </w:rPr>
            </w:pPr>
            <w:r w:rsidRPr="00BD61D2">
              <w:rPr>
                <w:sz w:val="20"/>
                <w:szCs w:val="20"/>
              </w:rPr>
              <w:t>2,389</w:t>
            </w:r>
          </w:p>
        </w:tc>
        <w:tc>
          <w:tcPr>
            <w:tcW w:w="1205" w:type="dxa"/>
            <w:noWrap/>
          </w:tcPr>
          <w:p w14:paraId="5AA721C8" w14:textId="04EE9EC1" w:rsidR="008B4CF7" w:rsidRPr="008B4CF7" w:rsidRDefault="004D3DBE" w:rsidP="008B4CF7">
            <w:pPr>
              <w:pStyle w:val="BodyCopy"/>
              <w:spacing w:before="0" w:after="0"/>
              <w:rPr>
                <w:sz w:val="20"/>
                <w:szCs w:val="20"/>
              </w:rPr>
            </w:pPr>
            <w:r w:rsidRPr="00BD61D2">
              <w:rPr>
                <w:sz w:val="20"/>
                <w:szCs w:val="20"/>
              </w:rPr>
              <w:t>2,471</w:t>
            </w:r>
          </w:p>
        </w:tc>
        <w:tc>
          <w:tcPr>
            <w:tcW w:w="1205" w:type="dxa"/>
            <w:noWrap/>
          </w:tcPr>
          <w:p w14:paraId="58C7D530" w14:textId="514D0344" w:rsidR="008B4CF7" w:rsidRPr="008B4CF7" w:rsidRDefault="004D3DBE" w:rsidP="008B4CF7">
            <w:pPr>
              <w:pStyle w:val="BodyCopy"/>
              <w:spacing w:before="0" w:after="0"/>
              <w:rPr>
                <w:sz w:val="20"/>
                <w:szCs w:val="20"/>
              </w:rPr>
            </w:pPr>
            <w:r w:rsidRPr="00BD61D2">
              <w:rPr>
                <w:sz w:val="20"/>
                <w:szCs w:val="20"/>
              </w:rPr>
              <w:t>2,565</w:t>
            </w:r>
          </w:p>
        </w:tc>
      </w:tr>
      <w:tr w:rsidR="008B4CF7" w:rsidRPr="00035E77" w14:paraId="1A82A3EF" w14:textId="77777777" w:rsidTr="002437BB">
        <w:trPr>
          <w:trHeight w:val="283"/>
        </w:trPr>
        <w:tc>
          <w:tcPr>
            <w:tcW w:w="2694" w:type="dxa"/>
            <w:vMerge w:val="restart"/>
          </w:tcPr>
          <w:p w14:paraId="168FAA48"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5" behindDoc="0" locked="0" layoutInCell="1" allowOverlap="1" wp14:anchorId="46656193" wp14:editId="3729F416">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104"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2084507E" w14:textId="35162E1A"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16.5 t</w:t>
            </w:r>
          </w:p>
        </w:tc>
        <w:tc>
          <w:tcPr>
            <w:tcW w:w="1204" w:type="dxa"/>
          </w:tcPr>
          <w:p w14:paraId="0F10BE6E" w14:textId="6AB12351" w:rsidR="008B4CF7" w:rsidRPr="00C4270B" w:rsidRDefault="008B4CF7" w:rsidP="008B4CF7">
            <w:pPr>
              <w:pStyle w:val="BodyCopy"/>
              <w:spacing w:before="0" w:after="0"/>
              <w:rPr>
                <w:sz w:val="20"/>
                <w:szCs w:val="22"/>
              </w:rPr>
            </w:pPr>
            <w:r>
              <w:rPr>
                <w:sz w:val="20"/>
                <w:szCs w:val="20"/>
              </w:rPr>
              <w:t>968</w:t>
            </w:r>
          </w:p>
        </w:tc>
        <w:tc>
          <w:tcPr>
            <w:tcW w:w="1205" w:type="dxa"/>
            <w:noWrap/>
          </w:tcPr>
          <w:p w14:paraId="10662E79" w14:textId="1283278A" w:rsidR="008B4CF7" w:rsidRPr="008B4CF7" w:rsidRDefault="004D3DBE" w:rsidP="008B4CF7">
            <w:pPr>
              <w:pStyle w:val="BodyCopy"/>
              <w:spacing w:before="0" w:after="0"/>
              <w:rPr>
                <w:sz w:val="20"/>
                <w:szCs w:val="20"/>
              </w:rPr>
            </w:pPr>
            <w:r w:rsidRPr="00BD61D2">
              <w:rPr>
                <w:sz w:val="20"/>
                <w:szCs w:val="20"/>
              </w:rPr>
              <w:t>1,005</w:t>
            </w:r>
          </w:p>
        </w:tc>
        <w:tc>
          <w:tcPr>
            <w:tcW w:w="1205" w:type="dxa"/>
            <w:noWrap/>
          </w:tcPr>
          <w:p w14:paraId="3B118763" w14:textId="4C9098D2" w:rsidR="008B4CF7" w:rsidRPr="008B4CF7" w:rsidRDefault="004D3DBE" w:rsidP="008B4CF7">
            <w:pPr>
              <w:pStyle w:val="BodyCopy"/>
              <w:spacing w:before="0" w:after="0"/>
              <w:rPr>
                <w:sz w:val="20"/>
                <w:szCs w:val="20"/>
              </w:rPr>
            </w:pPr>
            <w:r w:rsidRPr="00BD61D2">
              <w:rPr>
                <w:sz w:val="20"/>
                <w:szCs w:val="20"/>
              </w:rPr>
              <w:t>1,047</w:t>
            </w:r>
          </w:p>
        </w:tc>
        <w:tc>
          <w:tcPr>
            <w:tcW w:w="1205" w:type="dxa"/>
            <w:noWrap/>
          </w:tcPr>
          <w:p w14:paraId="2A83B9FB" w14:textId="62439943" w:rsidR="008B4CF7" w:rsidRPr="008B4CF7" w:rsidRDefault="004D3DBE" w:rsidP="008B4CF7">
            <w:pPr>
              <w:pStyle w:val="BodyCopy"/>
              <w:spacing w:before="0" w:after="0"/>
              <w:rPr>
                <w:sz w:val="20"/>
                <w:szCs w:val="20"/>
              </w:rPr>
            </w:pPr>
            <w:r w:rsidRPr="00BD61D2">
              <w:rPr>
                <w:sz w:val="20"/>
                <w:szCs w:val="20"/>
              </w:rPr>
              <w:t>1,095</w:t>
            </w:r>
          </w:p>
        </w:tc>
      </w:tr>
      <w:tr w:rsidR="008B4CF7" w:rsidRPr="00035E77" w14:paraId="28213034" w14:textId="77777777" w:rsidTr="002437BB">
        <w:trPr>
          <w:trHeight w:val="283"/>
        </w:trPr>
        <w:tc>
          <w:tcPr>
            <w:tcW w:w="2694" w:type="dxa"/>
            <w:vMerge/>
          </w:tcPr>
          <w:p w14:paraId="20D7C1D2" w14:textId="77777777" w:rsidR="008B4CF7" w:rsidRPr="00C4270B" w:rsidRDefault="008B4CF7" w:rsidP="008B4CF7">
            <w:pPr>
              <w:pStyle w:val="BodyCopy"/>
              <w:spacing w:before="0" w:after="0"/>
              <w:rPr>
                <w:sz w:val="20"/>
                <w:szCs w:val="22"/>
              </w:rPr>
            </w:pPr>
          </w:p>
        </w:tc>
        <w:tc>
          <w:tcPr>
            <w:tcW w:w="1559" w:type="dxa"/>
            <w:vAlign w:val="center"/>
          </w:tcPr>
          <w:p w14:paraId="10335F65" w14:textId="3FB9EFB2"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16.5 t</w:t>
            </w:r>
          </w:p>
        </w:tc>
        <w:tc>
          <w:tcPr>
            <w:tcW w:w="1204" w:type="dxa"/>
          </w:tcPr>
          <w:p w14:paraId="1DDF71D2" w14:textId="28A4BC35" w:rsidR="008B4CF7" w:rsidRPr="00C4270B" w:rsidRDefault="008B4CF7" w:rsidP="008B4CF7">
            <w:pPr>
              <w:pStyle w:val="BodyCopy"/>
              <w:spacing w:before="0" w:after="0"/>
              <w:rPr>
                <w:sz w:val="20"/>
                <w:szCs w:val="22"/>
              </w:rPr>
            </w:pPr>
            <w:r>
              <w:rPr>
                <w:sz w:val="20"/>
                <w:szCs w:val="20"/>
              </w:rPr>
              <w:t>1,162</w:t>
            </w:r>
          </w:p>
        </w:tc>
        <w:tc>
          <w:tcPr>
            <w:tcW w:w="1205" w:type="dxa"/>
            <w:noWrap/>
          </w:tcPr>
          <w:p w14:paraId="201E4DBF" w14:textId="565B8B89" w:rsidR="008B4CF7" w:rsidRPr="008B4CF7" w:rsidRDefault="004D3DBE" w:rsidP="008B4CF7">
            <w:pPr>
              <w:pStyle w:val="BodyCopy"/>
              <w:spacing w:before="0" w:after="0"/>
              <w:rPr>
                <w:sz w:val="20"/>
                <w:szCs w:val="20"/>
              </w:rPr>
            </w:pPr>
            <w:r w:rsidRPr="00BD61D2">
              <w:rPr>
                <w:sz w:val="20"/>
                <w:szCs w:val="20"/>
              </w:rPr>
              <w:t>1,208</w:t>
            </w:r>
          </w:p>
        </w:tc>
        <w:tc>
          <w:tcPr>
            <w:tcW w:w="1205" w:type="dxa"/>
            <w:noWrap/>
          </w:tcPr>
          <w:p w14:paraId="459964AA" w14:textId="1104EBB3" w:rsidR="008B4CF7" w:rsidRPr="008B4CF7" w:rsidRDefault="004D3DBE" w:rsidP="008B4CF7">
            <w:pPr>
              <w:pStyle w:val="BodyCopy"/>
              <w:spacing w:before="0" w:after="0"/>
              <w:rPr>
                <w:sz w:val="20"/>
                <w:szCs w:val="20"/>
              </w:rPr>
            </w:pPr>
            <w:r w:rsidRPr="00BD61D2">
              <w:rPr>
                <w:sz w:val="20"/>
                <w:szCs w:val="20"/>
              </w:rPr>
              <w:t>1,257</w:t>
            </w:r>
          </w:p>
        </w:tc>
        <w:tc>
          <w:tcPr>
            <w:tcW w:w="1205" w:type="dxa"/>
            <w:noWrap/>
          </w:tcPr>
          <w:p w14:paraId="28B7A427" w14:textId="04D2FF35" w:rsidR="008B4CF7" w:rsidRPr="008B4CF7" w:rsidRDefault="004D3DBE" w:rsidP="008B4CF7">
            <w:pPr>
              <w:pStyle w:val="BodyCopy"/>
              <w:spacing w:before="0" w:after="0"/>
              <w:rPr>
                <w:sz w:val="20"/>
                <w:szCs w:val="20"/>
              </w:rPr>
            </w:pPr>
            <w:r w:rsidRPr="00BD61D2">
              <w:rPr>
                <w:sz w:val="20"/>
                <w:szCs w:val="20"/>
              </w:rPr>
              <w:t>1,315</w:t>
            </w:r>
          </w:p>
        </w:tc>
      </w:tr>
      <w:tr w:rsidR="008B4CF7" w:rsidRPr="00035E77" w14:paraId="6973F8F2" w14:textId="77777777" w:rsidTr="002437BB">
        <w:trPr>
          <w:trHeight w:val="283"/>
        </w:trPr>
        <w:tc>
          <w:tcPr>
            <w:tcW w:w="2694" w:type="dxa"/>
            <w:vMerge w:val="restart"/>
          </w:tcPr>
          <w:p w14:paraId="1C431209"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8" behindDoc="0" locked="0" layoutInCell="1" allowOverlap="1" wp14:anchorId="2435417A" wp14:editId="526F53D6">
                  <wp:simplePos x="0" y="0"/>
                  <wp:positionH relativeFrom="column">
                    <wp:posOffset>-68580</wp:posOffset>
                  </wp:positionH>
                  <wp:positionV relativeFrom="paragraph">
                    <wp:posOffset>9525</wp:posOffset>
                  </wp:positionV>
                  <wp:extent cx="1394460" cy="354407"/>
                  <wp:effectExtent l="0" t="0" r="0" b="0"/>
                  <wp:wrapNone/>
                  <wp:docPr id="105"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9281" b="-19281"/>
                          <a:stretch>
                            <a:fillRect/>
                          </a:stretch>
                        </pic:blipFill>
                        <pic:spPr bwMode="auto">
                          <a:xfrm>
                            <a:off x="0" y="0"/>
                            <a:ext cx="1394460" cy="354407"/>
                          </a:xfrm>
                          <a:prstGeom prst="rect">
                            <a:avLst/>
                          </a:prstGeom>
                          <a:noFill/>
                        </pic:spPr>
                      </pic:pic>
                    </a:graphicData>
                  </a:graphic>
                </wp:anchor>
              </w:drawing>
            </w:r>
          </w:p>
        </w:tc>
        <w:tc>
          <w:tcPr>
            <w:tcW w:w="1559" w:type="dxa"/>
            <w:vAlign w:val="center"/>
          </w:tcPr>
          <w:p w14:paraId="5417A043" w14:textId="4117A50B"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42.5 t</w:t>
            </w:r>
          </w:p>
        </w:tc>
        <w:tc>
          <w:tcPr>
            <w:tcW w:w="1204" w:type="dxa"/>
          </w:tcPr>
          <w:p w14:paraId="296BFEA3" w14:textId="52D518AA" w:rsidR="008B4CF7" w:rsidRPr="00C4270B" w:rsidRDefault="008B4CF7" w:rsidP="008B4CF7">
            <w:pPr>
              <w:pStyle w:val="BodyCopy"/>
              <w:spacing w:before="0" w:after="0"/>
              <w:rPr>
                <w:sz w:val="20"/>
                <w:szCs w:val="22"/>
              </w:rPr>
            </w:pPr>
            <w:r>
              <w:rPr>
                <w:sz w:val="20"/>
                <w:szCs w:val="20"/>
              </w:rPr>
              <w:t>3,135</w:t>
            </w:r>
          </w:p>
        </w:tc>
        <w:tc>
          <w:tcPr>
            <w:tcW w:w="1205" w:type="dxa"/>
            <w:noWrap/>
          </w:tcPr>
          <w:p w14:paraId="2F1473F4" w14:textId="2D954B2E" w:rsidR="008B4CF7" w:rsidRPr="008B4CF7" w:rsidRDefault="004D3DBE" w:rsidP="008B4CF7">
            <w:pPr>
              <w:pStyle w:val="BodyCopy"/>
              <w:spacing w:before="0" w:after="0"/>
              <w:rPr>
                <w:sz w:val="20"/>
                <w:szCs w:val="20"/>
              </w:rPr>
            </w:pPr>
            <w:r w:rsidRPr="00BD61D2">
              <w:rPr>
                <w:sz w:val="20"/>
                <w:szCs w:val="20"/>
              </w:rPr>
              <w:t>3,205</w:t>
            </w:r>
          </w:p>
        </w:tc>
        <w:tc>
          <w:tcPr>
            <w:tcW w:w="1205" w:type="dxa"/>
            <w:noWrap/>
          </w:tcPr>
          <w:p w14:paraId="3EB12F15" w14:textId="5371DCA8" w:rsidR="008B4CF7" w:rsidRPr="008B4CF7" w:rsidRDefault="004D3DBE" w:rsidP="008B4CF7">
            <w:pPr>
              <w:pStyle w:val="BodyCopy"/>
              <w:spacing w:before="0" w:after="0"/>
              <w:rPr>
                <w:sz w:val="20"/>
                <w:szCs w:val="20"/>
              </w:rPr>
            </w:pPr>
            <w:r w:rsidRPr="00BD61D2">
              <w:rPr>
                <w:sz w:val="20"/>
                <w:szCs w:val="20"/>
              </w:rPr>
              <w:t>3,312</w:t>
            </w:r>
          </w:p>
        </w:tc>
        <w:tc>
          <w:tcPr>
            <w:tcW w:w="1205" w:type="dxa"/>
            <w:noWrap/>
          </w:tcPr>
          <w:p w14:paraId="2E68117F" w14:textId="522AF4AB" w:rsidR="008B4CF7" w:rsidRPr="008B4CF7" w:rsidRDefault="004D3DBE" w:rsidP="008B4CF7">
            <w:pPr>
              <w:pStyle w:val="BodyCopy"/>
              <w:spacing w:before="0" w:after="0"/>
              <w:rPr>
                <w:sz w:val="20"/>
                <w:szCs w:val="20"/>
              </w:rPr>
            </w:pPr>
            <w:r w:rsidRPr="00BD61D2">
              <w:rPr>
                <w:sz w:val="20"/>
                <w:szCs w:val="20"/>
              </w:rPr>
              <w:t>3,436</w:t>
            </w:r>
          </w:p>
        </w:tc>
      </w:tr>
      <w:tr w:rsidR="008B4CF7" w:rsidRPr="00035E77" w14:paraId="2413F686" w14:textId="77777777" w:rsidTr="002437BB">
        <w:trPr>
          <w:trHeight w:val="283"/>
        </w:trPr>
        <w:tc>
          <w:tcPr>
            <w:tcW w:w="2694" w:type="dxa"/>
            <w:vMerge/>
          </w:tcPr>
          <w:p w14:paraId="21224484" w14:textId="77777777" w:rsidR="008B4CF7" w:rsidRPr="00C4270B" w:rsidRDefault="008B4CF7" w:rsidP="008B4CF7">
            <w:pPr>
              <w:pStyle w:val="BodyCopy"/>
              <w:spacing w:before="0" w:after="0"/>
              <w:rPr>
                <w:sz w:val="20"/>
                <w:szCs w:val="22"/>
              </w:rPr>
            </w:pPr>
          </w:p>
        </w:tc>
        <w:tc>
          <w:tcPr>
            <w:tcW w:w="1559" w:type="dxa"/>
            <w:vAlign w:val="center"/>
          </w:tcPr>
          <w:p w14:paraId="3AAB454F" w14:textId="521887EC"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42.5 t</w:t>
            </w:r>
          </w:p>
        </w:tc>
        <w:tc>
          <w:tcPr>
            <w:tcW w:w="1204" w:type="dxa"/>
          </w:tcPr>
          <w:p w14:paraId="578EBADE" w14:textId="542022AD" w:rsidR="008B4CF7" w:rsidRPr="00C4270B" w:rsidRDefault="008B4CF7" w:rsidP="008B4CF7">
            <w:pPr>
              <w:pStyle w:val="BodyCopy"/>
              <w:spacing w:before="0" w:after="0"/>
              <w:rPr>
                <w:sz w:val="20"/>
                <w:szCs w:val="22"/>
              </w:rPr>
            </w:pPr>
            <w:r>
              <w:rPr>
                <w:sz w:val="20"/>
                <w:szCs w:val="20"/>
              </w:rPr>
              <w:t>11,713</w:t>
            </w:r>
          </w:p>
        </w:tc>
        <w:tc>
          <w:tcPr>
            <w:tcW w:w="1205" w:type="dxa"/>
            <w:noWrap/>
          </w:tcPr>
          <w:p w14:paraId="19A3C851" w14:textId="54F92394" w:rsidR="008B4CF7" w:rsidRPr="008B4CF7" w:rsidRDefault="004D3DBE" w:rsidP="008B4CF7">
            <w:pPr>
              <w:pStyle w:val="BodyCopy"/>
              <w:spacing w:before="0" w:after="0"/>
              <w:rPr>
                <w:sz w:val="20"/>
                <w:szCs w:val="20"/>
              </w:rPr>
            </w:pPr>
            <w:r w:rsidRPr="00BD61D2">
              <w:rPr>
                <w:sz w:val="20"/>
                <w:szCs w:val="20"/>
              </w:rPr>
              <w:t>11,999</w:t>
            </w:r>
          </w:p>
        </w:tc>
        <w:tc>
          <w:tcPr>
            <w:tcW w:w="1205" w:type="dxa"/>
            <w:noWrap/>
          </w:tcPr>
          <w:p w14:paraId="3B4893F5" w14:textId="74D6CE56" w:rsidR="008B4CF7" w:rsidRPr="008B4CF7" w:rsidRDefault="004D3DBE" w:rsidP="008B4CF7">
            <w:pPr>
              <w:pStyle w:val="BodyCopy"/>
              <w:spacing w:before="0" w:after="0"/>
              <w:rPr>
                <w:sz w:val="20"/>
                <w:szCs w:val="20"/>
              </w:rPr>
            </w:pPr>
            <w:r w:rsidRPr="00BD61D2">
              <w:rPr>
                <w:sz w:val="20"/>
                <w:szCs w:val="20"/>
              </w:rPr>
              <w:t>12,342</w:t>
            </w:r>
          </w:p>
        </w:tc>
        <w:tc>
          <w:tcPr>
            <w:tcW w:w="1205" w:type="dxa"/>
            <w:noWrap/>
          </w:tcPr>
          <w:p w14:paraId="6A60F13F" w14:textId="6FB6B6D2" w:rsidR="008B4CF7" w:rsidRPr="008B4CF7" w:rsidRDefault="004D3DBE" w:rsidP="008B4CF7">
            <w:pPr>
              <w:pStyle w:val="BodyCopy"/>
              <w:spacing w:before="0" w:after="0"/>
              <w:rPr>
                <w:sz w:val="20"/>
                <w:szCs w:val="20"/>
              </w:rPr>
            </w:pPr>
            <w:r w:rsidRPr="00BD61D2">
              <w:rPr>
                <w:sz w:val="20"/>
                <w:szCs w:val="20"/>
              </w:rPr>
              <w:t>12,750</w:t>
            </w:r>
          </w:p>
        </w:tc>
      </w:tr>
      <w:tr w:rsidR="008B4CF7" w:rsidRPr="00035E77" w14:paraId="1B9FF515" w14:textId="77777777" w:rsidTr="002437BB">
        <w:trPr>
          <w:trHeight w:val="283"/>
        </w:trPr>
        <w:tc>
          <w:tcPr>
            <w:tcW w:w="2694" w:type="dxa"/>
            <w:noWrap/>
          </w:tcPr>
          <w:p w14:paraId="2CE53717"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69" behindDoc="0" locked="0" layoutInCell="1" allowOverlap="1" wp14:anchorId="5124861C" wp14:editId="3DF52757">
                  <wp:simplePos x="0" y="0"/>
                  <wp:positionH relativeFrom="column">
                    <wp:posOffset>-68580</wp:posOffset>
                  </wp:positionH>
                  <wp:positionV relativeFrom="paragraph">
                    <wp:posOffset>-15875</wp:posOffset>
                  </wp:positionV>
                  <wp:extent cx="1013460" cy="213360"/>
                  <wp:effectExtent l="0" t="0" r="0" b="0"/>
                  <wp:wrapNone/>
                  <wp:docPr id="106" name="Picture 106"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106" name="Picture 106"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8"/>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707F40F9" w14:textId="120CBA32"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42.5 t</w:t>
            </w:r>
          </w:p>
        </w:tc>
        <w:tc>
          <w:tcPr>
            <w:tcW w:w="1204" w:type="dxa"/>
          </w:tcPr>
          <w:p w14:paraId="5CEC8592" w14:textId="6FDF166B" w:rsidR="008B4CF7" w:rsidRPr="00C4270B" w:rsidRDefault="008B4CF7" w:rsidP="008B4CF7">
            <w:pPr>
              <w:pStyle w:val="BodyCopy"/>
              <w:spacing w:before="0" w:after="0"/>
              <w:rPr>
                <w:sz w:val="20"/>
                <w:szCs w:val="22"/>
              </w:rPr>
            </w:pPr>
            <w:r>
              <w:rPr>
                <w:sz w:val="20"/>
                <w:szCs w:val="20"/>
              </w:rPr>
              <w:t>12,342</w:t>
            </w:r>
          </w:p>
        </w:tc>
        <w:tc>
          <w:tcPr>
            <w:tcW w:w="1205" w:type="dxa"/>
            <w:noWrap/>
          </w:tcPr>
          <w:p w14:paraId="78CD0847" w14:textId="4F90809D" w:rsidR="008B4CF7" w:rsidRPr="008B4CF7" w:rsidRDefault="004D3DBE" w:rsidP="008B4CF7">
            <w:pPr>
              <w:pStyle w:val="BodyCopy"/>
              <w:spacing w:before="0" w:after="0"/>
              <w:rPr>
                <w:sz w:val="20"/>
                <w:szCs w:val="20"/>
              </w:rPr>
            </w:pPr>
            <w:r w:rsidRPr="00BD61D2">
              <w:rPr>
                <w:sz w:val="20"/>
                <w:szCs w:val="20"/>
              </w:rPr>
              <w:t>12,644</w:t>
            </w:r>
          </w:p>
        </w:tc>
        <w:tc>
          <w:tcPr>
            <w:tcW w:w="1205" w:type="dxa"/>
            <w:noWrap/>
          </w:tcPr>
          <w:p w14:paraId="6CC38E9E" w14:textId="75A2D748" w:rsidR="008B4CF7" w:rsidRPr="008B4CF7" w:rsidRDefault="004D3DBE" w:rsidP="008B4CF7">
            <w:pPr>
              <w:pStyle w:val="BodyCopy"/>
              <w:spacing w:before="0" w:after="0"/>
              <w:rPr>
                <w:sz w:val="20"/>
                <w:szCs w:val="20"/>
              </w:rPr>
            </w:pPr>
            <w:r w:rsidRPr="00BD61D2">
              <w:rPr>
                <w:sz w:val="20"/>
                <w:szCs w:val="20"/>
              </w:rPr>
              <w:t>13,006</w:t>
            </w:r>
          </w:p>
        </w:tc>
        <w:tc>
          <w:tcPr>
            <w:tcW w:w="1205" w:type="dxa"/>
            <w:noWrap/>
          </w:tcPr>
          <w:p w14:paraId="254322EF" w14:textId="0329D39B" w:rsidR="008B4CF7" w:rsidRPr="008B4CF7" w:rsidRDefault="004D3DBE" w:rsidP="008B4CF7">
            <w:pPr>
              <w:pStyle w:val="BodyCopy"/>
              <w:spacing w:before="0" w:after="0"/>
              <w:rPr>
                <w:sz w:val="20"/>
                <w:szCs w:val="20"/>
              </w:rPr>
            </w:pPr>
            <w:r w:rsidRPr="00BD61D2">
              <w:rPr>
                <w:sz w:val="20"/>
                <w:szCs w:val="20"/>
              </w:rPr>
              <w:t>13,436</w:t>
            </w:r>
          </w:p>
        </w:tc>
      </w:tr>
      <w:tr w:rsidR="008B4CF7" w:rsidRPr="00035E77" w14:paraId="11C4856C" w14:textId="77777777" w:rsidTr="002437BB">
        <w:trPr>
          <w:trHeight w:val="283"/>
        </w:trPr>
        <w:tc>
          <w:tcPr>
            <w:tcW w:w="2694" w:type="dxa"/>
            <w:vMerge w:val="restart"/>
          </w:tcPr>
          <w:p w14:paraId="6289DA54"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6" behindDoc="0" locked="0" layoutInCell="1" allowOverlap="1" wp14:anchorId="20FA9BBC" wp14:editId="293B32E7">
                  <wp:simplePos x="0" y="0"/>
                  <wp:positionH relativeFrom="column">
                    <wp:posOffset>-68580</wp:posOffset>
                  </wp:positionH>
                  <wp:positionV relativeFrom="paragraph">
                    <wp:posOffset>81915</wp:posOffset>
                  </wp:positionV>
                  <wp:extent cx="693420" cy="245234"/>
                  <wp:effectExtent l="0" t="0" r="0" b="2540"/>
                  <wp:wrapNone/>
                  <wp:docPr id="107"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559" w:type="dxa"/>
            <w:vAlign w:val="center"/>
          </w:tcPr>
          <w:p w14:paraId="5D89AF17" w14:textId="04286DFA"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20.0 t</w:t>
            </w:r>
          </w:p>
        </w:tc>
        <w:tc>
          <w:tcPr>
            <w:tcW w:w="1204" w:type="dxa"/>
          </w:tcPr>
          <w:p w14:paraId="060EF8C0" w14:textId="5C6C0353" w:rsidR="008B4CF7" w:rsidRPr="00C4270B" w:rsidRDefault="008B4CF7" w:rsidP="008B4CF7">
            <w:pPr>
              <w:pStyle w:val="BodyCopy"/>
              <w:spacing w:before="0" w:after="0"/>
              <w:rPr>
                <w:sz w:val="20"/>
                <w:szCs w:val="22"/>
              </w:rPr>
            </w:pPr>
            <w:r>
              <w:rPr>
                <w:sz w:val="20"/>
                <w:szCs w:val="20"/>
              </w:rPr>
              <w:t>983</w:t>
            </w:r>
          </w:p>
        </w:tc>
        <w:tc>
          <w:tcPr>
            <w:tcW w:w="1205" w:type="dxa"/>
            <w:noWrap/>
          </w:tcPr>
          <w:p w14:paraId="076986BD" w14:textId="76A78AE4" w:rsidR="008B4CF7" w:rsidRPr="008B4CF7" w:rsidRDefault="004D3DBE" w:rsidP="008B4CF7">
            <w:pPr>
              <w:pStyle w:val="BodyCopy"/>
              <w:spacing w:before="0" w:after="0"/>
              <w:rPr>
                <w:sz w:val="20"/>
                <w:szCs w:val="20"/>
              </w:rPr>
            </w:pPr>
            <w:r w:rsidRPr="00BD61D2">
              <w:rPr>
                <w:sz w:val="20"/>
                <w:szCs w:val="20"/>
              </w:rPr>
              <w:t>1,037</w:t>
            </w:r>
          </w:p>
        </w:tc>
        <w:tc>
          <w:tcPr>
            <w:tcW w:w="1205" w:type="dxa"/>
            <w:noWrap/>
          </w:tcPr>
          <w:p w14:paraId="7662C1D8" w14:textId="148845C5" w:rsidR="008B4CF7" w:rsidRPr="008B4CF7" w:rsidRDefault="004D3DBE" w:rsidP="008B4CF7">
            <w:pPr>
              <w:pStyle w:val="BodyCopy"/>
              <w:spacing w:before="0" w:after="0"/>
              <w:rPr>
                <w:sz w:val="20"/>
                <w:szCs w:val="20"/>
              </w:rPr>
            </w:pPr>
            <w:r w:rsidRPr="00BD61D2">
              <w:rPr>
                <w:sz w:val="20"/>
                <w:szCs w:val="20"/>
              </w:rPr>
              <w:t>1,081</w:t>
            </w:r>
          </w:p>
        </w:tc>
        <w:tc>
          <w:tcPr>
            <w:tcW w:w="1205" w:type="dxa"/>
            <w:noWrap/>
          </w:tcPr>
          <w:p w14:paraId="45B37CB8" w14:textId="4AE94133" w:rsidR="008B4CF7" w:rsidRPr="008B4CF7" w:rsidRDefault="004D3DBE" w:rsidP="008B4CF7">
            <w:pPr>
              <w:pStyle w:val="BodyCopy"/>
              <w:spacing w:before="0" w:after="0"/>
              <w:rPr>
                <w:sz w:val="20"/>
                <w:szCs w:val="20"/>
              </w:rPr>
            </w:pPr>
            <w:r w:rsidRPr="00BD61D2">
              <w:rPr>
                <w:sz w:val="20"/>
                <w:szCs w:val="20"/>
              </w:rPr>
              <w:t>1,130</w:t>
            </w:r>
          </w:p>
        </w:tc>
      </w:tr>
      <w:tr w:rsidR="008B4CF7" w:rsidRPr="00035E77" w14:paraId="2734E9B1" w14:textId="77777777" w:rsidTr="002437BB">
        <w:trPr>
          <w:trHeight w:val="283"/>
        </w:trPr>
        <w:tc>
          <w:tcPr>
            <w:tcW w:w="2694" w:type="dxa"/>
            <w:vMerge/>
          </w:tcPr>
          <w:p w14:paraId="3B3F4D43" w14:textId="77777777" w:rsidR="008B4CF7" w:rsidRPr="00C4270B" w:rsidRDefault="008B4CF7" w:rsidP="008B4CF7">
            <w:pPr>
              <w:pStyle w:val="BodyCopy"/>
              <w:spacing w:before="0" w:after="0"/>
              <w:rPr>
                <w:sz w:val="20"/>
                <w:szCs w:val="22"/>
              </w:rPr>
            </w:pPr>
          </w:p>
        </w:tc>
        <w:tc>
          <w:tcPr>
            <w:tcW w:w="1559" w:type="dxa"/>
            <w:vAlign w:val="center"/>
          </w:tcPr>
          <w:p w14:paraId="0683D2B1" w14:textId="34A17F8C"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20.0 t</w:t>
            </w:r>
          </w:p>
        </w:tc>
        <w:tc>
          <w:tcPr>
            <w:tcW w:w="1204" w:type="dxa"/>
          </w:tcPr>
          <w:p w14:paraId="0A36917E" w14:textId="36C87C1E" w:rsidR="008B4CF7" w:rsidRPr="00C4270B" w:rsidRDefault="008B4CF7" w:rsidP="008B4CF7">
            <w:pPr>
              <w:pStyle w:val="BodyCopy"/>
              <w:spacing w:before="0" w:after="0"/>
              <w:rPr>
                <w:sz w:val="20"/>
                <w:szCs w:val="22"/>
              </w:rPr>
            </w:pPr>
            <w:r>
              <w:rPr>
                <w:sz w:val="20"/>
                <w:szCs w:val="20"/>
              </w:rPr>
              <w:t>1,183</w:t>
            </w:r>
          </w:p>
        </w:tc>
        <w:tc>
          <w:tcPr>
            <w:tcW w:w="1205" w:type="dxa"/>
            <w:noWrap/>
          </w:tcPr>
          <w:p w14:paraId="6A78434C" w14:textId="717728ED" w:rsidR="008B4CF7" w:rsidRPr="008B4CF7" w:rsidRDefault="004D3DBE" w:rsidP="008B4CF7">
            <w:pPr>
              <w:pStyle w:val="BodyCopy"/>
              <w:spacing w:before="0" w:after="0"/>
              <w:rPr>
                <w:sz w:val="20"/>
                <w:szCs w:val="20"/>
              </w:rPr>
            </w:pPr>
            <w:r w:rsidRPr="00BD61D2">
              <w:rPr>
                <w:sz w:val="20"/>
                <w:szCs w:val="20"/>
              </w:rPr>
              <w:t>1,254</w:t>
            </w:r>
          </w:p>
        </w:tc>
        <w:tc>
          <w:tcPr>
            <w:tcW w:w="1205" w:type="dxa"/>
            <w:noWrap/>
          </w:tcPr>
          <w:p w14:paraId="22BAA11D" w14:textId="0369FF6B" w:rsidR="008B4CF7" w:rsidRPr="008B4CF7" w:rsidRDefault="004D3DBE" w:rsidP="008B4CF7">
            <w:pPr>
              <w:pStyle w:val="BodyCopy"/>
              <w:spacing w:before="0" w:after="0"/>
              <w:rPr>
                <w:sz w:val="20"/>
                <w:szCs w:val="20"/>
              </w:rPr>
            </w:pPr>
            <w:r w:rsidRPr="00BD61D2">
              <w:rPr>
                <w:sz w:val="20"/>
                <w:szCs w:val="20"/>
              </w:rPr>
              <w:t>1,305</w:t>
            </w:r>
          </w:p>
        </w:tc>
        <w:tc>
          <w:tcPr>
            <w:tcW w:w="1205" w:type="dxa"/>
            <w:noWrap/>
          </w:tcPr>
          <w:p w14:paraId="6CC39B97" w14:textId="14784DF7" w:rsidR="008B4CF7" w:rsidRPr="008B4CF7" w:rsidRDefault="004D3DBE" w:rsidP="008B4CF7">
            <w:pPr>
              <w:pStyle w:val="BodyCopy"/>
              <w:spacing w:before="0" w:after="0"/>
              <w:rPr>
                <w:sz w:val="20"/>
                <w:szCs w:val="20"/>
              </w:rPr>
            </w:pPr>
            <w:r w:rsidRPr="00BD61D2">
              <w:rPr>
                <w:sz w:val="20"/>
                <w:szCs w:val="20"/>
              </w:rPr>
              <w:t>1,364</w:t>
            </w:r>
          </w:p>
        </w:tc>
      </w:tr>
      <w:tr w:rsidR="008B4CF7" w:rsidRPr="00035E77" w14:paraId="631DE5AF" w14:textId="77777777" w:rsidTr="002437BB">
        <w:trPr>
          <w:trHeight w:val="283"/>
        </w:trPr>
        <w:tc>
          <w:tcPr>
            <w:tcW w:w="2694" w:type="dxa"/>
            <w:vMerge w:val="restart"/>
            <w:noWrap/>
          </w:tcPr>
          <w:p w14:paraId="33F5EC44"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7" behindDoc="0" locked="0" layoutInCell="1" allowOverlap="1" wp14:anchorId="1B66BB8A" wp14:editId="64F57681">
                  <wp:simplePos x="0" y="0"/>
                  <wp:positionH relativeFrom="column">
                    <wp:posOffset>-68580</wp:posOffset>
                  </wp:positionH>
                  <wp:positionV relativeFrom="paragraph">
                    <wp:posOffset>71755</wp:posOffset>
                  </wp:positionV>
                  <wp:extent cx="899160" cy="264160"/>
                  <wp:effectExtent l="0" t="0" r="0" b="2540"/>
                  <wp:wrapNone/>
                  <wp:docPr id="108" name="Picture 108"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wo axle b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559" w:type="dxa"/>
            <w:vAlign w:val="center"/>
          </w:tcPr>
          <w:p w14:paraId="7C75B2AF" w14:textId="08E4AB13"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Up to 12.0 t</w:t>
            </w:r>
          </w:p>
        </w:tc>
        <w:tc>
          <w:tcPr>
            <w:tcW w:w="1204" w:type="dxa"/>
          </w:tcPr>
          <w:p w14:paraId="4A54D670" w14:textId="444E5321" w:rsidR="008B4CF7" w:rsidRPr="00C4270B" w:rsidRDefault="008B4CF7" w:rsidP="008B4CF7">
            <w:pPr>
              <w:pStyle w:val="BodyCopy"/>
              <w:spacing w:before="0" w:after="0"/>
              <w:rPr>
                <w:sz w:val="20"/>
                <w:szCs w:val="22"/>
              </w:rPr>
            </w:pPr>
            <w:r>
              <w:rPr>
                <w:sz w:val="20"/>
                <w:szCs w:val="20"/>
              </w:rPr>
              <w:t>521</w:t>
            </w:r>
          </w:p>
        </w:tc>
        <w:tc>
          <w:tcPr>
            <w:tcW w:w="1205" w:type="dxa"/>
            <w:noWrap/>
          </w:tcPr>
          <w:p w14:paraId="33B37210" w14:textId="6653C901" w:rsidR="008B4CF7" w:rsidRPr="008B4CF7" w:rsidRDefault="004D3DBE" w:rsidP="008B4CF7">
            <w:pPr>
              <w:pStyle w:val="BodyCopy"/>
              <w:spacing w:before="0" w:after="0"/>
              <w:rPr>
                <w:sz w:val="20"/>
                <w:szCs w:val="20"/>
              </w:rPr>
            </w:pPr>
            <w:r w:rsidRPr="00BD61D2">
              <w:rPr>
                <w:sz w:val="20"/>
                <w:szCs w:val="20"/>
              </w:rPr>
              <w:t>522</w:t>
            </w:r>
          </w:p>
        </w:tc>
        <w:tc>
          <w:tcPr>
            <w:tcW w:w="1205" w:type="dxa"/>
            <w:noWrap/>
          </w:tcPr>
          <w:p w14:paraId="062B8E75" w14:textId="3753281F" w:rsidR="008B4CF7" w:rsidRPr="008B4CF7" w:rsidRDefault="004D3DBE" w:rsidP="008B4CF7">
            <w:pPr>
              <w:pStyle w:val="BodyCopy"/>
              <w:spacing w:before="0" w:after="0"/>
              <w:rPr>
                <w:sz w:val="20"/>
                <w:szCs w:val="20"/>
              </w:rPr>
            </w:pPr>
            <w:r w:rsidRPr="00BD61D2">
              <w:rPr>
                <w:sz w:val="20"/>
                <w:szCs w:val="20"/>
              </w:rPr>
              <w:t>537</w:t>
            </w:r>
          </w:p>
        </w:tc>
        <w:tc>
          <w:tcPr>
            <w:tcW w:w="1205" w:type="dxa"/>
            <w:noWrap/>
          </w:tcPr>
          <w:p w14:paraId="5004CC49" w14:textId="0C36F14D" w:rsidR="008B4CF7" w:rsidRPr="008B4CF7" w:rsidRDefault="004D3DBE" w:rsidP="008B4CF7">
            <w:pPr>
              <w:pStyle w:val="BodyCopy"/>
              <w:spacing w:before="0" w:after="0"/>
              <w:rPr>
                <w:sz w:val="20"/>
                <w:szCs w:val="20"/>
              </w:rPr>
            </w:pPr>
            <w:r w:rsidRPr="00BD61D2">
              <w:rPr>
                <w:sz w:val="20"/>
                <w:szCs w:val="20"/>
              </w:rPr>
              <w:t>555</w:t>
            </w:r>
          </w:p>
        </w:tc>
      </w:tr>
      <w:tr w:rsidR="008B4CF7" w:rsidRPr="00035E77" w14:paraId="7BF04296" w14:textId="77777777" w:rsidTr="002437BB">
        <w:trPr>
          <w:trHeight w:val="283"/>
        </w:trPr>
        <w:tc>
          <w:tcPr>
            <w:tcW w:w="2694" w:type="dxa"/>
            <w:vMerge/>
          </w:tcPr>
          <w:p w14:paraId="0D014A43" w14:textId="77777777" w:rsidR="008B4CF7" w:rsidRPr="00C4270B" w:rsidRDefault="008B4CF7" w:rsidP="008B4CF7">
            <w:pPr>
              <w:pStyle w:val="BodyCopy"/>
              <w:spacing w:before="0" w:after="0"/>
              <w:rPr>
                <w:sz w:val="20"/>
                <w:szCs w:val="22"/>
              </w:rPr>
            </w:pPr>
          </w:p>
        </w:tc>
        <w:tc>
          <w:tcPr>
            <w:tcW w:w="1559" w:type="dxa"/>
            <w:vAlign w:val="center"/>
          </w:tcPr>
          <w:p w14:paraId="058A9E19" w14:textId="4E144638" w:rsidR="008B4CF7" w:rsidRPr="00C4270B" w:rsidRDefault="008B4CF7" w:rsidP="008B4CF7">
            <w:pPr>
              <w:pStyle w:val="BodyCopy"/>
              <w:spacing w:before="0" w:after="0"/>
              <w:rPr>
                <w:rFonts w:asciiTheme="majorHAnsi" w:hAnsiTheme="majorHAnsi" w:cstheme="majorHAnsi"/>
                <w:sz w:val="20"/>
                <w:szCs w:val="22"/>
              </w:rPr>
            </w:pPr>
            <w:r w:rsidRPr="00C4270B">
              <w:rPr>
                <w:rFonts w:asciiTheme="majorHAnsi" w:hAnsiTheme="majorHAnsi" w:cstheme="majorHAnsi"/>
                <w:sz w:val="20"/>
                <w:szCs w:val="22"/>
              </w:rPr>
              <w:t>Over 12.0 t</w:t>
            </w:r>
          </w:p>
        </w:tc>
        <w:tc>
          <w:tcPr>
            <w:tcW w:w="1204" w:type="dxa"/>
          </w:tcPr>
          <w:p w14:paraId="31DFC993" w14:textId="0BD7F6BA" w:rsidR="008B4CF7" w:rsidRPr="00C4270B" w:rsidRDefault="008B4CF7" w:rsidP="008B4CF7">
            <w:pPr>
              <w:pStyle w:val="BodyCopy"/>
              <w:spacing w:before="0" w:after="0"/>
              <w:rPr>
                <w:sz w:val="20"/>
                <w:szCs w:val="22"/>
              </w:rPr>
            </w:pPr>
            <w:r>
              <w:rPr>
                <w:sz w:val="20"/>
                <w:szCs w:val="20"/>
              </w:rPr>
              <w:t>651</w:t>
            </w:r>
          </w:p>
        </w:tc>
        <w:tc>
          <w:tcPr>
            <w:tcW w:w="1205" w:type="dxa"/>
            <w:noWrap/>
          </w:tcPr>
          <w:p w14:paraId="7144D17C" w14:textId="32D3C7C1" w:rsidR="008B4CF7" w:rsidRPr="008B4CF7" w:rsidRDefault="004D3DBE" w:rsidP="008B4CF7">
            <w:pPr>
              <w:pStyle w:val="BodyCopy"/>
              <w:spacing w:before="0" w:after="0"/>
              <w:rPr>
                <w:sz w:val="20"/>
                <w:szCs w:val="20"/>
              </w:rPr>
            </w:pPr>
            <w:r w:rsidRPr="00BD61D2">
              <w:rPr>
                <w:sz w:val="20"/>
                <w:szCs w:val="20"/>
              </w:rPr>
              <w:t>688</w:t>
            </w:r>
          </w:p>
        </w:tc>
        <w:tc>
          <w:tcPr>
            <w:tcW w:w="1205" w:type="dxa"/>
            <w:noWrap/>
          </w:tcPr>
          <w:p w14:paraId="78256E04" w14:textId="01A2F41C" w:rsidR="008B4CF7" w:rsidRPr="008B4CF7" w:rsidRDefault="004D3DBE" w:rsidP="008B4CF7">
            <w:pPr>
              <w:pStyle w:val="BodyCopy"/>
              <w:spacing w:before="0" w:after="0"/>
              <w:rPr>
                <w:sz w:val="20"/>
                <w:szCs w:val="20"/>
              </w:rPr>
            </w:pPr>
            <w:r w:rsidRPr="00BD61D2">
              <w:rPr>
                <w:sz w:val="20"/>
                <w:szCs w:val="20"/>
              </w:rPr>
              <w:t>715</w:t>
            </w:r>
          </w:p>
        </w:tc>
        <w:tc>
          <w:tcPr>
            <w:tcW w:w="1205" w:type="dxa"/>
            <w:noWrap/>
          </w:tcPr>
          <w:p w14:paraId="4EFA85EA" w14:textId="637B841A" w:rsidR="008B4CF7" w:rsidRPr="008B4CF7" w:rsidRDefault="004D3DBE" w:rsidP="008B4CF7">
            <w:pPr>
              <w:pStyle w:val="BodyCopy"/>
              <w:spacing w:before="0" w:after="0"/>
              <w:rPr>
                <w:sz w:val="20"/>
                <w:szCs w:val="20"/>
              </w:rPr>
            </w:pPr>
            <w:r w:rsidRPr="00BD61D2">
              <w:rPr>
                <w:sz w:val="20"/>
                <w:szCs w:val="20"/>
              </w:rPr>
              <w:t>744</w:t>
            </w:r>
          </w:p>
        </w:tc>
      </w:tr>
      <w:tr w:rsidR="008B4CF7" w:rsidRPr="00035E77" w14:paraId="381FD849" w14:textId="77777777" w:rsidTr="002437BB">
        <w:trPr>
          <w:trHeight w:val="283"/>
        </w:trPr>
        <w:tc>
          <w:tcPr>
            <w:tcW w:w="2694" w:type="dxa"/>
            <w:noWrap/>
          </w:tcPr>
          <w:p w14:paraId="4B3779DD"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1" behindDoc="0" locked="0" layoutInCell="1" allowOverlap="1" wp14:anchorId="5027EB61" wp14:editId="77BA964E">
                  <wp:simplePos x="0" y="0"/>
                  <wp:positionH relativeFrom="column">
                    <wp:posOffset>-68580</wp:posOffset>
                  </wp:positionH>
                  <wp:positionV relativeFrom="paragraph">
                    <wp:posOffset>229235</wp:posOffset>
                  </wp:positionV>
                  <wp:extent cx="751632" cy="190500"/>
                  <wp:effectExtent l="0" t="0" r="0" b="0"/>
                  <wp:wrapNone/>
                  <wp:docPr id="109"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2"/>
                <w:lang w:eastAsia="en-AU"/>
              </w:rPr>
              <w:drawing>
                <wp:anchor distT="0" distB="0" distL="114300" distR="114300" simplePos="0" relativeHeight="251658270" behindDoc="0" locked="0" layoutInCell="1" allowOverlap="1" wp14:anchorId="4376D4D3" wp14:editId="4F58D397">
                  <wp:simplePos x="0" y="0"/>
                  <wp:positionH relativeFrom="column">
                    <wp:posOffset>-68580</wp:posOffset>
                  </wp:positionH>
                  <wp:positionV relativeFrom="paragraph">
                    <wp:posOffset>15875</wp:posOffset>
                  </wp:positionV>
                  <wp:extent cx="594360" cy="196302"/>
                  <wp:effectExtent l="0" t="0" r="0" b="0"/>
                  <wp:wrapNone/>
                  <wp:docPr id="110"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2"/>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2A4AF96A" w14:textId="77777777" w:rsidR="008B4CF7" w:rsidRPr="00C4270B" w:rsidRDefault="008B4CF7" w:rsidP="008B4CF7">
            <w:pPr>
              <w:pStyle w:val="BodyCopy"/>
              <w:spacing w:before="0" w:after="0"/>
              <w:rPr>
                <w:sz w:val="20"/>
                <w:szCs w:val="22"/>
              </w:rPr>
            </w:pPr>
            <w:r w:rsidRPr="00C4270B">
              <w:rPr>
                <w:rFonts w:ascii="Calibri" w:hAnsi="Calibri" w:cs="Calibri"/>
                <w:sz w:val="20"/>
                <w:szCs w:val="22"/>
              </w:rPr>
              <w:t> </w:t>
            </w:r>
          </w:p>
        </w:tc>
        <w:tc>
          <w:tcPr>
            <w:tcW w:w="1204" w:type="dxa"/>
          </w:tcPr>
          <w:p w14:paraId="194F2117" w14:textId="7720F9F6" w:rsidR="008B4CF7" w:rsidRPr="00C4270B" w:rsidRDefault="008B4CF7" w:rsidP="008B4CF7">
            <w:pPr>
              <w:pStyle w:val="BodyCopy"/>
              <w:spacing w:before="0" w:after="0"/>
              <w:rPr>
                <w:sz w:val="20"/>
                <w:szCs w:val="22"/>
              </w:rPr>
            </w:pPr>
            <w:r>
              <w:rPr>
                <w:sz w:val="20"/>
                <w:szCs w:val="20"/>
              </w:rPr>
              <w:t>2,731</w:t>
            </w:r>
          </w:p>
        </w:tc>
        <w:tc>
          <w:tcPr>
            <w:tcW w:w="1205" w:type="dxa"/>
            <w:noWrap/>
          </w:tcPr>
          <w:p w14:paraId="0BB53112" w14:textId="1487C08D" w:rsidR="008B4CF7" w:rsidRPr="008B4CF7" w:rsidRDefault="004D3DBE" w:rsidP="008B4CF7">
            <w:pPr>
              <w:pStyle w:val="BodyCopy"/>
              <w:spacing w:before="0" w:after="0"/>
              <w:rPr>
                <w:sz w:val="20"/>
                <w:szCs w:val="20"/>
              </w:rPr>
            </w:pPr>
            <w:r w:rsidRPr="00BD61D2">
              <w:rPr>
                <w:sz w:val="20"/>
                <w:szCs w:val="20"/>
              </w:rPr>
              <w:t>2,824</w:t>
            </w:r>
          </w:p>
        </w:tc>
        <w:tc>
          <w:tcPr>
            <w:tcW w:w="1205" w:type="dxa"/>
            <w:noWrap/>
          </w:tcPr>
          <w:p w14:paraId="41283E7B" w14:textId="36F29DC4" w:rsidR="008B4CF7" w:rsidRPr="008B4CF7" w:rsidRDefault="004D3DBE" w:rsidP="008B4CF7">
            <w:pPr>
              <w:pStyle w:val="BodyCopy"/>
              <w:spacing w:before="0" w:after="0"/>
              <w:rPr>
                <w:sz w:val="20"/>
                <w:szCs w:val="20"/>
              </w:rPr>
            </w:pPr>
            <w:r w:rsidRPr="00BD61D2">
              <w:rPr>
                <w:sz w:val="20"/>
                <w:szCs w:val="20"/>
              </w:rPr>
              <w:t>2,946</w:t>
            </w:r>
          </w:p>
        </w:tc>
        <w:tc>
          <w:tcPr>
            <w:tcW w:w="1205" w:type="dxa"/>
            <w:noWrap/>
          </w:tcPr>
          <w:p w14:paraId="3FF1BE57" w14:textId="149B390E" w:rsidR="008B4CF7" w:rsidRPr="008B4CF7" w:rsidRDefault="004D3DBE" w:rsidP="008B4CF7">
            <w:pPr>
              <w:pStyle w:val="BodyCopy"/>
              <w:spacing w:before="0" w:after="0"/>
              <w:rPr>
                <w:sz w:val="20"/>
                <w:szCs w:val="20"/>
              </w:rPr>
            </w:pPr>
            <w:r w:rsidRPr="00BD61D2">
              <w:rPr>
                <w:sz w:val="20"/>
                <w:szCs w:val="20"/>
              </w:rPr>
              <w:t>3,086</w:t>
            </w:r>
          </w:p>
        </w:tc>
      </w:tr>
      <w:tr w:rsidR="008B4CF7" w:rsidRPr="00035E77" w14:paraId="2395B23D" w14:textId="77777777" w:rsidTr="002437BB">
        <w:trPr>
          <w:trHeight w:val="283"/>
        </w:trPr>
        <w:tc>
          <w:tcPr>
            <w:tcW w:w="2694" w:type="dxa"/>
          </w:tcPr>
          <w:p w14:paraId="38B949B4" w14:textId="77777777" w:rsidR="008B4CF7" w:rsidRPr="00C4270B" w:rsidRDefault="008B4CF7" w:rsidP="008B4CF7">
            <w:pPr>
              <w:pStyle w:val="BodyCopy"/>
              <w:spacing w:before="0" w:after="0"/>
              <w:rPr>
                <w:b/>
                <w:bCs/>
                <w:sz w:val="20"/>
                <w:szCs w:val="22"/>
              </w:rPr>
            </w:pPr>
          </w:p>
        </w:tc>
        <w:tc>
          <w:tcPr>
            <w:tcW w:w="1559" w:type="dxa"/>
            <w:vAlign w:val="center"/>
          </w:tcPr>
          <w:p w14:paraId="374D486C" w14:textId="77777777" w:rsidR="008B4CF7" w:rsidRPr="00C4270B" w:rsidRDefault="008B4CF7" w:rsidP="008B4CF7">
            <w:pPr>
              <w:pStyle w:val="BodyCopy"/>
              <w:spacing w:before="0" w:after="0"/>
              <w:rPr>
                <w:sz w:val="20"/>
                <w:szCs w:val="22"/>
              </w:rPr>
            </w:pPr>
            <w:r w:rsidRPr="00C4270B">
              <w:rPr>
                <w:rFonts w:ascii="Calibri" w:hAnsi="Calibri" w:cs="Calibri"/>
                <w:sz w:val="20"/>
                <w:szCs w:val="22"/>
              </w:rPr>
              <w:t> </w:t>
            </w:r>
          </w:p>
        </w:tc>
        <w:tc>
          <w:tcPr>
            <w:tcW w:w="1204" w:type="dxa"/>
          </w:tcPr>
          <w:p w14:paraId="2AE01C65" w14:textId="47223BA4" w:rsidR="008B4CF7" w:rsidRPr="00C4270B" w:rsidRDefault="008B4CF7" w:rsidP="008B4CF7">
            <w:pPr>
              <w:pStyle w:val="BodyCopy"/>
              <w:spacing w:before="0" w:after="0"/>
              <w:rPr>
                <w:sz w:val="20"/>
                <w:szCs w:val="22"/>
              </w:rPr>
            </w:pPr>
            <w:r>
              <w:rPr>
                <w:sz w:val="20"/>
                <w:szCs w:val="20"/>
              </w:rPr>
              <w:t>6,369</w:t>
            </w:r>
          </w:p>
        </w:tc>
        <w:tc>
          <w:tcPr>
            <w:tcW w:w="1205" w:type="dxa"/>
            <w:noWrap/>
          </w:tcPr>
          <w:p w14:paraId="72AE1B44" w14:textId="21E88130" w:rsidR="008B4CF7" w:rsidRPr="008B4CF7" w:rsidRDefault="004D3DBE" w:rsidP="008B4CF7">
            <w:pPr>
              <w:pStyle w:val="BodyCopy"/>
              <w:spacing w:before="0" w:after="0"/>
              <w:rPr>
                <w:sz w:val="20"/>
                <w:szCs w:val="20"/>
              </w:rPr>
            </w:pPr>
            <w:r w:rsidRPr="00BD61D2">
              <w:rPr>
                <w:sz w:val="20"/>
                <w:szCs w:val="20"/>
              </w:rPr>
              <w:t>6,501</w:t>
            </w:r>
          </w:p>
        </w:tc>
        <w:tc>
          <w:tcPr>
            <w:tcW w:w="1205" w:type="dxa"/>
            <w:noWrap/>
          </w:tcPr>
          <w:p w14:paraId="1C58F1F9" w14:textId="6FB0E3A1" w:rsidR="008B4CF7" w:rsidRPr="008B4CF7" w:rsidRDefault="004D3DBE" w:rsidP="008B4CF7">
            <w:pPr>
              <w:pStyle w:val="BodyCopy"/>
              <w:spacing w:before="0" w:after="0"/>
              <w:rPr>
                <w:sz w:val="20"/>
                <w:szCs w:val="20"/>
              </w:rPr>
            </w:pPr>
            <w:r w:rsidRPr="00BD61D2">
              <w:rPr>
                <w:sz w:val="20"/>
                <w:szCs w:val="20"/>
              </w:rPr>
              <w:t>6,686</w:t>
            </w:r>
          </w:p>
        </w:tc>
        <w:tc>
          <w:tcPr>
            <w:tcW w:w="1205" w:type="dxa"/>
            <w:noWrap/>
          </w:tcPr>
          <w:p w14:paraId="1B479116" w14:textId="7019857B" w:rsidR="008B4CF7" w:rsidRPr="008B4CF7" w:rsidRDefault="004D3DBE" w:rsidP="008B4CF7">
            <w:pPr>
              <w:pStyle w:val="BodyCopy"/>
              <w:spacing w:before="0" w:after="0"/>
              <w:rPr>
                <w:sz w:val="20"/>
                <w:szCs w:val="20"/>
              </w:rPr>
            </w:pPr>
            <w:r w:rsidRPr="00BD61D2">
              <w:rPr>
                <w:sz w:val="20"/>
                <w:szCs w:val="20"/>
              </w:rPr>
              <w:t>6,907</w:t>
            </w:r>
          </w:p>
        </w:tc>
      </w:tr>
      <w:tr w:rsidR="008B4CF7" w:rsidRPr="00035E77" w14:paraId="0073AE89" w14:textId="77777777" w:rsidTr="002437BB">
        <w:trPr>
          <w:trHeight w:val="283"/>
        </w:trPr>
        <w:tc>
          <w:tcPr>
            <w:tcW w:w="2694" w:type="dxa"/>
            <w:noWrap/>
          </w:tcPr>
          <w:p w14:paraId="40E39F4F"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3" behindDoc="0" locked="0" layoutInCell="1" allowOverlap="1" wp14:anchorId="70B738A9" wp14:editId="313E0E20">
                  <wp:simplePos x="0" y="0"/>
                  <wp:positionH relativeFrom="column">
                    <wp:posOffset>-68580</wp:posOffset>
                  </wp:positionH>
                  <wp:positionV relativeFrom="paragraph">
                    <wp:posOffset>207645</wp:posOffset>
                  </wp:positionV>
                  <wp:extent cx="1082040" cy="248285"/>
                  <wp:effectExtent l="0" t="0" r="3810" b="0"/>
                  <wp:wrapNone/>
                  <wp:docPr id="111"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sidRPr="00C4270B">
              <w:rPr>
                <w:noProof/>
                <w:sz w:val="20"/>
                <w:szCs w:val="22"/>
                <w:lang w:eastAsia="en-AU"/>
              </w:rPr>
              <w:drawing>
                <wp:anchor distT="0" distB="0" distL="114300" distR="114300" simplePos="0" relativeHeight="251658272" behindDoc="0" locked="0" layoutInCell="1" allowOverlap="1" wp14:anchorId="343602AC" wp14:editId="7CE0D0AB">
                  <wp:simplePos x="0" y="0"/>
                  <wp:positionH relativeFrom="column">
                    <wp:posOffset>-68580</wp:posOffset>
                  </wp:positionH>
                  <wp:positionV relativeFrom="paragraph">
                    <wp:posOffset>1905</wp:posOffset>
                  </wp:positionV>
                  <wp:extent cx="944880" cy="209968"/>
                  <wp:effectExtent l="0" t="0" r="7620" b="0"/>
                  <wp:wrapNone/>
                  <wp:docPr id="112" name="Object 4" descr="Nine axle B-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ject 4" descr="Nine axle B-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4"/>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776368AC" w14:textId="77777777" w:rsidR="008B4CF7" w:rsidRPr="00C4270B" w:rsidRDefault="008B4CF7" w:rsidP="008B4CF7">
            <w:pPr>
              <w:pStyle w:val="BodyCopy"/>
              <w:spacing w:before="0" w:after="0"/>
              <w:rPr>
                <w:b/>
                <w:bCs/>
                <w:sz w:val="20"/>
                <w:szCs w:val="22"/>
              </w:rPr>
            </w:pPr>
            <w:r w:rsidRPr="00C4270B">
              <w:rPr>
                <w:rFonts w:ascii="Calibri" w:hAnsi="Calibri" w:cs="Calibri"/>
                <w:b/>
                <w:bCs/>
                <w:sz w:val="20"/>
                <w:szCs w:val="22"/>
              </w:rPr>
              <w:t> </w:t>
            </w:r>
          </w:p>
        </w:tc>
        <w:tc>
          <w:tcPr>
            <w:tcW w:w="1204" w:type="dxa"/>
          </w:tcPr>
          <w:p w14:paraId="3BB3798F" w14:textId="0756E45D" w:rsidR="008B4CF7" w:rsidRPr="00C4270B" w:rsidRDefault="008B4CF7" w:rsidP="008B4CF7">
            <w:pPr>
              <w:pStyle w:val="BodyCopy"/>
              <w:spacing w:before="0" w:after="0"/>
              <w:rPr>
                <w:sz w:val="20"/>
                <w:szCs w:val="22"/>
              </w:rPr>
            </w:pPr>
            <w:r>
              <w:rPr>
                <w:sz w:val="20"/>
                <w:szCs w:val="20"/>
              </w:rPr>
              <w:t>15,102</w:t>
            </w:r>
          </w:p>
        </w:tc>
        <w:tc>
          <w:tcPr>
            <w:tcW w:w="1205" w:type="dxa"/>
            <w:noWrap/>
          </w:tcPr>
          <w:p w14:paraId="6F4B2C27" w14:textId="1E22B267" w:rsidR="008B4CF7" w:rsidRPr="008B4CF7" w:rsidRDefault="004D3DBE" w:rsidP="008B4CF7">
            <w:pPr>
              <w:pStyle w:val="BodyCopy"/>
              <w:spacing w:before="0" w:after="0"/>
              <w:rPr>
                <w:sz w:val="20"/>
                <w:szCs w:val="20"/>
              </w:rPr>
            </w:pPr>
            <w:r w:rsidRPr="00BD61D2">
              <w:rPr>
                <w:sz w:val="20"/>
                <w:szCs w:val="20"/>
              </w:rPr>
              <w:t>15,421</w:t>
            </w:r>
          </w:p>
        </w:tc>
        <w:tc>
          <w:tcPr>
            <w:tcW w:w="1205" w:type="dxa"/>
            <w:noWrap/>
          </w:tcPr>
          <w:p w14:paraId="31E9BFC4" w14:textId="3422D07E" w:rsidR="008B4CF7" w:rsidRPr="008B4CF7" w:rsidRDefault="004D3DBE" w:rsidP="008B4CF7">
            <w:pPr>
              <w:pStyle w:val="BodyCopy"/>
              <w:spacing w:before="0" w:after="0"/>
              <w:rPr>
                <w:sz w:val="20"/>
                <w:szCs w:val="20"/>
              </w:rPr>
            </w:pPr>
            <w:r w:rsidRPr="00BD61D2">
              <w:rPr>
                <w:sz w:val="20"/>
                <w:szCs w:val="20"/>
              </w:rPr>
              <w:t>15,861</w:t>
            </w:r>
          </w:p>
        </w:tc>
        <w:tc>
          <w:tcPr>
            <w:tcW w:w="1205" w:type="dxa"/>
            <w:noWrap/>
          </w:tcPr>
          <w:p w14:paraId="6F6E95BF" w14:textId="36A538A8" w:rsidR="008B4CF7" w:rsidRPr="008B4CF7" w:rsidRDefault="004D3DBE" w:rsidP="008B4CF7">
            <w:pPr>
              <w:pStyle w:val="BodyCopy"/>
              <w:spacing w:before="0" w:after="0"/>
              <w:rPr>
                <w:sz w:val="20"/>
                <w:szCs w:val="20"/>
              </w:rPr>
            </w:pPr>
            <w:r w:rsidRPr="00BD61D2">
              <w:rPr>
                <w:sz w:val="20"/>
                <w:szCs w:val="20"/>
              </w:rPr>
              <w:t>16,384</w:t>
            </w:r>
          </w:p>
        </w:tc>
      </w:tr>
      <w:tr w:rsidR="008B4CF7" w:rsidRPr="00035E77" w14:paraId="62D327A9" w14:textId="77777777" w:rsidTr="002437BB">
        <w:trPr>
          <w:trHeight w:val="283"/>
        </w:trPr>
        <w:tc>
          <w:tcPr>
            <w:tcW w:w="2694" w:type="dxa"/>
          </w:tcPr>
          <w:p w14:paraId="70FB71D8" w14:textId="77777777" w:rsidR="008B4CF7" w:rsidRPr="00C4270B" w:rsidRDefault="008B4CF7" w:rsidP="008B4CF7">
            <w:pPr>
              <w:pStyle w:val="BodyCopy"/>
              <w:spacing w:before="0" w:after="0"/>
              <w:rPr>
                <w:sz w:val="20"/>
                <w:szCs w:val="22"/>
              </w:rPr>
            </w:pPr>
          </w:p>
        </w:tc>
        <w:tc>
          <w:tcPr>
            <w:tcW w:w="1559" w:type="dxa"/>
            <w:vAlign w:val="center"/>
          </w:tcPr>
          <w:p w14:paraId="794B4E86" w14:textId="77777777" w:rsidR="008B4CF7" w:rsidRPr="00C4270B" w:rsidRDefault="008B4CF7" w:rsidP="008B4CF7">
            <w:pPr>
              <w:pStyle w:val="BodyCopy"/>
              <w:spacing w:before="0" w:after="0"/>
              <w:rPr>
                <w:sz w:val="20"/>
                <w:szCs w:val="22"/>
              </w:rPr>
            </w:pPr>
            <w:r w:rsidRPr="00C4270B">
              <w:rPr>
                <w:rFonts w:ascii="Calibri" w:hAnsi="Calibri" w:cs="Calibri"/>
                <w:sz w:val="20"/>
                <w:szCs w:val="22"/>
              </w:rPr>
              <w:t> </w:t>
            </w:r>
          </w:p>
        </w:tc>
        <w:tc>
          <w:tcPr>
            <w:tcW w:w="1204" w:type="dxa"/>
          </w:tcPr>
          <w:p w14:paraId="59105500" w14:textId="2B8378D6" w:rsidR="008B4CF7" w:rsidRPr="00C4270B" w:rsidRDefault="008B4CF7" w:rsidP="008B4CF7">
            <w:pPr>
              <w:pStyle w:val="BodyCopy"/>
              <w:spacing w:before="0" w:after="0"/>
              <w:rPr>
                <w:sz w:val="20"/>
                <w:szCs w:val="22"/>
              </w:rPr>
            </w:pPr>
            <w:r>
              <w:rPr>
                <w:sz w:val="20"/>
                <w:szCs w:val="20"/>
              </w:rPr>
              <w:t>15,158</w:t>
            </w:r>
          </w:p>
        </w:tc>
        <w:tc>
          <w:tcPr>
            <w:tcW w:w="1205" w:type="dxa"/>
            <w:noWrap/>
          </w:tcPr>
          <w:p w14:paraId="6299D79C" w14:textId="7B7B586C" w:rsidR="008B4CF7" w:rsidRPr="008B4CF7" w:rsidRDefault="004D3DBE" w:rsidP="008B4CF7">
            <w:pPr>
              <w:pStyle w:val="BodyCopy"/>
              <w:spacing w:before="0" w:after="0"/>
              <w:rPr>
                <w:sz w:val="20"/>
                <w:szCs w:val="20"/>
              </w:rPr>
            </w:pPr>
            <w:r w:rsidRPr="00BD61D2">
              <w:rPr>
                <w:sz w:val="20"/>
                <w:szCs w:val="20"/>
              </w:rPr>
              <w:t>15,477</w:t>
            </w:r>
          </w:p>
        </w:tc>
        <w:tc>
          <w:tcPr>
            <w:tcW w:w="1205" w:type="dxa"/>
            <w:noWrap/>
          </w:tcPr>
          <w:p w14:paraId="42F16A1E" w14:textId="45FC2DCE" w:rsidR="008B4CF7" w:rsidRPr="008B4CF7" w:rsidRDefault="004D3DBE" w:rsidP="008B4CF7">
            <w:pPr>
              <w:pStyle w:val="BodyCopy"/>
              <w:spacing w:before="0" w:after="0"/>
              <w:rPr>
                <w:sz w:val="20"/>
                <w:szCs w:val="20"/>
              </w:rPr>
            </w:pPr>
            <w:r w:rsidRPr="00BD61D2">
              <w:rPr>
                <w:sz w:val="20"/>
                <w:szCs w:val="20"/>
              </w:rPr>
              <w:t>15,917</w:t>
            </w:r>
          </w:p>
        </w:tc>
        <w:tc>
          <w:tcPr>
            <w:tcW w:w="1205" w:type="dxa"/>
            <w:noWrap/>
          </w:tcPr>
          <w:p w14:paraId="4280D0B2" w14:textId="76761A5D" w:rsidR="008B4CF7" w:rsidRPr="008B4CF7" w:rsidRDefault="004D3DBE" w:rsidP="008B4CF7">
            <w:pPr>
              <w:pStyle w:val="BodyCopy"/>
              <w:spacing w:before="0" w:after="0"/>
              <w:rPr>
                <w:sz w:val="20"/>
                <w:szCs w:val="20"/>
              </w:rPr>
            </w:pPr>
            <w:r w:rsidRPr="00BD61D2">
              <w:rPr>
                <w:sz w:val="20"/>
                <w:szCs w:val="20"/>
              </w:rPr>
              <w:t>16,440</w:t>
            </w:r>
          </w:p>
        </w:tc>
      </w:tr>
      <w:tr w:rsidR="008B4CF7" w:rsidRPr="00035E77" w14:paraId="27B88461" w14:textId="77777777" w:rsidTr="002437BB">
        <w:trPr>
          <w:trHeight w:val="283"/>
        </w:trPr>
        <w:tc>
          <w:tcPr>
            <w:tcW w:w="2694" w:type="dxa"/>
          </w:tcPr>
          <w:p w14:paraId="59A566EB" w14:textId="77777777" w:rsidR="008B4CF7" w:rsidRPr="00C4270B" w:rsidRDefault="008B4CF7" w:rsidP="008B4CF7">
            <w:pPr>
              <w:pStyle w:val="BodyCopy"/>
              <w:spacing w:before="0" w:after="0"/>
              <w:rPr>
                <w:sz w:val="20"/>
                <w:szCs w:val="22"/>
              </w:rPr>
            </w:pPr>
            <w:r w:rsidRPr="00C4270B">
              <w:rPr>
                <w:noProof/>
                <w:sz w:val="20"/>
                <w:szCs w:val="22"/>
                <w:lang w:eastAsia="en-AU"/>
              </w:rPr>
              <w:drawing>
                <wp:anchor distT="0" distB="0" distL="114300" distR="114300" simplePos="0" relativeHeight="251658274" behindDoc="0" locked="0" layoutInCell="1" allowOverlap="1" wp14:anchorId="0F2A9AAF" wp14:editId="7F641717">
                  <wp:simplePos x="0" y="0"/>
                  <wp:positionH relativeFrom="column">
                    <wp:posOffset>-67310</wp:posOffset>
                  </wp:positionH>
                  <wp:positionV relativeFrom="paragraph">
                    <wp:posOffset>-12065</wp:posOffset>
                  </wp:positionV>
                  <wp:extent cx="1348740" cy="253513"/>
                  <wp:effectExtent l="0" t="0" r="3810" b="0"/>
                  <wp:wrapNone/>
                  <wp:docPr id="113"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396A2E1F" w14:textId="77777777" w:rsidR="008B4CF7" w:rsidRPr="00C4270B" w:rsidRDefault="008B4CF7" w:rsidP="008B4CF7">
            <w:pPr>
              <w:pStyle w:val="BodyCopy"/>
              <w:spacing w:before="0" w:after="0"/>
              <w:rPr>
                <w:sz w:val="20"/>
                <w:szCs w:val="22"/>
              </w:rPr>
            </w:pPr>
            <w:r w:rsidRPr="00C4270B">
              <w:rPr>
                <w:rFonts w:ascii="Calibri" w:hAnsi="Calibri" w:cs="Calibri"/>
                <w:sz w:val="20"/>
                <w:szCs w:val="22"/>
              </w:rPr>
              <w:t> </w:t>
            </w:r>
          </w:p>
        </w:tc>
        <w:tc>
          <w:tcPr>
            <w:tcW w:w="1204" w:type="dxa"/>
          </w:tcPr>
          <w:p w14:paraId="3978328E" w14:textId="6DBF744B" w:rsidR="008B4CF7" w:rsidRPr="00C4270B" w:rsidRDefault="008B4CF7" w:rsidP="008B4CF7">
            <w:pPr>
              <w:pStyle w:val="BodyCopy"/>
              <w:spacing w:before="0" w:after="0"/>
              <w:rPr>
                <w:sz w:val="20"/>
                <w:szCs w:val="22"/>
              </w:rPr>
            </w:pPr>
            <w:r>
              <w:rPr>
                <w:sz w:val="20"/>
                <w:szCs w:val="20"/>
              </w:rPr>
              <w:t>16,969</w:t>
            </w:r>
          </w:p>
        </w:tc>
        <w:tc>
          <w:tcPr>
            <w:tcW w:w="1205" w:type="dxa"/>
            <w:noWrap/>
          </w:tcPr>
          <w:p w14:paraId="53383C83" w14:textId="2BDE5C85" w:rsidR="008B4CF7" w:rsidRPr="008B4CF7" w:rsidRDefault="004D3DBE" w:rsidP="008B4CF7">
            <w:pPr>
              <w:pStyle w:val="BodyCopy"/>
              <w:spacing w:before="0" w:after="0"/>
              <w:rPr>
                <w:sz w:val="20"/>
                <w:szCs w:val="20"/>
              </w:rPr>
            </w:pPr>
            <w:r w:rsidRPr="00BD61D2">
              <w:rPr>
                <w:sz w:val="20"/>
                <w:szCs w:val="20"/>
              </w:rPr>
              <w:t>17,330</w:t>
            </w:r>
          </w:p>
        </w:tc>
        <w:tc>
          <w:tcPr>
            <w:tcW w:w="1205" w:type="dxa"/>
            <w:noWrap/>
          </w:tcPr>
          <w:p w14:paraId="2F766002" w14:textId="0C90222D" w:rsidR="008B4CF7" w:rsidRPr="008B4CF7" w:rsidRDefault="004D3DBE" w:rsidP="008B4CF7">
            <w:pPr>
              <w:pStyle w:val="BodyCopy"/>
              <w:spacing w:before="0" w:after="0"/>
              <w:rPr>
                <w:sz w:val="20"/>
                <w:szCs w:val="20"/>
              </w:rPr>
            </w:pPr>
            <w:r w:rsidRPr="00BD61D2">
              <w:rPr>
                <w:sz w:val="20"/>
                <w:szCs w:val="20"/>
              </w:rPr>
              <w:t>17,821</w:t>
            </w:r>
          </w:p>
        </w:tc>
        <w:tc>
          <w:tcPr>
            <w:tcW w:w="1205" w:type="dxa"/>
            <w:noWrap/>
          </w:tcPr>
          <w:p w14:paraId="6B4DEE36" w14:textId="107BD33F" w:rsidR="008B4CF7" w:rsidRPr="008B4CF7" w:rsidRDefault="004D3DBE" w:rsidP="008B4CF7">
            <w:pPr>
              <w:pStyle w:val="BodyCopy"/>
              <w:spacing w:before="0" w:after="0"/>
              <w:rPr>
                <w:sz w:val="20"/>
                <w:szCs w:val="20"/>
              </w:rPr>
            </w:pPr>
            <w:r w:rsidRPr="00BD61D2">
              <w:rPr>
                <w:sz w:val="20"/>
                <w:szCs w:val="20"/>
              </w:rPr>
              <w:t>18,404</w:t>
            </w:r>
          </w:p>
        </w:tc>
      </w:tr>
    </w:tbl>
    <w:p w14:paraId="222566BD" w14:textId="032A4FB9" w:rsidR="00517F03" w:rsidRDefault="00517F03" w:rsidP="00517F03">
      <w:pPr>
        <w:pStyle w:val="Tabletitle"/>
      </w:pPr>
      <w:bookmarkStart w:id="506" w:name="_Toc59436407"/>
      <w:bookmarkStart w:id="507" w:name="_Toc86158568"/>
      <w:r>
        <w:lastRenderedPageBreak/>
        <w:t xml:space="preserve">Registration charges for common vehicle types: </w:t>
      </w:r>
      <w:r w:rsidR="008A449E">
        <w:t>three-year fixed price path</w:t>
      </w:r>
      <w:r w:rsidR="00560CD5">
        <w:t>way</w:t>
      </w:r>
      <w:r>
        <w:t xml:space="preserve"> 2: 6</w:t>
      </w:r>
      <w:r w:rsidR="00272BD6">
        <w:t xml:space="preserve"> per cent</w:t>
      </w:r>
      <w:r>
        <w:t xml:space="preserve"> per annum</w:t>
      </w:r>
      <w:bookmarkEnd w:id="506"/>
      <w:bookmarkEnd w:id="507"/>
    </w:p>
    <w:tbl>
      <w:tblPr>
        <w:tblStyle w:val="NTCtable"/>
        <w:tblW w:w="9072" w:type="dxa"/>
        <w:tblLayout w:type="fixed"/>
        <w:tblLook w:val="04A0" w:firstRow="1" w:lastRow="0" w:firstColumn="1" w:lastColumn="0" w:noHBand="0" w:noVBand="1"/>
      </w:tblPr>
      <w:tblGrid>
        <w:gridCol w:w="2694"/>
        <w:gridCol w:w="1559"/>
        <w:gridCol w:w="1204"/>
        <w:gridCol w:w="1205"/>
        <w:gridCol w:w="1205"/>
        <w:gridCol w:w="1205"/>
      </w:tblGrid>
      <w:tr w:rsidR="002437BB" w:rsidRPr="00035E77" w14:paraId="7C3922E7" w14:textId="77777777" w:rsidTr="00C4270B">
        <w:trPr>
          <w:cnfStyle w:val="100000000000" w:firstRow="1" w:lastRow="0" w:firstColumn="0" w:lastColumn="0" w:oddVBand="0" w:evenVBand="0" w:oddHBand="0" w:evenHBand="0" w:firstRowFirstColumn="0" w:firstRowLastColumn="0" w:lastRowFirstColumn="0" w:lastRowLastColumn="0"/>
          <w:trHeight w:val="300"/>
          <w:tblHeader/>
        </w:trPr>
        <w:tc>
          <w:tcPr>
            <w:tcW w:w="2694" w:type="dxa"/>
            <w:noWrap/>
            <w:hideMark/>
          </w:tcPr>
          <w:p w14:paraId="06423E45" w14:textId="2E999F6B" w:rsidR="002437BB" w:rsidRPr="00CD6B04" w:rsidRDefault="002437BB" w:rsidP="002437BB">
            <w:pPr>
              <w:pStyle w:val="BodyCopy"/>
              <w:rPr>
                <w:b/>
                <w:bCs/>
                <w:sz w:val="20"/>
                <w:szCs w:val="20"/>
              </w:rPr>
            </w:pPr>
            <w:r w:rsidRPr="00CD6B04">
              <w:rPr>
                <w:b/>
                <w:bCs/>
                <w:sz w:val="20"/>
                <w:szCs w:val="20"/>
              </w:rPr>
              <w:t xml:space="preserve">Vehicle </w:t>
            </w:r>
            <w:r w:rsidR="00314A7D" w:rsidRPr="00CD6B04">
              <w:rPr>
                <w:b/>
                <w:bCs/>
                <w:sz w:val="20"/>
                <w:szCs w:val="20"/>
              </w:rPr>
              <w:t>t</w:t>
            </w:r>
            <w:r w:rsidRPr="00CD6B04">
              <w:rPr>
                <w:b/>
                <w:bCs/>
                <w:sz w:val="20"/>
                <w:szCs w:val="20"/>
              </w:rPr>
              <w:t>ype</w:t>
            </w:r>
          </w:p>
        </w:tc>
        <w:tc>
          <w:tcPr>
            <w:tcW w:w="1559" w:type="dxa"/>
            <w:noWrap/>
            <w:hideMark/>
          </w:tcPr>
          <w:p w14:paraId="365B86E1" w14:textId="77777777" w:rsidR="002437BB" w:rsidRPr="00CD6B04" w:rsidRDefault="002437BB" w:rsidP="002437BB">
            <w:pPr>
              <w:pStyle w:val="BodyCopy"/>
              <w:rPr>
                <w:b/>
                <w:bCs/>
                <w:sz w:val="20"/>
                <w:szCs w:val="20"/>
              </w:rPr>
            </w:pPr>
            <w:r w:rsidRPr="00CD6B04">
              <w:rPr>
                <w:b/>
                <w:bCs/>
                <w:sz w:val="20"/>
                <w:szCs w:val="20"/>
              </w:rPr>
              <w:t>Mass rating for charging</w:t>
            </w:r>
          </w:p>
        </w:tc>
        <w:tc>
          <w:tcPr>
            <w:tcW w:w="1204" w:type="dxa"/>
          </w:tcPr>
          <w:p w14:paraId="705226D9" w14:textId="4A471783" w:rsidR="002437BB" w:rsidRPr="00CD6B04" w:rsidRDefault="002437BB" w:rsidP="002437BB">
            <w:pPr>
              <w:pStyle w:val="BodyCopy"/>
              <w:rPr>
                <w:b/>
                <w:bCs/>
                <w:sz w:val="20"/>
                <w:szCs w:val="20"/>
              </w:rPr>
            </w:pPr>
            <w:r w:rsidRPr="00CD6B04">
              <w:rPr>
                <w:b/>
                <w:bCs/>
                <w:sz w:val="20"/>
                <w:szCs w:val="20"/>
              </w:rPr>
              <w:t>Current (2021</w:t>
            </w:r>
            <w:r w:rsidR="00272BD6" w:rsidRPr="00CD6B04">
              <w:rPr>
                <w:b/>
                <w:bCs/>
                <w:sz w:val="20"/>
                <w:szCs w:val="20"/>
              </w:rPr>
              <w:t>–2</w:t>
            </w:r>
            <w:r w:rsidRPr="00CD6B04">
              <w:rPr>
                <w:b/>
                <w:bCs/>
                <w:sz w:val="20"/>
                <w:szCs w:val="20"/>
              </w:rPr>
              <w:t>2)</w:t>
            </w:r>
          </w:p>
        </w:tc>
        <w:tc>
          <w:tcPr>
            <w:tcW w:w="1205" w:type="dxa"/>
            <w:noWrap/>
          </w:tcPr>
          <w:p w14:paraId="1AA94D1E" w14:textId="77777777" w:rsidR="002437BB" w:rsidRPr="00CD6B04" w:rsidRDefault="002437BB" w:rsidP="002437BB">
            <w:pPr>
              <w:pStyle w:val="BodyCopy"/>
              <w:rPr>
                <w:b/>
                <w:bCs/>
                <w:sz w:val="20"/>
                <w:szCs w:val="20"/>
              </w:rPr>
            </w:pPr>
            <w:r w:rsidRPr="00CD6B04">
              <w:rPr>
                <w:b/>
                <w:bCs/>
                <w:sz w:val="20"/>
                <w:szCs w:val="20"/>
              </w:rPr>
              <w:t>Year 1</w:t>
            </w:r>
          </w:p>
        </w:tc>
        <w:tc>
          <w:tcPr>
            <w:tcW w:w="1205" w:type="dxa"/>
            <w:noWrap/>
          </w:tcPr>
          <w:p w14:paraId="6C003C28" w14:textId="77777777" w:rsidR="002437BB" w:rsidRPr="00CD6B04" w:rsidRDefault="002437BB" w:rsidP="002437BB">
            <w:pPr>
              <w:pStyle w:val="BodyCopy"/>
              <w:rPr>
                <w:b/>
                <w:bCs/>
                <w:sz w:val="20"/>
                <w:szCs w:val="20"/>
              </w:rPr>
            </w:pPr>
            <w:r w:rsidRPr="00CD6B04">
              <w:rPr>
                <w:b/>
                <w:bCs/>
                <w:sz w:val="20"/>
                <w:szCs w:val="20"/>
              </w:rPr>
              <w:t>Year 2</w:t>
            </w:r>
          </w:p>
        </w:tc>
        <w:tc>
          <w:tcPr>
            <w:tcW w:w="1205" w:type="dxa"/>
            <w:noWrap/>
          </w:tcPr>
          <w:p w14:paraId="6010B694" w14:textId="77777777" w:rsidR="002437BB" w:rsidRPr="00CD6B04" w:rsidRDefault="002437BB" w:rsidP="002437BB">
            <w:pPr>
              <w:pStyle w:val="BodyCopy"/>
              <w:rPr>
                <w:b/>
                <w:bCs/>
                <w:sz w:val="20"/>
                <w:szCs w:val="20"/>
              </w:rPr>
            </w:pPr>
            <w:r w:rsidRPr="00CD6B04">
              <w:rPr>
                <w:b/>
                <w:bCs/>
                <w:sz w:val="20"/>
                <w:szCs w:val="20"/>
              </w:rPr>
              <w:t>Year 3</w:t>
            </w:r>
          </w:p>
        </w:tc>
      </w:tr>
      <w:tr w:rsidR="008B4CF7" w:rsidRPr="00035E77" w14:paraId="50534CB3" w14:textId="77777777" w:rsidTr="002437BB">
        <w:trPr>
          <w:trHeight w:val="283"/>
        </w:trPr>
        <w:tc>
          <w:tcPr>
            <w:tcW w:w="2694" w:type="dxa"/>
            <w:vMerge w:val="restart"/>
            <w:noWrap/>
          </w:tcPr>
          <w:p w14:paraId="36FD01A3"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80" behindDoc="0" locked="0" layoutInCell="1" allowOverlap="1" wp14:anchorId="01DC4059" wp14:editId="3E74E407">
                  <wp:simplePos x="0" y="0"/>
                  <wp:positionH relativeFrom="column">
                    <wp:posOffset>-68580</wp:posOffset>
                  </wp:positionH>
                  <wp:positionV relativeFrom="paragraph">
                    <wp:posOffset>69215</wp:posOffset>
                  </wp:positionV>
                  <wp:extent cx="683212" cy="266700"/>
                  <wp:effectExtent l="0" t="0" r="3175" b="0"/>
                  <wp:wrapNone/>
                  <wp:docPr id="114" name="Picture 9" descr="Two axle rigid truck">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 descr="Two axle rigid truck">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t="-391" b="-391"/>
                          <a:stretch>
                            <a:fillRect/>
                          </a:stretch>
                        </pic:blipFill>
                        <pic:spPr bwMode="auto">
                          <a:xfrm>
                            <a:off x="0" y="0"/>
                            <a:ext cx="683212" cy="266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23349EA9" w14:textId="30E6C58A"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12.0 t</w:t>
            </w:r>
          </w:p>
        </w:tc>
        <w:tc>
          <w:tcPr>
            <w:tcW w:w="1204" w:type="dxa"/>
          </w:tcPr>
          <w:p w14:paraId="34B78812" w14:textId="7A84EEA5" w:rsidR="008B4CF7" w:rsidRPr="00C4270B" w:rsidRDefault="008B4CF7" w:rsidP="008B4CF7">
            <w:pPr>
              <w:pStyle w:val="BodyCopy"/>
              <w:spacing w:before="0" w:after="0"/>
              <w:rPr>
                <w:sz w:val="20"/>
                <w:szCs w:val="20"/>
              </w:rPr>
            </w:pPr>
            <w:r>
              <w:rPr>
                <w:sz w:val="20"/>
                <w:szCs w:val="20"/>
              </w:rPr>
              <w:t>617</w:t>
            </w:r>
          </w:p>
        </w:tc>
        <w:tc>
          <w:tcPr>
            <w:tcW w:w="1205" w:type="dxa"/>
            <w:noWrap/>
          </w:tcPr>
          <w:p w14:paraId="7FEBE9BC" w14:textId="094112CC" w:rsidR="008B4CF7" w:rsidRPr="008B4CF7" w:rsidRDefault="001D03EC" w:rsidP="008B4CF7">
            <w:pPr>
              <w:pStyle w:val="BodyCopy"/>
              <w:spacing w:before="0" w:after="0"/>
              <w:rPr>
                <w:sz w:val="20"/>
                <w:szCs w:val="20"/>
              </w:rPr>
            </w:pPr>
            <w:r w:rsidRPr="00BD61D2">
              <w:rPr>
                <w:sz w:val="20"/>
                <w:szCs w:val="20"/>
              </w:rPr>
              <w:t>649</w:t>
            </w:r>
          </w:p>
        </w:tc>
        <w:tc>
          <w:tcPr>
            <w:tcW w:w="1205" w:type="dxa"/>
            <w:noWrap/>
          </w:tcPr>
          <w:p w14:paraId="1872D147" w14:textId="207AE47F" w:rsidR="008B4CF7" w:rsidRPr="008B4CF7" w:rsidRDefault="001D03EC" w:rsidP="008B4CF7">
            <w:pPr>
              <w:pStyle w:val="BodyCopy"/>
              <w:spacing w:before="0" w:after="0"/>
              <w:rPr>
                <w:sz w:val="20"/>
                <w:szCs w:val="20"/>
              </w:rPr>
            </w:pPr>
            <w:r w:rsidRPr="00BD61D2">
              <w:rPr>
                <w:sz w:val="20"/>
                <w:szCs w:val="20"/>
              </w:rPr>
              <w:t>681</w:t>
            </w:r>
          </w:p>
        </w:tc>
        <w:tc>
          <w:tcPr>
            <w:tcW w:w="1205" w:type="dxa"/>
            <w:noWrap/>
          </w:tcPr>
          <w:p w14:paraId="07D34D90" w14:textId="259C9214" w:rsidR="008B4CF7" w:rsidRPr="008B4CF7" w:rsidRDefault="001D03EC" w:rsidP="008B4CF7">
            <w:pPr>
              <w:pStyle w:val="BodyCopy"/>
              <w:spacing w:before="0" w:after="0"/>
              <w:rPr>
                <w:sz w:val="20"/>
                <w:szCs w:val="20"/>
              </w:rPr>
            </w:pPr>
            <w:r w:rsidRPr="00BD61D2">
              <w:rPr>
                <w:sz w:val="20"/>
                <w:szCs w:val="20"/>
              </w:rPr>
              <w:t>716</w:t>
            </w:r>
          </w:p>
        </w:tc>
      </w:tr>
      <w:tr w:rsidR="008B4CF7" w:rsidRPr="00035E77" w14:paraId="7F7F3ABF" w14:textId="77777777" w:rsidTr="002437BB">
        <w:trPr>
          <w:trHeight w:val="283"/>
        </w:trPr>
        <w:tc>
          <w:tcPr>
            <w:tcW w:w="2694" w:type="dxa"/>
            <w:vMerge/>
          </w:tcPr>
          <w:p w14:paraId="26B2627E" w14:textId="77777777" w:rsidR="008B4CF7" w:rsidRPr="00C4270B" w:rsidRDefault="008B4CF7" w:rsidP="008B4CF7">
            <w:pPr>
              <w:pStyle w:val="BodyCopy"/>
              <w:spacing w:before="0" w:after="0"/>
              <w:rPr>
                <w:sz w:val="20"/>
                <w:szCs w:val="20"/>
              </w:rPr>
            </w:pPr>
          </w:p>
        </w:tc>
        <w:tc>
          <w:tcPr>
            <w:tcW w:w="1559" w:type="dxa"/>
            <w:vAlign w:val="center"/>
          </w:tcPr>
          <w:p w14:paraId="24795218" w14:textId="6C5EC290"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12.0 t</w:t>
            </w:r>
          </w:p>
        </w:tc>
        <w:tc>
          <w:tcPr>
            <w:tcW w:w="1204" w:type="dxa"/>
          </w:tcPr>
          <w:p w14:paraId="5D4F1FC9" w14:textId="76D16BB5" w:rsidR="008B4CF7" w:rsidRPr="00C4270B" w:rsidRDefault="008B4CF7" w:rsidP="008B4CF7">
            <w:pPr>
              <w:pStyle w:val="BodyCopy"/>
              <w:spacing w:before="0" w:after="0"/>
              <w:rPr>
                <w:sz w:val="20"/>
                <w:szCs w:val="20"/>
              </w:rPr>
            </w:pPr>
            <w:r>
              <w:rPr>
                <w:sz w:val="20"/>
                <w:szCs w:val="20"/>
              </w:rPr>
              <w:t>993</w:t>
            </w:r>
          </w:p>
        </w:tc>
        <w:tc>
          <w:tcPr>
            <w:tcW w:w="1205" w:type="dxa"/>
            <w:noWrap/>
          </w:tcPr>
          <w:p w14:paraId="3F833D48" w14:textId="029CCB78" w:rsidR="008B4CF7" w:rsidRPr="008B4CF7" w:rsidRDefault="001D03EC" w:rsidP="008B4CF7">
            <w:pPr>
              <w:pStyle w:val="BodyCopy"/>
              <w:spacing w:before="0" w:after="0"/>
              <w:rPr>
                <w:sz w:val="20"/>
                <w:szCs w:val="20"/>
              </w:rPr>
            </w:pPr>
            <w:r w:rsidRPr="00BD61D2">
              <w:rPr>
                <w:sz w:val="20"/>
                <w:szCs w:val="20"/>
              </w:rPr>
              <w:t>1,055</w:t>
            </w:r>
          </w:p>
        </w:tc>
        <w:tc>
          <w:tcPr>
            <w:tcW w:w="1205" w:type="dxa"/>
            <w:noWrap/>
          </w:tcPr>
          <w:p w14:paraId="28D2D623" w14:textId="54366D48" w:rsidR="008B4CF7" w:rsidRPr="008B4CF7" w:rsidRDefault="001D03EC" w:rsidP="008B4CF7">
            <w:pPr>
              <w:pStyle w:val="BodyCopy"/>
              <w:spacing w:before="0" w:after="0"/>
              <w:rPr>
                <w:sz w:val="20"/>
                <w:szCs w:val="20"/>
              </w:rPr>
            </w:pPr>
            <w:r w:rsidRPr="00BD61D2">
              <w:rPr>
                <w:sz w:val="20"/>
                <w:szCs w:val="20"/>
              </w:rPr>
              <w:t>1,123</w:t>
            </w:r>
          </w:p>
        </w:tc>
        <w:tc>
          <w:tcPr>
            <w:tcW w:w="1205" w:type="dxa"/>
            <w:noWrap/>
          </w:tcPr>
          <w:p w14:paraId="3B6DD488" w14:textId="470B4B92" w:rsidR="008B4CF7" w:rsidRPr="008B4CF7" w:rsidRDefault="001D03EC" w:rsidP="008B4CF7">
            <w:pPr>
              <w:pStyle w:val="BodyCopy"/>
              <w:spacing w:before="0" w:after="0"/>
              <w:rPr>
                <w:sz w:val="20"/>
                <w:szCs w:val="20"/>
              </w:rPr>
            </w:pPr>
            <w:r w:rsidRPr="00BD61D2">
              <w:rPr>
                <w:sz w:val="20"/>
                <w:szCs w:val="20"/>
              </w:rPr>
              <w:t>1,196</w:t>
            </w:r>
          </w:p>
        </w:tc>
      </w:tr>
      <w:tr w:rsidR="008B4CF7" w:rsidRPr="00035E77" w14:paraId="4A1D6D68" w14:textId="77777777" w:rsidTr="002437BB">
        <w:trPr>
          <w:trHeight w:val="283"/>
        </w:trPr>
        <w:tc>
          <w:tcPr>
            <w:tcW w:w="2694" w:type="dxa"/>
            <w:noWrap/>
          </w:tcPr>
          <w:p w14:paraId="4EFDAD51"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79" behindDoc="0" locked="0" layoutInCell="1" allowOverlap="1" wp14:anchorId="226A58C6" wp14:editId="39D6A78F">
                  <wp:simplePos x="0" y="0"/>
                  <wp:positionH relativeFrom="column">
                    <wp:posOffset>-68580</wp:posOffset>
                  </wp:positionH>
                  <wp:positionV relativeFrom="paragraph">
                    <wp:posOffset>-24765</wp:posOffset>
                  </wp:positionV>
                  <wp:extent cx="967740" cy="266700"/>
                  <wp:effectExtent l="0" t="0" r="3810" b="0"/>
                  <wp:wrapNone/>
                  <wp:docPr id="115" name="Picture 115" descr="Two axle short combination rigid truck with a two axle trailer">
                    <a:extLst xmlns:a="http://schemas.openxmlformats.org/drawingml/2006/main">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wp:docPr>
                  <wp:cNvGraphicFramePr/>
                  <a:graphic xmlns:a="http://schemas.openxmlformats.org/drawingml/2006/main">
                    <a:graphicData uri="http://schemas.openxmlformats.org/drawingml/2006/picture">
                      <pic:pic xmlns:pic="http://schemas.openxmlformats.org/drawingml/2006/picture">
                        <pic:nvPicPr>
                          <pic:cNvPr id="115" name="Picture 115" descr="Two axle short combination rigid truck with a two axle trailer">
                            <a:extLst>
                              <a:ext uri="{63B3BB69-23CF-44E3-9099-C40C66FF867C}">
                                <a14:compatExt xmlns:a14="http://schemas.microsoft.com/office/drawing/2010/main" spid="_x0000_s1095"/>
                              </a:ext>
                              <a:ext uri="{FF2B5EF4-FFF2-40B4-BE49-F238E27FC236}">
                                <a16:creationId xmlns:a16="http://schemas.microsoft.com/office/drawing/2014/main" id="{00000000-0008-0000-0000-000047040000}"/>
                              </a:ext>
                            </a:extLst>
                          </pic:cNvPr>
                          <pic:cNvPicPr>
                            <a:picLocks noChangeAspect="1"/>
                          </pic:cNvPicPr>
                        </pic:nvPicPr>
                        <pic:blipFill>
                          <a:blip r:embed="rId25"/>
                          <a:stretch>
                            <a:fillRect/>
                          </a:stretch>
                        </pic:blipFill>
                        <pic:spPr>
                          <a:xfrm>
                            <a:off x="0" y="0"/>
                            <a:ext cx="967740" cy="26670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74EEE70C" w14:textId="1B59856E"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42.5 t</w:t>
            </w:r>
          </w:p>
        </w:tc>
        <w:tc>
          <w:tcPr>
            <w:tcW w:w="1204" w:type="dxa"/>
          </w:tcPr>
          <w:p w14:paraId="0C22A369" w14:textId="5B1DEC99" w:rsidR="008B4CF7" w:rsidRPr="00C4270B" w:rsidRDefault="008B4CF7" w:rsidP="008B4CF7">
            <w:pPr>
              <w:pStyle w:val="BodyCopy"/>
              <w:spacing w:before="0" w:after="0"/>
              <w:rPr>
                <w:sz w:val="20"/>
                <w:szCs w:val="20"/>
              </w:rPr>
            </w:pPr>
            <w:r>
              <w:rPr>
                <w:sz w:val="20"/>
                <w:szCs w:val="20"/>
              </w:rPr>
              <w:t>2,334</w:t>
            </w:r>
          </w:p>
        </w:tc>
        <w:tc>
          <w:tcPr>
            <w:tcW w:w="1205" w:type="dxa"/>
            <w:noWrap/>
          </w:tcPr>
          <w:p w14:paraId="27E3A3ED" w14:textId="175F021F" w:rsidR="008B4CF7" w:rsidRPr="008B4CF7" w:rsidRDefault="001D03EC" w:rsidP="008B4CF7">
            <w:pPr>
              <w:pStyle w:val="BodyCopy"/>
              <w:spacing w:before="0" w:after="0"/>
              <w:rPr>
                <w:sz w:val="20"/>
                <w:szCs w:val="20"/>
              </w:rPr>
            </w:pPr>
            <w:r w:rsidRPr="00BD61D2">
              <w:rPr>
                <w:sz w:val="20"/>
                <w:szCs w:val="20"/>
              </w:rPr>
              <w:t>2,455</w:t>
            </w:r>
          </w:p>
        </w:tc>
        <w:tc>
          <w:tcPr>
            <w:tcW w:w="1205" w:type="dxa"/>
            <w:noWrap/>
          </w:tcPr>
          <w:p w14:paraId="63147816" w14:textId="32E1302F" w:rsidR="008B4CF7" w:rsidRPr="008B4CF7" w:rsidRDefault="001D03EC" w:rsidP="008B4CF7">
            <w:pPr>
              <w:pStyle w:val="BodyCopy"/>
              <w:spacing w:before="0" w:after="0"/>
              <w:rPr>
                <w:sz w:val="20"/>
                <w:szCs w:val="20"/>
              </w:rPr>
            </w:pPr>
            <w:r w:rsidRPr="00BD61D2">
              <w:rPr>
                <w:sz w:val="20"/>
                <w:szCs w:val="20"/>
              </w:rPr>
              <w:t>2,602</w:t>
            </w:r>
          </w:p>
        </w:tc>
        <w:tc>
          <w:tcPr>
            <w:tcW w:w="1205" w:type="dxa"/>
            <w:noWrap/>
          </w:tcPr>
          <w:p w14:paraId="234FDEA7" w14:textId="04025B83" w:rsidR="008B4CF7" w:rsidRPr="008B4CF7" w:rsidRDefault="001D03EC" w:rsidP="008B4CF7">
            <w:pPr>
              <w:pStyle w:val="BodyCopy"/>
              <w:spacing w:before="0" w:after="0"/>
              <w:rPr>
                <w:sz w:val="20"/>
                <w:szCs w:val="20"/>
              </w:rPr>
            </w:pPr>
            <w:r w:rsidRPr="00BD61D2">
              <w:rPr>
                <w:sz w:val="20"/>
                <w:szCs w:val="20"/>
              </w:rPr>
              <w:t>2,756</w:t>
            </w:r>
          </w:p>
        </w:tc>
      </w:tr>
      <w:tr w:rsidR="008B4CF7" w:rsidRPr="00035E77" w14:paraId="645B0AD4" w14:textId="77777777" w:rsidTr="002437BB">
        <w:trPr>
          <w:trHeight w:val="283"/>
        </w:trPr>
        <w:tc>
          <w:tcPr>
            <w:tcW w:w="2694" w:type="dxa"/>
            <w:vMerge w:val="restart"/>
          </w:tcPr>
          <w:p w14:paraId="65FB0638"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87" behindDoc="0" locked="0" layoutInCell="1" allowOverlap="1" wp14:anchorId="742341AD" wp14:editId="4705E95A">
                  <wp:simplePos x="0" y="0"/>
                  <wp:positionH relativeFrom="column">
                    <wp:posOffset>-68580</wp:posOffset>
                  </wp:positionH>
                  <wp:positionV relativeFrom="paragraph">
                    <wp:posOffset>68580</wp:posOffset>
                  </wp:positionV>
                  <wp:extent cx="731520" cy="265430"/>
                  <wp:effectExtent l="0" t="0" r="0" b="1270"/>
                  <wp:wrapThrough wrapText="bothSides">
                    <wp:wrapPolygon edited="0">
                      <wp:start x="0" y="0"/>
                      <wp:lineTo x="0" y="20153"/>
                      <wp:lineTo x="20813" y="20153"/>
                      <wp:lineTo x="20813" y="0"/>
                      <wp:lineTo x="0" y="0"/>
                    </wp:wrapPolygon>
                  </wp:wrapThrough>
                  <wp:docPr id="116" name="Picture 8" descr="Three axle rigid truck">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8" descr="Three axle rigid truck">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179" b="-269"/>
                          <a:stretch>
                            <a:fillRect/>
                          </a:stretch>
                        </pic:blipFill>
                        <pic:spPr bwMode="auto">
                          <a:xfrm>
                            <a:off x="0" y="0"/>
                            <a:ext cx="731520" cy="265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6A2A9192" w14:textId="6F83824B"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16.5 t</w:t>
            </w:r>
          </w:p>
        </w:tc>
        <w:tc>
          <w:tcPr>
            <w:tcW w:w="1204" w:type="dxa"/>
          </w:tcPr>
          <w:p w14:paraId="7E1F7836" w14:textId="260A8E83" w:rsidR="008B4CF7" w:rsidRPr="00C4270B" w:rsidRDefault="008B4CF7" w:rsidP="008B4CF7">
            <w:pPr>
              <w:pStyle w:val="BodyCopy"/>
              <w:spacing w:before="0" w:after="0"/>
              <w:rPr>
                <w:sz w:val="20"/>
                <w:szCs w:val="20"/>
              </w:rPr>
            </w:pPr>
            <w:r>
              <w:rPr>
                <w:sz w:val="20"/>
                <w:szCs w:val="20"/>
              </w:rPr>
              <w:t>968</w:t>
            </w:r>
          </w:p>
        </w:tc>
        <w:tc>
          <w:tcPr>
            <w:tcW w:w="1205" w:type="dxa"/>
            <w:noWrap/>
          </w:tcPr>
          <w:p w14:paraId="18539838" w14:textId="697D5B4C" w:rsidR="008B4CF7" w:rsidRPr="008B4CF7" w:rsidRDefault="001D03EC" w:rsidP="008B4CF7">
            <w:pPr>
              <w:pStyle w:val="BodyCopy"/>
              <w:spacing w:before="0" w:after="0"/>
              <w:rPr>
                <w:sz w:val="20"/>
                <w:szCs w:val="20"/>
              </w:rPr>
            </w:pPr>
            <w:r w:rsidRPr="00BD61D2">
              <w:rPr>
                <w:sz w:val="20"/>
                <w:szCs w:val="20"/>
              </w:rPr>
              <w:t>1,029</w:t>
            </w:r>
          </w:p>
        </w:tc>
        <w:tc>
          <w:tcPr>
            <w:tcW w:w="1205" w:type="dxa"/>
            <w:noWrap/>
          </w:tcPr>
          <w:p w14:paraId="5A0365B3" w14:textId="092460FB" w:rsidR="008B4CF7" w:rsidRPr="008B4CF7" w:rsidRDefault="001D03EC" w:rsidP="008B4CF7">
            <w:pPr>
              <w:pStyle w:val="BodyCopy"/>
              <w:spacing w:before="0" w:after="0"/>
              <w:rPr>
                <w:sz w:val="20"/>
                <w:szCs w:val="20"/>
              </w:rPr>
            </w:pPr>
            <w:r w:rsidRPr="00BD61D2">
              <w:rPr>
                <w:sz w:val="20"/>
                <w:szCs w:val="20"/>
              </w:rPr>
              <w:t>1,096</w:t>
            </w:r>
          </w:p>
        </w:tc>
        <w:tc>
          <w:tcPr>
            <w:tcW w:w="1205" w:type="dxa"/>
            <w:noWrap/>
          </w:tcPr>
          <w:p w14:paraId="4F615732" w14:textId="53A94603" w:rsidR="008B4CF7" w:rsidRPr="008B4CF7" w:rsidRDefault="001D03EC" w:rsidP="008B4CF7">
            <w:pPr>
              <w:pStyle w:val="BodyCopy"/>
              <w:spacing w:before="0" w:after="0"/>
              <w:rPr>
                <w:sz w:val="20"/>
                <w:szCs w:val="20"/>
              </w:rPr>
            </w:pPr>
            <w:r w:rsidRPr="00BD61D2">
              <w:rPr>
                <w:sz w:val="20"/>
                <w:szCs w:val="20"/>
              </w:rPr>
              <w:t>1,168</w:t>
            </w:r>
          </w:p>
        </w:tc>
      </w:tr>
      <w:tr w:rsidR="008B4CF7" w:rsidRPr="00035E77" w14:paraId="0D5C390A" w14:textId="77777777" w:rsidTr="002437BB">
        <w:trPr>
          <w:trHeight w:val="283"/>
        </w:trPr>
        <w:tc>
          <w:tcPr>
            <w:tcW w:w="2694" w:type="dxa"/>
            <w:vMerge/>
          </w:tcPr>
          <w:p w14:paraId="13BB55EA" w14:textId="77777777" w:rsidR="008B4CF7" w:rsidRPr="00C4270B" w:rsidRDefault="008B4CF7" w:rsidP="008B4CF7">
            <w:pPr>
              <w:pStyle w:val="BodyCopy"/>
              <w:spacing w:before="0" w:after="0"/>
              <w:rPr>
                <w:sz w:val="20"/>
                <w:szCs w:val="20"/>
              </w:rPr>
            </w:pPr>
          </w:p>
        </w:tc>
        <w:tc>
          <w:tcPr>
            <w:tcW w:w="1559" w:type="dxa"/>
            <w:vAlign w:val="center"/>
          </w:tcPr>
          <w:p w14:paraId="14DB9EE5" w14:textId="72142282"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16.5 t</w:t>
            </w:r>
          </w:p>
        </w:tc>
        <w:tc>
          <w:tcPr>
            <w:tcW w:w="1204" w:type="dxa"/>
          </w:tcPr>
          <w:p w14:paraId="486B6319" w14:textId="7E0A04C3" w:rsidR="008B4CF7" w:rsidRPr="00C4270B" w:rsidRDefault="008B4CF7" w:rsidP="008B4CF7">
            <w:pPr>
              <w:pStyle w:val="BodyCopy"/>
              <w:spacing w:before="0" w:after="0"/>
              <w:rPr>
                <w:sz w:val="20"/>
                <w:szCs w:val="20"/>
              </w:rPr>
            </w:pPr>
            <w:r>
              <w:rPr>
                <w:sz w:val="20"/>
                <w:szCs w:val="20"/>
              </w:rPr>
              <w:t>1,162</w:t>
            </w:r>
          </w:p>
        </w:tc>
        <w:tc>
          <w:tcPr>
            <w:tcW w:w="1205" w:type="dxa"/>
            <w:noWrap/>
          </w:tcPr>
          <w:p w14:paraId="5AC5A0DB" w14:textId="1FEFD036" w:rsidR="008B4CF7" w:rsidRPr="008B4CF7" w:rsidRDefault="001D03EC" w:rsidP="008B4CF7">
            <w:pPr>
              <w:pStyle w:val="BodyCopy"/>
              <w:spacing w:before="0" w:after="0"/>
              <w:rPr>
                <w:sz w:val="20"/>
                <w:szCs w:val="20"/>
              </w:rPr>
            </w:pPr>
            <w:r w:rsidRPr="00BD61D2">
              <w:rPr>
                <w:sz w:val="20"/>
                <w:szCs w:val="20"/>
              </w:rPr>
              <w:t>1,235</w:t>
            </w:r>
          </w:p>
        </w:tc>
        <w:tc>
          <w:tcPr>
            <w:tcW w:w="1205" w:type="dxa"/>
            <w:noWrap/>
          </w:tcPr>
          <w:p w14:paraId="6AB8C52D" w14:textId="4E136967" w:rsidR="008B4CF7" w:rsidRPr="008B4CF7" w:rsidRDefault="001D03EC" w:rsidP="008B4CF7">
            <w:pPr>
              <w:pStyle w:val="BodyCopy"/>
              <w:spacing w:before="0" w:after="0"/>
              <w:rPr>
                <w:sz w:val="20"/>
                <w:szCs w:val="20"/>
              </w:rPr>
            </w:pPr>
            <w:r w:rsidRPr="00BD61D2">
              <w:rPr>
                <w:sz w:val="20"/>
                <w:szCs w:val="20"/>
              </w:rPr>
              <w:t>1,313</w:t>
            </w:r>
          </w:p>
        </w:tc>
        <w:tc>
          <w:tcPr>
            <w:tcW w:w="1205" w:type="dxa"/>
            <w:noWrap/>
          </w:tcPr>
          <w:p w14:paraId="4D714476" w14:textId="59BF80B0" w:rsidR="008B4CF7" w:rsidRPr="008B4CF7" w:rsidRDefault="001D03EC" w:rsidP="008B4CF7">
            <w:pPr>
              <w:pStyle w:val="BodyCopy"/>
              <w:spacing w:before="0" w:after="0"/>
              <w:rPr>
                <w:sz w:val="20"/>
                <w:szCs w:val="20"/>
              </w:rPr>
            </w:pPr>
            <w:r w:rsidRPr="00BD61D2">
              <w:rPr>
                <w:sz w:val="20"/>
                <w:szCs w:val="20"/>
              </w:rPr>
              <w:t>1,397</w:t>
            </w:r>
          </w:p>
        </w:tc>
      </w:tr>
      <w:tr w:rsidR="008B4CF7" w:rsidRPr="00035E77" w14:paraId="62BCEA05" w14:textId="77777777" w:rsidTr="002437BB">
        <w:trPr>
          <w:trHeight w:val="283"/>
        </w:trPr>
        <w:tc>
          <w:tcPr>
            <w:tcW w:w="2694" w:type="dxa"/>
            <w:vMerge w:val="restart"/>
          </w:tcPr>
          <w:p w14:paraId="2604E3C4"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90" behindDoc="0" locked="0" layoutInCell="1" allowOverlap="1" wp14:anchorId="714611EC" wp14:editId="4B37380D">
                  <wp:simplePos x="0" y="0"/>
                  <wp:positionH relativeFrom="column">
                    <wp:posOffset>-68580</wp:posOffset>
                  </wp:positionH>
                  <wp:positionV relativeFrom="paragraph">
                    <wp:posOffset>9525</wp:posOffset>
                  </wp:positionV>
                  <wp:extent cx="1394460" cy="354407"/>
                  <wp:effectExtent l="0" t="0" r="0" b="0"/>
                  <wp:wrapNone/>
                  <wp:docPr id="117" name="Picture 7" descr="Three axle rigid truck with a three axle trailer">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 descr="Three axle rigid truck with a three axle trailer">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t="-19281" b="-19281"/>
                          <a:stretch>
                            <a:fillRect/>
                          </a:stretch>
                        </pic:blipFill>
                        <pic:spPr bwMode="auto">
                          <a:xfrm>
                            <a:off x="0" y="0"/>
                            <a:ext cx="1394460" cy="354407"/>
                          </a:xfrm>
                          <a:prstGeom prst="rect">
                            <a:avLst/>
                          </a:prstGeom>
                          <a:noFill/>
                        </pic:spPr>
                      </pic:pic>
                    </a:graphicData>
                  </a:graphic>
                </wp:anchor>
              </w:drawing>
            </w:r>
          </w:p>
        </w:tc>
        <w:tc>
          <w:tcPr>
            <w:tcW w:w="1559" w:type="dxa"/>
            <w:vAlign w:val="center"/>
          </w:tcPr>
          <w:p w14:paraId="24A29359" w14:textId="5E0D7A13"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42.5 t</w:t>
            </w:r>
          </w:p>
        </w:tc>
        <w:tc>
          <w:tcPr>
            <w:tcW w:w="1204" w:type="dxa"/>
          </w:tcPr>
          <w:p w14:paraId="0BFB7934" w14:textId="6165B07D" w:rsidR="008B4CF7" w:rsidRPr="00C4270B" w:rsidRDefault="008B4CF7" w:rsidP="008B4CF7">
            <w:pPr>
              <w:pStyle w:val="BodyCopy"/>
              <w:spacing w:before="0" w:after="0"/>
              <w:rPr>
                <w:sz w:val="20"/>
                <w:szCs w:val="20"/>
              </w:rPr>
            </w:pPr>
            <w:r>
              <w:rPr>
                <w:sz w:val="20"/>
                <w:szCs w:val="20"/>
              </w:rPr>
              <w:t>3,135</w:t>
            </w:r>
          </w:p>
        </w:tc>
        <w:tc>
          <w:tcPr>
            <w:tcW w:w="1205" w:type="dxa"/>
            <w:noWrap/>
          </w:tcPr>
          <w:p w14:paraId="49657863" w14:textId="22B8CBD6" w:rsidR="008B4CF7" w:rsidRPr="008B4CF7" w:rsidRDefault="001D03EC" w:rsidP="008B4CF7">
            <w:pPr>
              <w:pStyle w:val="BodyCopy"/>
              <w:spacing w:before="0" w:after="0"/>
              <w:rPr>
                <w:sz w:val="20"/>
                <w:szCs w:val="20"/>
              </w:rPr>
            </w:pPr>
            <w:r w:rsidRPr="00BD61D2">
              <w:rPr>
                <w:sz w:val="20"/>
                <w:szCs w:val="20"/>
              </w:rPr>
              <w:t>3,295</w:t>
            </w:r>
          </w:p>
        </w:tc>
        <w:tc>
          <w:tcPr>
            <w:tcW w:w="1205" w:type="dxa"/>
            <w:noWrap/>
          </w:tcPr>
          <w:p w14:paraId="54C84628" w14:textId="267099CD" w:rsidR="008B4CF7" w:rsidRPr="008B4CF7" w:rsidRDefault="001D03EC" w:rsidP="008B4CF7">
            <w:pPr>
              <w:pStyle w:val="BodyCopy"/>
              <w:spacing w:before="0" w:after="0"/>
              <w:rPr>
                <w:sz w:val="20"/>
                <w:szCs w:val="20"/>
              </w:rPr>
            </w:pPr>
            <w:r w:rsidRPr="00BD61D2">
              <w:rPr>
                <w:sz w:val="20"/>
                <w:szCs w:val="20"/>
              </w:rPr>
              <w:t>3,491</w:t>
            </w:r>
          </w:p>
        </w:tc>
        <w:tc>
          <w:tcPr>
            <w:tcW w:w="1205" w:type="dxa"/>
            <w:noWrap/>
          </w:tcPr>
          <w:p w14:paraId="22383E5B" w14:textId="48C904C5" w:rsidR="008B4CF7" w:rsidRPr="008B4CF7" w:rsidRDefault="001D03EC" w:rsidP="008B4CF7">
            <w:pPr>
              <w:pStyle w:val="BodyCopy"/>
              <w:spacing w:before="0" w:after="0"/>
              <w:rPr>
                <w:sz w:val="20"/>
                <w:szCs w:val="20"/>
              </w:rPr>
            </w:pPr>
            <w:r w:rsidRPr="00BD61D2">
              <w:rPr>
                <w:sz w:val="20"/>
                <w:szCs w:val="20"/>
              </w:rPr>
              <w:t>3,695</w:t>
            </w:r>
          </w:p>
        </w:tc>
      </w:tr>
      <w:tr w:rsidR="008B4CF7" w:rsidRPr="00035E77" w14:paraId="380221CE" w14:textId="77777777" w:rsidTr="002437BB">
        <w:trPr>
          <w:trHeight w:val="283"/>
        </w:trPr>
        <w:tc>
          <w:tcPr>
            <w:tcW w:w="2694" w:type="dxa"/>
            <w:vMerge/>
          </w:tcPr>
          <w:p w14:paraId="046AAE2B" w14:textId="77777777" w:rsidR="008B4CF7" w:rsidRPr="00C4270B" w:rsidRDefault="008B4CF7" w:rsidP="008B4CF7">
            <w:pPr>
              <w:pStyle w:val="BodyCopy"/>
              <w:spacing w:before="0" w:after="0"/>
              <w:rPr>
                <w:sz w:val="20"/>
                <w:szCs w:val="20"/>
              </w:rPr>
            </w:pPr>
          </w:p>
        </w:tc>
        <w:tc>
          <w:tcPr>
            <w:tcW w:w="1559" w:type="dxa"/>
            <w:vAlign w:val="center"/>
          </w:tcPr>
          <w:p w14:paraId="0BA84DC3" w14:textId="77E24C60"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42.5 t</w:t>
            </w:r>
          </w:p>
        </w:tc>
        <w:tc>
          <w:tcPr>
            <w:tcW w:w="1204" w:type="dxa"/>
          </w:tcPr>
          <w:p w14:paraId="52BBF6C6" w14:textId="15308ACC" w:rsidR="008B4CF7" w:rsidRPr="00C4270B" w:rsidRDefault="008B4CF7" w:rsidP="008B4CF7">
            <w:pPr>
              <w:pStyle w:val="BodyCopy"/>
              <w:spacing w:before="0" w:after="0"/>
              <w:rPr>
                <w:sz w:val="20"/>
                <w:szCs w:val="20"/>
              </w:rPr>
            </w:pPr>
            <w:r>
              <w:rPr>
                <w:sz w:val="20"/>
                <w:szCs w:val="20"/>
              </w:rPr>
              <w:t>11,713</w:t>
            </w:r>
          </w:p>
        </w:tc>
        <w:tc>
          <w:tcPr>
            <w:tcW w:w="1205" w:type="dxa"/>
            <w:noWrap/>
          </w:tcPr>
          <w:p w14:paraId="0FF6E7F8" w14:textId="62C8D55A" w:rsidR="008B4CF7" w:rsidRPr="008B4CF7" w:rsidRDefault="001D03EC" w:rsidP="008B4CF7">
            <w:pPr>
              <w:pStyle w:val="BodyCopy"/>
              <w:spacing w:before="0" w:after="0"/>
              <w:rPr>
                <w:sz w:val="20"/>
                <w:szCs w:val="20"/>
              </w:rPr>
            </w:pPr>
            <w:r w:rsidRPr="00BD61D2">
              <w:rPr>
                <w:sz w:val="20"/>
                <w:szCs w:val="20"/>
              </w:rPr>
              <w:t>12,359</w:t>
            </w:r>
          </w:p>
        </w:tc>
        <w:tc>
          <w:tcPr>
            <w:tcW w:w="1205" w:type="dxa"/>
            <w:noWrap/>
          </w:tcPr>
          <w:p w14:paraId="0E2DC700" w14:textId="4DADCB17" w:rsidR="008B4CF7" w:rsidRPr="008B4CF7" w:rsidRDefault="001D03EC" w:rsidP="008B4CF7">
            <w:pPr>
              <w:pStyle w:val="BodyCopy"/>
              <w:spacing w:before="0" w:after="0"/>
              <w:rPr>
                <w:sz w:val="20"/>
                <w:szCs w:val="20"/>
              </w:rPr>
            </w:pPr>
            <w:r w:rsidRPr="00BD61D2">
              <w:rPr>
                <w:sz w:val="20"/>
                <w:szCs w:val="20"/>
              </w:rPr>
              <w:t>13,060</w:t>
            </w:r>
          </w:p>
        </w:tc>
        <w:tc>
          <w:tcPr>
            <w:tcW w:w="1205" w:type="dxa"/>
            <w:noWrap/>
          </w:tcPr>
          <w:p w14:paraId="0D37FD6E" w14:textId="1F5512B1" w:rsidR="008B4CF7" w:rsidRPr="008B4CF7" w:rsidRDefault="001D03EC" w:rsidP="008B4CF7">
            <w:pPr>
              <w:pStyle w:val="BodyCopy"/>
              <w:spacing w:before="0" w:after="0"/>
              <w:rPr>
                <w:sz w:val="20"/>
                <w:szCs w:val="20"/>
              </w:rPr>
            </w:pPr>
            <w:r w:rsidRPr="00BD61D2">
              <w:rPr>
                <w:sz w:val="20"/>
                <w:szCs w:val="20"/>
              </w:rPr>
              <w:t>13,797</w:t>
            </w:r>
          </w:p>
        </w:tc>
      </w:tr>
      <w:tr w:rsidR="008B4CF7" w:rsidRPr="00035E77" w14:paraId="664E2DFB" w14:textId="77777777" w:rsidTr="002437BB">
        <w:trPr>
          <w:trHeight w:val="283"/>
        </w:trPr>
        <w:tc>
          <w:tcPr>
            <w:tcW w:w="2694" w:type="dxa"/>
            <w:noWrap/>
          </w:tcPr>
          <w:p w14:paraId="44D7A232"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81" behindDoc="0" locked="0" layoutInCell="1" allowOverlap="1" wp14:anchorId="7EE53BC3" wp14:editId="00DCC670">
                  <wp:simplePos x="0" y="0"/>
                  <wp:positionH relativeFrom="column">
                    <wp:posOffset>-68580</wp:posOffset>
                  </wp:positionH>
                  <wp:positionV relativeFrom="paragraph">
                    <wp:posOffset>-15875</wp:posOffset>
                  </wp:positionV>
                  <wp:extent cx="1013460" cy="213360"/>
                  <wp:effectExtent l="0" t="0" r="0" b="0"/>
                  <wp:wrapNone/>
                  <wp:docPr id="118" name="Picture 118" descr="Three axle medium combination rigid truck with a four axle trailer">
                    <a:extLst xmlns:a="http://schemas.openxmlformats.org/drawingml/2006/main">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wp:docPr>
                  <wp:cNvGraphicFramePr/>
                  <a:graphic xmlns:a="http://schemas.openxmlformats.org/drawingml/2006/main">
                    <a:graphicData uri="http://schemas.openxmlformats.org/drawingml/2006/picture">
                      <pic:pic xmlns:pic="http://schemas.openxmlformats.org/drawingml/2006/picture">
                        <pic:nvPicPr>
                          <pic:cNvPr id="118" name="Picture 118" descr="Three axle medium combination rigid truck with a four axle trailer">
                            <a:extLst>
                              <a:ext uri="{63B3BB69-23CF-44E3-9099-C40C66FF867C}">
                                <a14:compatExt xmlns:a14="http://schemas.microsoft.com/office/drawing/2010/main" spid="_x0000_s1092"/>
                              </a:ext>
                              <a:ext uri="{FF2B5EF4-FFF2-40B4-BE49-F238E27FC236}">
                                <a16:creationId xmlns:a16="http://schemas.microsoft.com/office/drawing/2014/main" id="{00000000-0008-0000-0000-000044040000}"/>
                              </a:ext>
                            </a:extLst>
                          </pic:cNvPr>
                          <pic:cNvPicPr>
                            <a:picLocks noChangeAspect="1"/>
                          </pic:cNvPicPr>
                        </pic:nvPicPr>
                        <pic:blipFill>
                          <a:blip r:embed="rId28"/>
                          <a:stretch>
                            <a:fillRect/>
                          </a:stretch>
                        </pic:blipFill>
                        <pic:spPr>
                          <a:xfrm>
                            <a:off x="0" y="0"/>
                            <a:ext cx="1013460" cy="213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1F762126" w14:textId="14EF041F"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42.5 t</w:t>
            </w:r>
          </w:p>
        </w:tc>
        <w:tc>
          <w:tcPr>
            <w:tcW w:w="1204" w:type="dxa"/>
          </w:tcPr>
          <w:p w14:paraId="11E25F23" w14:textId="0249705B" w:rsidR="008B4CF7" w:rsidRPr="00C4270B" w:rsidRDefault="008B4CF7" w:rsidP="008B4CF7">
            <w:pPr>
              <w:pStyle w:val="BodyCopy"/>
              <w:spacing w:before="0" w:after="0"/>
              <w:rPr>
                <w:sz w:val="20"/>
                <w:szCs w:val="20"/>
              </w:rPr>
            </w:pPr>
            <w:r>
              <w:rPr>
                <w:sz w:val="20"/>
                <w:szCs w:val="20"/>
              </w:rPr>
              <w:t>12,342</w:t>
            </w:r>
          </w:p>
        </w:tc>
        <w:tc>
          <w:tcPr>
            <w:tcW w:w="1205" w:type="dxa"/>
            <w:noWrap/>
          </w:tcPr>
          <w:p w14:paraId="34687B43" w14:textId="1DBAC1E8" w:rsidR="008B4CF7" w:rsidRPr="008B4CF7" w:rsidRDefault="001D03EC" w:rsidP="008B4CF7">
            <w:pPr>
              <w:pStyle w:val="BodyCopy"/>
              <w:spacing w:before="0" w:after="0"/>
              <w:rPr>
                <w:sz w:val="20"/>
                <w:szCs w:val="20"/>
              </w:rPr>
            </w:pPr>
            <w:r w:rsidRPr="00BD61D2">
              <w:rPr>
                <w:sz w:val="20"/>
                <w:szCs w:val="20"/>
              </w:rPr>
              <w:t>13,025</w:t>
            </w:r>
          </w:p>
        </w:tc>
        <w:tc>
          <w:tcPr>
            <w:tcW w:w="1205" w:type="dxa"/>
            <w:noWrap/>
          </w:tcPr>
          <w:p w14:paraId="274D8000" w14:textId="20AD9E33" w:rsidR="008B4CF7" w:rsidRPr="008B4CF7" w:rsidRDefault="001D03EC" w:rsidP="008B4CF7">
            <w:pPr>
              <w:pStyle w:val="BodyCopy"/>
              <w:spacing w:before="0" w:after="0"/>
              <w:rPr>
                <w:sz w:val="20"/>
                <w:szCs w:val="20"/>
              </w:rPr>
            </w:pPr>
            <w:r w:rsidRPr="00BD61D2">
              <w:rPr>
                <w:sz w:val="20"/>
                <w:szCs w:val="20"/>
              </w:rPr>
              <w:t>13,765</w:t>
            </w:r>
          </w:p>
        </w:tc>
        <w:tc>
          <w:tcPr>
            <w:tcW w:w="1205" w:type="dxa"/>
            <w:noWrap/>
          </w:tcPr>
          <w:p w14:paraId="63343E7D" w14:textId="3F9AD7DB" w:rsidR="008B4CF7" w:rsidRPr="008B4CF7" w:rsidRDefault="001D03EC" w:rsidP="008B4CF7">
            <w:pPr>
              <w:pStyle w:val="BodyCopy"/>
              <w:spacing w:before="0" w:after="0"/>
              <w:rPr>
                <w:sz w:val="20"/>
                <w:szCs w:val="20"/>
              </w:rPr>
            </w:pPr>
            <w:r w:rsidRPr="00BD61D2">
              <w:rPr>
                <w:sz w:val="20"/>
                <w:szCs w:val="20"/>
              </w:rPr>
              <w:t>14,542</w:t>
            </w:r>
          </w:p>
        </w:tc>
      </w:tr>
      <w:tr w:rsidR="008B4CF7" w:rsidRPr="00035E77" w14:paraId="0610086F" w14:textId="77777777" w:rsidTr="002437BB">
        <w:trPr>
          <w:trHeight w:val="283"/>
        </w:trPr>
        <w:tc>
          <w:tcPr>
            <w:tcW w:w="2694" w:type="dxa"/>
            <w:vMerge w:val="restart"/>
          </w:tcPr>
          <w:p w14:paraId="6046D797"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88" behindDoc="0" locked="0" layoutInCell="1" allowOverlap="1" wp14:anchorId="208829C7" wp14:editId="24E361F6">
                  <wp:simplePos x="0" y="0"/>
                  <wp:positionH relativeFrom="column">
                    <wp:posOffset>-68580</wp:posOffset>
                  </wp:positionH>
                  <wp:positionV relativeFrom="paragraph">
                    <wp:posOffset>81915</wp:posOffset>
                  </wp:positionV>
                  <wp:extent cx="693420" cy="245234"/>
                  <wp:effectExtent l="0" t="0" r="0" b="2540"/>
                  <wp:wrapNone/>
                  <wp:docPr id="119" name="Picture 6" descr="Four axle rigid truck">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 descr="Four axle rigid truck">
                            <a:extLst>
                              <a:ext uri="{FF2B5EF4-FFF2-40B4-BE49-F238E27FC236}">
                                <a16:creationId xmlns:a16="http://schemas.microsoft.com/office/drawing/2014/main" id="{00000000-0008-0000-0000-000044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t="-79" b="-159"/>
                          <a:stretch>
                            <a:fillRect/>
                          </a:stretch>
                        </pic:blipFill>
                        <pic:spPr bwMode="auto">
                          <a:xfrm>
                            <a:off x="0" y="0"/>
                            <a:ext cx="693420" cy="245234"/>
                          </a:xfrm>
                          <a:prstGeom prst="rect">
                            <a:avLst/>
                          </a:prstGeom>
                          <a:noFill/>
                        </pic:spPr>
                      </pic:pic>
                    </a:graphicData>
                  </a:graphic>
                </wp:anchor>
              </w:drawing>
            </w:r>
          </w:p>
        </w:tc>
        <w:tc>
          <w:tcPr>
            <w:tcW w:w="1559" w:type="dxa"/>
            <w:vAlign w:val="center"/>
          </w:tcPr>
          <w:p w14:paraId="18C99ACB" w14:textId="22FAA063"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20.0 t</w:t>
            </w:r>
          </w:p>
        </w:tc>
        <w:tc>
          <w:tcPr>
            <w:tcW w:w="1204" w:type="dxa"/>
          </w:tcPr>
          <w:p w14:paraId="0944168C" w14:textId="56680808" w:rsidR="008B4CF7" w:rsidRPr="00C4270B" w:rsidRDefault="008B4CF7" w:rsidP="008B4CF7">
            <w:pPr>
              <w:pStyle w:val="BodyCopy"/>
              <w:spacing w:before="0" w:after="0"/>
              <w:rPr>
                <w:sz w:val="20"/>
                <w:szCs w:val="20"/>
              </w:rPr>
            </w:pPr>
            <w:r>
              <w:rPr>
                <w:sz w:val="20"/>
                <w:szCs w:val="20"/>
              </w:rPr>
              <w:t>983</w:t>
            </w:r>
          </w:p>
        </w:tc>
        <w:tc>
          <w:tcPr>
            <w:tcW w:w="1205" w:type="dxa"/>
            <w:noWrap/>
          </w:tcPr>
          <w:p w14:paraId="1421A033" w14:textId="3257B16B" w:rsidR="008B4CF7" w:rsidRPr="008B4CF7" w:rsidRDefault="001D03EC" w:rsidP="008B4CF7">
            <w:pPr>
              <w:pStyle w:val="BodyCopy"/>
              <w:spacing w:before="0" w:after="0"/>
              <w:rPr>
                <w:sz w:val="20"/>
                <w:szCs w:val="20"/>
              </w:rPr>
            </w:pPr>
            <w:r w:rsidRPr="00BD61D2">
              <w:rPr>
                <w:sz w:val="20"/>
                <w:szCs w:val="20"/>
              </w:rPr>
              <w:t>1,061</w:t>
            </w:r>
          </w:p>
        </w:tc>
        <w:tc>
          <w:tcPr>
            <w:tcW w:w="1205" w:type="dxa"/>
            <w:noWrap/>
          </w:tcPr>
          <w:p w14:paraId="690B85DD" w14:textId="693E2CF0" w:rsidR="008B4CF7" w:rsidRPr="008B4CF7" w:rsidRDefault="001D03EC" w:rsidP="008B4CF7">
            <w:pPr>
              <w:pStyle w:val="BodyCopy"/>
              <w:spacing w:before="0" w:after="0"/>
              <w:rPr>
                <w:sz w:val="20"/>
                <w:szCs w:val="20"/>
              </w:rPr>
            </w:pPr>
            <w:r w:rsidRPr="00BD61D2">
              <w:rPr>
                <w:sz w:val="20"/>
                <w:szCs w:val="20"/>
              </w:rPr>
              <w:t>1,130</w:t>
            </w:r>
          </w:p>
        </w:tc>
        <w:tc>
          <w:tcPr>
            <w:tcW w:w="1205" w:type="dxa"/>
            <w:noWrap/>
          </w:tcPr>
          <w:p w14:paraId="7A1B581B" w14:textId="114ECF94" w:rsidR="008B4CF7" w:rsidRPr="008B4CF7" w:rsidRDefault="001D03EC" w:rsidP="008B4CF7">
            <w:pPr>
              <w:pStyle w:val="BodyCopy"/>
              <w:spacing w:before="0" w:after="0"/>
              <w:rPr>
                <w:sz w:val="20"/>
                <w:szCs w:val="20"/>
              </w:rPr>
            </w:pPr>
            <w:r w:rsidRPr="00BD61D2">
              <w:rPr>
                <w:sz w:val="20"/>
                <w:szCs w:val="20"/>
              </w:rPr>
              <w:t>1,203</w:t>
            </w:r>
          </w:p>
        </w:tc>
      </w:tr>
      <w:tr w:rsidR="008B4CF7" w:rsidRPr="00035E77" w14:paraId="09C3C994" w14:textId="77777777" w:rsidTr="002437BB">
        <w:trPr>
          <w:trHeight w:val="283"/>
        </w:trPr>
        <w:tc>
          <w:tcPr>
            <w:tcW w:w="2694" w:type="dxa"/>
            <w:vMerge/>
          </w:tcPr>
          <w:p w14:paraId="30205148" w14:textId="77777777" w:rsidR="008B4CF7" w:rsidRPr="00C4270B" w:rsidRDefault="008B4CF7" w:rsidP="008B4CF7">
            <w:pPr>
              <w:pStyle w:val="BodyCopy"/>
              <w:spacing w:before="0" w:after="0"/>
              <w:rPr>
                <w:sz w:val="20"/>
                <w:szCs w:val="20"/>
              </w:rPr>
            </w:pPr>
          </w:p>
        </w:tc>
        <w:tc>
          <w:tcPr>
            <w:tcW w:w="1559" w:type="dxa"/>
            <w:vAlign w:val="center"/>
          </w:tcPr>
          <w:p w14:paraId="62DB1185" w14:textId="6D3B9F5C"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20.0 t</w:t>
            </w:r>
          </w:p>
        </w:tc>
        <w:tc>
          <w:tcPr>
            <w:tcW w:w="1204" w:type="dxa"/>
          </w:tcPr>
          <w:p w14:paraId="093BF768" w14:textId="700904DB" w:rsidR="008B4CF7" w:rsidRPr="00C4270B" w:rsidRDefault="008B4CF7" w:rsidP="008B4CF7">
            <w:pPr>
              <w:pStyle w:val="BodyCopy"/>
              <w:spacing w:before="0" w:after="0"/>
              <w:rPr>
                <w:sz w:val="20"/>
                <w:szCs w:val="20"/>
              </w:rPr>
            </w:pPr>
            <w:r>
              <w:rPr>
                <w:sz w:val="20"/>
                <w:szCs w:val="20"/>
              </w:rPr>
              <w:t>1,183</w:t>
            </w:r>
          </w:p>
        </w:tc>
        <w:tc>
          <w:tcPr>
            <w:tcW w:w="1205" w:type="dxa"/>
            <w:noWrap/>
          </w:tcPr>
          <w:p w14:paraId="5C8F0D52" w14:textId="177E12D2" w:rsidR="008B4CF7" w:rsidRPr="008B4CF7" w:rsidRDefault="001D03EC" w:rsidP="008B4CF7">
            <w:pPr>
              <w:pStyle w:val="BodyCopy"/>
              <w:spacing w:before="0" w:after="0"/>
              <w:rPr>
                <w:sz w:val="20"/>
                <w:szCs w:val="20"/>
              </w:rPr>
            </w:pPr>
            <w:r w:rsidRPr="00BD61D2">
              <w:rPr>
                <w:sz w:val="20"/>
                <w:szCs w:val="20"/>
              </w:rPr>
              <w:t>1,281</w:t>
            </w:r>
          </w:p>
        </w:tc>
        <w:tc>
          <w:tcPr>
            <w:tcW w:w="1205" w:type="dxa"/>
            <w:noWrap/>
          </w:tcPr>
          <w:p w14:paraId="76FEF9FF" w14:textId="5AA4C2A7" w:rsidR="008B4CF7" w:rsidRPr="008B4CF7" w:rsidRDefault="001D03EC" w:rsidP="008B4CF7">
            <w:pPr>
              <w:pStyle w:val="BodyCopy"/>
              <w:spacing w:before="0" w:after="0"/>
              <w:rPr>
                <w:sz w:val="20"/>
                <w:szCs w:val="20"/>
              </w:rPr>
            </w:pPr>
            <w:r w:rsidRPr="00BD61D2">
              <w:rPr>
                <w:sz w:val="20"/>
                <w:szCs w:val="20"/>
              </w:rPr>
              <w:t>1,361</w:t>
            </w:r>
          </w:p>
        </w:tc>
        <w:tc>
          <w:tcPr>
            <w:tcW w:w="1205" w:type="dxa"/>
            <w:noWrap/>
          </w:tcPr>
          <w:p w14:paraId="2EC9AB77" w14:textId="7DCC5BA1" w:rsidR="008B4CF7" w:rsidRPr="008B4CF7" w:rsidRDefault="001D03EC" w:rsidP="008B4CF7">
            <w:pPr>
              <w:pStyle w:val="BodyCopy"/>
              <w:spacing w:before="0" w:after="0"/>
              <w:rPr>
                <w:sz w:val="20"/>
                <w:szCs w:val="20"/>
              </w:rPr>
            </w:pPr>
            <w:r w:rsidRPr="00BD61D2">
              <w:rPr>
                <w:sz w:val="20"/>
                <w:szCs w:val="20"/>
              </w:rPr>
              <w:t>1,446</w:t>
            </w:r>
          </w:p>
        </w:tc>
      </w:tr>
      <w:tr w:rsidR="008B4CF7" w:rsidRPr="00035E77" w14:paraId="55318563" w14:textId="77777777" w:rsidTr="002437BB">
        <w:trPr>
          <w:trHeight w:val="283"/>
        </w:trPr>
        <w:tc>
          <w:tcPr>
            <w:tcW w:w="2694" w:type="dxa"/>
            <w:vMerge w:val="restart"/>
            <w:noWrap/>
          </w:tcPr>
          <w:p w14:paraId="3718E1F9" w14:textId="77777777" w:rsidR="008B4CF7" w:rsidRPr="00C4270B" w:rsidRDefault="008B4CF7" w:rsidP="008B4CF7">
            <w:pPr>
              <w:pStyle w:val="BodyCopy"/>
              <w:spacing w:before="0" w:after="0"/>
              <w:rPr>
                <w:sz w:val="20"/>
                <w:szCs w:val="20"/>
              </w:rPr>
            </w:pPr>
            <w:r w:rsidRPr="00C4270B">
              <w:rPr>
                <w:noProof/>
                <w:sz w:val="20"/>
                <w:szCs w:val="20"/>
                <w:lang w:eastAsia="en-AU"/>
              </w:rPr>
              <w:drawing>
                <wp:anchor distT="0" distB="0" distL="114300" distR="114300" simplePos="0" relativeHeight="251658289" behindDoc="0" locked="0" layoutInCell="1" allowOverlap="1" wp14:anchorId="751CCFFB" wp14:editId="76616FB0">
                  <wp:simplePos x="0" y="0"/>
                  <wp:positionH relativeFrom="column">
                    <wp:posOffset>-68580</wp:posOffset>
                  </wp:positionH>
                  <wp:positionV relativeFrom="paragraph">
                    <wp:posOffset>71755</wp:posOffset>
                  </wp:positionV>
                  <wp:extent cx="899160" cy="264160"/>
                  <wp:effectExtent l="0" t="0" r="0" b="2540"/>
                  <wp:wrapNone/>
                  <wp:docPr id="120" name="Picture 120" descr="Two ax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wo axle b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264160"/>
                          </a:xfrm>
                          <a:prstGeom prst="rect">
                            <a:avLst/>
                          </a:prstGeom>
                          <a:noFill/>
                        </pic:spPr>
                      </pic:pic>
                    </a:graphicData>
                  </a:graphic>
                </wp:anchor>
              </w:drawing>
            </w:r>
          </w:p>
        </w:tc>
        <w:tc>
          <w:tcPr>
            <w:tcW w:w="1559" w:type="dxa"/>
            <w:vAlign w:val="center"/>
          </w:tcPr>
          <w:p w14:paraId="50A1D191" w14:textId="485F3DFD"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Up to 12.0 t</w:t>
            </w:r>
          </w:p>
        </w:tc>
        <w:tc>
          <w:tcPr>
            <w:tcW w:w="1204" w:type="dxa"/>
          </w:tcPr>
          <w:p w14:paraId="6AF185C9" w14:textId="250C3042" w:rsidR="008B4CF7" w:rsidRPr="00C4270B" w:rsidRDefault="008B4CF7" w:rsidP="008B4CF7">
            <w:pPr>
              <w:pStyle w:val="BodyCopy"/>
              <w:spacing w:before="0" w:after="0"/>
              <w:rPr>
                <w:sz w:val="20"/>
                <w:szCs w:val="20"/>
              </w:rPr>
            </w:pPr>
            <w:r>
              <w:rPr>
                <w:sz w:val="20"/>
                <w:szCs w:val="20"/>
              </w:rPr>
              <w:t>521</w:t>
            </w:r>
          </w:p>
        </w:tc>
        <w:tc>
          <w:tcPr>
            <w:tcW w:w="1205" w:type="dxa"/>
            <w:noWrap/>
          </w:tcPr>
          <w:p w14:paraId="4EA64F41" w14:textId="23E41CF6" w:rsidR="008B4CF7" w:rsidRPr="008B4CF7" w:rsidRDefault="001D03EC" w:rsidP="008B4CF7">
            <w:pPr>
              <w:pStyle w:val="BodyCopy"/>
              <w:spacing w:before="0" w:after="0"/>
              <w:rPr>
                <w:sz w:val="20"/>
                <w:szCs w:val="20"/>
              </w:rPr>
            </w:pPr>
            <w:r w:rsidRPr="00BD61D2">
              <w:rPr>
                <w:sz w:val="20"/>
                <w:szCs w:val="20"/>
              </w:rPr>
              <w:t>532</w:t>
            </w:r>
          </w:p>
        </w:tc>
        <w:tc>
          <w:tcPr>
            <w:tcW w:w="1205" w:type="dxa"/>
            <w:noWrap/>
          </w:tcPr>
          <w:p w14:paraId="5D3B455B" w14:textId="0137CB62" w:rsidR="008B4CF7" w:rsidRPr="008B4CF7" w:rsidRDefault="001D03EC" w:rsidP="008B4CF7">
            <w:pPr>
              <w:pStyle w:val="BodyCopy"/>
              <w:spacing w:before="0" w:after="0"/>
              <w:rPr>
                <w:sz w:val="20"/>
                <w:szCs w:val="20"/>
              </w:rPr>
            </w:pPr>
            <w:r w:rsidRPr="00BD61D2">
              <w:rPr>
                <w:sz w:val="20"/>
                <w:szCs w:val="20"/>
              </w:rPr>
              <w:t>558</w:t>
            </w:r>
          </w:p>
        </w:tc>
        <w:tc>
          <w:tcPr>
            <w:tcW w:w="1205" w:type="dxa"/>
            <w:noWrap/>
          </w:tcPr>
          <w:p w14:paraId="45E09E9B" w14:textId="5482230D" w:rsidR="008B4CF7" w:rsidRPr="008B4CF7" w:rsidRDefault="001D03EC" w:rsidP="008B4CF7">
            <w:pPr>
              <w:pStyle w:val="BodyCopy"/>
              <w:spacing w:before="0" w:after="0"/>
              <w:rPr>
                <w:sz w:val="20"/>
                <w:szCs w:val="20"/>
              </w:rPr>
            </w:pPr>
            <w:r w:rsidRPr="00BD61D2">
              <w:rPr>
                <w:sz w:val="20"/>
                <w:szCs w:val="20"/>
              </w:rPr>
              <w:t>585</w:t>
            </w:r>
          </w:p>
        </w:tc>
      </w:tr>
      <w:tr w:rsidR="008B4CF7" w:rsidRPr="00035E77" w14:paraId="3FE03EFD" w14:textId="77777777" w:rsidTr="002437BB">
        <w:trPr>
          <w:trHeight w:val="283"/>
        </w:trPr>
        <w:tc>
          <w:tcPr>
            <w:tcW w:w="2694" w:type="dxa"/>
            <w:vMerge/>
          </w:tcPr>
          <w:p w14:paraId="67D70213" w14:textId="77777777" w:rsidR="008B4CF7" w:rsidRPr="00C4270B" w:rsidRDefault="008B4CF7" w:rsidP="008B4CF7">
            <w:pPr>
              <w:pStyle w:val="BodyCopy"/>
              <w:spacing w:before="0" w:after="0"/>
              <w:rPr>
                <w:sz w:val="20"/>
                <w:szCs w:val="20"/>
              </w:rPr>
            </w:pPr>
          </w:p>
        </w:tc>
        <w:tc>
          <w:tcPr>
            <w:tcW w:w="1559" w:type="dxa"/>
            <w:vAlign w:val="center"/>
          </w:tcPr>
          <w:p w14:paraId="3E778E4F" w14:textId="5D6FADCC" w:rsidR="008B4CF7" w:rsidRPr="00C4270B" w:rsidRDefault="008B4CF7" w:rsidP="008B4CF7">
            <w:pPr>
              <w:pStyle w:val="BodyCopy"/>
              <w:spacing w:before="0" w:after="0"/>
              <w:rPr>
                <w:rFonts w:asciiTheme="majorHAnsi" w:hAnsiTheme="majorHAnsi" w:cstheme="majorHAnsi"/>
                <w:sz w:val="20"/>
                <w:szCs w:val="20"/>
              </w:rPr>
            </w:pPr>
            <w:r w:rsidRPr="00C4270B">
              <w:rPr>
                <w:rFonts w:asciiTheme="majorHAnsi" w:hAnsiTheme="majorHAnsi" w:cstheme="majorHAnsi"/>
                <w:sz w:val="20"/>
                <w:szCs w:val="20"/>
              </w:rPr>
              <w:t>Over 12.0 t</w:t>
            </w:r>
          </w:p>
        </w:tc>
        <w:tc>
          <w:tcPr>
            <w:tcW w:w="1204" w:type="dxa"/>
          </w:tcPr>
          <w:p w14:paraId="0B9B4CC3" w14:textId="5FA420A0" w:rsidR="008B4CF7" w:rsidRPr="00C4270B" w:rsidRDefault="008B4CF7" w:rsidP="008B4CF7">
            <w:pPr>
              <w:pStyle w:val="BodyCopy"/>
              <w:spacing w:before="0" w:after="0"/>
              <w:rPr>
                <w:sz w:val="20"/>
                <w:szCs w:val="20"/>
              </w:rPr>
            </w:pPr>
            <w:r>
              <w:rPr>
                <w:sz w:val="20"/>
                <w:szCs w:val="20"/>
              </w:rPr>
              <w:t>651</w:t>
            </w:r>
          </w:p>
        </w:tc>
        <w:tc>
          <w:tcPr>
            <w:tcW w:w="1205" w:type="dxa"/>
            <w:noWrap/>
          </w:tcPr>
          <w:p w14:paraId="5FDC8312" w14:textId="1F878942" w:rsidR="008B4CF7" w:rsidRPr="008B4CF7" w:rsidRDefault="001D03EC" w:rsidP="008B4CF7">
            <w:pPr>
              <w:pStyle w:val="BodyCopy"/>
              <w:spacing w:before="0" w:after="0"/>
              <w:rPr>
                <w:sz w:val="20"/>
                <w:szCs w:val="20"/>
              </w:rPr>
            </w:pPr>
            <w:r w:rsidRPr="00BD61D2">
              <w:rPr>
                <w:sz w:val="20"/>
                <w:szCs w:val="20"/>
              </w:rPr>
              <w:t>698</w:t>
            </w:r>
          </w:p>
        </w:tc>
        <w:tc>
          <w:tcPr>
            <w:tcW w:w="1205" w:type="dxa"/>
            <w:noWrap/>
          </w:tcPr>
          <w:p w14:paraId="299D2627" w14:textId="2DA97E9F" w:rsidR="008B4CF7" w:rsidRPr="008B4CF7" w:rsidRDefault="001D03EC" w:rsidP="008B4CF7">
            <w:pPr>
              <w:pStyle w:val="BodyCopy"/>
              <w:spacing w:before="0" w:after="0"/>
              <w:rPr>
                <w:sz w:val="20"/>
                <w:szCs w:val="20"/>
              </w:rPr>
            </w:pPr>
            <w:r w:rsidRPr="00BD61D2">
              <w:rPr>
                <w:sz w:val="20"/>
                <w:szCs w:val="20"/>
              </w:rPr>
              <w:t>736</w:t>
            </w:r>
          </w:p>
        </w:tc>
        <w:tc>
          <w:tcPr>
            <w:tcW w:w="1205" w:type="dxa"/>
            <w:noWrap/>
          </w:tcPr>
          <w:p w14:paraId="0CCD6D21" w14:textId="5A6B64D7" w:rsidR="008B4CF7" w:rsidRPr="008B4CF7" w:rsidRDefault="001D03EC" w:rsidP="008B4CF7">
            <w:pPr>
              <w:pStyle w:val="BodyCopy"/>
              <w:spacing w:before="0" w:after="0"/>
              <w:rPr>
                <w:sz w:val="20"/>
                <w:szCs w:val="20"/>
              </w:rPr>
            </w:pPr>
            <w:r w:rsidRPr="00BD61D2">
              <w:rPr>
                <w:sz w:val="20"/>
                <w:szCs w:val="20"/>
              </w:rPr>
              <w:t>775</w:t>
            </w:r>
          </w:p>
        </w:tc>
      </w:tr>
      <w:tr w:rsidR="008B4CF7" w:rsidRPr="00035E77" w14:paraId="141C7ABA" w14:textId="77777777" w:rsidTr="002437BB">
        <w:trPr>
          <w:trHeight w:val="283"/>
        </w:trPr>
        <w:tc>
          <w:tcPr>
            <w:tcW w:w="2694" w:type="dxa"/>
            <w:noWrap/>
          </w:tcPr>
          <w:p w14:paraId="18DD4C00" w14:textId="77777777" w:rsidR="008B4CF7" w:rsidRPr="00035E77" w:rsidRDefault="008B4CF7" w:rsidP="008B4CF7">
            <w:pPr>
              <w:pStyle w:val="BodyCopy"/>
              <w:spacing w:before="0" w:after="0"/>
            </w:pPr>
            <w:r>
              <w:rPr>
                <w:noProof/>
                <w:lang w:eastAsia="en-AU"/>
              </w:rPr>
              <w:drawing>
                <wp:anchor distT="0" distB="0" distL="114300" distR="114300" simplePos="0" relativeHeight="251658283" behindDoc="0" locked="0" layoutInCell="1" allowOverlap="1" wp14:anchorId="27A32A22" wp14:editId="0BEAD0B1">
                  <wp:simplePos x="0" y="0"/>
                  <wp:positionH relativeFrom="column">
                    <wp:posOffset>-68580</wp:posOffset>
                  </wp:positionH>
                  <wp:positionV relativeFrom="paragraph">
                    <wp:posOffset>229235</wp:posOffset>
                  </wp:positionV>
                  <wp:extent cx="751632" cy="190500"/>
                  <wp:effectExtent l="0" t="0" r="0" b="0"/>
                  <wp:wrapNone/>
                  <wp:docPr id="121" name="Picture 16" descr="Six axle articulated truck">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6" descr="Six axle articulated truck">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t="-16591" b="-16591"/>
                          <a:stretch>
                            <a:fillRect/>
                          </a:stretch>
                        </pic:blipFill>
                        <pic:spPr bwMode="auto">
                          <a:xfrm>
                            <a:off x="0" y="0"/>
                            <a:ext cx="751632" cy="190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82" behindDoc="0" locked="0" layoutInCell="1" allowOverlap="1" wp14:anchorId="01E8B86A" wp14:editId="5EBB21CF">
                  <wp:simplePos x="0" y="0"/>
                  <wp:positionH relativeFrom="column">
                    <wp:posOffset>-68580</wp:posOffset>
                  </wp:positionH>
                  <wp:positionV relativeFrom="paragraph">
                    <wp:posOffset>15875</wp:posOffset>
                  </wp:positionV>
                  <wp:extent cx="594360" cy="196302"/>
                  <wp:effectExtent l="0" t="0" r="0" b="0"/>
                  <wp:wrapNone/>
                  <wp:docPr id="122" name="Object 3" descr="Three axle bus">
                    <a:extLst xmlns:a="http://schemas.openxmlformats.org/drawingml/2006/main">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bject 3" descr="Three axle bus">
                            <a:extLst>
                              <a:ext uri="{63B3BB69-23CF-44E3-9099-C40C66FF867C}">
                                <a14:compatExt xmlns:a14="http://schemas.microsoft.com/office/drawing/2010/main" spid="_x0000_s1089"/>
                              </a:ext>
                              <a:ext uri="{FF2B5EF4-FFF2-40B4-BE49-F238E27FC236}">
                                <a16:creationId xmlns:a16="http://schemas.microsoft.com/office/drawing/2014/main" id="{00000000-0008-0000-0000-000041040000}"/>
                              </a:ext>
                            </a:extLst>
                          </pic:cNvPr>
                          <pic:cNvPicPr>
                            <a:picLocks noChangeAspect="1"/>
                          </pic:cNvPicPr>
                        </pic:nvPicPr>
                        <pic:blipFill>
                          <a:blip r:embed="rId32"/>
                          <a:stretch>
                            <a:fillRect/>
                          </a:stretch>
                        </pic:blipFill>
                        <pic:spPr>
                          <a:xfrm>
                            <a:off x="0" y="0"/>
                            <a:ext cx="594360" cy="196302"/>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7CB9588A" w14:textId="77777777" w:rsidR="008B4CF7" w:rsidRPr="00035E77" w:rsidRDefault="008B4CF7" w:rsidP="008B4CF7">
            <w:pPr>
              <w:pStyle w:val="BodyCopy"/>
              <w:spacing w:before="0" w:after="0"/>
            </w:pPr>
            <w:r>
              <w:rPr>
                <w:rFonts w:ascii="Calibri" w:hAnsi="Calibri" w:cs="Calibri"/>
                <w:szCs w:val="22"/>
              </w:rPr>
              <w:t> </w:t>
            </w:r>
          </w:p>
        </w:tc>
        <w:tc>
          <w:tcPr>
            <w:tcW w:w="1204" w:type="dxa"/>
          </w:tcPr>
          <w:p w14:paraId="6D869D57" w14:textId="3684935C" w:rsidR="008B4CF7" w:rsidRPr="00C4270B" w:rsidRDefault="008B4CF7" w:rsidP="008B4CF7">
            <w:pPr>
              <w:pStyle w:val="BodyCopy"/>
              <w:spacing w:before="0" w:after="0"/>
              <w:rPr>
                <w:sz w:val="20"/>
                <w:szCs w:val="20"/>
              </w:rPr>
            </w:pPr>
            <w:r>
              <w:rPr>
                <w:sz w:val="20"/>
                <w:szCs w:val="20"/>
              </w:rPr>
              <w:t>2,731</w:t>
            </w:r>
          </w:p>
        </w:tc>
        <w:tc>
          <w:tcPr>
            <w:tcW w:w="1205" w:type="dxa"/>
            <w:noWrap/>
          </w:tcPr>
          <w:p w14:paraId="604F1282" w14:textId="65086618" w:rsidR="008B4CF7" w:rsidRPr="008B4CF7" w:rsidRDefault="001D03EC" w:rsidP="008B4CF7">
            <w:pPr>
              <w:pStyle w:val="BodyCopy"/>
              <w:spacing w:before="0" w:after="0"/>
              <w:rPr>
                <w:sz w:val="20"/>
                <w:szCs w:val="20"/>
              </w:rPr>
            </w:pPr>
            <w:r w:rsidRPr="00BD61D2">
              <w:rPr>
                <w:sz w:val="20"/>
                <w:szCs w:val="20"/>
              </w:rPr>
              <w:t>2,899</w:t>
            </w:r>
          </w:p>
        </w:tc>
        <w:tc>
          <w:tcPr>
            <w:tcW w:w="1205" w:type="dxa"/>
            <w:noWrap/>
          </w:tcPr>
          <w:p w14:paraId="5485E176" w14:textId="0E418655" w:rsidR="008B4CF7" w:rsidRPr="008B4CF7" w:rsidRDefault="001D03EC" w:rsidP="008B4CF7">
            <w:pPr>
              <w:pStyle w:val="BodyCopy"/>
              <w:spacing w:before="0" w:after="0"/>
              <w:rPr>
                <w:sz w:val="20"/>
                <w:szCs w:val="20"/>
              </w:rPr>
            </w:pPr>
            <w:r w:rsidRPr="00BD61D2">
              <w:rPr>
                <w:sz w:val="20"/>
                <w:szCs w:val="20"/>
              </w:rPr>
              <w:t>3,099</w:t>
            </w:r>
          </w:p>
        </w:tc>
        <w:tc>
          <w:tcPr>
            <w:tcW w:w="1205" w:type="dxa"/>
            <w:noWrap/>
          </w:tcPr>
          <w:p w14:paraId="2F275CB6" w14:textId="02CB15AB" w:rsidR="008B4CF7" w:rsidRPr="008B4CF7" w:rsidRDefault="001D03EC" w:rsidP="008B4CF7">
            <w:pPr>
              <w:pStyle w:val="BodyCopy"/>
              <w:spacing w:before="0" w:after="0"/>
              <w:rPr>
                <w:sz w:val="20"/>
                <w:szCs w:val="20"/>
              </w:rPr>
            </w:pPr>
            <w:r w:rsidRPr="00BD61D2">
              <w:rPr>
                <w:sz w:val="20"/>
                <w:szCs w:val="20"/>
              </w:rPr>
              <w:t>3,314</w:t>
            </w:r>
          </w:p>
        </w:tc>
      </w:tr>
      <w:tr w:rsidR="008B4CF7" w:rsidRPr="00035E77" w14:paraId="16E2E731" w14:textId="77777777" w:rsidTr="002437BB">
        <w:trPr>
          <w:trHeight w:val="283"/>
        </w:trPr>
        <w:tc>
          <w:tcPr>
            <w:tcW w:w="2694" w:type="dxa"/>
          </w:tcPr>
          <w:p w14:paraId="239CE56C" w14:textId="77777777" w:rsidR="008B4CF7" w:rsidRPr="00035E77" w:rsidRDefault="008B4CF7" w:rsidP="008B4CF7">
            <w:pPr>
              <w:pStyle w:val="BodyCopy"/>
              <w:spacing w:before="0" w:after="0"/>
              <w:rPr>
                <w:b/>
                <w:bCs/>
              </w:rPr>
            </w:pPr>
          </w:p>
        </w:tc>
        <w:tc>
          <w:tcPr>
            <w:tcW w:w="1559" w:type="dxa"/>
            <w:vAlign w:val="center"/>
          </w:tcPr>
          <w:p w14:paraId="551A2E62" w14:textId="77777777" w:rsidR="008B4CF7" w:rsidRPr="00035E77" w:rsidRDefault="008B4CF7" w:rsidP="008B4CF7">
            <w:pPr>
              <w:pStyle w:val="BodyCopy"/>
              <w:spacing w:before="0" w:after="0"/>
            </w:pPr>
            <w:r>
              <w:rPr>
                <w:rFonts w:ascii="Calibri" w:hAnsi="Calibri" w:cs="Calibri"/>
                <w:szCs w:val="22"/>
              </w:rPr>
              <w:t> </w:t>
            </w:r>
          </w:p>
        </w:tc>
        <w:tc>
          <w:tcPr>
            <w:tcW w:w="1204" w:type="dxa"/>
          </w:tcPr>
          <w:p w14:paraId="687250BF" w14:textId="17160638" w:rsidR="008B4CF7" w:rsidRPr="00C4270B" w:rsidRDefault="008B4CF7" w:rsidP="008B4CF7">
            <w:pPr>
              <w:pStyle w:val="BodyCopy"/>
              <w:spacing w:before="0" w:after="0"/>
              <w:rPr>
                <w:sz w:val="20"/>
                <w:szCs w:val="20"/>
              </w:rPr>
            </w:pPr>
            <w:r>
              <w:rPr>
                <w:sz w:val="20"/>
                <w:szCs w:val="20"/>
              </w:rPr>
              <w:t>6,369</w:t>
            </w:r>
          </w:p>
        </w:tc>
        <w:tc>
          <w:tcPr>
            <w:tcW w:w="1205" w:type="dxa"/>
            <w:noWrap/>
          </w:tcPr>
          <w:p w14:paraId="0490A5DA" w14:textId="440AE9BB" w:rsidR="008B4CF7" w:rsidRPr="008B4CF7" w:rsidRDefault="001D03EC" w:rsidP="008B4CF7">
            <w:pPr>
              <w:pStyle w:val="BodyCopy"/>
              <w:spacing w:before="0" w:after="0"/>
              <w:rPr>
                <w:sz w:val="20"/>
                <w:szCs w:val="20"/>
              </w:rPr>
            </w:pPr>
            <w:r w:rsidRPr="00BD61D2">
              <w:rPr>
                <w:sz w:val="20"/>
                <w:szCs w:val="20"/>
              </w:rPr>
              <w:t>6,695</w:t>
            </w:r>
          </w:p>
        </w:tc>
        <w:tc>
          <w:tcPr>
            <w:tcW w:w="1205" w:type="dxa"/>
            <w:noWrap/>
          </w:tcPr>
          <w:p w14:paraId="3C375657" w14:textId="71B59601" w:rsidR="008B4CF7" w:rsidRPr="008B4CF7" w:rsidRDefault="001D03EC" w:rsidP="008B4CF7">
            <w:pPr>
              <w:pStyle w:val="BodyCopy"/>
              <w:spacing w:before="0" w:after="0"/>
              <w:rPr>
                <w:sz w:val="20"/>
                <w:szCs w:val="20"/>
              </w:rPr>
            </w:pPr>
            <w:r w:rsidRPr="00BD61D2">
              <w:rPr>
                <w:sz w:val="20"/>
                <w:szCs w:val="20"/>
              </w:rPr>
              <w:t>7,072</w:t>
            </w:r>
          </w:p>
        </w:tc>
        <w:tc>
          <w:tcPr>
            <w:tcW w:w="1205" w:type="dxa"/>
            <w:noWrap/>
          </w:tcPr>
          <w:p w14:paraId="31F81FA6" w14:textId="5E48AADC" w:rsidR="008B4CF7" w:rsidRPr="008B4CF7" w:rsidRDefault="001D03EC" w:rsidP="008B4CF7">
            <w:pPr>
              <w:pStyle w:val="BodyCopy"/>
              <w:spacing w:before="0" w:after="0"/>
              <w:rPr>
                <w:sz w:val="20"/>
                <w:szCs w:val="20"/>
              </w:rPr>
            </w:pPr>
            <w:r w:rsidRPr="00BD61D2">
              <w:rPr>
                <w:sz w:val="20"/>
                <w:szCs w:val="20"/>
              </w:rPr>
              <w:t>7,470</w:t>
            </w:r>
          </w:p>
        </w:tc>
      </w:tr>
      <w:tr w:rsidR="008B4CF7" w:rsidRPr="00035E77" w14:paraId="5D3C71F8" w14:textId="77777777" w:rsidTr="002437BB">
        <w:trPr>
          <w:trHeight w:val="283"/>
        </w:trPr>
        <w:tc>
          <w:tcPr>
            <w:tcW w:w="2694" w:type="dxa"/>
            <w:noWrap/>
          </w:tcPr>
          <w:p w14:paraId="19CC0C02" w14:textId="77777777" w:rsidR="008B4CF7" w:rsidRPr="00035E77" w:rsidRDefault="008B4CF7" w:rsidP="008B4CF7">
            <w:pPr>
              <w:pStyle w:val="BodyCopy"/>
              <w:spacing w:before="0" w:after="0"/>
            </w:pPr>
            <w:r>
              <w:rPr>
                <w:noProof/>
                <w:lang w:eastAsia="en-AU"/>
              </w:rPr>
              <w:drawing>
                <wp:anchor distT="0" distB="0" distL="114300" distR="114300" simplePos="0" relativeHeight="251658285" behindDoc="0" locked="0" layoutInCell="1" allowOverlap="1" wp14:anchorId="4843853E" wp14:editId="02C80434">
                  <wp:simplePos x="0" y="0"/>
                  <wp:positionH relativeFrom="column">
                    <wp:posOffset>-68580</wp:posOffset>
                  </wp:positionH>
                  <wp:positionV relativeFrom="paragraph">
                    <wp:posOffset>207645</wp:posOffset>
                  </wp:positionV>
                  <wp:extent cx="1082040" cy="248285"/>
                  <wp:effectExtent l="0" t="0" r="3810" b="0"/>
                  <wp:wrapNone/>
                  <wp:docPr id="123" name="Picture 17" descr="Double road train">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7" descr="Double road train">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t="-24336" b="-24220"/>
                          <a:stretch>
                            <a:fillRect/>
                          </a:stretch>
                        </pic:blipFill>
                        <pic:spPr bwMode="auto">
                          <a:xfrm>
                            <a:off x="0" y="0"/>
                            <a:ext cx="1082040" cy="2482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84" behindDoc="0" locked="0" layoutInCell="1" allowOverlap="1" wp14:anchorId="0B05F5BB" wp14:editId="428588D0">
                  <wp:simplePos x="0" y="0"/>
                  <wp:positionH relativeFrom="column">
                    <wp:posOffset>-68580</wp:posOffset>
                  </wp:positionH>
                  <wp:positionV relativeFrom="paragraph">
                    <wp:posOffset>1905</wp:posOffset>
                  </wp:positionV>
                  <wp:extent cx="944880" cy="209968"/>
                  <wp:effectExtent l="0" t="0" r="7620" b="0"/>
                  <wp:wrapNone/>
                  <wp:docPr id="124" name="Object 4" descr="Nine axle B Double">
                    <a:extLst xmlns:a="http://schemas.openxmlformats.org/drawingml/2006/main">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ject 4" descr="Nine axle B Double">
                            <a:extLst>
                              <a:ext uri="{63B3BB69-23CF-44E3-9099-C40C66FF867C}">
                                <a14:compatExt xmlns:a14="http://schemas.microsoft.com/office/drawing/2010/main" spid="_x0000_s1087"/>
                              </a:ext>
                              <a:ext uri="{FF2B5EF4-FFF2-40B4-BE49-F238E27FC236}">
                                <a16:creationId xmlns:a16="http://schemas.microsoft.com/office/drawing/2014/main" id="{00000000-0008-0000-0000-00003F040000}"/>
                              </a:ext>
                            </a:extLst>
                          </pic:cNvPr>
                          <pic:cNvPicPr>
                            <a:picLocks noChangeAspect="1"/>
                          </pic:cNvPicPr>
                        </pic:nvPicPr>
                        <pic:blipFill>
                          <a:blip r:embed="rId34"/>
                          <a:stretch>
                            <a:fillRect/>
                          </a:stretch>
                        </pic:blipFill>
                        <pic:spPr>
                          <a:xfrm>
                            <a:off x="0" y="0"/>
                            <a:ext cx="944880" cy="209968"/>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43F56DF6" w14:textId="77777777" w:rsidR="008B4CF7" w:rsidRPr="00035E77" w:rsidRDefault="008B4CF7" w:rsidP="008B4CF7">
            <w:pPr>
              <w:pStyle w:val="BodyCopy"/>
              <w:spacing w:before="0" w:after="0"/>
              <w:rPr>
                <w:b/>
                <w:bCs/>
              </w:rPr>
            </w:pPr>
            <w:r>
              <w:rPr>
                <w:rFonts w:ascii="Calibri" w:hAnsi="Calibri" w:cs="Calibri"/>
                <w:b/>
                <w:bCs/>
                <w:szCs w:val="22"/>
              </w:rPr>
              <w:t> </w:t>
            </w:r>
          </w:p>
        </w:tc>
        <w:tc>
          <w:tcPr>
            <w:tcW w:w="1204" w:type="dxa"/>
          </w:tcPr>
          <w:p w14:paraId="398849EA" w14:textId="42F944FF" w:rsidR="008B4CF7" w:rsidRPr="00C4270B" w:rsidRDefault="008B4CF7" w:rsidP="008B4CF7">
            <w:pPr>
              <w:pStyle w:val="BodyCopy"/>
              <w:spacing w:before="0" w:after="0"/>
              <w:rPr>
                <w:sz w:val="20"/>
                <w:szCs w:val="20"/>
              </w:rPr>
            </w:pPr>
            <w:r>
              <w:rPr>
                <w:sz w:val="20"/>
                <w:szCs w:val="20"/>
              </w:rPr>
              <w:t>15,102</w:t>
            </w:r>
          </w:p>
        </w:tc>
        <w:tc>
          <w:tcPr>
            <w:tcW w:w="1205" w:type="dxa"/>
            <w:noWrap/>
          </w:tcPr>
          <w:p w14:paraId="3C885DCA" w14:textId="24CF9590" w:rsidR="008B4CF7" w:rsidRPr="008B4CF7" w:rsidRDefault="001D03EC" w:rsidP="008B4CF7">
            <w:pPr>
              <w:pStyle w:val="BodyCopy"/>
              <w:spacing w:before="0" w:after="0"/>
              <w:rPr>
                <w:sz w:val="20"/>
                <w:szCs w:val="20"/>
              </w:rPr>
            </w:pPr>
            <w:r w:rsidRPr="00BD61D2">
              <w:rPr>
                <w:sz w:val="20"/>
                <w:szCs w:val="20"/>
              </w:rPr>
              <w:t>15,882</w:t>
            </w:r>
          </w:p>
        </w:tc>
        <w:tc>
          <w:tcPr>
            <w:tcW w:w="1205" w:type="dxa"/>
            <w:noWrap/>
          </w:tcPr>
          <w:p w14:paraId="5682E8AC" w14:textId="4AA96E68" w:rsidR="008B4CF7" w:rsidRPr="008B4CF7" w:rsidRDefault="001D03EC" w:rsidP="008B4CF7">
            <w:pPr>
              <w:pStyle w:val="BodyCopy"/>
              <w:spacing w:before="0" w:after="0"/>
              <w:rPr>
                <w:sz w:val="20"/>
                <w:szCs w:val="20"/>
              </w:rPr>
            </w:pPr>
            <w:r w:rsidRPr="00BD61D2">
              <w:rPr>
                <w:sz w:val="20"/>
                <w:szCs w:val="20"/>
              </w:rPr>
              <w:t>16,779</w:t>
            </w:r>
          </w:p>
        </w:tc>
        <w:tc>
          <w:tcPr>
            <w:tcW w:w="1205" w:type="dxa"/>
            <w:noWrap/>
          </w:tcPr>
          <w:p w14:paraId="7724E39A" w14:textId="60FD755B" w:rsidR="008B4CF7" w:rsidRPr="008B4CF7" w:rsidRDefault="001D03EC" w:rsidP="008B4CF7">
            <w:pPr>
              <w:pStyle w:val="BodyCopy"/>
              <w:spacing w:before="0" w:after="0"/>
              <w:rPr>
                <w:sz w:val="20"/>
                <w:szCs w:val="20"/>
              </w:rPr>
            </w:pPr>
            <w:r w:rsidRPr="00BD61D2">
              <w:rPr>
                <w:sz w:val="20"/>
                <w:szCs w:val="20"/>
              </w:rPr>
              <w:t>17,727</w:t>
            </w:r>
          </w:p>
        </w:tc>
      </w:tr>
      <w:tr w:rsidR="008B4CF7" w:rsidRPr="00035E77" w14:paraId="5B9EAA1F" w14:textId="77777777" w:rsidTr="002437BB">
        <w:trPr>
          <w:trHeight w:val="283"/>
        </w:trPr>
        <w:tc>
          <w:tcPr>
            <w:tcW w:w="2694" w:type="dxa"/>
          </w:tcPr>
          <w:p w14:paraId="72ED2E01" w14:textId="77777777" w:rsidR="008B4CF7" w:rsidRPr="00035E77" w:rsidRDefault="008B4CF7" w:rsidP="008B4CF7">
            <w:pPr>
              <w:pStyle w:val="BodyCopy"/>
              <w:spacing w:before="0" w:after="0"/>
            </w:pPr>
          </w:p>
        </w:tc>
        <w:tc>
          <w:tcPr>
            <w:tcW w:w="1559" w:type="dxa"/>
            <w:vAlign w:val="center"/>
          </w:tcPr>
          <w:p w14:paraId="100AC052" w14:textId="77777777" w:rsidR="008B4CF7" w:rsidRPr="00035E77" w:rsidRDefault="008B4CF7" w:rsidP="008B4CF7">
            <w:pPr>
              <w:pStyle w:val="BodyCopy"/>
              <w:spacing w:before="0" w:after="0"/>
            </w:pPr>
            <w:r>
              <w:rPr>
                <w:rFonts w:ascii="Calibri" w:hAnsi="Calibri" w:cs="Calibri"/>
                <w:szCs w:val="22"/>
              </w:rPr>
              <w:t> </w:t>
            </w:r>
          </w:p>
        </w:tc>
        <w:tc>
          <w:tcPr>
            <w:tcW w:w="1204" w:type="dxa"/>
          </w:tcPr>
          <w:p w14:paraId="0780C942" w14:textId="6FD8BC62" w:rsidR="008B4CF7" w:rsidRPr="00C4270B" w:rsidRDefault="008B4CF7" w:rsidP="008B4CF7">
            <w:pPr>
              <w:pStyle w:val="BodyCopy"/>
              <w:spacing w:before="0" w:after="0"/>
              <w:rPr>
                <w:sz w:val="20"/>
                <w:szCs w:val="20"/>
              </w:rPr>
            </w:pPr>
            <w:r>
              <w:rPr>
                <w:sz w:val="20"/>
                <w:szCs w:val="20"/>
              </w:rPr>
              <w:t>15,158</w:t>
            </w:r>
          </w:p>
        </w:tc>
        <w:tc>
          <w:tcPr>
            <w:tcW w:w="1205" w:type="dxa"/>
            <w:noWrap/>
          </w:tcPr>
          <w:p w14:paraId="72B596AE" w14:textId="768BFB46" w:rsidR="008B4CF7" w:rsidRPr="008B4CF7" w:rsidRDefault="001D03EC" w:rsidP="008B4CF7">
            <w:pPr>
              <w:pStyle w:val="BodyCopy"/>
              <w:spacing w:before="0" w:after="0"/>
              <w:rPr>
                <w:sz w:val="20"/>
                <w:szCs w:val="20"/>
              </w:rPr>
            </w:pPr>
            <w:r w:rsidRPr="00BD61D2">
              <w:rPr>
                <w:sz w:val="20"/>
                <w:szCs w:val="20"/>
              </w:rPr>
              <w:t>15,938</w:t>
            </w:r>
          </w:p>
        </w:tc>
        <w:tc>
          <w:tcPr>
            <w:tcW w:w="1205" w:type="dxa"/>
            <w:noWrap/>
          </w:tcPr>
          <w:p w14:paraId="3B6289C5" w14:textId="733396C0" w:rsidR="008B4CF7" w:rsidRPr="008B4CF7" w:rsidRDefault="001D03EC" w:rsidP="008B4CF7">
            <w:pPr>
              <w:pStyle w:val="BodyCopy"/>
              <w:spacing w:before="0" w:after="0"/>
              <w:rPr>
                <w:sz w:val="20"/>
                <w:szCs w:val="20"/>
              </w:rPr>
            </w:pPr>
            <w:r w:rsidRPr="00BD61D2">
              <w:rPr>
                <w:sz w:val="20"/>
                <w:szCs w:val="20"/>
              </w:rPr>
              <w:t>16,835</w:t>
            </w:r>
          </w:p>
        </w:tc>
        <w:tc>
          <w:tcPr>
            <w:tcW w:w="1205" w:type="dxa"/>
            <w:noWrap/>
          </w:tcPr>
          <w:p w14:paraId="4E4C2E72" w14:textId="1D2B3A5D" w:rsidR="008B4CF7" w:rsidRPr="008B4CF7" w:rsidRDefault="001D03EC" w:rsidP="008B4CF7">
            <w:pPr>
              <w:pStyle w:val="BodyCopy"/>
              <w:spacing w:before="0" w:after="0"/>
              <w:rPr>
                <w:sz w:val="20"/>
                <w:szCs w:val="20"/>
              </w:rPr>
            </w:pPr>
            <w:r w:rsidRPr="00BD61D2">
              <w:rPr>
                <w:sz w:val="20"/>
                <w:szCs w:val="20"/>
              </w:rPr>
              <w:t>17,783</w:t>
            </w:r>
          </w:p>
        </w:tc>
      </w:tr>
      <w:tr w:rsidR="008B4CF7" w:rsidRPr="00035E77" w14:paraId="7BFBB1AD" w14:textId="77777777" w:rsidTr="002437BB">
        <w:trPr>
          <w:trHeight w:val="283"/>
        </w:trPr>
        <w:tc>
          <w:tcPr>
            <w:tcW w:w="2694" w:type="dxa"/>
          </w:tcPr>
          <w:p w14:paraId="70F157E0" w14:textId="77777777" w:rsidR="008B4CF7" w:rsidRPr="00035E77" w:rsidRDefault="008B4CF7" w:rsidP="008B4CF7">
            <w:pPr>
              <w:pStyle w:val="BodyCopy"/>
              <w:spacing w:before="0" w:after="0"/>
            </w:pPr>
            <w:r>
              <w:rPr>
                <w:noProof/>
                <w:lang w:eastAsia="en-AU"/>
              </w:rPr>
              <w:drawing>
                <wp:anchor distT="0" distB="0" distL="114300" distR="114300" simplePos="0" relativeHeight="251658286" behindDoc="0" locked="0" layoutInCell="1" allowOverlap="1" wp14:anchorId="5CE38034" wp14:editId="4E2BD6BA">
                  <wp:simplePos x="0" y="0"/>
                  <wp:positionH relativeFrom="column">
                    <wp:posOffset>-67310</wp:posOffset>
                  </wp:positionH>
                  <wp:positionV relativeFrom="paragraph">
                    <wp:posOffset>-12065</wp:posOffset>
                  </wp:positionV>
                  <wp:extent cx="1348740" cy="253513"/>
                  <wp:effectExtent l="0" t="0" r="3810" b="0"/>
                  <wp:wrapNone/>
                  <wp:docPr id="125" name="Picture 3" descr="Triple road train">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 descr="Triple road train">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t="-28625" b="-28625"/>
                          <a:stretch>
                            <a:fillRect/>
                          </a:stretch>
                        </pic:blipFill>
                        <pic:spPr bwMode="auto">
                          <a:xfrm>
                            <a:off x="0" y="0"/>
                            <a:ext cx="1348740" cy="253513"/>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9" w:type="dxa"/>
            <w:vAlign w:val="center"/>
          </w:tcPr>
          <w:p w14:paraId="75C52CCD" w14:textId="77777777" w:rsidR="008B4CF7" w:rsidRPr="00035E77" w:rsidRDefault="008B4CF7" w:rsidP="008B4CF7">
            <w:pPr>
              <w:pStyle w:val="BodyCopy"/>
              <w:spacing w:before="0" w:after="0"/>
            </w:pPr>
            <w:r>
              <w:rPr>
                <w:rFonts w:ascii="Calibri" w:hAnsi="Calibri" w:cs="Calibri"/>
                <w:szCs w:val="22"/>
              </w:rPr>
              <w:t> </w:t>
            </w:r>
          </w:p>
        </w:tc>
        <w:tc>
          <w:tcPr>
            <w:tcW w:w="1204" w:type="dxa"/>
          </w:tcPr>
          <w:p w14:paraId="28549B33" w14:textId="68BFDBF5" w:rsidR="008B4CF7" w:rsidRPr="00C4270B" w:rsidRDefault="008B4CF7" w:rsidP="008B4CF7">
            <w:pPr>
              <w:pStyle w:val="BodyCopy"/>
              <w:spacing w:before="0" w:after="0"/>
              <w:rPr>
                <w:sz w:val="20"/>
                <w:szCs w:val="20"/>
              </w:rPr>
            </w:pPr>
            <w:r>
              <w:rPr>
                <w:sz w:val="20"/>
                <w:szCs w:val="20"/>
              </w:rPr>
              <w:t>16,969</w:t>
            </w:r>
          </w:p>
        </w:tc>
        <w:tc>
          <w:tcPr>
            <w:tcW w:w="1205" w:type="dxa"/>
            <w:noWrap/>
          </w:tcPr>
          <w:p w14:paraId="50D2CE91" w14:textId="1E6AC9F2" w:rsidR="008B4CF7" w:rsidRPr="008B4CF7" w:rsidRDefault="001D03EC" w:rsidP="008B4CF7">
            <w:pPr>
              <w:pStyle w:val="BodyCopy"/>
              <w:spacing w:before="0" w:after="0"/>
              <w:rPr>
                <w:sz w:val="20"/>
                <w:szCs w:val="20"/>
              </w:rPr>
            </w:pPr>
            <w:r w:rsidRPr="00BD61D2">
              <w:rPr>
                <w:sz w:val="20"/>
                <w:szCs w:val="20"/>
              </w:rPr>
              <w:t>17,848</w:t>
            </w:r>
          </w:p>
        </w:tc>
        <w:tc>
          <w:tcPr>
            <w:tcW w:w="1205" w:type="dxa"/>
            <w:noWrap/>
          </w:tcPr>
          <w:p w14:paraId="424B5EC0" w14:textId="01D1F952" w:rsidR="008B4CF7" w:rsidRPr="008B4CF7" w:rsidRDefault="001D03EC" w:rsidP="008B4CF7">
            <w:pPr>
              <w:pStyle w:val="BodyCopy"/>
              <w:spacing w:before="0" w:after="0"/>
              <w:rPr>
                <w:sz w:val="20"/>
                <w:szCs w:val="20"/>
              </w:rPr>
            </w:pPr>
            <w:r w:rsidRPr="00BD61D2">
              <w:rPr>
                <w:sz w:val="20"/>
                <w:szCs w:val="20"/>
              </w:rPr>
              <w:t>18,850</w:t>
            </w:r>
          </w:p>
        </w:tc>
        <w:tc>
          <w:tcPr>
            <w:tcW w:w="1205" w:type="dxa"/>
            <w:noWrap/>
          </w:tcPr>
          <w:p w14:paraId="607ECFED" w14:textId="6F567F4D" w:rsidR="008B4CF7" w:rsidRPr="008B4CF7" w:rsidRDefault="001D03EC" w:rsidP="008B4CF7">
            <w:pPr>
              <w:pStyle w:val="BodyCopy"/>
              <w:spacing w:before="0" w:after="0"/>
              <w:rPr>
                <w:sz w:val="20"/>
                <w:szCs w:val="20"/>
              </w:rPr>
            </w:pPr>
            <w:r w:rsidRPr="00BD61D2">
              <w:rPr>
                <w:sz w:val="20"/>
                <w:szCs w:val="20"/>
              </w:rPr>
              <w:t>19,909</w:t>
            </w:r>
          </w:p>
        </w:tc>
      </w:tr>
    </w:tbl>
    <w:p w14:paraId="122638BC" w14:textId="01A8AB0B" w:rsidR="00EF21E9" w:rsidRDefault="00A94D53" w:rsidP="00ED3A28">
      <w:pPr>
        <w:pStyle w:val="BodyCopy"/>
      </w:pPr>
      <w:r>
        <w:t>Schedules of e</w:t>
      </w:r>
      <w:r w:rsidR="00517F03">
        <w:t>stimated registration charges for the full range of vehicle types</w:t>
      </w:r>
      <w:r>
        <w:t xml:space="preserve"> and components</w:t>
      </w:r>
      <w:r w:rsidR="00517F03">
        <w:t xml:space="preserve"> are outlined in</w:t>
      </w:r>
      <w:r w:rsidR="00A9449A">
        <w:t xml:space="preserve"> </w:t>
      </w:r>
      <w:r w:rsidR="00A9449A">
        <w:fldChar w:fldCharType="begin"/>
      </w:r>
      <w:r w:rsidR="00A9449A">
        <w:instrText xml:space="preserve"> REF _Ref63756920 \r \h </w:instrText>
      </w:r>
      <w:r w:rsidR="00A9449A">
        <w:fldChar w:fldCharType="separate"/>
      </w:r>
      <w:r w:rsidR="00225EEA">
        <w:t>Appendix B</w:t>
      </w:r>
      <w:r w:rsidR="00A9449A">
        <w:fldChar w:fldCharType="end"/>
      </w:r>
      <w:r w:rsidR="00C82209">
        <w:t>.</w:t>
      </w:r>
    </w:p>
    <w:p w14:paraId="6DB37775" w14:textId="5A284AD9" w:rsidR="004643D9" w:rsidRDefault="0095435F" w:rsidP="00AF7B68">
      <w:pPr>
        <w:pStyle w:val="Heading3"/>
      </w:pPr>
      <w:bookmarkStart w:id="508" w:name="_Ref64016134"/>
      <w:bookmarkStart w:id="509" w:name="_Toc86158501"/>
      <w:r>
        <w:t>H</w:t>
      </w:r>
      <w:r w:rsidR="004E7D02">
        <w:t>eavy vehicle operati</w:t>
      </w:r>
      <w:r>
        <w:t>ng</w:t>
      </w:r>
      <w:r w:rsidR="004E7D02">
        <w:t xml:space="preserve"> costs</w:t>
      </w:r>
      <w:bookmarkEnd w:id="508"/>
      <w:r w:rsidR="00560CD5">
        <w:t xml:space="preserve"> as context</w:t>
      </w:r>
      <w:bookmarkEnd w:id="509"/>
    </w:p>
    <w:p w14:paraId="6580E139" w14:textId="3EC5D0D8" w:rsidR="001121BF" w:rsidRDefault="00EC0831" w:rsidP="004E7D02">
      <w:pPr>
        <w:pStyle w:val="BodyCopy"/>
      </w:pPr>
      <w:r>
        <w:t xml:space="preserve">The operating costs </w:t>
      </w:r>
      <w:r w:rsidR="00B4358D">
        <w:t xml:space="preserve">for heavy vehicles included in the model are </w:t>
      </w:r>
      <w:r w:rsidR="00C0596F">
        <w:t>registration, RUC, insurance, maintenance, tyre</w:t>
      </w:r>
      <w:r w:rsidR="003300C1">
        <w:t>s</w:t>
      </w:r>
      <w:r w:rsidR="00C0596F">
        <w:t xml:space="preserve">, fuel, capital, </w:t>
      </w:r>
      <w:r w:rsidR="00B4358D">
        <w:t xml:space="preserve">labour, </w:t>
      </w:r>
      <w:r w:rsidR="00343C1B">
        <w:t xml:space="preserve">administration </w:t>
      </w:r>
      <w:r w:rsidR="00A06C2E">
        <w:t xml:space="preserve">and </w:t>
      </w:r>
      <w:r w:rsidR="001423E6">
        <w:t>sundry</w:t>
      </w:r>
      <w:r w:rsidR="00A06C2E">
        <w:t xml:space="preserve"> </w:t>
      </w:r>
      <w:r w:rsidR="00662B16">
        <w:t>costs</w:t>
      </w:r>
      <w:r w:rsidR="007B5214">
        <w:t xml:space="preserve"> </w:t>
      </w:r>
      <w:r w:rsidR="00C363B8">
        <w:t>related to running a business.</w:t>
      </w:r>
      <w:r w:rsidR="00830D17">
        <w:t xml:space="preserve"> </w:t>
      </w:r>
      <w:r w:rsidR="009E0BBD">
        <w:t>Many of these costs will not be a</w:t>
      </w:r>
      <w:r w:rsidR="003300C1">
        <w:t>ffe</w:t>
      </w:r>
      <w:r w:rsidR="009E0BBD">
        <w:t>cted by the proposed implementation options.</w:t>
      </w:r>
      <w:r w:rsidR="00830D17">
        <w:t xml:space="preserve"> </w:t>
      </w:r>
      <w:r w:rsidR="009E0BBD">
        <w:t>The main impacts will be on RUC</w:t>
      </w:r>
      <w:r w:rsidR="00D05201">
        <w:t xml:space="preserve"> and registration.</w:t>
      </w:r>
      <w:r w:rsidR="00830D17">
        <w:t xml:space="preserve"> </w:t>
      </w:r>
      <w:r w:rsidR="00853F00">
        <w:t>However, b</w:t>
      </w:r>
      <w:r w:rsidR="004E47FB">
        <w:t>oth RUC and registration represent a minor proportion of overall costs</w:t>
      </w:r>
      <w:r w:rsidR="00FE03AE">
        <w:t xml:space="preserve">, as depicted in </w:t>
      </w:r>
      <w:r w:rsidR="00FA2770">
        <w:fldChar w:fldCharType="begin"/>
      </w:r>
      <w:r w:rsidR="00FA2770">
        <w:instrText xml:space="preserve"> REF _Ref64286927 \r \h </w:instrText>
      </w:r>
      <w:r w:rsidR="00FA2770">
        <w:fldChar w:fldCharType="separate"/>
      </w:r>
      <w:r w:rsidR="00225EEA">
        <w:t>Table 30</w:t>
      </w:r>
      <w:r w:rsidR="00FA2770">
        <w:fldChar w:fldCharType="end"/>
      </w:r>
      <w:r w:rsidR="00FE03AE">
        <w:t xml:space="preserve"> and </w:t>
      </w:r>
      <w:r w:rsidR="00FA2770">
        <w:fldChar w:fldCharType="begin"/>
      </w:r>
      <w:r w:rsidR="00FA2770">
        <w:instrText xml:space="preserve"> REF _Ref82011990 \r \h </w:instrText>
      </w:r>
      <w:r w:rsidR="00FA2770">
        <w:fldChar w:fldCharType="separate"/>
      </w:r>
      <w:r w:rsidR="00225EEA">
        <w:t>Figure 10</w:t>
      </w:r>
      <w:r w:rsidR="00FA2770">
        <w:fldChar w:fldCharType="end"/>
      </w:r>
      <w:r w:rsidR="004E47FB">
        <w:t>.</w:t>
      </w:r>
      <w:r w:rsidR="00830D17">
        <w:t xml:space="preserve"> </w:t>
      </w:r>
      <w:r w:rsidR="00FA2770">
        <w:fldChar w:fldCharType="begin"/>
      </w:r>
      <w:r w:rsidR="00FA2770">
        <w:instrText xml:space="preserve"> REF _Ref64286927 \r \h </w:instrText>
      </w:r>
      <w:r w:rsidR="00FA2770">
        <w:fldChar w:fldCharType="separate"/>
      </w:r>
      <w:r w:rsidR="00225EEA">
        <w:t>Table 30</w:t>
      </w:r>
      <w:r w:rsidR="00FA2770">
        <w:fldChar w:fldCharType="end"/>
      </w:r>
      <w:r w:rsidR="00FE03AE">
        <w:t xml:space="preserve"> </w:t>
      </w:r>
      <w:r w:rsidR="00267AE3">
        <w:t xml:space="preserve">shows examples of seven vehicle classes and the proportion of cost represented by RUC and </w:t>
      </w:r>
      <w:r w:rsidR="003300C1">
        <w:t>r</w:t>
      </w:r>
      <w:r w:rsidR="00267AE3">
        <w:t>egistration based on 2020 costs.</w:t>
      </w:r>
    </w:p>
    <w:p w14:paraId="4E21CA2E" w14:textId="025108C6" w:rsidR="001121BF" w:rsidRDefault="002C2DFB" w:rsidP="00AF7B68">
      <w:pPr>
        <w:pStyle w:val="Tabletitle"/>
      </w:pPr>
      <w:bookmarkStart w:id="510" w:name="_Ref64286927"/>
      <w:bookmarkStart w:id="511" w:name="_Toc86158569"/>
      <w:r>
        <w:t xml:space="preserve">Charges relative to </w:t>
      </w:r>
      <w:r w:rsidR="000D495C">
        <w:t>operating costs for selected heavy vehicles</w:t>
      </w:r>
      <w:bookmarkEnd w:id="510"/>
      <w:bookmarkEnd w:id="511"/>
    </w:p>
    <w:tbl>
      <w:tblPr>
        <w:tblStyle w:val="NTCtable"/>
        <w:tblW w:w="0" w:type="auto"/>
        <w:tblLayout w:type="fixed"/>
        <w:tblCellMar>
          <w:top w:w="57" w:type="dxa"/>
          <w:left w:w="57" w:type="dxa"/>
          <w:right w:w="57" w:type="dxa"/>
        </w:tblCellMar>
        <w:tblLook w:val="04A0" w:firstRow="1" w:lastRow="0" w:firstColumn="1" w:lastColumn="0" w:noHBand="0" w:noVBand="1"/>
      </w:tblPr>
      <w:tblGrid>
        <w:gridCol w:w="2410"/>
        <w:gridCol w:w="992"/>
        <w:gridCol w:w="915"/>
        <w:gridCol w:w="1070"/>
        <w:gridCol w:w="1276"/>
        <w:gridCol w:w="1275"/>
        <w:gridCol w:w="1089"/>
      </w:tblGrid>
      <w:tr w:rsidR="001121BF" w:rsidRPr="001121BF" w14:paraId="253CCD35" w14:textId="77777777" w:rsidTr="00C4270B">
        <w:trPr>
          <w:cnfStyle w:val="100000000000" w:firstRow="1" w:lastRow="0" w:firstColumn="0" w:lastColumn="0" w:oddVBand="0" w:evenVBand="0" w:oddHBand="0" w:evenHBand="0" w:firstRowFirstColumn="0" w:firstRowLastColumn="0" w:lastRowFirstColumn="0" w:lastRowLastColumn="0"/>
          <w:trHeight w:val="560"/>
          <w:tblHeader/>
        </w:trPr>
        <w:tc>
          <w:tcPr>
            <w:tcW w:w="2410" w:type="dxa"/>
            <w:noWrap/>
            <w:hideMark/>
          </w:tcPr>
          <w:p w14:paraId="1795A42A" w14:textId="2A240ACB" w:rsidR="001121BF" w:rsidRPr="00AF7B68" w:rsidRDefault="001121BF" w:rsidP="001121BF">
            <w:pPr>
              <w:pStyle w:val="BodyCopy"/>
              <w:rPr>
                <w:b/>
                <w:bCs/>
                <w:sz w:val="18"/>
                <w:szCs w:val="18"/>
              </w:rPr>
            </w:pPr>
            <w:r w:rsidRPr="00AF7B68">
              <w:rPr>
                <w:b/>
                <w:bCs/>
              </w:rPr>
              <w:t> </w:t>
            </w:r>
            <w:r w:rsidR="000D495C" w:rsidRPr="00AF7B68">
              <w:rPr>
                <w:b/>
                <w:bCs/>
                <w:sz w:val="18"/>
                <w:szCs w:val="18"/>
              </w:rPr>
              <w:t>Vehicle type</w:t>
            </w:r>
          </w:p>
        </w:tc>
        <w:tc>
          <w:tcPr>
            <w:tcW w:w="992" w:type="dxa"/>
            <w:noWrap/>
            <w:hideMark/>
          </w:tcPr>
          <w:p w14:paraId="62C791D5" w14:textId="57E08135" w:rsidR="001121BF" w:rsidRPr="00AF7B68" w:rsidRDefault="001121BF" w:rsidP="00564725">
            <w:pPr>
              <w:pStyle w:val="BodyCopy"/>
              <w:jc w:val="center"/>
              <w:rPr>
                <w:b/>
                <w:bCs/>
                <w:sz w:val="18"/>
                <w:szCs w:val="18"/>
              </w:rPr>
            </w:pPr>
            <w:r w:rsidRPr="00AF7B68">
              <w:rPr>
                <w:b/>
                <w:bCs/>
                <w:sz w:val="18"/>
                <w:szCs w:val="18"/>
              </w:rPr>
              <w:t>Registra</w:t>
            </w:r>
            <w:r w:rsidR="00D1041A">
              <w:rPr>
                <w:b/>
                <w:bCs/>
                <w:sz w:val="18"/>
                <w:szCs w:val="18"/>
              </w:rPr>
              <w:t>-</w:t>
            </w:r>
            <w:r w:rsidRPr="00AF7B68">
              <w:rPr>
                <w:b/>
                <w:bCs/>
                <w:sz w:val="18"/>
                <w:szCs w:val="18"/>
              </w:rPr>
              <w:t>tion</w:t>
            </w:r>
          </w:p>
        </w:tc>
        <w:tc>
          <w:tcPr>
            <w:tcW w:w="915" w:type="dxa"/>
            <w:noWrap/>
            <w:hideMark/>
          </w:tcPr>
          <w:p w14:paraId="1D329506" w14:textId="77777777" w:rsidR="001121BF" w:rsidRPr="00AF7B68" w:rsidRDefault="001121BF" w:rsidP="00564725">
            <w:pPr>
              <w:pStyle w:val="BodyCopy"/>
              <w:jc w:val="center"/>
              <w:rPr>
                <w:b/>
                <w:bCs/>
                <w:sz w:val="18"/>
                <w:szCs w:val="18"/>
              </w:rPr>
            </w:pPr>
            <w:r w:rsidRPr="00AF7B68">
              <w:rPr>
                <w:b/>
                <w:bCs/>
                <w:sz w:val="18"/>
                <w:szCs w:val="18"/>
              </w:rPr>
              <w:t>RUC</w:t>
            </w:r>
          </w:p>
        </w:tc>
        <w:tc>
          <w:tcPr>
            <w:tcW w:w="1070" w:type="dxa"/>
            <w:noWrap/>
            <w:hideMark/>
          </w:tcPr>
          <w:p w14:paraId="388BD3E8" w14:textId="77777777" w:rsidR="001121BF" w:rsidRPr="00AF7B68" w:rsidRDefault="001121BF" w:rsidP="00564725">
            <w:pPr>
              <w:pStyle w:val="BodyCopy"/>
              <w:jc w:val="center"/>
              <w:rPr>
                <w:b/>
                <w:bCs/>
                <w:sz w:val="18"/>
                <w:szCs w:val="18"/>
              </w:rPr>
            </w:pPr>
            <w:r w:rsidRPr="00AF7B68">
              <w:rPr>
                <w:b/>
                <w:bCs/>
                <w:sz w:val="18"/>
                <w:szCs w:val="18"/>
              </w:rPr>
              <w:t>Total charges</w:t>
            </w:r>
          </w:p>
        </w:tc>
        <w:tc>
          <w:tcPr>
            <w:tcW w:w="1276" w:type="dxa"/>
            <w:noWrap/>
            <w:hideMark/>
          </w:tcPr>
          <w:p w14:paraId="674D451E" w14:textId="77777777" w:rsidR="001121BF" w:rsidRPr="00AF7B68" w:rsidRDefault="001121BF" w:rsidP="00564725">
            <w:pPr>
              <w:pStyle w:val="BodyCopy"/>
              <w:jc w:val="center"/>
              <w:rPr>
                <w:b/>
                <w:bCs/>
                <w:sz w:val="18"/>
                <w:szCs w:val="18"/>
              </w:rPr>
            </w:pPr>
            <w:r w:rsidRPr="00AF7B68">
              <w:rPr>
                <w:b/>
                <w:bCs/>
                <w:sz w:val="18"/>
                <w:szCs w:val="18"/>
              </w:rPr>
              <w:t>Total costs</w:t>
            </w:r>
          </w:p>
        </w:tc>
        <w:tc>
          <w:tcPr>
            <w:tcW w:w="1275" w:type="dxa"/>
            <w:vAlign w:val="center"/>
            <w:hideMark/>
          </w:tcPr>
          <w:p w14:paraId="1A6187F0" w14:textId="1ABCD15F" w:rsidR="001121BF" w:rsidRPr="00AF7B68" w:rsidRDefault="001121BF" w:rsidP="00564725">
            <w:pPr>
              <w:pStyle w:val="BodyCopy"/>
              <w:jc w:val="center"/>
              <w:rPr>
                <w:b/>
                <w:bCs/>
                <w:sz w:val="18"/>
                <w:szCs w:val="18"/>
              </w:rPr>
            </w:pPr>
            <w:r w:rsidRPr="00AF7B68">
              <w:rPr>
                <w:b/>
                <w:bCs/>
                <w:sz w:val="18"/>
                <w:szCs w:val="18"/>
              </w:rPr>
              <w:t xml:space="preserve">Registration/ </w:t>
            </w:r>
            <w:r w:rsidR="00314A7D">
              <w:rPr>
                <w:b/>
                <w:bCs/>
                <w:sz w:val="18"/>
                <w:szCs w:val="18"/>
              </w:rPr>
              <w:t>t</w:t>
            </w:r>
            <w:r w:rsidRPr="00AF7B68">
              <w:rPr>
                <w:b/>
                <w:bCs/>
                <w:sz w:val="18"/>
                <w:szCs w:val="18"/>
              </w:rPr>
              <w:t>otal costs</w:t>
            </w:r>
          </w:p>
        </w:tc>
        <w:tc>
          <w:tcPr>
            <w:tcW w:w="1089" w:type="dxa"/>
            <w:hideMark/>
          </w:tcPr>
          <w:p w14:paraId="2AA8B537" w14:textId="131F8079" w:rsidR="001121BF" w:rsidRPr="00AF7B68" w:rsidRDefault="001121BF" w:rsidP="00564725">
            <w:pPr>
              <w:pStyle w:val="BodyCopy"/>
              <w:jc w:val="center"/>
              <w:rPr>
                <w:b/>
                <w:bCs/>
                <w:sz w:val="18"/>
                <w:szCs w:val="18"/>
              </w:rPr>
            </w:pPr>
            <w:r w:rsidRPr="00AF7B68">
              <w:rPr>
                <w:b/>
                <w:bCs/>
                <w:sz w:val="18"/>
                <w:szCs w:val="18"/>
              </w:rPr>
              <w:t>Charges/</w:t>
            </w:r>
            <w:r w:rsidR="00364CEC">
              <w:rPr>
                <w:b/>
                <w:bCs/>
                <w:sz w:val="18"/>
                <w:szCs w:val="18"/>
              </w:rPr>
              <w:t xml:space="preserve"> </w:t>
            </w:r>
            <w:r w:rsidR="00314A7D">
              <w:rPr>
                <w:b/>
                <w:bCs/>
                <w:sz w:val="18"/>
                <w:szCs w:val="18"/>
              </w:rPr>
              <w:t>t</w:t>
            </w:r>
            <w:r w:rsidRPr="00AF7B68">
              <w:rPr>
                <w:b/>
                <w:bCs/>
                <w:sz w:val="18"/>
                <w:szCs w:val="18"/>
              </w:rPr>
              <w:t>otal costs</w:t>
            </w:r>
          </w:p>
        </w:tc>
      </w:tr>
      <w:tr w:rsidR="001121BF" w:rsidRPr="001121BF" w14:paraId="3F032DD5" w14:textId="77777777" w:rsidTr="001F16F8">
        <w:trPr>
          <w:cantSplit/>
        </w:trPr>
        <w:tc>
          <w:tcPr>
            <w:tcW w:w="2410" w:type="dxa"/>
            <w:noWrap/>
            <w:vAlign w:val="center"/>
            <w:hideMark/>
          </w:tcPr>
          <w:p w14:paraId="28993602" w14:textId="3B60D44A" w:rsidR="001121BF" w:rsidRPr="00AF7B68" w:rsidRDefault="001121BF" w:rsidP="002437BB">
            <w:pPr>
              <w:pStyle w:val="BodyCopy"/>
              <w:rPr>
                <w:sz w:val="18"/>
                <w:szCs w:val="18"/>
              </w:rPr>
            </w:pPr>
            <w:r w:rsidRPr="00AF7B68">
              <w:rPr>
                <w:sz w:val="18"/>
                <w:szCs w:val="18"/>
              </w:rPr>
              <w:t>Rigid truck 2</w:t>
            </w:r>
            <w:r w:rsidR="00485614">
              <w:rPr>
                <w:sz w:val="18"/>
                <w:szCs w:val="18"/>
              </w:rPr>
              <w:t>-</w:t>
            </w:r>
            <w:r w:rsidRPr="00AF7B68">
              <w:rPr>
                <w:sz w:val="18"/>
                <w:szCs w:val="18"/>
              </w:rPr>
              <w:t>axle 4.5 to 7.0</w:t>
            </w:r>
            <w:r w:rsidR="00314A7D">
              <w:rPr>
                <w:sz w:val="18"/>
                <w:szCs w:val="18"/>
              </w:rPr>
              <w:t xml:space="preserve"> </w:t>
            </w:r>
            <w:r w:rsidRPr="00AF7B68">
              <w:rPr>
                <w:sz w:val="18"/>
                <w:szCs w:val="18"/>
              </w:rPr>
              <w:t>t</w:t>
            </w:r>
          </w:p>
        </w:tc>
        <w:tc>
          <w:tcPr>
            <w:tcW w:w="992" w:type="dxa"/>
            <w:noWrap/>
            <w:vAlign w:val="center"/>
            <w:hideMark/>
          </w:tcPr>
          <w:p w14:paraId="18B9B6B5" w14:textId="3A02DA98" w:rsidR="001121BF" w:rsidRPr="00AF7B68" w:rsidRDefault="001F16F8" w:rsidP="001F16F8">
            <w:pPr>
              <w:pStyle w:val="BodyCopy"/>
              <w:jc w:val="center"/>
              <w:rPr>
                <w:sz w:val="18"/>
                <w:szCs w:val="18"/>
              </w:rPr>
            </w:pPr>
            <w:r>
              <w:rPr>
                <w:sz w:val="18"/>
                <w:szCs w:val="18"/>
              </w:rPr>
              <w:t>$607</w:t>
            </w:r>
          </w:p>
        </w:tc>
        <w:tc>
          <w:tcPr>
            <w:tcW w:w="915" w:type="dxa"/>
            <w:noWrap/>
            <w:vAlign w:val="center"/>
            <w:hideMark/>
          </w:tcPr>
          <w:p w14:paraId="27A2F846" w14:textId="77777777" w:rsidR="001121BF" w:rsidRPr="00AF7B68" w:rsidRDefault="001121BF" w:rsidP="001F16F8">
            <w:pPr>
              <w:pStyle w:val="BodyCopy"/>
              <w:jc w:val="center"/>
              <w:rPr>
                <w:sz w:val="18"/>
                <w:szCs w:val="18"/>
              </w:rPr>
            </w:pPr>
            <w:r w:rsidRPr="00AF7B68">
              <w:rPr>
                <w:sz w:val="18"/>
                <w:szCs w:val="18"/>
              </w:rPr>
              <w:t>$1,835</w:t>
            </w:r>
          </w:p>
        </w:tc>
        <w:tc>
          <w:tcPr>
            <w:tcW w:w="1070" w:type="dxa"/>
            <w:noWrap/>
            <w:vAlign w:val="center"/>
            <w:hideMark/>
          </w:tcPr>
          <w:p w14:paraId="321B69F3" w14:textId="77777777" w:rsidR="001121BF" w:rsidRPr="00AF7B68" w:rsidRDefault="001121BF" w:rsidP="001F16F8">
            <w:pPr>
              <w:pStyle w:val="BodyCopy"/>
              <w:jc w:val="center"/>
              <w:rPr>
                <w:sz w:val="18"/>
                <w:szCs w:val="18"/>
              </w:rPr>
            </w:pPr>
            <w:r w:rsidRPr="00AF7B68">
              <w:rPr>
                <w:sz w:val="18"/>
                <w:szCs w:val="18"/>
              </w:rPr>
              <w:t>$2,442</w:t>
            </w:r>
          </w:p>
        </w:tc>
        <w:tc>
          <w:tcPr>
            <w:tcW w:w="1276" w:type="dxa"/>
            <w:noWrap/>
            <w:vAlign w:val="center"/>
            <w:hideMark/>
          </w:tcPr>
          <w:p w14:paraId="60BC64EB" w14:textId="77777777" w:rsidR="001121BF" w:rsidRPr="00AF7B68" w:rsidRDefault="001121BF" w:rsidP="001F16F8">
            <w:pPr>
              <w:pStyle w:val="BodyCopy"/>
              <w:jc w:val="center"/>
              <w:rPr>
                <w:sz w:val="18"/>
                <w:szCs w:val="18"/>
              </w:rPr>
            </w:pPr>
            <w:r w:rsidRPr="00AF7B68">
              <w:rPr>
                <w:sz w:val="18"/>
                <w:szCs w:val="18"/>
              </w:rPr>
              <w:t>$144,324</w:t>
            </w:r>
          </w:p>
        </w:tc>
        <w:tc>
          <w:tcPr>
            <w:tcW w:w="1275" w:type="dxa"/>
            <w:noWrap/>
            <w:vAlign w:val="center"/>
            <w:hideMark/>
          </w:tcPr>
          <w:p w14:paraId="36787CD0" w14:textId="77777777" w:rsidR="001121BF" w:rsidRPr="00AF7B68" w:rsidRDefault="001121BF" w:rsidP="002437BB">
            <w:pPr>
              <w:pStyle w:val="BodyCopy"/>
              <w:jc w:val="center"/>
              <w:rPr>
                <w:sz w:val="18"/>
                <w:szCs w:val="18"/>
              </w:rPr>
            </w:pPr>
            <w:r w:rsidRPr="00AF7B68">
              <w:rPr>
                <w:sz w:val="18"/>
                <w:szCs w:val="18"/>
              </w:rPr>
              <w:t>0.4%</w:t>
            </w:r>
          </w:p>
        </w:tc>
        <w:tc>
          <w:tcPr>
            <w:tcW w:w="1089" w:type="dxa"/>
            <w:noWrap/>
            <w:vAlign w:val="center"/>
            <w:hideMark/>
          </w:tcPr>
          <w:p w14:paraId="4759118D" w14:textId="77777777" w:rsidR="001121BF" w:rsidRPr="00AF7B68" w:rsidRDefault="001121BF" w:rsidP="002437BB">
            <w:pPr>
              <w:pStyle w:val="BodyCopy"/>
              <w:jc w:val="center"/>
              <w:rPr>
                <w:sz w:val="18"/>
                <w:szCs w:val="18"/>
              </w:rPr>
            </w:pPr>
            <w:r w:rsidRPr="00AF7B68">
              <w:rPr>
                <w:sz w:val="18"/>
                <w:szCs w:val="18"/>
              </w:rPr>
              <w:t>1.7%</w:t>
            </w:r>
          </w:p>
        </w:tc>
      </w:tr>
      <w:tr w:rsidR="001121BF" w:rsidRPr="001121BF" w14:paraId="6FA928DA" w14:textId="77777777" w:rsidTr="001F16F8">
        <w:trPr>
          <w:cantSplit/>
        </w:trPr>
        <w:tc>
          <w:tcPr>
            <w:tcW w:w="2410" w:type="dxa"/>
            <w:noWrap/>
            <w:vAlign w:val="center"/>
            <w:hideMark/>
          </w:tcPr>
          <w:p w14:paraId="78021586" w14:textId="79443B28" w:rsidR="001121BF" w:rsidRPr="00AF7B68" w:rsidRDefault="001121BF" w:rsidP="002437BB">
            <w:pPr>
              <w:pStyle w:val="BodyCopy"/>
              <w:rPr>
                <w:sz w:val="18"/>
                <w:szCs w:val="18"/>
              </w:rPr>
            </w:pPr>
            <w:r w:rsidRPr="00AF7B68">
              <w:rPr>
                <w:sz w:val="18"/>
                <w:szCs w:val="18"/>
              </w:rPr>
              <w:t>Rigid truck 3</w:t>
            </w:r>
            <w:r w:rsidR="00314A7D">
              <w:rPr>
                <w:sz w:val="18"/>
                <w:szCs w:val="18"/>
              </w:rPr>
              <w:t>-</w:t>
            </w:r>
            <w:r w:rsidRPr="00AF7B68">
              <w:rPr>
                <w:sz w:val="18"/>
                <w:szCs w:val="18"/>
              </w:rPr>
              <w:t>axle 18</w:t>
            </w:r>
            <w:r w:rsidR="00314A7D">
              <w:rPr>
                <w:sz w:val="18"/>
                <w:szCs w:val="18"/>
              </w:rPr>
              <w:t xml:space="preserve"> </w:t>
            </w:r>
            <w:r w:rsidRPr="00AF7B68">
              <w:rPr>
                <w:sz w:val="18"/>
                <w:szCs w:val="18"/>
              </w:rPr>
              <w:t>t and over</w:t>
            </w:r>
          </w:p>
        </w:tc>
        <w:tc>
          <w:tcPr>
            <w:tcW w:w="992" w:type="dxa"/>
            <w:noWrap/>
            <w:vAlign w:val="center"/>
            <w:hideMark/>
          </w:tcPr>
          <w:p w14:paraId="0300AB05" w14:textId="77777777" w:rsidR="001121BF" w:rsidRPr="00AF7B68" w:rsidRDefault="001121BF" w:rsidP="001F16F8">
            <w:pPr>
              <w:pStyle w:val="BodyCopy"/>
              <w:jc w:val="center"/>
              <w:rPr>
                <w:sz w:val="18"/>
                <w:szCs w:val="18"/>
              </w:rPr>
            </w:pPr>
            <w:r w:rsidRPr="00AF7B68">
              <w:rPr>
                <w:sz w:val="18"/>
                <w:szCs w:val="18"/>
              </w:rPr>
              <w:t>$1,142</w:t>
            </w:r>
          </w:p>
        </w:tc>
        <w:tc>
          <w:tcPr>
            <w:tcW w:w="915" w:type="dxa"/>
            <w:noWrap/>
            <w:vAlign w:val="center"/>
            <w:hideMark/>
          </w:tcPr>
          <w:p w14:paraId="4BADA3AD" w14:textId="77777777" w:rsidR="001121BF" w:rsidRPr="00AF7B68" w:rsidRDefault="001121BF" w:rsidP="001F16F8">
            <w:pPr>
              <w:pStyle w:val="BodyCopy"/>
              <w:jc w:val="center"/>
              <w:rPr>
                <w:sz w:val="18"/>
                <w:szCs w:val="18"/>
              </w:rPr>
            </w:pPr>
            <w:r w:rsidRPr="00AF7B68">
              <w:rPr>
                <w:sz w:val="18"/>
                <w:szCs w:val="18"/>
              </w:rPr>
              <w:t>$4,378</w:t>
            </w:r>
          </w:p>
        </w:tc>
        <w:tc>
          <w:tcPr>
            <w:tcW w:w="1070" w:type="dxa"/>
            <w:noWrap/>
            <w:vAlign w:val="center"/>
            <w:hideMark/>
          </w:tcPr>
          <w:p w14:paraId="5F6CFAEA" w14:textId="77777777" w:rsidR="001121BF" w:rsidRPr="00AF7B68" w:rsidRDefault="001121BF" w:rsidP="001F16F8">
            <w:pPr>
              <w:pStyle w:val="BodyCopy"/>
              <w:jc w:val="center"/>
              <w:rPr>
                <w:sz w:val="18"/>
                <w:szCs w:val="18"/>
              </w:rPr>
            </w:pPr>
            <w:r w:rsidRPr="00AF7B68">
              <w:rPr>
                <w:sz w:val="18"/>
                <w:szCs w:val="18"/>
              </w:rPr>
              <w:t>$5,520</w:t>
            </w:r>
          </w:p>
        </w:tc>
        <w:tc>
          <w:tcPr>
            <w:tcW w:w="1276" w:type="dxa"/>
            <w:noWrap/>
            <w:vAlign w:val="center"/>
            <w:hideMark/>
          </w:tcPr>
          <w:p w14:paraId="72E2D665" w14:textId="77777777" w:rsidR="001121BF" w:rsidRPr="00AF7B68" w:rsidRDefault="001121BF" w:rsidP="001F16F8">
            <w:pPr>
              <w:pStyle w:val="BodyCopy"/>
              <w:jc w:val="center"/>
              <w:rPr>
                <w:sz w:val="18"/>
                <w:szCs w:val="18"/>
              </w:rPr>
            </w:pPr>
            <w:r w:rsidRPr="00AF7B68">
              <w:rPr>
                <w:sz w:val="18"/>
                <w:szCs w:val="18"/>
              </w:rPr>
              <w:t>$185,333</w:t>
            </w:r>
          </w:p>
        </w:tc>
        <w:tc>
          <w:tcPr>
            <w:tcW w:w="1275" w:type="dxa"/>
            <w:noWrap/>
            <w:vAlign w:val="center"/>
            <w:hideMark/>
          </w:tcPr>
          <w:p w14:paraId="0347D668" w14:textId="77777777" w:rsidR="001121BF" w:rsidRPr="00AF7B68" w:rsidRDefault="001121BF" w:rsidP="002437BB">
            <w:pPr>
              <w:pStyle w:val="BodyCopy"/>
              <w:jc w:val="center"/>
              <w:rPr>
                <w:sz w:val="18"/>
                <w:szCs w:val="18"/>
              </w:rPr>
            </w:pPr>
            <w:r w:rsidRPr="00AF7B68">
              <w:rPr>
                <w:sz w:val="18"/>
                <w:szCs w:val="18"/>
              </w:rPr>
              <w:t>0.6%</w:t>
            </w:r>
          </w:p>
        </w:tc>
        <w:tc>
          <w:tcPr>
            <w:tcW w:w="1089" w:type="dxa"/>
            <w:noWrap/>
            <w:vAlign w:val="center"/>
            <w:hideMark/>
          </w:tcPr>
          <w:p w14:paraId="75F9150A" w14:textId="77777777" w:rsidR="001121BF" w:rsidRPr="00AF7B68" w:rsidRDefault="001121BF" w:rsidP="002437BB">
            <w:pPr>
              <w:pStyle w:val="BodyCopy"/>
              <w:jc w:val="center"/>
              <w:rPr>
                <w:sz w:val="18"/>
                <w:szCs w:val="18"/>
              </w:rPr>
            </w:pPr>
            <w:r w:rsidRPr="00AF7B68">
              <w:rPr>
                <w:sz w:val="18"/>
                <w:szCs w:val="18"/>
              </w:rPr>
              <w:t>3.0%</w:t>
            </w:r>
          </w:p>
        </w:tc>
      </w:tr>
      <w:tr w:rsidR="001121BF" w:rsidRPr="001121BF" w14:paraId="2847D3DA" w14:textId="77777777" w:rsidTr="001F16F8">
        <w:trPr>
          <w:cantSplit/>
        </w:trPr>
        <w:tc>
          <w:tcPr>
            <w:tcW w:w="2410" w:type="dxa"/>
            <w:noWrap/>
            <w:vAlign w:val="center"/>
            <w:hideMark/>
          </w:tcPr>
          <w:p w14:paraId="47912CA7" w14:textId="3D3002C7" w:rsidR="001121BF" w:rsidRPr="00AF7B68" w:rsidRDefault="001121BF" w:rsidP="002437BB">
            <w:pPr>
              <w:pStyle w:val="BodyCopy"/>
              <w:rPr>
                <w:sz w:val="18"/>
                <w:szCs w:val="18"/>
              </w:rPr>
            </w:pPr>
            <w:r w:rsidRPr="00AF7B68">
              <w:rPr>
                <w:sz w:val="18"/>
                <w:szCs w:val="18"/>
              </w:rPr>
              <w:lastRenderedPageBreak/>
              <w:t>Truck and trailer over 42.5</w:t>
            </w:r>
            <w:r w:rsidR="00314A7D">
              <w:rPr>
                <w:sz w:val="18"/>
                <w:szCs w:val="18"/>
              </w:rPr>
              <w:t xml:space="preserve"> </w:t>
            </w:r>
            <w:r w:rsidRPr="00AF7B68">
              <w:rPr>
                <w:sz w:val="18"/>
                <w:szCs w:val="18"/>
              </w:rPr>
              <w:t>t</w:t>
            </w:r>
          </w:p>
        </w:tc>
        <w:tc>
          <w:tcPr>
            <w:tcW w:w="992" w:type="dxa"/>
            <w:noWrap/>
            <w:vAlign w:val="center"/>
            <w:hideMark/>
          </w:tcPr>
          <w:p w14:paraId="276AED71" w14:textId="77777777" w:rsidR="001121BF" w:rsidRPr="00AF7B68" w:rsidRDefault="001121BF" w:rsidP="001F16F8">
            <w:pPr>
              <w:pStyle w:val="BodyCopy"/>
              <w:jc w:val="center"/>
              <w:rPr>
                <w:sz w:val="18"/>
                <w:szCs w:val="18"/>
              </w:rPr>
            </w:pPr>
            <w:r w:rsidRPr="00AF7B68">
              <w:rPr>
                <w:sz w:val="18"/>
                <w:szCs w:val="18"/>
              </w:rPr>
              <w:t>$6,492</w:t>
            </w:r>
          </w:p>
        </w:tc>
        <w:tc>
          <w:tcPr>
            <w:tcW w:w="915" w:type="dxa"/>
            <w:noWrap/>
            <w:vAlign w:val="center"/>
            <w:hideMark/>
          </w:tcPr>
          <w:p w14:paraId="4C23DBAC" w14:textId="77777777" w:rsidR="001121BF" w:rsidRPr="00AF7B68" w:rsidRDefault="001121BF" w:rsidP="001F16F8">
            <w:pPr>
              <w:pStyle w:val="BodyCopy"/>
              <w:jc w:val="center"/>
              <w:rPr>
                <w:sz w:val="18"/>
                <w:szCs w:val="18"/>
              </w:rPr>
            </w:pPr>
            <w:r w:rsidRPr="00AF7B68">
              <w:rPr>
                <w:sz w:val="18"/>
                <w:szCs w:val="18"/>
              </w:rPr>
              <w:t>$9,184</w:t>
            </w:r>
          </w:p>
        </w:tc>
        <w:tc>
          <w:tcPr>
            <w:tcW w:w="1070" w:type="dxa"/>
            <w:noWrap/>
            <w:vAlign w:val="center"/>
            <w:hideMark/>
          </w:tcPr>
          <w:p w14:paraId="16AF243D" w14:textId="77777777" w:rsidR="001121BF" w:rsidRPr="00AF7B68" w:rsidRDefault="001121BF" w:rsidP="001F16F8">
            <w:pPr>
              <w:pStyle w:val="BodyCopy"/>
              <w:jc w:val="center"/>
              <w:rPr>
                <w:sz w:val="18"/>
                <w:szCs w:val="18"/>
              </w:rPr>
            </w:pPr>
            <w:r w:rsidRPr="00AF7B68">
              <w:rPr>
                <w:sz w:val="18"/>
                <w:szCs w:val="18"/>
              </w:rPr>
              <w:t>$15,676</w:t>
            </w:r>
          </w:p>
        </w:tc>
        <w:tc>
          <w:tcPr>
            <w:tcW w:w="1276" w:type="dxa"/>
            <w:noWrap/>
            <w:vAlign w:val="center"/>
            <w:hideMark/>
          </w:tcPr>
          <w:p w14:paraId="580DE7F7" w14:textId="77777777" w:rsidR="001121BF" w:rsidRPr="00AF7B68" w:rsidRDefault="001121BF" w:rsidP="001F16F8">
            <w:pPr>
              <w:pStyle w:val="BodyCopy"/>
              <w:jc w:val="center"/>
              <w:rPr>
                <w:sz w:val="18"/>
                <w:szCs w:val="18"/>
              </w:rPr>
            </w:pPr>
            <w:r w:rsidRPr="00AF7B68">
              <w:rPr>
                <w:sz w:val="18"/>
                <w:szCs w:val="18"/>
              </w:rPr>
              <w:t>$309,891</w:t>
            </w:r>
          </w:p>
        </w:tc>
        <w:tc>
          <w:tcPr>
            <w:tcW w:w="1275" w:type="dxa"/>
            <w:noWrap/>
            <w:vAlign w:val="center"/>
            <w:hideMark/>
          </w:tcPr>
          <w:p w14:paraId="2888C43A" w14:textId="77777777" w:rsidR="001121BF" w:rsidRPr="00AF7B68" w:rsidRDefault="001121BF" w:rsidP="002437BB">
            <w:pPr>
              <w:pStyle w:val="BodyCopy"/>
              <w:jc w:val="center"/>
              <w:rPr>
                <w:sz w:val="18"/>
                <w:szCs w:val="18"/>
              </w:rPr>
            </w:pPr>
            <w:r w:rsidRPr="00AF7B68">
              <w:rPr>
                <w:sz w:val="18"/>
                <w:szCs w:val="18"/>
              </w:rPr>
              <w:t>2.1%</w:t>
            </w:r>
          </w:p>
        </w:tc>
        <w:tc>
          <w:tcPr>
            <w:tcW w:w="1089" w:type="dxa"/>
            <w:noWrap/>
            <w:vAlign w:val="center"/>
            <w:hideMark/>
          </w:tcPr>
          <w:p w14:paraId="21DCA237" w14:textId="77777777" w:rsidR="001121BF" w:rsidRPr="00AF7B68" w:rsidRDefault="001121BF" w:rsidP="002437BB">
            <w:pPr>
              <w:pStyle w:val="BodyCopy"/>
              <w:jc w:val="center"/>
              <w:rPr>
                <w:sz w:val="18"/>
                <w:szCs w:val="18"/>
              </w:rPr>
            </w:pPr>
            <w:r w:rsidRPr="00AF7B68">
              <w:rPr>
                <w:sz w:val="18"/>
                <w:szCs w:val="18"/>
              </w:rPr>
              <w:t>5.1%</w:t>
            </w:r>
          </w:p>
        </w:tc>
      </w:tr>
      <w:tr w:rsidR="001121BF" w:rsidRPr="001121BF" w14:paraId="42BACE25" w14:textId="77777777" w:rsidTr="001F16F8">
        <w:trPr>
          <w:cantSplit/>
        </w:trPr>
        <w:tc>
          <w:tcPr>
            <w:tcW w:w="2410" w:type="dxa"/>
            <w:noWrap/>
            <w:vAlign w:val="center"/>
            <w:hideMark/>
          </w:tcPr>
          <w:p w14:paraId="66970AB0" w14:textId="2879B7FF" w:rsidR="001121BF" w:rsidRPr="00AF7B68" w:rsidRDefault="001121BF" w:rsidP="002437BB">
            <w:pPr>
              <w:pStyle w:val="BodyCopy"/>
              <w:rPr>
                <w:sz w:val="18"/>
                <w:szCs w:val="18"/>
              </w:rPr>
            </w:pPr>
            <w:r w:rsidRPr="00AF7B68">
              <w:rPr>
                <w:sz w:val="18"/>
                <w:szCs w:val="18"/>
              </w:rPr>
              <w:t>6</w:t>
            </w:r>
            <w:r w:rsidR="00314A7D">
              <w:rPr>
                <w:sz w:val="18"/>
                <w:szCs w:val="18"/>
              </w:rPr>
              <w:t>-</w:t>
            </w:r>
            <w:r w:rsidRPr="00AF7B68">
              <w:rPr>
                <w:sz w:val="18"/>
                <w:szCs w:val="18"/>
              </w:rPr>
              <w:t>axle articulated truck</w:t>
            </w:r>
          </w:p>
        </w:tc>
        <w:tc>
          <w:tcPr>
            <w:tcW w:w="992" w:type="dxa"/>
            <w:noWrap/>
            <w:vAlign w:val="center"/>
            <w:hideMark/>
          </w:tcPr>
          <w:p w14:paraId="4B82007E" w14:textId="77777777" w:rsidR="001121BF" w:rsidRPr="00AF7B68" w:rsidRDefault="001121BF" w:rsidP="001F16F8">
            <w:pPr>
              <w:pStyle w:val="BodyCopy"/>
              <w:jc w:val="center"/>
              <w:rPr>
                <w:sz w:val="18"/>
                <w:szCs w:val="18"/>
              </w:rPr>
            </w:pPr>
            <w:r w:rsidRPr="00AF7B68">
              <w:rPr>
                <w:sz w:val="18"/>
                <w:szCs w:val="18"/>
              </w:rPr>
              <w:t>$6,225</w:t>
            </w:r>
          </w:p>
        </w:tc>
        <w:tc>
          <w:tcPr>
            <w:tcW w:w="915" w:type="dxa"/>
            <w:noWrap/>
            <w:vAlign w:val="center"/>
            <w:hideMark/>
          </w:tcPr>
          <w:p w14:paraId="5559B398" w14:textId="77777777" w:rsidR="001121BF" w:rsidRPr="00AF7B68" w:rsidRDefault="001121BF" w:rsidP="001F16F8">
            <w:pPr>
              <w:pStyle w:val="BodyCopy"/>
              <w:jc w:val="center"/>
              <w:rPr>
                <w:sz w:val="18"/>
                <w:szCs w:val="18"/>
              </w:rPr>
            </w:pPr>
            <w:r w:rsidRPr="00AF7B68">
              <w:rPr>
                <w:sz w:val="18"/>
                <w:szCs w:val="18"/>
              </w:rPr>
              <w:t>$26,212</w:t>
            </w:r>
          </w:p>
        </w:tc>
        <w:tc>
          <w:tcPr>
            <w:tcW w:w="1070" w:type="dxa"/>
            <w:noWrap/>
            <w:vAlign w:val="center"/>
            <w:hideMark/>
          </w:tcPr>
          <w:p w14:paraId="6D4BB58B" w14:textId="77777777" w:rsidR="001121BF" w:rsidRPr="00AF7B68" w:rsidRDefault="001121BF" w:rsidP="001F16F8">
            <w:pPr>
              <w:pStyle w:val="BodyCopy"/>
              <w:jc w:val="center"/>
              <w:rPr>
                <w:sz w:val="18"/>
                <w:szCs w:val="18"/>
              </w:rPr>
            </w:pPr>
            <w:r w:rsidRPr="00AF7B68">
              <w:rPr>
                <w:sz w:val="18"/>
                <w:szCs w:val="18"/>
              </w:rPr>
              <w:t>$32,437</w:t>
            </w:r>
          </w:p>
        </w:tc>
        <w:tc>
          <w:tcPr>
            <w:tcW w:w="1276" w:type="dxa"/>
            <w:noWrap/>
            <w:vAlign w:val="center"/>
            <w:hideMark/>
          </w:tcPr>
          <w:p w14:paraId="0C8081D9" w14:textId="77777777" w:rsidR="001121BF" w:rsidRPr="00AF7B68" w:rsidRDefault="001121BF" w:rsidP="001F16F8">
            <w:pPr>
              <w:pStyle w:val="BodyCopy"/>
              <w:jc w:val="center"/>
              <w:rPr>
                <w:sz w:val="18"/>
                <w:szCs w:val="18"/>
              </w:rPr>
            </w:pPr>
            <w:r w:rsidRPr="00AF7B68">
              <w:rPr>
                <w:sz w:val="18"/>
                <w:szCs w:val="18"/>
              </w:rPr>
              <w:t>$484,362</w:t>
            </w:r>
          </w:p>
        </w:tc>
        <w:tc>
          <w:tcPr>
            <w:tcW w:w="1275" w:type="dxa"/>
            <w:noWrap/>
            <w:vAlign w:val="center"/>
            <w:hideMark/>
          </w:tcPr>
          <w:p w14:paraId="3902081F" w14:textId="77777777" w:rsidR="001121BF" w:rsidRPr="00AF7B68" w:rsidRDefault="001121BF" w:rsidP="002437BB">
            <w:pPr>
              <w:pStyle w:val="BodyCopy"/>
              <w:jc w:val="center"/>
              <w:rPr>
                <w:sz w:val="18"/>
                <w:szCs w:val="18"/>
              </w:rPr>
            </w:pPr>
            <w:r w:rsidRPr="00AF7B68">
              <w:rPr>
                <w:sz w:val="18"/>
                <w:szCs w:val="18"/>
              </w:rPr>
              <w:t>1.3%</w:t>
            </w:r>
          </w:p>
        </w:tc>
        <w:tc>
          <w:tcPr>
            <w:tcW w:w="1089" w:type="dxa"/>
            <w:noWrap/>
            <w:vAlign w:val="center"/>
            <w:hideMark/>
          </w:tcPr>
          <w:p w14:paraId="1DFE6023" w14:textId="77777777" w:rsidR="001121BF" w:rsidRPr="00AF7B68" w:rsidRDefault="001121BF" w:rsidP="002437BB">
            <w:pPr>
              <w:pStyle w:val="BodyCopy"/>
              <w:jc w:val="center"/>
              <w:rPr>
                <w:sz w:val="18"/>
                <w:szCs w:val="18"/>
              </w:rPr>
            </w:pPr>
            <w:r w:rsidRPr="00AF7B68">
              <w:rPr>
                <w:sz w:val="18"/>
                <w:szCs w:val="18"/>
              </w:rPr>
              <w:t>6.7%</w:t>
            </w:r>
          </w:p>
        </w:tc>
      </w:tr>
      <w:tr w:rsidR="001121BF" w:rsidRPr="001121BF" w14:paraId="689F245C" w14:textId="77777777" w:rsidTr="001F16F8">
        <w:trPr>
          <w:cantSplit/>
        </w:trPr>
        <w:tc>
          <w:tcPr>
            <w:tcW w:w="2410" w:type="dxa"/>
            <w:noWrap/>
            <w:vAlign w:val="center"/>
            <w:hideMark/>
          </w:tcPr>
          <w:p w14:paraId="13833A76" w14:textId="6F915B10" w:rsidR="001121BF" w:rsidRPr="00AF7B68" w:rsidRDefault="001121BF" w:rsidP="002437BB">
            <w:pPr>
              <w:pStyle w:val="BodyCopy"/>
              <w:rPr>
                <w:sz w:val="18"/>
                <w:szCs w:val="18"/>
              </w:rPr>
            </w:pPr>
            <w:r w:rsidRPr="00AF7B68">
              <w:rPr>
                <w:sz w:val="18"/>
                <w:szCs w:val="18"/>
              </w:rPr>
              <w:t>9</w:t>
            </w:r>
            <w:r w:rsidR="00314A7D">
              <w:rPr>
                <w:sz w:val="18"/>
                <w:szCs w:val="18"/>
              </w:rPr>
              <w:t>-</w:t>
            </w:r>
            <w:r w:rsidRPr="00AF7B68">
              <w:rPr>
                <w:sz w:val="18"/>
                <w:szCs w:val="18"/>
              </w:rPr>
              <w:t xml:space="preserve">axle B-double </w:t>
            </w:r>
          </w:p>
        </w:tc>
        <w:tc>
          <w:tcPr>
            <w:tcW w:w="992" w:type="dxa"/>
            <w:noWrap/>
            <w:vAlign w:val="center"/>
            <w:hideMark/>
          </w:tcPr>
          <w:p w14:paraId="2C666C41" w14:textId="77777777" w:rsidR="001121BF" w:rsidRPr="00AF7B68" w:rsidRDefault="001121BF" w:rsidP="001F16F8">
            <w:pPr>
              <w:pStyle w:val="BodyCopy"/>
              <w:jc w:val="center"/>
              <w:rPr>
                <w:sz w:val="18"/>
                <w:szCs w:val="18"/>
              </w:rPr>
            </w:pPr>
            <w:r w:rsidRPr="00AF7B68">
              <w:rPr>
                <w:sz w:val="18"/>
                <w:szCs w:val="18"/>
              </w:rPr>
              <w:t>$14,472</w:t>
            </w:r>
          </w:p>
        </w:tc>
        <w:tc>
          <w:tcPr>
            <w:tcW w:w="915" w:type="dxa"/>
            <w:noWrap/>
            <w:vAlign w:val="center"/>
            <w:hideMark/>
          </w:tcPr>
          <w:p w14:paraId="7053B39B" w14:textId="77777777" w:rsidR="001121BF" w:rsidRPr="00AF7B68" w:rsidRDefault="001121BF" w:rsidP="001F16F8">
            <w:pPr>
              <w:pStyle w:val="BodyCopy"/>
              <w:jc w:val="center"/>
              <w:rPr>
                <w:sz w:val="18"/>
                <w:szCs w:val="18"/>
              </w:rPr>
            </w:pPr>
            <w:r w:rsidRPr="00AF7B68">
              <w:rPr>
                <w:sz w:val="18"/>
                <w:szCs w:val="18"/>
              </w:rPr>
              <w:t>$37,256</w:t>
            </w:r>
          </w:p>
        </w:tc>
        <w:tc>
          <w:tcPr>
            <w:tcW w:w="1070" w:type="dxa"/>
            <w:noWrap/>
            <w:vAlign w:val="center"/>
            <w:hideMark/>
          </w:tcPr>
          <w:p w14:paraId="561E31C6" w14:textId="77777777" w:rsidR="001121BF" w:rsidRPr="00AF7B68" w:rsidRDefault="001121BF" w:rsidP="001F16F8">
            <w:pPr>
              <w:pStyle w:val="BodyCopy"/>
              <w:jc w:val="center"/>
              <w:rPr>
                <w:sz w:val="18"/>
                <w:szCs w:val="18"/>
              </w:rPr>
            </w:pPr>
            <w:r w:rsidRPr="00AF7B68">
              <w:rPr>
                <w:sz w:val="18"/>
                <w:szCs w:val="18"/>
              </w:rPr>
              <w:t>$51,728</w:t>
            </w:r>
          </w:p>
        </w:tc>
        <w:tc>
          <w:tcPr>
            <w:tcW w:w="1276" w:type="dxa"/>
            <w:noWrap/>
            <w:vAlign w:val="center"/>
            <w:hideMark/>
          </w:tcPr>
          <w:p w14:paraId="5F686B7E" w14:textId="77777777" w:rsidR="001121BF" w:rsidRPr="00AF7B68" w:rsidRDefault="001121BF" w:rsidP="001F16F8">
            <w:pPr>
              <w:pStyle w:val="BodyCopy"/>
              <w:jc w:val="center"/>
              <w:rPr>
                <w:sz w:val="18"/>
                <w:szCs w:val="18"/>
              </w:rPr>
            </w:pPr>
            <w:r w:rsidRPr="00AF7B68">
              <w:rPr>
                <w:sz w:val="18"/>
                <w:szCs w:val="18"/>
              </w:rPr>
              <w:t>$631,934</w:t>
            </w:r>
          </w:p>
        </w:tc>
        <w:tc>
          <w:tcPr>
            <w:tcW w:w="1275" w:type="dxa"/>
            <w:noWrap/>
            <w:vAlign w:val="center"/>
            <w:hideMark/>
          </w:tcPr>
          <w:p w14:paraId="43F0B690" w14:textId="77777777" w:rsidR="001121BF" w:rsidRPr="00AF7B68" w:rsidRDefault="001121BF" w:rsidP="002437BB">
            <w:pPr>
              <w:pStyle w:val="BodyCopy"/>
              <w:jc w:val="center"/>
              <w:rPr>
                <w:sz w:val="18"/>
                <w:szCs w:val="18"/>
              </w:rPr>
            </w:pPr>
            <w:r w:rsidRPr="00AF7B68">
              <w:rPr>
                <w:sz w:val="18"/>
                <w:szCs w:val="18"/>
              </w:rPr>
              <w:t>2.3%</w:t>
            </w:r>
          </w:p>
        </w:tc>
        <w:tc>
          <w:tcPr>
            <w:tcW w:w="1089" w:type="dxa"/>
            <w:noWrap/>
            <w:vAlign w:val="center"/>
            <w:hideMark/>
          </w:tcPr>
          <w:p w14:paraId="04987A79" w14:textId="77777777" w:rsidR="001121BF" w:rsidRPr="00AF7B68" w:rsidRDefault="001121BF" w:rsidP="002437BB">
            <w:pPr>
              <w:pStyle w:val="BodyCopy"/>
              <w:jc w:val="center"/>
              <w:rPr>
                <w:sz w:val="18"/>
                <w:szCs w:val="18"/>
              </w:rPr>
            </w:pPr>
            <w:r w:rsidRPr="00AF7B68">
              <w:rPr>
                <w:sz w:val="18"/>
                <w:szCs w:val="18"/>
              </w:rPr>
              <w:t>8.2%</w:t>
            </w:r>
          </w:p>
        </w:tc>
      </w:tr>
      <w:tr w:rsidR="001121BF" w:rsidRPr="001121BF" w14:paraId="431E6B99" w14:textId="77777777" w:rsidTr="001F16F8">
        <w:trPr>
          <w:cantSplit/>
        </w:trPr>
        <w:tc>
          <w:tcPr>
            <w:tcW w:w="2410" w:type="dxa"/>
            <w:noWrap/>
            <w:vAlign w:val="center"/>
            <w:hideMark/>
          </w:tcPr>
          <w:p w14:paraId="3C42C44D" w14:textId="77777777" w:rsidR="001121BF" w:rsidRPr="00AF7B68" w:rsidRDefault="001121BF" w:rsidP="002437BB">
            <w:pPr>
              <w:pStyle w:val="BodyCopy"/>
              <w:rPr>
                <w:sz w:val="18"/>
                <w:szCs w:val="18"/>
              </w:rPr>
            </w:pPr>
            <w:r w:rsidRPr="00AF7B68">
              <w:rPr>
                <w:sz w:val="18"/>
                <w:szCs w:val="18"/>
              </w:rPr>
              <w:t>Double road train</w:t>
            </w:r>
          </w:p>
        </w:tc>
        <w:tc>
          <w:tcPr>
            <w:tcW w:w="992" w:type="dxa"/>
            <w:noWrap/>
            <w:vAlign w:val="center"/>
            <w:hideMark/>
          </w:tcPr>
          <w:p w14:paraId="68718082" w14:textId="77777777" w:rsidR="001121BF" w:rsidRPr="00AF7B68" w:rsidRDefault="001121BF" w:rsidP="001F16F8">
            <w:pPr>
              <w:pStyle w:val="BodyCopy"/>
              <w:jc w:val="center"/>
              <w:rPr>
                <w:sz w:val="18"/>
                <w:szCs w:val="18"/>
              </w:rPr>
            </w:pPr>
            <w:r w:rsidRPr="00AF7B68">
              <w:rPr>
                <w:sz w:val="18"/>
                <w:szCs w:val="18"/>
              </w:rPr>
              <w:t>$14,815</w:t>
            </w:r>
          </w:p>
        </w:tc>
        <w:tc>
          <w:tcPr>
            <w:tcW w:w="915" w:type="dxa"/>
            <w:noWrap/>
            <w:vAlign w:val="center"/>
            <w:hideMark/>
          </w:tcPr>
          <w:p w14:paraId="655BE074" w14:textId="77777777" w:rsidR="001121BF" w:rsidRPr="00AF7B68" w:rsidRDefault="001121BF" w:rsidP="001F16F8">
            <w:pPr>
              <w:pStyle w:val="BodyCopy"/>
              <w:jc w:val="center"/>
              <w:rPr>
                <w:sz w:val="18"/>
                <w:szCs w:val="18"/>
              </w:rPr>
            </w:pPr>
            <w:r w:rsidRPr="00AF7B68">
              <w:rPr>
                <w:sz w:val="18"/>
                <w:szCs w:val="18"/>
              </w:rPr>
              <w:t>$42,043</w:t>
            </w:r>
          </w:p>
        </w:tc>
        <w:tc>
          <w:tcPr>
            <w:tcW w:w="1070" w:type="dxa"/>
            <w:noWrap/>
            <w:vAlign w:val="center"/>
            <w:hideMark/>
          </w:tcPr>
          <w:p w14:paraId="10BEAB31" w14:textId="77777777" w:rsidR="001121BF" w:rsidRPr="00AF7B68" w:rsidRDefault="001121BF" w:rsidP="001F16F8">
            <w:pPr>
              <w:pStyle w:val="BodyCopy"/>
              <w:jc w:val="center"/>
              <w:rPr>
                <w:sz w:val="18"/>
                <w:szCs w:val="18"/>
              </w:rPr>
            </w:pPr>
            <w:r w:rsidRPr="00AF7B68">
              <w:rPr>
                <w:sz w:val="18"/>
                <w:szCs w:val="18"/>
              </w:rPr>
              <w:t>$56,858</w:t>
            </w:r>
          </w:p>
        </w:tc>
        <w:tc>
          <w:tcPr>
            <w:tcW w:w="1276" w:type="dxa"/>
            <w:noWrap/>
            <w:vAlign w:val="center"/>
            <w:hideMark/>
          </w:tcPr>
          <w:p w14:paraId="7DBA4399" w14:textId="77777777" w:rsidR="001121BF" w:rsidRPr="00AF7B68" w:rsidRDefault="001121BF" w:rsidP="001F16F8">
            <w:pPr>
              <w:pStyle w:val="BodyCopy"/>
              <w:jc w:val="center"/>
              <w:rPr>
                <w:sz w:val="18"/>
                <w:szCs w:val="18"/>
              </w:rPr>
            </w:pPr>
            <w:r w:rsidRPr="00AF7B68">
              <w:rPr>
                <w:sz w:val="18"/>
                <w:szCs w:val="18"/>
              </w:rPr>
              <w:t>$769,601</w:t>
            </w:r>
          </w:p>
        </w:tc>
        <w:tc>
          <w:tcPr>
            <w:tcW w:w="1275" w:type="dxa"/>
            <w:noWrap/>
            <w:vAlign w:val="center"/>
            <w:hideMark/>
          </w:tcPr>
          <w:p w14:paraId="6DC04BC0" w14:textId="77777777" w:rsidR="001121BF" w:rsidRPr="00AF7B68" w:rsidRDefault="001121BF" w:rsidP="002437BB">
            <w:pPr>
              <w:pStyle w:val="BodyCopy"/>
              <w:jc w:val="center"/>
              <w:rPr>
                <w:sz w:val="18"/>
                <w:szCs w:val="18"/>
              </w:rPr>
            </w:pPr>
            <w:r w:rsidRPr="00AF7B68">
              <w:rPr>
                <w:sz w:val="18"/>
                <w:szCs w:val="18"/>
              </w:rPr>
              <w:t>1.9%</w:t>
            </w:r>
          </w:p>
        </w:tc>
        <w:tc>
          <w:tcPr>
            <w:tcW w:w="1089" w:type="dxa"/>
            <w:noWrap/>
            <w:vAlign w:val="center"/>
            <w:hideMark/>
          </w:tcPr>
          <w:p w14:paraId="0526F8AB" w14:textId="77777777" w:rsidR="001121BF" w:rsidRPr="00AF7B68" w:rsidRDefault="001121BF" w:rsidP="002437BB">
            <w:pPr>
              <w:pStyle w:val="BodyCopy"/>
              <w:jc w:val="center"/>
              <w:rPr>
                <w:sz w:val="18"/>
                <w:szCs w:val="18"/>
              </w:rPr>
            </w:pPr>
            <w:r w:rsidRPr="00AF7B68">
              <w:rPr>
                <w:sz w:val="18"/>
                <w:szCs w:val="18"/>
              </w:rPr>
              <w:t>7.4%</w:t>
            </w:r>
          </w:p>
        </w:tc>
      </w:tr>
      <w:tr w:rsidR="001121BF" w:rsidRPr="001121BF" w14:paraId="34473F1B" w14:textId="77777777" w:rsidTr="001F16F8">
        <w:trPr>
          <w:cantSplit/>
        </w:trPr>
        <w:tc>
          <w:tcPr>
            <w:tcW w:w="2410" w:type="dxa"/>
            <w:noWrap/>
            <w:vAlign w:val="center"/>
            <w:hideMark/>
          </w:tcPr>
          <w:p w14:paraId="01129E42" w14:textId="77777777" w:rsidR="001121BF" w:rsidRPr="00AF7B68" w:rsidRDefault="001121BF" w:rsidP="002437BB">
            <w:pPr>
              <w:pStyle w:val="BodyCopy"/>
              <w:rPr>
                <w:sz w:val="18"/>
                <w:szCs w:val="18"/>
              </w:rPr>
            </w:pPr>
            <w:r w:rsidRPr="00AF7B68">
              <w:rPr>
                <w:sz w:val="18"/>
                <w:szCs w:val="18"/>
              </w:rPr>
              <w:t>Triple road train</w:t>
            </w:r>
          </w:p>
        </w:tc>
        <w:tc>
          <w:tcPr>
            <w:tcW w:w="992" w:type="dxa"/>
            <w:noWrap/>
            <w:vAlign w:val="center"/>
            <w:hideMark/>
          </w:tcPr>
          <w:p w14:paraId="424DFD01" w14:textId="77777777" w:rsidR="001121BF" w:rsidRPr="00AF7B68" w:rsidRDefault="001121BF" w:rsidP="001F16F8">
            <w:pPr>
              <w:pStyle w:val="BodyCopy"/>
              <w:jc w:val="center"/>
              <w:rPr>
                <w:sz w:val="18"/>
                <w:szCs w:val="18"/>
              </w:rPr>
            </w:pPr>
            <w:r w:rsidRPr="00AF7B68">
              <w:rPr>
                <w:sz w:val="18"/>
                <w:szCs w:val="18"/>
              </w:rPr>
              <w:t>$16,584</w:t>
            </w:r>
          </w:p>
        </w:tc>
        <w:tc>
          <w:tcPr>
            <w:tcW w:w="915" w:type="dxa"/>
            <w:noWrap/>
            <w:vAlign w:val="center"/>
            <w:hideMark/>
          </w:tcPr>
          <w:p w14:paraId="44EFDD97" w14:textId="77777777" w:rsidR="001121BF" w:rsidRPr="00AF7B68" w:rsidRDefault="001121BF" w:rsidP="001F16F8">
            <w:pPr>
              <w:pStyle w:val="BodyCopy"/>
              <w:jc w:val="center"/>
              <w:rPr>
                <w:sz w:val="18"/>
                <w:szCs w:val="18"/>
              </w:rPr>
            </w:pPr>
            <w:r w:rsidRPr="00AF7B68">
              <w:rPr>
                <w:sz w:val="18"/>
                <w:szCs w:val="18"/>
              </w:rPr>
              <w:t>$52,017</w:t>
            </w:r>
          </w:p>
        </w:tc>
        <w:tc>
          <w:tcPr>
            <w:tcW w:w="1070" w:type="dxa"/>
            <w:noWrap/>
            <w:vAlign w:val="center"/>
            <w:hideMark/>
          </w:tcPr>
          <w:p w14:paraId="4114C112" w14:textId="77777777" w:rsidR="001121BF" w:rsidRPr="00AF7B68" w:rsidRDefault="001121BF" w:rsidP="001F16F8">
            <w:pPr>
              <w:pStyle w:val="BodyCopy"/>
              <w:jc w:val="center"/>
              <w:rPr>
                <w:sz w:val="18"/>
                <w:szCs w:val="18"/>
              </w:rPr>
            </w:pPr>
            <w:r w:rsidRPr="00AF7B68">
              <w:rPr>
                <w:sz w:val="18"/>
                <w:szCs w:val="18"/>
              </w:rPr>
              <w:t>$68,601</w:t>
            </w:r>
          </w:p>
        </w:tc>
        <w:tc>
          <w:tcPr>
            <w:tcW w:w="1276" w:type="dxa"/>
            <w:noWrap/>
            <w:vAlign w:val="center"/>
            <w:hideMark/>
          </w:tcPr>
          <w:p w14:paraId="543FB9DD" w14:textId="77777777" w:rsidR="001121BF" w:rsidRPr="00AF7B68" w:rsidRDefault="001121BF" w:rsidP="001F16F8">
            <w:pPr>
              <w:pStyle w:val="BodyCopy"/>
              <w:jc w:val="center"/>
              <w:rPr>
                <w:sz w:val="18"/>
                <w:szCs w:val="18"/>
              </w:rPr>
            </w:pPr>
            <w:r w:rsidRPr="00AF7B68">
              <w:rPr>
                <w:sz w:val="18"/>
                <w:szCs w:val="18"/>
              </w:rPr>
              <w:t>$911,797</w:t>
            </w:r>
          </w:p>
        </w:tc>
        <w:tc>
          <w:tcPr>
            <w:tcW w:w="1275" w:type="dxa"/>
            <w:noWrap/>
            <w:vAlign w:val="center"/>
            <w:hideMark/>
          </w:tcPr>
          <w:p w14:paraId="2BCA2376" w14:textId="77777777" w:rsidR="001121BF" w:rsidRPr="00AF7B68" w:rsidRDefault="001121BF" w:rsidP="002437BB">
            <w:pPr>
              <w:pStyle w:val="BodyCopy"/>
              <w:jc w:val="center"/>
              <w:rPr>
                <w:sz w:val="18"/>
                <w:szCs w:val="18"/>
              </w:rPr>
            </w:pPr>
            <w:r w:rsidRPr="00AF7B68">
              <w:rPr>
                <w:sz w:val="18"/>
                <w:szCs w:val="18"/>
              </w:rPr>
              <w:t>1.8%</w:t>
            </w:r>
          </w:p>
        </w:tc>
        <w:tc>
          <w:tcPr>
            <w:tcW w:w="1089" w:type="dxa"/>
            <w:noWrap/>
            <w:vAlign w:val="center"/>
            <w:hideMark/>
          </w:tcPr>
          <w:p w14:paraId="04BF26FC" w14:textId="77777777" w:rsidR="001121BF" w:rsidRPr="00AF7B68" w:rsidRDefault="001121BF" w:rsidP="002437BB">
            <w:pPr>
              <w:pStyle w:val="BodyCopy"/>
              <w:jc w:val="center"/>
              <w:rPr>
                <w:sz w:val="18"/>
                <w:szCs w:val="18"/>
              </w:rPr>
            </w:pPr>
            <w:r w:rsidRPr="00AF7B68">
              <w:rPr>
                <w:sz w:val="18"/>
                <w:szCs w:val="18"/>
              </w:rPr>
              <w:t>7.5%</w:t>
            </w:r>
          </w:p>
        </w:tc>
      </w:tr>
    </w:tbl>
    <w:p w14:paraId="6B39237F" w14:textId="77777777" w:rsidR="001F16F8" w:rsidRDefault="001F16F8" w:rsidP="00BD61D2">
      <w:pPr>
        <w:spacing w:before="0" w:after="0"/>
      </w:pPr>
      <w:bookmarkStart w:id="512" w:name="_Ref64378183"/>
    </w:p>
    <w:p w14:paraId="5A9FE63D" w14:textId="33768E0E" w:rsidR="004E47FB" w:rsidRPr="001A6068" w:rsidRDefault="001A6068" w:rsidP="001F16F8">
      <w:pPr>
        <w:pStyle w:val="Figuretitle"/>
      </w:pPr>
      <w:bookmarkStart w:id="513" w:name="_Ref82011963"/>
      <w:bookmarkStart w:id="514" w:name="_Ref82011990"/>
      <w:bookmarkStart w:id="515" w:name="_Toc86158533"/>
      <w:r>
        <w:t>Changes in operating costs from 2013 to 2020</w:t>
      </w:r>
      <w:bookmarkEnd w:id="512"/>
      <w:bookmarkEnd w:id="513"/>
      <w:bookmarkEnd w:id="514"/>
      <w:bookmarkEnd w:id="515"/>
    </w:p>
    <w:p w14:paraId="5B2D2BEE" w14:textId="6E803EF3" w:rsidR="000D495C" w:rsidRDefault="00854F12" w:rsidP="004E7D02">
      <w:pPr>
        <w:pStyle w:val="BodyCopy"/>
      </w:pPr>
      <w:r>
        <w:rPr>
          <w:noProof/>
          <w:lang w:eastAsia="en-AU"/>
        </w:rPr>
        <mc:AlternateContent>
          <mc:Choice Requires="wps">
            <w:drawing>
              <wp:anchor distT="0" distB="0" distL="114300" distR="114300" simplePos="0" relativeHeight="251659327" behindDoc="0" locked="0" layoutInCell="1" allowOverlap="1" wp14:anchorId="48FBD07C" wp14:editId="344F58AB">
                <wp:simplePos x="0" y="0"/>
                <wp:positionH relativeFrom="column">
                  <wp:posOffset>1295400</wp:posOffset>
                </wp:positionH>
                <wp:positionV relativeFrom="paragraph">
                  <wp:posOffset>152400</wp:posOffset>
                </wp:positionV>
                <wp:extent cx="3131820" cy="160020"/>
                <wp:effectExtent l="0" t="0" r="0" b="0"/>
                <wp:wrapNone/>
                <wp:docPr id="46" name="Text Box 46" descr="This picture shows annual operating costs for a range of heavy vehicle types for 2013 and 2020.  It shows that vehicle operating costs in 2020 have increased compared to 2013 for all categories except for the triple road train.  "/>
                <wp:cNvGraphicFramePr/>
                <a:graphic xmlns:a="http://schemas.openxmlformats.org/drawingml/2006/main">
                  <a:graphicData uri="http://schemas.microsoft.com/office/word/2010/wordprocessingShape">
                    <wps:wsp>
                      <wps:cNvSpPr txBox="1"/>
                      <wps:spPr>
                        <a:xfrm>
                          <a:off x="0" y="0"/>
                          <a:ext cx="3131820" cy="160020"/>
                        </a:xfrm>
                        <a:prstGeom prst="rect">
                          <a:avLst/>
                        </a:prstGeom>
                        <a:solidFill>
                          <a:schemeClr val="bg1"/>
                        </a:solidFill>
                        <a:ln w="6350">
                          <a:noFill/>
                        </a:ln>
                      </wps:spPr>
                      <wps:txbx>
                        <w:txbxContent>
                          <w:p w14:paraId="606D1D11" w14:textId="77777777" w:rsidR="00EB0EE2" w:rsidRDefault="00EB0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FBD07C" id="_x0000_t202" coordsize="21600,21600" o:spt="202" path="m,l,21600r21600,l21600,xe">
                <v:stroke joinstyle="miter"/>
                <v:path gradientshapeok="t" o:connecttype="rect"/>
              </v:shapetype>
              <v:shape id="Text Box 46" o:spid="_x0000_s1026" type="#_x0000_t202" alt="This picture shows annual operating costs for a range of heavy vehicle types for 2013 and 2020.  It shows that vehicle operating costs in 2020 have increased compared to 2013 for all categories except for the triple road train.  " style="position:absolute;margin-left:102pt;margin-top:12pt;width:246.6pt;height:12.6pt;z-index:251659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" fillcolor="white [3212]" stroked="f" strokeweight=".5pt">
                <v:textbox>
                  <w:txbxContent>
                    <w:p w14:paraId="606D1D11" w14:textId="77777777" w:rsidR="00EB0EE2" w:rsidRDefault="00EB0EE2"/>
                  </w:txbxContent>
                </v:textbox>
              </v:shape>
            </w:pict>
          </mc:Fallback>
        </mc:AlternateContent>
      </w:r>
      <w:r w:rsidR="000D495C">
        <w:rPr>
          <w:noProof/>
          <w:lang w:eastAsia="en-AU"/>
        </w:rPr>
        <w:drawing>
          <wp:inline distT="0" distB="0" distL="0" distR="0" wp14:anchorId="4806428B" wp14:editId="56930E4A">
            <wp:extent cx="5693104" cy="3721100"/>
            <wp:effectExtent l="0" t="0" r="3175" b="0"/>
            <wp:docPr id="26" name="Picture 26" descr="This picture shows annual operating costs for a range of heavy vehicle types for 2013 and 2020.  It shows that vehicle operating costs in 2020 have increased compared to 2013 for all categories except for the triple road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picture shows annual operating costs for a range of heavy vehicle types for 2013 and 2020.  It shows that vehicle operating costs in 2020 have increased compared to 2013 for all categories except for the triple road trai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9660" cy="3738457"/>
                    </a:xfrm>
                    <a:prstGeom prst="rect">
                      <a:avLst/>
                    </a:prstGeom>
                    <a:noFill/>
                  </pic:spPr>
                </pic:pic>
              </a:graphicData>
            </a:graphic>
          </wp:inline>
        </w:drawing>
      </w:r>
    </w:p>
    <w:p w14:paraId="0396E184" w14:textId="33D33A97" w:rsidR="00987307" w:rsidRDefault="00467280" w:rsidP="00987307">
      <w:pPr>
        <w:spacing w:after="160" w:line="259" w:lineRule="auto"/>
        <w:rPr>
          <w:rFonts w:eastAsia="Arial" w:cs="Arial"/>
          <w:sz w:val="22"/>
          <w:szCs w:val="22"/>
        </w:rPr>
      </w:pPr>
      <w:r>
        <w:rPr>
          <w:rFonts w:eastAsia="Arial" w:cs="Arial"/>
          <w:sz w:val="22"/>
          <w:szCs w:val="22"/>
        </w:rPr>
        <w:fldChar w:fldCharType="begin"/>
      </w:r>
      <w:r>
        <w:rPr>
          <w:rFonts w:eastAsia="Arial" w:cs="Arial"/>
          <w:sz w:val="22"/>
          <w:szCs w:val="22"/>
        </w:rPr>
        <w:instrText xml:space="preserve"> REF _Ref82011963 \r \h </w:instrText>
      </w:r>
      <w:r>
        <w:rPr>
          <w:rFonts w:eastAsia="Arial" w:cs="Arial"/>
          <w:sz w:val="22"/>
          <w:szCs w:val="22"/>
        </w:rPr>
      </w:r>
      <w:r>
        <w:rPr>
          <w:rFonts w:eastAsia="Arial" w:cs="Arial"/>
          <w:sz w:val="22"/>
          <w:szCs w:val="22"/>
        </w:rPr>
        <w:fldChar w:fldCharType="separate"/>
      </w:r>
      <w:r w:rsidR="00225EEA">
        <w:rPr>
          <w:rFonts w:eastAsia="Arial" w:cs="Arial"/>
          <w:sz w:val="22"/>
          <w:szCs w:val="22"/>
        </w:rPr>
        <w:t>Figure 10</w:t>
      </w:r>
      <w:r>
        <w:rPr>
          <w:rFonts w:eastAsia="Arial" w:cs="Arial"/>
          <w:sz w:val="22"/>
          <w:szCs w:val="22"/>
        </w:rPr>
        <w:fldChar w:fldCharType="end"/>
      </w:r>
      <w:r w:rsidR="00987307">
        <w:rPr>
          <w:rFonts w:eastAsia="Arial" w:cs="Arial"/>
          <w:sz w:val="22"/>
          <w:szCs w:val="22"/>
        </w:rPr>
        <w:t xml:space="preserve"> illustrates that operating costs have changed since 2013, in some cases significantly.</w:t>
      </w:r>
      <w:r w:rsidR="00830D17">
        <w:rPr>
          <w:rFonts w:eastAsia="Arial" w:cs="Arial"/>
          <w:sz w:val="22"/>
          <w:szCs w:val="22"/>
        </w:rPr>
        <w:t xml:space="preserve"> </w:t>
      </w:r>
      <w:r w:rsidR="00987307">
        <w:rPr>
          <w:rFonts w:eastAsia="Arial" w:cs="Arial"/>
          <w:sz w:val="22"/>
          <w:szCs w:val="22"/>
        </w:rPr>
        <w:t>Key observations from the review of the operating cost model were:</w:t>
      </w:r>
    </w:p>
    <w:p w14:paraId="4E562AA4" w14:textId="0B65BCC5" w:rsidR="00987307" w:rsidRPr="00FD39C5" w:rsidRDefault="00C67D6D" w:rsidP="00987307">
      <w:pPr>
        <w:pStyle w:val="List-bulletlvl1"/>
        <w:ind w:left="567"/>
      </w:pPr>
      <w:r>
        <w:t>L</w:t>
      </w:r>
      <w:r w:rsidR="00987307" w:rsidRPr="002F5874">
        <w:t xml:space="preserve">abour costs have increased significantly </w:t>
      </w:r>
      <w:r>
        <w:t>because</w:t>
      </w:r>
      <w:r w:rsidRPr="002F5874">
        <w:t xml:space="preserve"> </w:t>
      </w:r>
      <w:r w:rsidR="00987307" w:rsidRPr="002F5874">
        <w:t>it reflects the most recent award and includes costs not considered in the previous model</w:t>
      </w:r>
      <w:r>
        <w:t>.</w:t>
      </w:r>
      <w:r w:rsidR="00987307" w:rsidRPr="002F5874">
        <w:t xml:space="preserve"> </w:t>
      </w:r>
    </w:p>
    <w:p w14:paraId="5AAEBD6D" w14:textId="78D98EE9" w:rsidR="00987307" w:rsidRPr="002F5874" w:rsidRDefault="00C67D6D" w:rsidP="00987307">
      <w:pPr>
        <w:pStyle w:val="List-bulletlvl1"/>
        <w:ind w:left="567"/>
      </w:pPr>
      <w:r>
        <w:t>F</w:t>
      </w:r>
      <w:r w:rsidR="00987307" w:rsidRPr="002F5874">
        <w:t>uel costs have decreased because the pump price for diesel excluding fuel excise has declined</w:t>
      </w:r>
      <w:r>
        <w:t>.</w:t>
      </w:r>
    </w:p>
    <w:p w14:paraId="7CA5F55B" w14:textId="5B9D8EFC" w:rsidR="00987307" w:rsidRPr="002F5874" w:rsidRDefault="00C67D6D" w:rsidP="00987307">
      <w:pPr>
        <w:pStyle w:val="List-bulletlvl1"/>
        <w:ind w:left="567"/>
      </w:pPr>
      <w:r>
        <w:t>V</w:t>
      </w:r>
      <w:r w:rsidR="00987307" w:rsidRPr="002F5874">
        <w:t>ehicle and capital costs have remained largely the same as the increase in market prices and inclusion of stamp duty have been largely offset by lower financing rates</w:t>
      </w:r>
      <w:r>
        <w:t>.</w:t>
      </w:r>
    </w:p>
    <w:p w14:paraId="05C2A072" w14:textId="7BE323AD" w:rsidR="00987307" w:rsidRPr="00FD39C5" w:rsidRDefault="00C67D6D" w:rsidP="00987307">
      <w:pPr>
        <w:pStyle w:val="List-bulletlvl1"/>
        <w:ind w:left="567"/>
      </w:pPr>
      <w:r>
        <w:lastRenderedPageBreak/>
        <w:t>T</w:t>
      </w:r>
      <w:r w:rsidR="00987307" w:rsidRPr="00FD39C5">
        <w:t>he tyre/maintenance costs have increased significantly for some vehicle types (e</w:t>
      </w:r>
      <w:r w:rsidR="00987307">
        <w:t>.</w:t>
      </w:r>
      <w:r w:rsidR="00987307" w:rsidRPr="00FD39C5">
        <w:t>g</w:t>
      </w:r>
      <w:r w:rsidR="00987307">
        <w:t>.</w:t>
      </w:r>
      <w:r w:rsidR="00987307" w:rsidRPr="00FD39C5">
        <w:t xml:space="preserve"> rigid vehicles and buses) to reflect costings in </w:t>
      </w:r>
      <w:r w:rsidR="00987307">
        <w:t xml:space="preserve">the Australian Transport Assessment and Planning </w:t>
      </w:r>
      <w:r w:rsidR="00987307" w:rsidRPr="00FD39C5">
        <w:t>guidelines and stakeholder feedback</w:t>
      </w:r>
      <w:r>
        <w:t>.</w:t>
      </w:r>
      <w:r w:rsidR="00987307" w:rsidRPr="00FD39C5">
        <w:t xml:space="preserve"> </w:t>
      </w:r>
    </w:p>
    <w:p w14:paraId="1691D69C" w14:textId="0FB3FB56" w:rsidR="00987307" w:rsidRPr="00FD39C5" w:rsidRDefault="00987307" w:rsidP="00987307">
      <w:pPr>
        <w:pStyle w:val="List-bulletlvl1"/>
        <w:ind w:left="567"/>
        <w:rPr>
          <w:color w:val="24272A" w:themeColor="text1"/>
        </w:rPr>
      </w:pPr>
      <w:r w:rsidRPr="00FD39C5">
        <w:rPr>
          <w:color w:val="24272A" w:themeColor="text1"/>
        </w:rPr>
        <w:t>Other costs have increased to cover costs previously not considered in the model</w:t>
      </w:r>
      <w:r w:rsidR="00C67D6D">
        <w:rPr>
          <w:color w:val="24272A" w:themeColor="text1"/>
        </w:rPr>
        <w:t xml:space="preserve"> – for example, </w:t>
      </w:r>
      <w:r w:rsidRPr="00FD39C5">
        <w:rPr>
          <w:color w:val="24272A" w:themeColor="text1"/>
        </w:rPr>
        <w:t xml:space="preserve">compliance training, parking </w:t>
      </w:r>
      <w:r>
        <w:rPr>
          <w:color w:val="24272A" w:themeColor="text1"/>
        </w:rPr>
        <w:t>and</w:t>
      </w:r>
      <w:r w:rsidRPr="00FD39C5">
        <w:rPr>
          <w:color w:val="24272A" w:themeColor="text1"/>
        </w:rPr>
        <w:t xml:space="preserve"> tolls and the introduction of new technology such as electronic work diaries.</w:t>
      </w:r>
    </w:p>
    <w:p w14:paraId="04A553B5" w14:textId="15CEC544" w:rsidR="000D495C" w:rsidRDefault="00987307" w:rsidP="004E7D02">
      <w:pPr>
        <w:pStyle w:val="BodyCopy"/>
      </w:pPr>
      <w:r>
        <w:t>From the information above, we can conclude that a modest change in heavy vehicle charges would have a relatively modest impact on overall heavy vehicle operating costs.</w:t>
      </w:r>
      <w:r w:rsidR="00830D17">
        <w:t xml:space="preserve"> </w:t>
      </w:r>
      <w:r>
        <w:t>For example, for a 9-axle B-double, where current heavy vehicle char</w:t>
      </w:r>
      <w:r w:rsidR="000F4395">
        <w:t>ges make up 8.2</w:t>
      </w:r>
      <w:r w:rsidR="00272BD6">
        <w:t xml:space="preserve"> per cent</w:t>
      </w:r>
      <w:r w:rsidR="000F4395">
        <w:t xml:space="preserve"> of total operating costs, a 3.5</w:t>
      </w:r>
      <w:r w:rsidR="00272BD6">
        <w:t xml:space="preserve"> per cent</w:t>
      </w:r>
      <w:r w:rsidR="000F4395">
        <w:t xml:space="preserve"> increase in heavy vehicle charges would be likely to increase total operating costs by less than 0.3</w:t>
      </w:r>
      <w:r w:rsidR="00272BD6">
        <w:t xml:space="preserve"> per cent</w:t>
      </w:r>
      <w:r w:rsidR="000F4395">
        <w:t>.</w:t>
      </w:r>
      <w:r w:rsidR="00830D17">
        <w:t xml:space="preserve"> </w:t>
      </w:r>
    </w:p>
    <w:p w14:paraId="0E8BD1BA" w14:textId="7F9D02C3" w:rsidR="004E7D02" w:rsidRPr="004E7D02" w:rsidRDefault="000F4395" w:rsidP="004E7D02">
      <w:pPr>
        <w:pStyle w:val="BodyCopy"/>
      </w:pPr>
      <w:r w:rsidRPr="000F4395">
        <w:t>There are important limitations to the above analysis in that it relates to the average vehicle in a particular heavy vehicle class.</w:t>
      </w:r>
      <w:r w:rsidR="00830D17">
        <w:t xml:space="preserve"> </w:t>
      </w:r>
      <w:r w:rsidRPr="000F4395">
        <w:t xml:space="preserve">Individual vehicles, particularly those operating in </w:t>
      </w:r>
      <w:r w:rsidR="00D65E59" w:rsidRPr="000F4395">
        <w:t>rural and remote areas</w:t>
      </w:r>
      <w:r w:rsidR="00C67D6D">
        <w:t>,</w:t>
      </w:r>
      <w:r w:rsidR="00D65E59" w:rsidRPr="000F4395">
        <w:t xml:space="preserve"> are likely to experience higher operating costs due to the wear and tear caused by the poorer quality of roads (e.g. unsealed) that these vehicles travel on.</w:t>
      </w:r>
      <w:r w:rsidR="00830D17">
        <w:t xml:space="preserve"> </w:t>
      </w:r>
    </w:p>
    <w:p w14:paraId="3577966D" w14:textId="7D9161BB" w:rsidR="00BE2637" w:rsidRPr="00BE2637" w:rsidRDefault="008861C5" w:rsidP="00BE2637">
      <w:pPr>
        <w:pStyle w:val="Heading3"/>
      </w:pPr>
      <w:bookmarkStart w:id="516" w:name="_Ref82502398"/>
      <w:bookmarkStart w:id="517" w:name="_Toc86158502"/>
      <w:r>
        <w:t xml:space="preserve">Summary of </w:t>
      </w:r>
      <w:bookmarkEnd w:id="516"/>
      <w:r w:rsidR="00853128">
        <w:t>submissions</w:t>
      </w:r>
      <w:bookmarkEnd w:id="517"/>
    </w:p>
    <w:p w14:paraId="29EFAF82" w14:textId="56F8A0A7" w:rsidR="003E122C" w:rsidRDefault="008C4157" w:rsidP="00C64E47">
      <w:pPr>
        <w:pStyle w:val="BodyCopy"/>
      </w:pPr>
      <w:r>
        <w:t>No submitters support</w:t>
      </w:r>
      <w:r w:rsidR="004D128E">
        <w:t>ed</w:t>
      </w:r>
      <w:r>
        <w:t xml:space="preserve"> </w:t>
      </w:r>
      <w:r w:rsidR="00D7705F">
        <w:t xml:space="preserve">the direct implementation option. </w:t>
      </w:r>
      <w:r w:rsidR="005A61D9">
        <w:t xml:space="preserve">Many submitters </w:t>
      </w:r>
      <w:r w:rsidR="00862ECB">
        <w:t>highlight</w:t>
      </w:r>
      <w:r w:rsidR="004D128E">
        <w:t>ed</w:t>
      </w:r>
      <w:r w:rsidR="00862ECB">
        <w:t xml:space="preserve"> th</w:t>
      </w:r>
      <w:r w:rsidR="00263FB3">
        <w:t xml:space="preserve">at </w:t>
      </w:r>
      <w:r w:rsidR="00E05D15">
        <w:t>thi</w:t>
      </w:r>
      <w:r w:rsidR="00263FB3">
        <w:t>s option would impose an</w:t>
      </w:r>
      <w:r w:rsidR="0054319F">
        <w:t xml:space="preserve"> unmanageable burden on </w:t>
      </w:r>
      <w:r w:rsidR="0054319F" w:rsidRPr="00C64E47">
        <w:t>i</w:t>
      </w:r>
      <w:r w:rsidR="0054319F" w:rsidRPr="00035A51">
        <w:t>nd</w:t>
      </w:r>
      <w:r w:rsidR="0054319F" w:rsidRPr="00C64E47">
        <w:t>ustry</w:t>
      </w:r>
      <w:r w:rsidR="0054319F">
        <w:t xml:space="preserve">. </w:t>
      </w:r>
      <w:r w:rsidR="00762D4F">
        <w:t>The BIC</w:t>
      </w:r>
      <w:r w:rsidR="00DD7DEA">
        <w:t>,</w:t>
      </w:r>
      <w:r w:rsidR="00762D4F">
        <w:t xml:space="preserve"> in particular, comment</w:t>
      </w:r>
      <w:r w:rsidR="004D128E">
        <w:t>ed</w:t>
      </w:r>
      <w:r w:rsidR="00762D4F">
        <w:t xml:space="preserve"> on the significant increases for bus registration charges that would occur under </w:t>
      </w:r>
      <w:r w:rsidR="004D128E">
        <w:t xml:space="preserve">the </w:t>
      </w:r>
      <w:r w:rsidR="00762D4F">
        <w:t>direct implementation option</w:t>
      </w:r>
      <w:r w:rsidR="00041FCF">
        <w:t xml:space="preserve"> and highlighted t</w:t>
      </w:r>
      <w:r w:rsidR="0078052F">
        <w:t xml:space="preserve">hat this increase would fall on state or territory government budgets for those buses </w:t>
      </w:r>
      <w:r w:rsidR="00EC3C9A">
        <w:t xml:space="preserve">operating under state route bus operating contracts. </w:t>
      </w:r>
      <w:r w:rsidR="003E122C">
        <w:t>The BIC also highlight</w:t>
      </w:r>
      <w:r w:rsidR="004D128E">
        <w:t>ed</w:t>
      </w:r>
      <w:r w:rsidR="003E122C">
        <w:t xml:space="preserve"> that t</w:t>
      </w:r>
      <w:r w:rsidR="003E122C" w:rsidRPr="0053010C">
        <w:t>he increase in RUC from 26.4</w:t>
      </w:r>
      <w:r w:rsidR="00DD7DEA">
        <w:t xml:space="preserve"> </w:t>
      </w:r>
      <w:r w:rsidR="003E122C" w:rsidRPr="0053010C">
        <w:t>c</w:t>
      </w:r>
      <w:r w:rsidR="00DD7DEA">
        <w:t>ents per litre</w:t>
      </w:r>
      <w:r w:rsidR="003E122C" w:rsidRPr="0053010C">
        <w:t xml:space="preserve"> to 32.2</w:t>
      </w:r>
      <w:r w:rsidR="00DD7DEA">
        <w:t xml:space="preserve"> </w:t>
      </w:r>
      <w:r w:rsidR="00DD7DEA" w:rsidRPr="0053010C">
        <w:t>c</w:t>
      </w:r>
      <w:r w:rsidR="00DD7DEA">
        <w:t>ents per litre</w:t>
      </w:r>
      <w:r w:rsidR="00DD7DEA" w:rsidRPr="0053010C">
        <w:t xml:space="preserve"> </w:t>
      </w:r>
      <w:r w:rsidR="006A5A03">
        <w:t xml:space="preserve">(as estimated in the C-RIS) </w:t>
      </w:r>
      <w:r w:rsidR="003E122C" w:rsidRPr="0053010C">
        <w:t xml:space="preserve">associated with the direct implementation pathway is </w:t>
      </w:r>
      <w:r w:rsidR="003E122C">
        <w:t>a significant increase of 2</w:t>
      </w:r>
      <w:r w:rsidR="003E122C" w:rsidRPr="0053010C">
        <w:t>2</w:t>
      </w:r>
      <w:r w:rsidR="003E122C">
        <w:t xml:space="preserve"> per</w:t>
      </w:r>
      <w:r w:rsidR="006A5A03">
        <w:t xml:space="preserve"> </w:t>
      </w:r>
      <w:r w:rsidR="003E122C">
        <w:t xml:space="preserve">cent, and highlighted that such an increase would impose a </w:t>
      </w:r>
      <w:r w:rsidR="003E122C" w:rsidRPr="0053010C">
        <w:t xml:space="preserve">shock </w:t>
      </w:r>
      <w:r w:rsidR="00E05D15">
        <w:t>on</w:t>
      </w:r>
      <w:r w:rsidR="003E122C" w:rsidRPr="0053010C">
        <w:t xml:space="preserve"> business costs</w:t>
      </w:r>
      <w:r w:rsidR="003E122C">
        <w:t xml:space="preserve">. </w:t>
      </w:r>
    </w:p>
    <w:p w14:paraId="7CD70B37" w14:textId="7B29D41F" w:rsidR="00055A7D" w:rsidRDefault="0054319F" w:rsidP="00C64E47">
      <w:pPr>
        <w:pStyle w:val="BodyCopy"/>
      </w:pPr>
      <w:r>
        <w:t xml:space="preserve">The ATA </w:t>
      </w:r>
      <w:r w:rsidR="00055A7D">
        <w:t>note</w:t>
      </w:r>
      <w:r w:rsidR="006347A0">
        <w:t>d</w:t>
      </w:r>
      <w:r w:rsidR="00055A7D">
        <w:t xml:space="preserve"> that the economic consequences of a significant increase in heavy vehicle charges may be more severe than usual, and that heavy vehicle operators may not be able to pass on significant increases in </w:t>
      </w:r>
      <w:r w:rsidR="00055A7D" w:rsidRPr="00C64E47">
        <w:t>heavy</w:t>
      </w:r>
      <w:r w:rsidR="00055A7D">
        <w:t xml:space="preserve"> vehicle charges. </w:t>
      </w:r>
      <w:r w:rsidR="00442D75">
        <w:t xml:space="preserve">In particular, </w:t>
      </w:r>
      <w:r w:rsidR="00FE7E5E">
        <w:t>responses to the ATA’s 2021 truck charges survey</w:t>
      </w:r>
      <w:r w:rsidR="00437D7D">
        <w:t xml:space="preserve"> found limited ability to pass on </w:t>
      </w:r>
      <w:r w:rsidR="00706F5B">
        <w:t xml:space="preserve">increases in heavy vehicle charges, </w:t>
      </w:r>
      <w:r w:rsidR="00AE14DE">
        <w:t>with</w:t>
      </w:r>
      <w:r w:rsidR="0052236B">
        <w:t>:</w:t>
      </w:r>
    </w:p>
    <w:p w14:paraId="60D63C48" w14:textId="22069B13" w:rsidR="00055A7D" w:rsidRDefault="00055A7D" w:rsidP="00357D40">
      <w:pPr>
        <w:pStyle w:val="List-bulletlvl1"/>
      </w:pPr>
      <w:r>
        <w:t>16 per cent of the businesses surveyed</w:t>
      </w:r>
      <w:r w:rsidR="0052236B">
        <w:t xml:space="preserve"> saying they</w:t>
      </w:r>
      <w:r>
        <w:t xml:space="preserve"> could pass on </w:t>
      </w:r>
      <w:r w:rsidR="0052236B">
        <w:t>(</w:t>
      </w:r>
      <w:r w:rsidR="00AE14DE">
        <w:t>increases in</w:t>
      </w:r>
      <w:r w:rsidR="0052236B">
        <w:t>)</w:t>
      </w:r>
      <w:r>
        <w:t xml:space="preserve"> registration changes</w:t>
      </w:r>
    </w:p>
    <w:p w14:paraId="15D38760" w14:textId="3F52FFCB" w:rsidR="00055A7D" w:rsidRDefault="00055A7D" w:rsidP="00357D40">
      <w:pPr>
        <w:pStyle w:val="List-bulletlvl1"/>
      </w:pPr>
      <w:r>
        <w:t xml:space="preserve">34 per cent </w:t>
      </w:r>
      <w:r w:rsidR="0052236B">
        <w:t xml:space="preserve">saying they </w:t>
      </w:r>
      <w:r>
        <w:t>could pass on fuel price changes</w:t>
      </w:r>
    </w:p>
    <w:p w14:paraId="6EFD32F5" w14:textId="465635C2" w:rsidR="00055A7D" w:rsidRDefault="00055A7D" w:rsidP="00357D40">
      <w:pPr>
        <w:pStyle w:val="List-bulletlvl1"/>
      </w:pPr>
      <w:r>
        <w:t xml:space="preserve">13 per cent </w:t>
      </w:r>
      <w:r w:rsidR="0052236B">
        <w:t xml:space="preserve">saying they could </w:t>
      </w:r>
      <w:r>
        <w:t>pass on both registration and fuel price changes.</w:t>
      </w:r>
    </w:p>
    <w:p w14:paraId="2CD98F69" w14:textId="7DBE3DA0" w:rsidR="005518F3" w:rsidRDefault="006A5A03" w:rsidP="00C64E47">
      <w:pPr>
        <w:pStyle w:val="BodyCopy"/>
      </w:pPr>
      <w:r>
        <w:t xml:space="preserve">The </w:t>
      </w:r>
      <w:r w:rsidR="005518F3" w:rsidRPr="005518F3">
        <w:t xml:space="preserve">ALRTA </w:t>
      </w:r>
      <w:r w:rsidR="006347A0">
        <w:t>wa</w:t>
      </w:r>
      <w:r>
        <w:t>s</w:t>
      </w:r>
      <w:r w:rsidR="005518F3">
        <w:t xml:space="preserve"> </w:t>
      </w:r>
      <w:r w:rsidR="005518F3" w:rsidRPr="005518F3">
        <w:t xml:space="preserve">mindful of the market’s current ability to absorb price increases. </w:t>
      </w:r>
      <w:r>
        <w:t>Its</w:t>
      </w:r>
      <w:r w:rsidR="00084AFF">
        <w:t xml:space="preserve"> submission highlight</w:t>
      </w:r>
      <w:r w:rsidR="006347A0">
        <w:t>ed</w:t>
      </w:r>
      <w:r w:rsidR="00084AFF">
        <w:t xml:space="preserve"> that, a</w:t>
      </w:r>
      <w:r w:rsidR="005518F3" w:rsidRPr="005518F3">
        <w:t xml:space="preserve">fter a significant period of unforeseen disasters including drought, fire, floods and disease pandemic, there are many customers unable or unwilling to absorb increases above CPI. </w:t>
      </w:r>
      <w:r>
        <w:t>Also</w:t>
      </w:r>
      <w:r w:rsidR="00084AFF">
        <w:t>, a</w:t>
      </w:r>
      <w:r w:rsidR="005518F3" w:rsidRPr="005518F3">
        <w:t>t this stage, the focus of governments should be on supporting an economic recovery. Increasing charges on road transport will have a general negative impact on the cost of producing most goods and services in Australia.</w:t>
      </w:r>
    </w:p>
    <w:p w14:paraId="526319F2" w14:textId="7A6322A9" w:rsidR="00CA544C" w:rsidRPr="00CA544C" w:rsidRDefault="009A1049" w:rsidP="00C64E47">
      <w:pPr>
        <w:pStyle w:val="BodyCopy"/>
      </w:pPr>
      <w:r>
        <w:t>Most submitters support</w:t>
      </w:r>
      <w:r w:rsidR="006347A0">
        <w:t>ed</w:t>
      </w:r>
      <w:r>
        <w:t xml:space="preserve"> the concept of a three-year fixed price implementation</w:t>
      </w:r>
      <w:r w:rsidR="0035608D">
        <w:t xml:space="preserve"> pathway (</w:t>
      </w:r>
      <w:r w:rsidR="00160BD0">
        <w:t>A</w:t>
      </w:r>
      <w:r w:rsidR="000A7273">
        <w:t xml:space="preserve">LC, ALRTA, ATA, </w:t>
      </w:r>
      <w:r w:rsidR="0052236B">
        <w:t xml:space="preserve">the </w:t>
      </w:r>
      <w:r w:rsidR="0052236B" w:rsidRPr="0052236B">
        <w:t>Australian Small Business and Family Enterprise Ombudsman</w:t>
      </w:r>
      <w:r w:rsidR="0052236B">
        <w:t xml:space="preserve"> </w:t>
      </w:r>
      <w:r w:rsidR="001E066D">
        <w:t xml:space="preserve">and others). </w:t>
      </w:r>
      <w:r w:rsidR="00181181">
        <w:t xml:space="preserve">However, this support </w:t>
      </w:r>
      <w:r w:rsidR="006347A0">
        <w:t>wa</w:t>
      </w:r>
      <w:r w:rsidR="00D73277">
        <w:t>s</w:t>
      </w:r>
      <w:r w:rsidR="00181181">
        <w:t xml:space="preserve"> in many ca</w:t>
      </w:r>
      <w:r w:rsidR="00160058">
        <w:t xml:space="preserve">ses conditional on </w:t>
      </w:r>
      <w:r w:rsidR="00395FF3">
        <w:t>the percentage increases</w:t>
      </w:r>
      <w:r w:rsidR="00725E3D">
        <w:t xml:space="preserve"> adopted, and the amount of </w:t>
      </w:r>
      <w:r w:rsidR="00FD44FB">
        <w:t>certainty that would be provided to industry.</w:t>
      </w:r>
      <w:r w:rsidR="009E61AA">
        <w:t xml:space="preserve"> </w:t>
      </w:r>
    </w:p>
    <w:p w14:paraId="5EC986E8" w14:textId="08803FB9" w:rsidR="004D2D6B" w:rsidRPr="004D2D6B" w:rsidRDefault="00496FA4" w:rsidP="00C64E47">
      <w:pPr>
        <w:pStyle w:val="BodyCopy"/>
      </w:pPr>
      <w:r>
        <w:lastRenderedPageBreak/>
        <w:t>The ATA propose</w:t>
      </w:r>
      <w:r w:rsidR="006347A0">
        <w:t>d</w:t>
      </w:r>
      <w:r>
        <w:t xml:space="preserve"> a </w:t>
      </w:r>
      <w:r w:rsidR="00785075">
        <w:t>three-year implementation pathway with 2</w:t>
      </w:r>
      <w:r w:rsidR="00C64E47">
        <w:t xml:space="preserve"> per cent</w:t>
      </w:r>
      <w:r w:rsidR="00785075">
        <w:t>, 3</w:t>
      </w:r>
      <w:r w:rsidR="00C64E47">
        <w:t xml:space="preserve"> per cent</w:t>
      </w:r>
      <w:r w:rsidR="00785075">
        <w:t xml:space="preserve"> and 3</w:t>
      </w:r>
      <w:r w:rsidR="00C64E47">
        <w:t xml:space="preserve"> per cent</w:t>
      </w:r>
      <w:r w:rsidR="00785075">
        <w:t xml:space="preserve">. The pathway should be locked in for the full three years </w:t>
      </w:r>
      <w:r w:rsidR="0028292A" w:rsidRPr="00C64E47">
        <w:t>both</w:t>
      </w:r>
      <w:r w:rsidR="0028292A">
        <w:t xml:space="preserve"> for registration charges in the Heavy Vehicle Charges Model Law</w:t>
      </w:r>
      <w:r w:rsidR="006917B6">
        <w:t xml:space="preserve"> and for RUC under the Fuel Tax Act</w:t>
      </w:r>
      <w:r w:rsidR="00564725">
        <w:t xml:space="preserve"> 2006</w:t>
      </w:r>
      <w:r w:rsidR="006917B6">
        <w:t xml:space="preserve">. The ATA provided a legal opinion in its submission that </w:t>
      </w:r>
      <w:r w:rsidR="004272BC">
        <w:t>support</w:t>
      </w:r>
      <w:r w:rsidR="006347A0">
        <w:t>ed</w:t>
      </w:r>
      <w:r w:rsidR="004272BC">
        <w:t xml:space="preserve"> the feasibility of </w:t>
      </w:r>
      <w:r w:rsidR="004E01D7">
        <w:t xml:space="preserve">the </w:t>
      </w:r>
      <w:r w:rsidR="00262DA1">
        <w:t>m</w:t>
      </w:r>
      <w:r w:rsidR="004E01D7">
        <w:t xml:space="preserve">inister determining </w:t>
      </w:r>
      <w:r w:rsidR="00005274">
        <w:t>RUC rates for three years upfront.</w:t>
      </w:r>
      <w:r w:rsidR="009E61AA">
        <w:t xml:space="preserve"> </w:t>
      </w:r>
    </w:p>
    <w:p w14:paraId="6FB014F1" w14:textId="2974DC3E" w:rsidR="00584B99" w:rsidRPr="00584B99" w:rsidRDefault="00227D57" w:rsidP="00055A7D">
      <w:pPr>
        <w:pStyle w:val="BodyCopy"/>
      </w:pPr>
      <w:r>
        <w:t xml:space="preserve">NatRoad </w:t>
      </w:r>
      <w:r w:rsidR="006347A0">
        <w:t xml:space="preserve">submitted that it </w:t>
      </w:r>
      <w:r w:rsidR="009F70B5">
        <w:t>would prefer</w:t>
      </w:r>
      <w:r w:rsidR="009F70B5" w:rsidRPr="009F70B5">
        <w:t xml:space="preserve"> </w:t>
      </w:r>
      <w:r w:rsidR="0052236B">
        <w:t xml:space="preserve">that </w:t>
      </w:r>
      <w:r w:rsidR="009F70B5" w:rsidRPr="009F70B5">
        <w:t>current charges be increased at the rate of inflation or 3.5</w:t>
      </w:r>
      <w:r w:rsidR="00C64E47">
        <w:t xml:space="preserve"> per cent</w:t>
      </w:r>
      <w:r w:rsidR="009F70B5" w:rsidRPr="009F70B5">
        <w:t xml:space="preserve"> (whichever is the lower) until the HVRR process delivers a new model for heavy vehicle charges. Alternatively, </w:t>
      </w:r>
      <w:r w:rsidR="00804D3F">
        <w:t>NatRoad support</w:t>
      </w:r>
      <w:r w:rsidR="006347A0">
        <w:t>ed</w:t>
      </w:r>
      <w:r w:rsidR="009F70B5" w:rsidRPr="009F70B5">
        <w:t xml:space="preserve"> the lower cost fixed price increase of 3.5</w:t>
      </w:r>
      <w:r w:rsidR="00C64E47">
        <w:t xml:space="preserve"> per cent</w:t>
      </w:r>
      <w:r w:rsidR="009F70B5" w:rsidRPr="009F70B5">
        <w:t xml:space="preserve"> set out in the C</w:t>
      </w:r>
      <w:r w:rsidR="00C64E47">
        <w:t>-</w:t>
      </w:r>
      <w:r w:rsidR="009F70B5" w:rsidRPr="009F70B5">
        <w:t xml:space="preserve">RIS </w:t>
      </w:r>
      <w:r w:rsidR="00804D3F">
        <w:t>r</w:t>
      </w:r>
      <w:r w:rsidR="00B95C21">
        <w:t>egardless of</w:t>
      </w:r>
      <w:r w:rsidR="009F70B5" w:rsidRPr="009F70B5">
        <w:t xml:space="preserve"> the particular interim model u</w:t>
      </w:r>
      <w:r w:rsidR="00B95C21">
        <w:t>sed</w:t>
      </w:r>
      <w:r w:rsidR="009F70B5" w:rsidRPr="009F70B5">
        <w:t>.</w:t>
      </w:r>
    </w:p>
    <w:p w14:paraId="7B190710" w14:textId="58F3968E" w:rsidR="00C22C44" w:rsidRPr="00C22C44" w:rsidRDefault="005A766B" w:rsidP="00C64E47">
      <w:pPr>
        <w:pStyle w:val="BodyCopy"/>
      </w:pPr>
      <w:r>
        <w:t xml:space="preserve">In </w:t>
      </w:r>
      <w:r w:rsidR="00B95C21">
        <w:t>ALRTA</w:t>
      </w:r>
      <w:r>
        <w:t>’s view, a rea</w:t>
      </w:r>
      <w:r w:rsidRPr="005A766B">
        <w:t>sonable price path over the next three years is</w:t>
      </w:r>
      <w:r w:rsidR="00AE4948">
        <w:t xml:space="preserve"> 2</w:t>
      </w:r>
      <w:r w:rsidRPr="005A766B">
        <w:t>.5 per cent, 3.0 per cent and 3.0 per</w:t>
      </w:r>
      <w:r w:rsidR="006347A0">
        <w:t xml:space="preserve"> </w:t>
      </w:r>
      <w:r w:rsidRPr="005A766B">
        <w:t>cent.</w:t>
      </w:r>
    </w:p>
    <w:p w14:paraId="316C988B" w14:textId="09B72586" w:rsidR="00633E49" w:rsidRPr="00357D40" w:rsidRDefault="00633E49" w:rsidP="00357D40">
      <w:pPr>
        <w:pStyle w:val="BodyCopy"/>
        <w:rPr>
          <w:rFonts w:asciiTheme="minorHAnsi" w:hAnsiTheme="minorHAnsi" w:cstheme="minorHAnsi"/>
          <w:szCs w:val="22"/>
          <w:lang w:eastAsia="en-AU"/>
        </w:rPr>
      </w:pPr>
      <w:r w:rsidRPr="00357D40">
        <w:rPr>
          <w:rFonts w:asciiTheme="minorHAnsi" w:hAnsiTheme="minorHAnsi" w:cstheme="minorHAnsi"/>
        </w:rPr>
        <w:t xml:space="preserve">The ARTC </w:t>
      </w:r>
      <w:r w:rsidR="00626A6A" w:rsidRPr="00357D40">
        <w:rPr>
          <w:rFonts w:asciiTheme="minorHAnsi" w:hAnsiTheme="minorHAnsi" w:cstheme="minorHAnsi"/>
        </w:rPr>
        <w:t>support</w:t>
      </w:r>
      <w:r w:rsidR="001A53BD">
        <w:rPr>
          <w:rFonts w:asciiTheme="minorHAnsi" w:hAnsiTheme="minorHAnsi" w:cstheme="minorHAnsi"/>
        </w:rPr>
        <w:t>ed</w:t>
      </w:r>
      <w:r w:rsidR="00286664" w:rsidRPr="00357D40">
        <w:rPr>
          <w:rFonts w:asciiTheme="minorHAnsi" w:hAnsiTheme="minorHAnsi" w:cstheme="minorHAnsi"/>
        </w:rPr>
        <w:t xml:space="preserve"> t</w:t>
      </w:r>
      <w:r w:rsidRPr="00357D40">
        <w:rPr>
          <w:rFonts w:asciiTheme="minorHAnsi" w:hAnsiTheme="minorHAnsi" w:cstheme="minorHAnsi"/>
        </w:rPr>
        <w:t xml:space="preserve">he 3-year price path implementation; provided that </w:t>
      </w:r>
      <w:r w:rsidR="00043DD3" w:rsidRPr="00357D40">
        <w:rPr>
          <w:rFonts w:asciiTheme="minorHAnsi" w:hAnsiTheme="minorHAnsi" w:cstheme="minorHAnsi"/>
        </w:rPr>
        <w:t xml:space="preserve">it is </w:t>
      </w:r>
      <w:r w:rsidR="008F2CA4" w:rsidRPr="00357D40">
        <w:rPr>
          <w:rFonts w:asciiTheme="minorHAnsi" w:hAnsiTheme="minorHAnsi" w:cstheme="minorHAnsi"/>
        </w:rPr>
        <w:t>implemented in full, and not subject to later alteration or reversal. ARTC note</w:t>
      </w:r>
      <w:r w:rsidR="001A53BD">
        <w:rPr>
          <w:rFonts w:asciiTheme="minorHAnsi" w:hAnsiTheme="minorHAnsi" w:cstheme="minorHAnsi"/>
        </w:rPr>
        <w:t>d</w:t>
      </w:r>
      <w:r w:rsidR="008F2CA4" w:rsidRPr="00357D40">
        <w:rPr>
          <w:rFonts w:asciiTheme="minorHAnsi" w:hAnsiTheme="minorHAnsi" w:cstheme="minorHAnsi"/>
        </w:rPr>
        <w:t xml:space="preserve"> that t</w:t>
      </w:r>
      <w:r w:rsidRPr="00357D40">
        <w:rPr>
          <w:rFonts w:asciiTheme="minorHAnsi" w:hAnsiTheme="minorHAnsi" w:cstheme="minorHAnsi"/>
        </w:rPr>
        <w:t xml:space="preserve">his is critical as </w:t>
      </w:r>
      <w:r w:rsidR="000C3961" w:rsidRPr="00357D40">
        <w:rPr>
          <w:rFonts w:asciiTheme="minorHAnsi" w:hAnsiTheme="minorHAnsi" w:cstheme="minorHAnsi"/>
        </w:rPr>
        <w:t>historical</w:t>
      </w:r>
      <w:r w:rsidRPr="00357D40">
        <w:rPr>
          <w:rFonts w:asciiTheme="minorHAnsi" w:hAnsiTheme="minorHAnsi" w:cstheme="minorHAnsi"/>
        </w:rPr>
        <w:t xml:space="preserve"> decisions to limit the full recovery of the cost base </w:t>
      </w:r>
      <w:r w:rsidR="000C3961" w:rsidRPr="00357D40">
        <w:rPr>
          <w:rFonts w:asciiTheme="minorHAnsi" w:hAnsiTheme="minorHAnsi" w:cstheme="minorHAnsi"/>
        </w:rPr>
        <w:t>have</w:t>
      </w:r>
      <w:r w:rsidRPr="00357D40">
        <w:rPr>
          <w:rFonts w:asciiTheme="minorHAnsi" w:hAnsiTheme="minorHAnsi" w:cstheme="minorHAnsi"/>
        </w:rPr>
        <w:t xml:space="preserve"> contributed to excess consumption of the road network and the freight transport market failure that has </w:t>
      </w:r>
      <w:r w:rsidRPr="00357D40">
        <w:rPr>
          <w:rFonts w:asciiTheme="minorHAnsi" w:hAnsiTheme="minorHAnsi" w:cstheme="minorHAnsi"/>
          <w:szCs w:val="22"/>
          <w:lang w:eastAsia="en-AU"/>
        </w:rPr>
        <w:t>resulted.</w:t>
      </w:r>
    </w:p>
    <w:p w14:paraId="307495E4" w14:textId="08AFB9BC" w:rsidR="00FD44FB" w:rsidRDefault="00951B42" w:rsidP="00357D40">
      <w:pPr>
        <w:pStyle w:val="Heading3"/>
      </w:pPr>
      <w:bookmarkStart w:id="518" w:name="_Toc86158503"/>
      <w:r>
        <w:t>NTC response to submissions</w:t>
      </w:r>
      <w:bookmarkEnd w:id="518"/>
    </w:p>
    <w:p w14:paraId="16C8BA55" w14:textId="3D02285F" w:rsidR="005B2A64" w:rsidRDefault="00951B42" w:rsidP="005B2A64">
      <w:pPr>
        <w:pStyle w:val="BodyCopy"/>
      </w:pPr>
      <w:r>
        <w:t xml:space="preserve">The NTC </w:t>
      </w:r>
      <w:r w:rsidR="00073039">
        <w:t xml:space="preserve">understands </w:t>
      </w:r>
      <w:r w:rsidR="00E76EC9">
        <w:t xml:space="preserve">and shares the concerns raised by submitters that direct implementation </w:t>
      </w:r>
      <w:r w:rsidR="00361C8E">
        <w:t xml:space="preserve">would impose an unmanageable burden on </w:t>
      </w:r>
      <w:r w:rsidR="00673856">
        <w:t xml:space="preserve">truck operators at this stage. </w:t>
      </w:r>
    </w:p>
    <w:p w14:paraId="54CFCF5A" w14:textId="52D7546D" w:rsidR="00C54351" w:rsidRDefault="00C54351" w:rsidP="005B2A64">
      <w:pPr>
        <w:pStyle w:val="BodyCopy"/>
      </w:pPr>
      <w:r>
        <w:t xml:space="preserve">We also note the strong generic support for a three-year fixed price pathway, and the need to provide industry with as much certainty as possible. </w:t>
      </w:r>
      <w:r w:rsidR="00272CCC">
        <w:t xml:space="preserve">We agree that, if practicable, the three-year </w:t>
      </w:r>
      <w:r w:rsidR="002E3E2B">
        <w:t xml:space="preserve">price pathway should be </w:t>
      </w:r>
      <w:r w:rsidR="00A006AF">
        <w:t>‘</w:t>
      </w:r>
      <w:r w:rsidR="006A59A9">
        <w:t>locked in’ for three years to provide the greatest certainty to both governments and industry.</w:t>
      </w:r>
      <w:r w:rsidR="009E61AA">
        <w:t xml:space="preserve"> </w:t>
      </w:r>
    </w:p>
    <w:p w14:paraId="615682B8" w14:textId="6A29647D" w:rsidR="00BC5DDA" w:rsidRDefault="006A59A9" w:rsidP="005B2A64">
      <w:pPr>
        <w:pStyle w:val="BodyCopy"/>
      </w:pPr>
      <w:r>
        <w:t xml:space="preserve">Further, we </w:t>
      </w:r>
      <w:r w:rsidR="00DC15F3">
        <w:t xml:space="preserve">note the </w:t>
      </w:r>
      <w:r w:rsidR="00365138">
        <w:t xml:space="preserve">percentage increases in each year </w:t>
      </w:r>
      <w:r w:rsidR="00FF1425">
        <w:t xml:space="preserve">preferred by the ATA, ALRTA and NatRoad. </w:t>
      </w:r>
      <w:r w:rsidR="00747DFC">
        <w:t xml:space="preserve">These </w:t>
      </w:r>
      <w:r w:rsidR="00C33C08">
        <w:t>reflect the view that the industry</w:t>
      </w:r>
      <w:r w:rsidR="002D1082">
        <w:t xml:space="preserve"> and also the </w:t>
      </w:r>
      <w:r w:rsidR="00E97C4A">
        <w:t>economy are still dealing with the effects of C</w:t>
      </w:r>
      <w:r w:rsidR="001A53BD">
        <w:t>OVID-</w:t>
      </w:r>
      <w:r w:rsidR="00E97C4A">
        <w:t>19 and other historical events such as bushfires</w:t>
      </w:r>
      <w:r w:rsidR="007F4429">
        <w:t xml:space="preserve">. </w:t>
      </w:r>
      <w:r w:rsidR="00E17991">
        <w:t>A return to relative normality will take</w:t>
      </w:r>
      <w:r w:rsidR="00BC5DDA">
        <w:t xml:space="preserve"> time.</w:t>
      </w:r>
    </w:p>
    <w:p w14:paraId="37A30305" w14:textId="5100F6A9" w:rsidR="00B87B5B" w:rsidRDefault="00E46479" w:rsidP="005B2A64">
      <w:pPr>
        <w:pStyle w:val="BodyCopy"/>
      </w:pPr>
      <w:r>
        <w:t xml:space="preserve">In response to stakeholder feedback, the NTC has re-calibrated the percentage increases </w:t>
      </w:r>
      <w:r w:rsidR="001F33BD">
        <w:t>under pathway 1 of the three-year implementation pathway</w:t>
      </w:r>
      <w:r w:rsidR="008F2A93">
        <w:t xml:space="preserve"> from </w:t>
      </w:r>
      <w:r w:rsidR="00AA2420">
        <w:t>3.5 per cent</w:t>
      </w:r>
      <w:r w:rsidR="00D76B79">
        <w:t xml:space="preserve"> per year to </w:t>
      </w:r>
      <w:r w:rsidR="00C41A12">
        <w:t>increases of 2.75 per cent in year 1, 3.0 per cent in year 2 and 3.5</w:t>
      </w:r>
      <w:r w:rsidR="00B87B5B">
        <w:t xml:space="preserve"> per cent in year 3. We recognise that this </w:t>
      </w:r>
      <w:r w:rsidR="00DF586E">
        <w:t>may not complete</w:t>
      </w:r>
      <w:r w:rsidR="00BA21A6">
        <w:t>ly reflect the preferred price paths outlined by the ATA, ALRTA and Nat</w:t>
      </w:r>
      <w:r w:rsidR="00C64E47">
        <w:t>R</w:t>
      </w:r>
      <w:r w:rsidR="00BA21A6">
        <w:t xml:space="preserve">oad. </w:t>
      </w:r>
    </w:p>
    <w:p w14:paraId="2C9DE7BB" w14:textId="24C1AF87" w:rsidR="00307796" w:rsidRDefault="0095435F" w:rsidP="006175F6">
      <w:pPr>
        <w:pStyle w:val="Heading3"/>
      </w:pPr>
      <w:bookmarkStart w:id="519" w:name="_Ref82512037"/>
      <w:bookmarkStart w:id="520" w:name="_Toc86158504"/>
      <w:r>
        <w:t>Overall a</w:t>
      </w:r>
      <w:r w:rsidR="00D65E59">
        <w:t xml:space="preserve">ssessment of </w:t>
      </w:r>
      <w:r w:rsidR="00E32A8A">
        <w:t>implementation options</w:t>
      </w:r>
      <w:bookmarkEnd w:id="519"/>
      <w:bookmarkEnd w:id="520"/>
    </w:p>
    <w:p w14:paraId="171A5B0B" w14:textId="20CC1D20" w:rsidR="009604D4" w:rsidRDefault="00C12D3E" w:rsidP="00031DC5">
      <w:pPr>
        <w:pStyle w:val="BodyText1"/>
      </w:pPr>
      <w:r w:rsidRPr="00031DC5">
        <w:t>The pricing principles</w:t>
      </w:r>
      <w:r w:rsidR="006F16DA" w:rsidRPr="00031DC5">
        <w:t xml:space="preserve"> (see</w:t>
      </w:r>
      <w:r w:rsidR="00C67D6D">
        <w:t xml:space="preserve"> section</w:t>
      </w:r>
      <w:r w:rsidR="006F16DA" w:rsidRPr="00031DC5">
        <w:t xml:space="preserve"> </w:t>
      </w:r>
      <w:r w:rsidR="00746E37" w:rsidRPr="00031DC5">
        <w:fldChar w:fldCharType="begin"/>
      </w:r>
      <w:r w:rsidR="00746E37" w:rsidRPr="00031DC5">
        <w:instrText xml:space="preserve"> REF _Ref59019317 \r \h </w:instrText>
      </w:r>
      <w:r w:rsidR="00031DC5">
        <w:instrText xml:space="preserve"> \* MERGEFORMAT </w:instrText>
      </w:r>
      <w:r w:rsidR="00746E37" w:rsidRPr="00031DC5">
        <w:fldChar w:fldCharType="separate"/>
      </w:r>
      <w:r w:rsidR="00225EEA">
        <w:t>2.1.1</w:t>
      </w:r>
      <w:r w:rsidR="00746E37" w:rsidRPr="00031DC5">
        <w:fldChar w:fldCharType="end"/>
      </w:r>
      <w:r w:rsidR="00746E37" w:rsidRPr="00031DC5">
        <w:t xml:space="preserve"> for full details)</w:t>
      </w:r>
      <w:r w:rsidRPr="00031DC5">
        <w:t xml:space="preserve"> </w:t>
      </w:r>
      <w:r w:rsidR="006F16DA" w:rsidRPr="00031DC5">
        <w:t xml:space="preserve">include the principle of </w:t>
      </w:r>
      <w:r w:rsidR="009604D4" w:rsidRPr="00031DC5">
        <w:t xml:space="preserve">fully </w:t>
      </w:r>
      <w:r w:rsidR="006F16DA" w:rsidRPr="00031DC5">
        <w:t xml:space="preserve">recovering infrastructure costs </w:t>
      </w:r>
      <w:r w:rsidR="009604D4" w:rsidRPr="00031DC5">
        <w:t>while minimising both the over</w:t>
      </w:r>
      <w:r w:rsidR="00C67D6D">
        <w:t>-</w:t>
      </w:r>
      <w:r w:rsidR="009604D4" w:rsidRPr="00031DC5">
        <w:t xml:space="preserve"> and under</w:t>
      </w:r>
      <w:r w:rsidR="00C67D6D">
        <w:t>-</w:t>
      </w:r>
      <w:r w:rsidR="009604D4" w:rsidRPr="00031DC5">
        <w:t>recovery from any class of vehicle.</w:t>
      </w:r>
      <w:r w:rsidR="00830D17">
        <w:t xml:space="preserve"> </w:t>
      </w:r>
      <w:r w:rsidR="009604D4" w:rsidRPr="00031DC5">
        <w:t>They also require us to consider administrative simplicity, efficiency and equity (e.g. impact on regional and remote communities/access)</w:t>
      </w:r>
      <w:r w:rsidR="00031DC5" w:rsidRPr="00031DC5">
        <w:t>.</w:t>
      </w:r>
      <w:r w:rsidR="00830D17">
        <w:t xml:space="preserve"> </w:t>
      </w:r>
    </w:p>
    <w:p w14:paraId="40363B88" w14:textId="23BC1CC1" w:rsidR="00031DC5" w:rsidRDefault="00FD182E" w:rsidP="00031DC5">
      <w:pPr>
        <w:pStyle w:val="BodyText1"/>
      </w:pPr>
      <w:r>
        <w:t xml:space="preserve">Starting from the point where, currently, heavy vehicle charges revenue is below the identified heavy vehicle cost base, </w:t>
      </w:r>
      <w:r w:rsidR="002C42B5">
        <w:t>it is unlikely that any option that would permanently recover less than the identified cost base would comply with the principle of full cost recovery.</w:t>
      </w:r>
      <w:r w:rsidR="00830D17">
        <w:t xml:space="preserve"> </w:t>
      </w:r>
    </w:p>
    <w:p w14:paraId="7921B0AB" w14:textId="2A74593D" w:rsidR="002C42B5" w:rsidRDefault="002C42B5" w:rsidP="00031DC5">
      <w:pPr>
        <w:pStyle w:val="BodyText1"/>
      </w:pPr>
      <w:r>
        <w:t xml:space="preserve">On the other hand, the need to consider </w:t>
      </w:r>
      <w:r w:rsidR="0034020A">
        <w:t xml:space="preserve">efficiency and equity </w:t>
      </w:r>
      <w:r w:rsidR="00B757A1">
        <w:t xml:space="preserve">means that options </w:t>
      </w:r>
      <w:r w:rsidR="00C67D6D">
        <w:t xml:space="preserve">that </w:t>
      </w:r>
      <w:r w:rsidR="00B757A1">
        <w:t xml:space="preserve">impose an undue burden on vehicle operators, such as </w:t>
      </w:r>
      <w:r w:rsidR="00731414">
        <w:t>large year-on-year changes, are likely to fail to comply with th</w:t>
      </w:r>
      <w:r w:rsidR="001F16F8">
        <w:t>e efficiency and equity</w:t>
      </w:r>
      <w:r w:rsidR="00731414">
        <w:t xml:space="preserve"> principle</w:t>
      </w:r>
      <w:r w:rsidR="001F16F8">
        <w:t>s</w:t>
      </w:r>
      <w:r w:rsidR="00731414">
        <w:t>.</w:t>
      </w:r>
      <w:r w:rsidR="00830D17">
        <w:t xml:space="preserve"> </w:t>
      </w:r>
      <w:r w:rsidR="005C1415">
        <w:t xml:space="preserve">Industry submissions have </w:t>
      </w:r>
      <w:r w:rsidR="005C1415">
        <w:lastRenderedPageBreak/>
        <w:t xml:space="preserve">made a strong case that heavy vehicle operators have only limited ability to pass on </w:t>
      </w:r>
      <w:r w:rsidR="00072989">
        <w:t>increases in heavy vehicle charges to their customers through price increases</w:t>
      </w:r>
      <w:r w:rsidR="00CC17F9">
        <w:t>.</w:t>
      </w:r>
    </w:p>
    <w:p w14:paraId="0643D354" w14:textId="70BEFE9D" w:rsidR="00731414" w:rsidRDefault="00731414" w:rsidP="00031DC5">
      <w:pPr>
        <w:pStyle w:val="BodyText1"/>
      </w:pPr>
      <w:r>
        <w:t>Overall, our</w:t>
      </w:r>
      <w:r w:rsidR="00291176">
        <w:t xml:space="preserve"> initial</w:t>
      </w:r>
      <w:r>
        <w:t xml:space="preserve"> interpretation of the</w:t>
      </w:r>
      <w:r w:rsidR="001F16F8">
        <w:t xml:space="preserve"> combined</w:t>
      </w:r>
      <w:r>
        <w:t xml:space="preserve"> pricing principles is that they would favour an implementation path that </w:t>
      </w:r>
      <w:r w:rsidR="00F27821">
        <w:t xml:space="preserve">has the prospect of achieving </w:t>
      </w:r>
      <w:r w:rsidR="001124F9">
        <w:t xml:space="preserve">some progress </w:t>
      </w:r>
      <w:r w:rsidR="0086089C">
        <w:t>towards</w:t>
      </w:r>
      <w:r w:rsidR="001124F9">
        <w:t xml:space="preserve"> closing the gap between the identified heavy vehicle cost base and heavy vehicle charges revenue while, at the same time, </w:t>
      </w:r>
      <w:r w:rsidR="00536E7C">
        <w:t>keeping yearly increases to heavy vehicle charges within reasonable bounds.</w:t>
      </w:r>
      <w:r w:rsidR="00830D17">
        <w:t xml:space="preserve"> </w:t>
      </w:r>
      <w:r w:rsidR="00422230">
        <w:t>There is also a need to consider</w:t>
      </w:r>
      <w:r w:rsidR="00DA64ED">
        <w:t xml:space="preserve"> the ongoing impact of C</w:t>
      </w:r>
      <w:r w:rsidR="001A53BD">
        <w:t>OVID-</w:t>
      </w:r>
      <w:r w:rsidR="00DA64ED">
        <w:t>19 on the economy</w:t>
      </w:r>
      <w:r w:rsidR="00932A8E">
        <w:t>.</w:t>
      </w:r>
      <w:r w:rsidR="009E61AA">
        <w:t xml:space="preserve"> </w:t>
      </w:r>
    </w:p>
    <w:p w14:paraId="05173735" w14:textId="06F96C70" w:rsidR="00536E7C" w:rsidRDefault="00A85D04" w:rsidP="00031DC5">
      <w:pPr>
        <w:pStyle w:val="BodyText1"/>
      </w:pPr>
      <w:r>
        <w:t>T</w:t>
      </w:r>
      <w:r w:rsidR="00291176">
        <w:t xml:space="preserve">he </w:t>
      </w:r>
      <w:r w:rsidR="001720E3">
        <w:t>direct implementation</w:t>
      </w:r>
      <w:r w:rsidR="00291176">
        <w:t xml:space="preserve"> approach</w:t>
      </w:r>
      <w:r>
        <w:t xml:space="preserve"> would</w:t>
      </w:r>
      <w:r w:rsidR="00291176">
        <w:t xml:space="preserve"> immediately achiev</w:t>
      </w:r>
      <w:r>
        <w:t>e</w:t>
      </w:r>
      <w:r w:rsidR="00291176">
        <w:t xml:space="preserve"> full cost recovery. However, it would</w:t>
      </w:r>
      <w:r>
        <w:t xml:space="preserve"> also require</w:t>
      </w:r>
      <w:r w:rsidR="001720E3">
        <w:t xml:space="preserve"> a significant increase</w:t>
      </w:r>
      <w:r w:rsidR="001A697E">
        <w:t xml:space="preserve"> in heavy vehicle charge revenue</w:t>
      </w:r>
      <w:r w:rsidR="00C3337A">
        <w:t xml:space="preserve"> in the region of</w:t>
      </w:r>
      <w:r w:rsidR="001720E3">
        <w:t xml:space="preserve"> </w:t>
      </w:r>
      <w:r w:rsidR="003D3B1C">
        <w:t>31</w:t>
      </w:r>
      <w:r w:rsidR="00C3337A">
        <w:t>.</w:t>
      </w:r>
      <w:r w:rsidR="003D3B1C">
        <w:t>3</w:t>
      </w:r>
      <w:r w:rsidR="003F7858">
        <w:t xml:space="preserve"> per cent in the first year</w:t>
      </w:r>
      <w:r w:rsidR="001A697E">
        <w:t xml:space="preserve"> (relative to revenue </w:t>
      </w:r>
      <w:r w:rsidR="003D3B1C">
        <w:t>collected under frozen charges</w:t>
      </w:r>
      <w:r w:rsidR="001A697E">
        <w:t>)</w:t>
      </w:r>
      <w:r w:rsidR="003F7858">
        <w:t xml:space="preserve">. </w:t>
      </w:r>
      <w:r w:rsidR="001B61F3">
        <w:t>While fully achieving cost recovery principles, it would fall short on equity because of the likely severe impact on industry and, in particular, regional and remote communities.</w:t>
      </w:r>
      <w:r w:rsidR="00830D17">
        <w:t xml:space="preserve"> </w:t>
      </w:r>
    </w:p>
    <w:p w14:paraId="4ABB5EC5" w14:textId="29C1B9E3" w:rsidR="003F7858" w:rsidRDefault="00404616" w:rsidP="00031DC5">
      <w:pPr>
        <w:pStyle w:val="BodyText1"/>
      </w:pPr>
      <w:r>
        <w:t xml:space="preserve">Pathway </w:t>
      </w:r>
      <w:r w:rsidR="008A449E">
        <w:t>1 of the three-year fixed price path i</w:t>
      </w:r>
      <w:r w:rsidR="003F7858">
        <w:t xml:space="preserve">mplementation </w:t>
      </w:r>
      <w:r w:rsidR="008A449E">
        <w:t>approach</w:t>
      </w:r>
      <w:r w:rsidR="003F7858">
        <w:t xml:space="preserve"> (</w:t>
      </w:r>
      <w:r w:rsidR="00A70879">
        <w:t xml:space="preserve">up to </w:t>
      </w:r>
      <w:r w:rsidR="003F7858">
        <w:t xml:space="preserve">3.5 per cent increase per annum) </w:t>
      </w:r>
      <w:r w:rsidR="00A1523A">
        <w:t xml:space="preserve">would minimise the impact on industry </w:t>
      </w:r>
      <w:r w:rsidR="001F16F8">
        <w:t>and makes some progress towards increasing heavy vehicle charges in line with the recent average yearly growth in the heavy vehicle cost base</w:t>
      </w:r>
      <w:r w:rsidR="00A1523A">
        <w:t>.</w:t>
      </w:r>
      <w:r w:rsidR="001B61F3">
        <w:t xml:space="preserve"> While it is unlikely to fully comply with the cost recovery mandate provided by the pricing principles, it scores </w:t>
      </w:r>
      <w:r w:rsidR="00A85D04">
        <w:t>highly</w:t>
      </w:r>
      <w:r w:rsidR="001B61F3">
        <w:t xml:space="preserve"> in terms of considering the impact on industry and regional and remote communities.</w:t>
      </w:r>
      <w:r w:rsidR="00830D17">
        <w:t xml:space="preserve"> </w:t>
      </w:r>
    </w:p>
    <w:p w14:paraId="50D9E4AE" w14:textId="1C11C816" w:rsidR="001F16F8" w:rsidRDefault="00404616" w:rsidP="00031DC5">
      <w:pPr>
        <w:pStyle w:val="BodyText1"/>
      </w:pPr>
      <w:r>
        <w:t xml:space="preserve">Pathway </w:t>
      </w:r>
      <w:r w:rsidR="008A449E">
        <w:t>2 of the three-year fixed price path i</w:t>
      </w:r>
      <w:r w:rsidR="00A1523A">
        <w:t xml:space="preserve">mplementation </w:t>
      </w:r>
      <w:r w:rsidR="008A449E">
        <w:t>approach</w:t>
      </w:r>
      <w:r w:rsidR="00A1523A">
        <w:t xml:space="preserve"> (6 per cent increase per annum) </w:t>
      </w:r>
      <w:r w:rsidR="001F16F8">
        <w:t>would make more rapid progress in c</w:t>
      </w:r>
      <w:r w:rsidR="001D3C3C">
        <w:t>losing the gap between the heavy vehicle cost base and heavy vehicle charges venue over time.</w:t>
      </w:r>
      <w:r w:rsidR="001F16F8">
        <w:t xml:space="preserve"> It </w:t>
      </w:r>
      <w:r w:rsidR="00A85D04">
        <w:t xml:space="preserve">would score more highly on achieving </w:t>
      </w:r>
      <w:r w:rsidR="001F16F8">
        <w:t xml:space="preserve">cost recovery </w:t>
      </w:r>
      <w:r w:rsidR="00CE59DF">
        <w:t>than</w:t>
      </w:r>
      <w:r w:rsidR="001F16F8">
        <w:t xml:space="preserve"> </w:t>
      </w:r>
      <w:r w:rsidR="003A44FB">
        <w:t>pathway</w:t>
      </w:r>
      <w:r w:rsidR="001F16F8">
        <w:t xml:space="preserve"> 1</w:t>
      </w:r>
      <w:r w:rsidR="00A85D04">
        <w:t xml:space="preserve"> but lower than the direct implementation approach</w:t>
      </w:r>
      <w:r w:rsidR="001F16F8">
        <w:t>.</w:t>
      </w:r>
      <w:r w:rsidR="00A85D04">
        <w:t xml:space="preserve"> T</w:t>
      </w:r>
      <w:r w:rsidR="001F16F8">
        <w:t>he impact on industry</w:t>
      </w:r>
      <w:r w:rsidR="00A85D04">
        <w:t xml:space="preserve"> of 6 per cent year</w:t>
      </w:r>
      <w:r w:rsidR="00A33D32">
        <w:t>-</w:t>
      </w:r>
      <w:r w:rsidR="00A85D04">
        <w:t>on</w:t>
      </w:r>
      <w:r w:rsidR="00A33D32">
        <w:t>-</w:t>
      </w:r>
      <w:r w:rsidR="00A85D04">
        <w:t>year increases in charges</w:t>
      </w:r>
      <w:r w:rsidR="001F16F8">
        <w:t xml:space="preserve"> could </w:t>
      </w:r>
      <w:r w:rsidR="001B61F3">
        <w:t xml:space="preserve">still </w:t>
      </w:r>
      <w:r w:rsidR="001F16F8">
        <w:t xml:space="preserve">be severe, and it therefore </w:t>
      </w:r>
      <w:r w:rsidR="00A85D04">
        <w:t xml:space="preserve">scores lower than </w:t>
      </w:r>
      <w:r w:rsidR="00C81931">
        <w:t>o</w:t>
      </w:r>
      <w:r w:rsidR="00A85D04">
        <w:t xml:space="preserve">ption 1 in terms of paying </w:t>
      </w:r>
      <w:r w:rsidR="001F16F8">
        <w:t xml:space="preserve">regard to </w:t>
      </w:r>
      <w:r w:rsidR="001B61F3">
        <w:t>equity concerns</w:t>
      </w:r>
      <w:r w:rsidR="001F16F8">
        <w:t>.</w:t>
      </w:r>
      <w:r w:rsidR="00830D17">
        <w:t xml:space="preserve"> </w:t>
      </w:r>
    </w:p>
    <w:p w14:paraId="7C5DB042" w14:textId="6E3248F2" w:rsidR="00DA1024" w:rsidRPr="00DA1024" w:rsidRDefault="00A85D04" w:rsidP="00DA1024">
      <w:pPr>
        <w:pStyle w:val="BodyText1"/>
      </w:pPr>
      <w:r>
        <w:t>Overall,</w:t>
      </w:r>
      <w:r w:rsidR="001B61F3">
        <w:t xml:space="preserve"> the trade-off between cost recovery and equity considerations is at least partially subjective</w:t>
      </w:r>
      <w:r>
        <w:t>.</w:t>
      </w:r>
      <w:r w:rsidR="00830D17">
        <w:t xml:space="preserve"> </w:t>
      </w:r>
      <w:r w:rsidR="005435F8">
        <w:t xml:space="preserve">However, the NTC recommends that ITMM </w:t>
      </w:r>
      <w:r w:rsidR="00AC3E00">
        <w:t>endorse</w:t>
      </w:r>
      <w:r w:rsidR="005435F8">
        <w:t xml:space="preserve"> pathway 1 of the three</w:t>
      </w:r>
      <w:r w:rsidR="006E752C">
        <w:t>-year fixed price path</w:t>
      </w:r>
      <w:r w:rsidR="00AC3E00">
        <w:t xml:space="preserve"> as its preferred option</w:t>
      </w:r>
      <w:r w:rsidR="006E752C">
        <w:t xml:space="preserve">. We consider that this option strikes a </w:t>
      </w:r>
      <w:r w:rsidR="008B3E22">
        <w:t xml:space="preserve">defensible balance between </w:t>
      </w:r>
      <w:r w:rsidR="00EF3DD4">
        <w:t>gradually increasing heavy vehicle charges towards full cost recovery while also recog</w:t>
      </w:r>
      <w:r w:rsidR="00C64E47">
        <w:t>n</w:t>
      </w:r>
      <w:r w:rsidR="00EF3DD4">
        <w:t xml:space="preserve">ising that heavy vehicle operators </w:t>
      </w:r>
      <w:r w:rsidR="00A41708">
        <w:t xml:space="preserve">have only limited ability to </w:t>
      </w:r>
      <w:r w:rsidR="00B72509">
        <w:t>cope with cost increases.</w:t>
      </w:r>
      <w:r w:rsidR="009E61AA">
        <w:t xml:space="preserve"> </w:t>
      </w:r>
    </w:p>
    <w:p w14:paraId="2CDBDE46" w14:textId="4867935A" w:rsidR="0036299F" w:rsidRDefault="0036299F" w:rsidP="00031DC5">
      <w:pPr>
        <w:pStyle w:val="BodyText1"/>
      </w:pPr>
      <w:r>
        <w:t>The NTC recommends that:</w:t>
      </w:r>
    </w:p>
    <w:p w14:paraId="016726B0" w14:textId="6593C447" w:rsidR="0036299F" w:rsidRDefault="0036299F" w:rsidP="0036299F">
      <w:pPr>
        <w:pStyle w:val="List-bulletlvl1"/>
      </w:pPr>
      <w:r>
        <w:t>ITMM endorse pathway 1 of the three-year fixed price path</w:t>
      </w:r>
      <w:r w:rsidR="004F352F">
        <w:t>, with increases in heavy vehicle charges of 2.75 per cent in 2022–23, 3.0 per cent in 2023–24 and 3.5 per cent in 2024–25</w:t>
      </w:r>
      <w:r>
        <w:t xml:space="preserve"> as its preferred option for implementing this determination</w:t>
      </w:r>
    </w:p>
    <w:p w14:paraId="2E12BE1B" w14:textId="378BB497" w:rsidR="0036299F" w:rsidRDefault="0036299F" w:rsidP="00357D40">
      <w:pPr>
        <w:pStyle w:val="List-bulletlvl1"/>
      </w:pPr>
      <w:r>
        <w:t>ITMM agree that the NTC undertake f</w:t>
      </w:r>
      <w:r w:rsidR="004F352F">
        <w:t>urther consultation for 60 days on the preferred option for implementing the determination</w:t>
      </w:r>
      <w:r w:rsidR="00DD5D9F">
        <w:t>.</w:t>
      </w:r>
    </w:p>
    <w:p w14:paraId="3BEE74ED" w14:textId="4438E3EF" w:rsidR="00A1523A" w:rsidRPr="00031DC5" w:rsidRDefault="00A1523A" w:rsidP="00031DC5">
      <w:pPr>
        <w:pStyle w:val="BodyText1"/>
      </w:pPr>
    </w:p>
    <w:p w14:paraId="21CAAB82" w14:textId="3664669A" w:rsidR="00220185" w:rsidRDefault="00A961CC" w:rsidP="00220185">
      <w:pPr>
        <w:pStyle w:val="Heading1"/>
        <w:rPr>
          <w:color w:val="auto"/>
        </w:rPr>
      </w:pPr>
      <w:bookmarkStart w:id="521" w:name="_Toc16198067"/>
      <w:bookmarkStart w:id="522" w:name="_Toc16675803"/>
      <w:bookmarkStart w:id="523" w:name="_Toc16844220"/>
      <w:bookmarkStart w:id="524" w:name="_Toc16854277"/>
      <w:bookmarkStart w:id="525" w:name="_Toc16855100"/>
      <w:bookmarkStart w:id="526" w:name="_Toc16855926"/>
      <w:bookmarkStart w:id="527" w:name="_Toc16856747"/>
      <w:bookmarkStart w:id="528" w:name="_Toc16198068"/>
      <w:bookmarkStart w:id="529" w:name="_Toc16675804"/>
      <w:bookmarkStart w:id="530" w:name="_Toc16844221"/>
      <w:bookmarkStart w:id="531" w:name="_Toc16854278"/>
      <w:bookmarkStart w:id="532" w:name="_Toc16855101"/>
      <w:bookmarkStart w:id="533" w:name="_Toc16855927"/>
      <w:bookmarkStart w:id="534" w:name="_Toc16856748"/>
      <w:bookmarkStart w:id="535" w:name="_Toc16198069"/>
      <w:bookmarkStart w:id="536" w:name="_Toc16675805"/>
      <w:bookmarkStart w:id="537" w:name="_Toc16844222"/>
      <w:bookmarkStart w:id="538" w:name="_Toc16854279"/>
      <w:bookmarkStart w:id="539" w:name="_Toc16855102"/>
      <w:bookmarkStart w:id="540" w:name="_Toc16855928"/>
      <w:bookmarkStart w:id="541" w:name="_Toc16856749"/>
      <w:bookmarkStart w:id="542" w:name="_Toc16198070"/>
      <w:bookmarkStart w:id="543" w:name="_Toc16675806"/>
      <w:bookmarkStart w:id="544" w:name="_Toc16844223"/>
      <w:bookmarkStart w:id="545" w:name="_Toc16854280"/>
      <w:bookmarkStart w:id="546" w:name="_Toc16855103"/>
      <w:bookmarkStart w:id="547" w:name="_Toc16855929"/>
      <w:bookmarkStart w:id="548" w:name="_Toc16856750"/>
      <w:bookmarkStart w:id="549" w:name="_Toc16198071"/>
      <w:bookmarkStart w:id="550" w:name="_Toc16675807"/>
      <w:bookmarkStart w:id="551" w:name="_Toc16844224"/>
      <w:bookmarkStart w:id="552" w:name="_Toc16854281"/>
      <w:bookmarkStart w:id="553" w:name="_Toc16855104"/>
      <w:bookmarkStart w:id="554" w:name="_Toc16855930"/>
      <w:bookmarkStart w:id="555" w:name="_Toc16856751"/>
      <w:bookmarkStart w:id="556" w:name="_Toc16198072"/>
      <w:bookmarkStart w:id="557" w:name="_Toc16675808"/>
      <w:bookmarkStart w:id="558" w:name="_Toc16844225"/>
      <w:bookmarkStart w:id="559" w:name="_Toc16854282"/>
      <w:bookmarkStart w:id="560" w:name="_Toc16855105"/>
      <w:bookmarkStart w:id="561" w:name="_Toc16855931"/>
      <w:bookmarkStart w:id="562" w:name="_Toc16856752"/>
      <w:bookmarkStart w:id="563" w:name="_Toc16198099"/>
      <w:bookmarkStart w:id="564" w:name="_Toc16675835"/>
      <w:bookmarkStart w:id="565" w:name="_Toc16844252"/>
      <w:bookmarkStart w:id="566" w:name="_Toc16854309"/>
      <w:bookmarkStart w:id="567" w:name="_Toc16855132"/>
      <w:bookmarkStart w:id="568" w:name="_Toc16855958"/>
      <w:bookmarkStart w:id="569" w:name="_Toc16856779"/>
      <w:bookmarkStart w:id="570" w:name="_Toc16198100"/>
      <w:bookmarkStart w:id="571" w:name="_Toc16675836"/>
      <w:bookmarkStart w:id="572" w:name="_Toc16844253"/>
      <w:bookmarkStart w:id="573" w:name="_Toc16854310"/>
      <w:bookmarkStart w:id="574" w:name="_Toc16855133"/>
      <w:bookmarkStart w:id="575" w:name="_Toc16855959"/>
      <w:bookmarkStart w:id="576" w:name="_Toc16856780"/>
      <w:bookmarkStart w:id="577" w:name="_Toc16198101"/>
      <w:bookmarkStart w:id="578" w:name="_Toc16675837"/>
      <w:bookmarkStart w:id="579" w:name="_Toc16844254"/>
      <w:bookmarkStart w:id="580" w:name="_Toc16854311"/>
      <w:bookmarkStart w:id="581" w:name="_Toc16855134"/>
      <w:bookmarkStart w:id="582" w:name="_Toc16855960"/>
      <w:bookmarkStart w:id="583" w:name="_Toc16856781"/>
      <w:bookmarkStart w:id="584" w:name="_Toc16198102"/>
      <w:bookmarkStart w:id="585" w:name="_Toc16675838"/>
      <w:bookmarkStart w:id="586" w:name="_Toc16844255"/>
      <w:bookmarkStart w:id="587" w:name="_Toc16854312"/>
      <w:bookmarkStart w:id="588" w:name="_Toc16855135"/>
      <w:bookmarkStart w:id="589" w:name="_Toc16855961"/>
      <w:bookmarkStart w:id="590" w:name="_Toc16856782"/>
      <w:bookmarkStart w:id="591" w:name="_Toc16198103"/>
      <w:bookmarkStart w:id="592" w:name="_Toc16675839"/>
      <w:bookmarkStart w:id="593" w:name="_Toc16844256"/>
      <w:bookmarkStart w:id="594" w:name="_Toc16854313"/>
      <w:bookmarkStart w:id="595" w:name="_Toc16855136"/>
      <w:bookmarkStart w:id="596" w:name="_Toc16855962"/>
      <w:bookmarkStart w:id="597" w:name="_Toc16856783"/>
      <w:bookmarkStart w:id="598" w:name="_Toc16198104"/>
      <w:bookmarkStart w:id="599" w:name="_Toc16675840"/>
      <w:bookmarkStart w:id="600" w:name="_Toc16844257"/>
      <w:bookmarkStart w:id="601" w:name="_Toc16854314"/>
      <w:bookmarkStart w:id="602" w:name="_Toc16855137"/>
      <w:bookmarkStart w:id="603" w:name="_Toc16855963"/>
      <w:bookmarkStart w:id="604" w:name="_Toc16856784"/>
      <w:bookmarkStart w:id="605" w:name="_Toc16198105"/>
      <w:bookmarkStart w:id="606" w:name="_Toc16675841"/>
      <w:bookmarkStart w:id="607" w:name="_Toc16844258"/>
      <w:bookmarkStart w:id="608" w:name="_Toc16854315"/>
      <w:bookmarkStart w:id="609" w:name="_Toc16855138"/>
      <w:bookmarkStart w:id="610" w:name="_Toc16855964"/>
      <w:bookmarkStart w:id="611" w:name="_Toc16856785"/>
      <w:bookmarkStart w:id="612" w:name="_Toc16198106"/>
      <w:bookmarkStart w:id="613" w:name="_Toc16675842"/>
      <w:bookmarkStart w:id="614" w:name="_Toc16844259"/>
      <w:bookmarkStart w:id="615" w:name="_Toc16854316"/>
      <w:bookmarkStart w:id="616" w:name="_Toc16855139"/>
      <w:bookmarkStart w:id="617" w:name="_Toc16855965"/>
      <w:bookmarkStart w:id="618" w:name="_Toc16856786"/>
      <w:bookmarkStart w:id="619" w:name="_Toc16198107"/>
      <w:bookmarkStart w:id="620" w:name="_Toc16675843"/>
      <w:bookmarkStart w:id="621" w:name="_Toc16844260"/>
      <w:bookmarkStart w:id="622" w:name="_Toc16854317"/>
      <w:bookmarkStart w:id="623" w:name="_Toc16855140"/>
      <w:bookmarkStart w:id="624" w:name="_Toc16855966"/>
      <w:bookmarkStart w:id="625" w:name="_Toc16856787"/>
      <w:bookmarkStart w:id="626" w:name="_Toc16198108"/>
      <w:bookmarkStart w:id="627" w:name="_Toc16675844"/>
      <w:bookmarkStart w:id="628" w:name="_Toc16844261"/>
      <w:bookmarkStart w:id="629" w:name="_Toc16854318"/>
      <w:bookmarkStart w:id="630" w:name="_Toc16855141"/>
      <w:bookmarkStart w:id="631" w:name="_Toc16855967"/>
      <w:bookmarkStart w:id="632" w:name="_Toc16856788"/>
      <w:bookmarkStart w:id="633" w:name="_Toc16198109"/>
      <w:bookmarkStart w:id="634" w:name="_Toc16675845"/>
      <w:bookmarkStart w:id="635" w:name="_Toc16844262"/>
      <w:bookmarkStart w:id="636" w:name="_Toc16854319"/>
      <w:bookmarkStart w:id="637" w:name="_Toc16855142"/>
      <w:bookmarkStart w:id="638" w:name="_Toc16855968"/>
      <w:bookmarkStart w:id="639" w:name="_Toc16856789"/>
      <w:bookmarkStart w:id="640" w:name="_Toc16198110"/>
      <w:bookmarkStart w:id="641" w:name="_Toc16675846"/>
      <w:bookmarkStart w:id="642" w:name="_Toc16844263"/>
      <w:bookmarkStart w:id="643" w:name="_Toc16854320"/>
      <w:bookmarkStart w:id="644" w:name="_Toc16855143"/>
      <w:bookmarkStart w:id="645" w:name="_Toc16855969"/>
      <w:bookmarkStart w:id="646" w:name="_Toc16856790"/>
      <w:bookmarkStart w:id="647" w:name="_Toc16198111"/>
      <w:bookmarkStart w:id="648" w:name="_Toc16675847"/>
      <w:bookmarkStart w:id="649" w:name="_Toc16844264"/>
      <w:bookmarkStart w:id="650" w:name="_Toc16854321"/>
      <w:bookmarkStart w:id="651" w:name="_Toc16855144"/>
      <w:bookmarkStart w:id="652" w:name="_Toc16855970"/>
      <w:bookmarkStart w:id="653" w:name="_Toc16856791"/>
      <w:bookmarkStart w:id="654" w:name="_Toc16198112"/>
      <w:bookmarkStart w:id="655" w:name="_Toc16675848"/>
      <w:bookmarkStart w:id="656" w:name="_Toc16844265"/>
      <w:bookmarkStart w:id="657" w:name="_Toc16854322"/>
      <w:bookmarkStart w:id="658" w:name="_Toc16855145"/>
      <w:bookmarkStart w:id="659" w:name="_Toc16855971"/>
      <w:bookmarkStart w:id="660" w:name="_Toc16856792"/>
      <w:bookmarkStart w:id="661" w:name="_Toc16198113"/>
      <w:bookmarkStart w:id="662" w:name="_Toc16675849"/>
      <w:bookmarkStart w:id="663" w:name="_Toc16844266"/>
      <w:bookmarkStart w:id="664" w:name="_Toc16854323"/>
      <w:bookmarkStart w:id="665" w:name="_Toc16855146"/>
      <w:bookmarkStart w:id="666" w:name="_Toc16855972"/>
      <w:bookmarkStart w:id="667" w:name="_Toc16856793"/>
      <w:bookmarkStart w:id="668" w:name="_Toc16198114"/>
      <w:bookmarkStart w:id="669" w:name="_Toc16675850"/>
      <w:bookmarkStart w:id="670" w:name="_Toc16844267"/>
      <w:bookmarkStart w:id="671" w:name="_Toc16854324"/>
      <w:bookmarkStart w:id="672" w:name="_Toc16855147"/>
      <w:bookmarkStart w:id="673" w:name="_Toc16855973"/>
      <w:bookmarkStart w:id="674" w:name="_Toc16856794"/>
      <w:bookmarkStart w:id="675" w:name="_Toc16198115"/>
      <w:bookmarkStart w:id="676" w:name="_Toc16675851"/>
      <w:bookmarkStart w:id="677" w:name="_Toc16844268"/>
      <w:bookmarkStart w:id="678" w:name="_Toc16854325"/>
      <w:bookmarkStart w:id="679" w:name="_Toc16855148"/>
      <w:bookmarkStart w:id="680" w:name="_Toc16855974"/>
      <w:bookmarkStart w:id="681" w:name="_Toc16856795"/>
      <w:bookmarkStart w:id="682" w:name="_Toc16198116"/>
      <w:bookmarkStart w:id="683" w:name="_Toc16675852"/>
      <w:bookmarkStart w:id="684" w:name="_Toc16844269"/>
      <w:bookmarkStart w:id="685" w:name="_Toc16854326"/>
      <w:bookmarkStart w:id="686" w:name="_Toc16855149"/>
      <w:bookmarkStart w:id="687" w:name="_Toc16855975"/>
      <w:bookmarkStart w:id="688" w:name="_Toc16856796"/>
      <w:bookmarkStart w:id="689" w:name="_Toc16198117"/>
      <w:bookmarkStart w:id="690" w:name="_Toc16675853"/>
      <w:bookmarkStart w:id="691" w:name="_Toc16844270"/>
      <w:bookmarkStart w:id="692" w:name="_Toc16854327"/>
      <w:bookmarkStart w:id="693" w:name="_Toc16855150"/>
      <w:bookmarkStart w:id="694" w:name="_Toc16855976"/>
      <w:bookmarkStart w:id="695" w:name="_Toc16856797"/>
      <w:bookmarkStart w:id="696" w:name="_Toc16198118"/>
      <w:bookmarkStart w:id="697" w:name="_Toc16675854"/>
      <w:bookmarkStart w:id="698" w:name="_Toc16844271"/>
      <w:bookmarkStart w:id="699" w:name="_Toc16854328"/>
      <w:bookmarkStart w:id="700" w:name="_Toc16855151"/>
      <w:bookmarkStart w:id="701" w:name="_Toc16855977"/>
      <w:bookmarkStart w:id="702" w:name="_Toc16856798"/>
      <w:bookmarkStart w:id="703" w:name="_Toc16198119"/>
      <w:bookmarkStart w:id="704" w:name="_Toc16675855"/>
      <w:bookmarkStart w:id="705" w:name="_Toc16844272"/>
      <w:bookmarkStart w:id="706" w:name="_Toc16854329"/>
      <w:bookmarkStart w:id="707" w:name="_Toc16855152"/>
      <w:bookmarkStart w:id="708" w:name="_Toc16855978"/>
      <w:bookmarkStart w:id="709" w:name="_Toc16856799"/>
      <w:bookmarkStart w:id="710" w:name="_Toc16198133"/>
      <w:bookmarkStart w:id="711" w:name="_Toc16675869"/>
      <w:bookmarkStart w:id="712" w:name="_Toc16844286"/>
      <w:bookmarkStart w:id="713" w:name="_Toc16854343"/>
      <w:bookmarkStart w:id="714" w:name="_Toc16855166"/>
      <w:bookmarkStart w:id="715" w:name="_Toc16855992"/>
      <w:bookmarkStart w:id="716" w:name="_Toc16856813"/>
      <w:bookmarkStart w:id="717" w:name="_Toc16193088"/>
      <w:bookmarkStart w:id="718" w:name="_Toc16198134"/>
      <w:bookmarkStart w:id="719" w:name="_Toc16675870"/>
      <w:bookmarkStart w:id="720" w:name="_Toc16844287"/>
      <w:bookmarkStart w:id="721" w:name="_Toc16854344"/>
      <w:bookmarkStart w:id="722" w:name="_Toc16855167"/>
      <w:bookmarkStart w:id="723" w:name="_Toc16855993"/>
      <w:bookmarkStart w:id="724" w:name="_Toc16856814"/>
      <w:bookmarkStart w:id="725" w:name="_Toc16193089"/>
      <w:bookmarkStart w:id="726" w:name="_Toc16198135"/>
      <w:bookmarkStart w:id="727" w:name="_Toc16675871"/>
      <w:bookmarkStart w:id="728" w:name="_Toc16844288"/>
      <w:bookmarkStart w:id="729" w:name="_Toc16854345"/>
      <w:bookmarkStart w:id="730" w:name="_Toc16855168"/>
      <w:bookmarkStart w:id="731" w:name="_Toc16855994"/>
      <w:bookmarkStart w:id="732" w:name="_Toc16856815"/>
      <w:bookmarkStart w:id="733" w:name="_Toc16198150"/>
      <w:bookmarkStart w:id="734" w:name="_Toc16675886"/>
      <w:bookmarkStart w:id="735" w:name="_Toc16844303"/>
      <w:bookmarkStart w:id="736" w:name="_Toc16854360"/>
      <w:bookmarkStart w:id="737" w:name="_Toc16855183"/>
      <w:bookmarkStart w:id="738" w:name="_Toc16856009"/>
      <w:bookmarkStart w:id="739" w:name="_Toc16856830"/>
      <w:bookmarkStart w:id="740" w:name="_Toc16193105"/>
      <w:bookmarkStart w:id="741" w:name="_Toc16198151"/>
      <w:bookmarkStart w:id="742" w:name="_Toc16675887"/>
      <w:bookmarkStart w:id="743" w:name="_Toc16844304"/>
      <w:bookmarkStart w:id="744" w:name="_Toc16854361"/>
      <w:bookmarkStart w:id="745" w:name="_Toc16855184"/>
      <w:bookmarkStart w:id="746" w:name="_Toc16856010"/>
      <w:bookmarkStart w:id="747" w:name="_Toc16856831"/>
      <w:bookmarkStart w:id="748" w:name="_Toc16193106"/>
      <w:bookmarkStart w:id="749" w:name="_Toc16198152"/>
      <w:bookmarkStart w:id="750" w:name="_Toc16675888"/>
      <w:bookmarkStart w:id="751" w:name="_Toc16844305"/>
      <w:bookmarkStart w:id="752" w:name="_Toc16854362"/>
      <w:bookmarkStart w:id="753" w:name="_Toc16855185"/>
      <w:bookmarkStart w:id="754" w:name="_Toc16856011"/>
      <w:bookmarkStart w:id="755" w:name="_Toc16856832"/>
      <w:bookmarkStart w:id="756" w:name="_Toc16193107"/>
      <w:bookmarkStart w:id="757" w:name="_Toc16198153"/>
      <w:bookmarkStart w:id="758" w:name="_Toc16675889"/>
      <w:bookmarkStart w:id="759" w:name="_Toc16844306"/>
      <w:bookmarkStart w:id="760" w:name="_Toc16854363"/>
      <w:bookmarkStart w:id="761" w:name="_Toc16855186"/>
      <w:bookmarkStart w:id="762" w:name="_Toc16856012"/>
      <w:bookmarkStart w:id="763" w:name="_Toc16856833"/>
      <w:bookmarkStart w:id="764" w:name="_Toc16193108"/>
      <w:bookmarkStart w:id="765" w:name="_Toc16198154"/>
      <w:bookmarkStart w:id="766" w:name="_Toc16675890"/>
      <w:bookmarkStart w:id="767" w:name="_Toc16844307"/>
      <w:bookmarkStart w:id="768" w:name="_Toc16854364"/>
      <w:bookmarkStart w:id="769" w:name="_Toc16855187"/>
      <w:bookmarkStart w:id="770" w:name="_Toc16856013"/>
      <w:bookmarkStart w:id="771" w:name="_Toc16856834"/>
      <w:bookmarkStart w:id="772" w:name="_Toc16193109"/>
      <w:bookmarkStart w:id="773" w:name="_Toc16198155"/>
      <w:bookmarkStart w:id="774" w:name="_Toc16675891"/>
      <w:bookmarkStart w:id="775" w:name="_Toc16844308"/>
      <w:bookmarkStart w:id="776" w:name="_Toc16854365"/>
      <w:bookmarkStart w:id="777" w:name="_Toc16855188"/>
      <w:bookmarkStart w:id="778" w:name="_Toc16856014"/>
      <w:bookmarkStart w:id="779" w:name="_Toc16856835"/>
      <w:bookmarkStart w:id="780" w:name="_Toc16193110"/>
      <w:bookmarkStart w:id="781" w:name="_Toc16198156"/>
      <w:bookmarkStart w:id="782" w:name="_Toc16675892"/>
      <w:bookmarkStart w:id="783" w:name="_Toc16844309"/>
      <w:bookmarkStart w:id="784" w:name="_Toc16854366"/>
      <w:bookmarkStart w:id="785" w:name="_Toc16855189"/>
      <w:bookmarkStart w:id="786" w:name="_Toc16856015"/>
      <w:bookmarkStart w:id="787" w:name="_Toc16856836"/>
      <w:bookmarkStart w:id="788" w:name="_Toc16193111"/>
      <w:bookmarkStart w:id="789" w:name="_Toc16198157"/>
      <w:bookmarkStart w:id="790" w:name="_Toc16675893"/>
      <w:bookmarkStart w:id="791" w:name="_Toc16844310"/>
      <w:bookmarkStart w:id="792" w:name="_Toc16854367"/>
      <w:bookmarkStart w:id="793" w:name="_Toc16855190"/>
      <w:bookmarkStart w:id="794" w:name="_Toc16856016"/>
      <w:bookmarkStart w:id="795" w:name="_Toc16856837"/>
      <w:bookmarkStart w:id="796" w:name="_Toc16193112"/>
      <w:bookmarkStart w:id="797" w:name="_Toc16198158"/>
      <w:bookmarkStart w:id="798" w:name="_Toc16675894"/>
      <w:bookmarkStart w:id="799" w:name="_Toc16844311"/>
      <w:bookmarkStart w:id="800" w:name="_Toc16854368"/>
      <w:bookmarkStart w:id="801" w:name="_Toc16855191"/>
      <w:bookmarkStart w:id="802" w:name="_Toc16856017"/>
      <w:bookmarkStart w:id="803" w:name="_Toc16856838"/>
      <w:bookmarkStart w:id="804" w:name="_Toc16193113"/>
      <w:bookmarkStart w:id="805" w:name="_Toc16198159"/>
      <w:bookmarkStart w:id="806" w:name="_Toc16675895"/>
      <w:bookmarkStart w:id="807" w:name="_Toc16844312"/>
      <w:bookmarkStart w:id="808" w:name="_Toc16854369"/>
      <w:bookmarkStart w:id="809" w:name="_Toc16855192"/>
      <w:bookmarkStart w:id="810" w:name="_Toc16856018"/>
      <w:bookmarkStart w:id="811" w:name="_Toc16856839"/>
      <w:bookmarkStart w:id="812" w:name="_Toc16193114"/>
      <w:bookmarkStart w:id="813" w:name="_Toc16198160"/>
      <w:bookmarkStart w:id="814" w:name="_Toc16675896"/>
      <w:bookmarkStart w:id="815" w:name="_Toc16844313"/>
      <w:bookmarkStart w:id="816" w:name="_Toc16854370"/>
      <w:bookmarkStart w:id="817" w:name="_Toc16855193"/>
      <w:bookmarkStart w:id="818" w:name="_Toc16856019"/>
      <w:bookmarkStart w:id="819" w:name="_Toc16856840"/>
      <w:bookmarkStart w:id="820" w:name="_Toc16193115"/>
      <w:bookmarkStart w:id="821" w:name="_Toc16198161"/>
      <w:bookmarkStart w:id="822" w:name="_Toc16675897"/>
      <w:bookmarkStart w:id="823" w:name="_Toc16844314"/>
      <w:bookmarkStart w:id="824" w:name="_Toc16854371"/>
      <w:bookmarkStart w:id="825" w:name="_Toc16855194"/>
      <w:bookmarkStart w:id="826" w:name="_Toc16856020"/>
      <w:bookmarkStart w:id="827" w:name="_Toc16856841"/>
      <w:bookmarkStart w:id="828" w:name="_Toc16193116"/>
      <w:bookmarkStart w:id="829" w:name="_Toc16198162"/>
      <w:bookmarkStart w:id="830" w:name="_Toc16675898"/>
      <w:bookmarkStart w:id="831" w:name="_Toc16844315"/>
      <w:bookmarkStart w:id="832" w:name="_Toc16854372"/>
      <w:bookmarkStart w:id="833" w:name="_Toc16855195"/>
      <w:bookmarkStart w:id="834" w:name="_Toc16856021"/>
      <w:bookmarkStart w:id="835" w:name="_Toc16856842"/>
      <w:bookmarkStart w:id="836" w:name="_Toc16193117"/>
      <w:bookmarkStart w:id="837" w:name="_Toc16198163"/>
      <w:bookmarkStart w:id="838" w:name="_Toc16675899"/>
      <w:bookmarkStart w:id="839" w:name="_Toc16844316"/>
      <w:bookmarkStart w:id="840" w:name="_Toc16854373"/>
      <w:bookmarkStart w:id="841" w:name="_Toc16855196"/>
      <w:bookmarkStart w:id="842" w:name="_Toc16856022"/>
      <w:bookmarkStart w:id="843" w:name="_Toc16856843"/>
      <w:bookmarkStart w:id="844" w:name="_Toc16193118"/>
      <w:bookmarkStart w:id="845" w:name="_Toc16198164"/>
      <w:bookmarkStart w:id="846" w:name="_Toc16675900"/>
      <w:bookmarkStart w:id="847" w:name="_Toc16844317"/>
      <w:bookmarkStart w:id="848" w:name="_Toc16854374"/>
      <w:bookmarkStart w:id="849" w:name="_Toc16855197"/>
      <w:bookmarkStart w:id="850" w:name="_Toc16856023"/>
      <w:bookmarkStart w:id="851" w:name="_Toc16856844"/>
      <w:bookmarkStart w:id="852" w:name="_Toc16193119"/>
      <w:bookmarkStart w:id="853" w:name="_Toc16198165"/>
      <w:bookmarkStart w:id="854" w:name="_Toc16675901"/>
      <w:bookmarkStart w:id="855" w:name="_Toc16844318"/>
      <w:bookmarkStart w:id="856" w:name="_Toc16854375"/>
      <w:bookmarkStart w:id="857" w:name="_Toc16855198"/>
      <w:bookmarkStart w:id="858" w:name="_Toc16856024"/>
      <w:bookmarkStart w:id="859" w:name="_Toc16856845"/>
      <w:bookmarkStart w:id="860" w:name="_Toc16193120"/>
      <w:bookmarkStart w:id="861" w:name="_Toc16198166"/>
      <w:bookmarkStart w:id="862" w:name="_Toc16675902"/>
      <w:bookmarkStart w:id="863" w:name="_Toc16844319"/>
      <w:bookmarkStart w:id="864" w:name="_Toc16854376"/>
      <w:bookmarkStart w:id="865" w:name="_Toc16855199"/>
      <w:bookmarkStart w:id="866" w:name="_Toc16856025"/>
      <w:bookmarkStart w:id="867" w:name="_Toc16856846"/>
      <w:bookmarkStart w:id="868" w:name="_Toc16193121"/>
      <w:bookmarkStart w:id="869" w:name="_Toc16198167"/>
      <w:bookmarkStart w:id="870" w:name="_Toc16675903"/>
      <w:bookmarkStart w:id="871" w:name="_Toc16844320"/>
      <w:bookmarkStart w:id="872" w:name="_Toc16854377"/>
      <w:bookmarkStart w:id="873" w:name="_Toc16855200"/>
      <w:bookmarkStart w:id="874" w:name="_Toc16856026"/>
      <w:bookmarkStart w:id="875" w:name="_Toc16856847"/>
      <w:bookmarkStart w:id="876" w:name="_Toc16193122"/>
      <w:bookmarkStart w:id="877" w:name="_Toc16198168"/>
      <w:bookmarkStart w:id="878" w:name="_Toc16675904"/>
      <w:bookmarkStart w:id="879" w:name="_Toc16844321"/>
      <w:bookmarkStart w:id="880" w:name="_Toc16854378"/>
      <w:bookmarkStart w:id="881" w:name="_Toc16855201"/>
      <w:bookmarkStart w:id="882" w:name="_Toc16856027"/>
      <w:bookmarkStart w:id="883" w:name="_Toc16856848"/>
      <w:bookmarkStart w:id="884" w:name="_Toc16193123"/>
      <w:bookmarkStart w:id="885" w:name="_Toc16198169"/>
      <w:bookmarkStart w:id="886" w:name="_Toc16675905"/>
      <w:bookmarkStart w:id="887" w:name="_Toc16844322"/>
      <w:bookmarkStart w:id="888" w:name="_Toc16854379"/>
      <w:bookmarkStart w:id="889" w:name="_Toc16855202"/>
      <w:bookmarkStart w:id="890" w:name="_Toc16856028"/>
      <w:bookmarkStart w:id="891" w:name="_Toc16856849"/>
      <w:bookmarkStart w:id="892" w:name="_Toc16193124"/>
      <w:bookmarkStart w:id="893" w:name="_Toc16198170"/>
      <w:bookmarkStart w:id="894" w:name="_Toc16675906"/>
      <w:bookmarkStart w:id="895" w:name="_Toc16844323"/>
      <w:bookmarkStart w:id="896" w:name="_Toc16854380"/>
      <w:bookmarkStart w:id="897" w:name="_Toc16855203"/>
      <w:bookmarkStart w:id="898" w:name="_Toc16856029"/>
      <w:bookmarkStart w:id="899" w:name="_Toc16856850"/>
      <w:bookmarkStart w:id="900" w:name="_Toc16193125"/>
      <w:bookmarkStart w:id="901" w:name="_Toc16198171"/>
      <w:bookmarkStart w:id="902" w:name="_Toc16675907"/>
      <w:bookmarkStart w:id="903" w:name="_Toc16844324"/>
      <w:bookmarkStart w:id="904" w:name="_Toc16854381"/>
      <w:bookmarkStart w:id="905" w:name="_Toc16855204"/>
      <w:bookmarkStart w:id="906" w:name="_Toc16856030"/>
      <w:bookmarkStart w:id="907" w:name="_Toc16856851"/>
      <w:bookmarkStart w:id="908" w:name="_Toc16193126"/>
      <w:bookmarkStart w:id="909" w:name="_Toc16198172"/>
      <w:bookmarkStart w:id="910" w:name="_Toc16675908"/>
      <w:bookmarkStart w:id="911" w:name="_Toc16844325"/>
      <w:bookmarkStart w:id="912" w:name="_Toc16854382"/>
      <w:bookmarkStart w:id="913" w:name="_Toc16855205"/>
      <w:bookmarkStart w:id="914" w:name="_Toc16856031"/>
      <w:bookmarkStart w:id="915" w:name="_Toc16856852"/>
      <w:bookmarkStart w:id="916" w:name="_Toc16193127"/>
      <w:bookmarkStart w:id="917" w:name="_Toc16198173"/>
      <w:bookmarkStart w:id="918" w:name="_Toc16675909"/>
      <w:bookmarkStart w:id="919" w:name="_Toc16844326"/>
      <w:bookmarkStart w:id="920" w:name="_Toc16854383"/>
      <w:bookmarkStart w:id="921" w:name="_Toc16855206"/>
      <w:bookmarkStart w:id="922" w:name="_Toc16856032"/>
      <w:bookmarkStart w:id="923" w:name="_Toc16856853"/>
      <w:bookmarkStart w:id="924" w:name="_Toc16193128"/>
      <w:bookmarkStart w:id="925" w:name="_Toc16198174"/>
      <w:bookmarkStart w:id="926" w:name="_Toc16675910"/>
      <w:bookmarkStart w:id="927" w:name="_Toc16844327"/>
      <w:bookmarkStart w:id="928" w:name="_Toc16854384"/>
      <w:bookmarkStart w:id="929" w:name="_Toc16855207"/>
      <w:bookmarkStart w:id="930" w:name="_Toc16856033"/>
      <w:bookmarkStart w:id="931" w:name="_Toc16856854"/>
      <w:bookmarkStart w:id="932" w:name="_Toc16193129"/>
      <w:bookmarkStart w:id="933" w:name="_Toc16198175"/>
      <w:bookmarkStart w:id="934" w:name="_Toc16675911"/>
      <w:bookmarkStart w:id="935" w:name="_Toc16844328"/>
      <w:bookmarkStart w:id="936" w:name="_Toc16854385"/>
      <w:bookmarkStart w:id="937" w:name="_Toc16855208"/>
      <w:bookmarkStart w:id="938" w:name="_Toc16856034"/>
      <w:bookmarkStart w:id="939" w:name="_Toc16856855"/>
      <w:bookmarkStart w:id="940" w:name="_Toc16193130"/>
      <w:bookmarkStart w:id="941" w:name="_Toc16198176"/>
      <w:bookmarkStart w:id="942" w:name="_Toc16675912"/>
      <w:bookmarkStart w:id="943" w:name="_Toc16844329"/>
      <w:bookmarkStart w:id="944" w:name="_Toc16854386"/>
      <w:bookmarkStart w:id="945" w:name="_Toc16855209"/>
      <w:bookmarkStart w:id="946" w:name="_Toc16856035"/>
      <w:bookmarkStart w:id="947" w:name="_Toc16856856"/>
      <w:bookmarkStart w:id="948" w:name="_Toc16193131"/>
      <w:bookmarkStart w:id="949" w:name="_Toc16198177"/>
      <w:bookmarkStart w:id="950" w:name="_Toc16675913"/>
      <w:bookmarkStart w:id="951" w:name="_Toc16844330"/>
      <w:bookmarkStart w:id="952" w:name="_Toc16854387"/>
      <w:bookmarkStart w:id="953" w:name="_Toc16855210"/>
      <w:bookmarkStart w:id="954" w:name="_Toc16856036"/>
      <w:bookmarkStart w:id="955" w:name="_Toc16856857"/>
      <w:bookmarkStart w:id="956" w:name="_Toc16193132"/>
      <w:bookmarkStart w:id="957" w:name="_Toc16198178"/>
      <w:bookmarkStart w:id="958" w:name="_Toc16675914"/>
      <w:bookmarkStart w:id="959" w:name="_Toc16844331"/>
      <w:bookmarkStart w:id="960" w:name="_Toc16854388"/>
      <w:bookmarkStart w:id="961" w:name="_Toc16855211"/>
      <w:bookmarkStart w:id="962" w:name="_Toc16856037"/>
      <w:bookmarkStart w:id="963" w:name="_Toc16856858"/>
      <w:bookmarkStart w:id="964" w:name="_Toc16198179"/>
      <w:bookmarkStart w:id="965" w:name="_Toc16675915"/>
      <w:bookmarkStart w:id="966" w:name="_Toc16844332"/>
      <w:bookmarkStart w:id="967" w:name="_Toc16854389"/>
      <w:bookmarkStart w:id="968" w:name="_Toc16855212"/>
      <w:bookmarkStart w:id="969" w:name="_Toc16856038"/>
      <w:bookmarkStart w:id="970" w:name="_Toc16856859"/>
      <w:bookmarkStart w:id="971" w:name="_Toc16198189"/>
      <w:bookmarkStart w:id="972" w:name="_Toc16675925"/>
      <w:bookmarkStart w:id="973" w:name="_Toc16844342"/>
      <w:bookmarkStart w:id="974" w:name="_Toc16854399"/>
      <w:bookmarkStart w:id="975" w:name="_Toc16855222"/>
      <w:bookmarkStart w:id="976" w:name="_Toc16856048"/>
      <w:bookmarkStart w:id="977" w:name="_Toc16856869"/>
      <w:bookmarkStart w:id="978" w:name="_Toc16198190"/>
      <w:bookmarkStart w:id="979" w:name="_Toc16675926"/>
      <w:bookmarkStart w:id="980" w:name="_Toc16844343"/>
      <w:bookmarkStart w:id="981" w:name="_Toc16854400"/>
      <w:bookmarkStart w:id="982" w:name="_Toc16855223"/>
      <w:bookmarkStart w:id="983" w:name="_Toc16856049"/>
      <w:bookmarkStart w:id="984" w:name="_Toc16856870"/>
      <w:bookmarkStart w:id="985" w:name="_Toc16198191"/>
      <w:bookmarkStart w:id="986" w:name="_Toc16675927"/>
      <w:bookmarkStart w:id="987" w:name="_Toc16844344"/>
      <w:bookmarkStart w:id="988" w:name="_Toc16854401"/>
      <w:bookmarkStart w:id="989" w:name="_Toc16855224"/>
      <w:bookmarkStart w:id="990" w:name="_Toc16856050"/>
      <w:bookmarkStart w:id="991" w:name="_Toc16856871"/>
      <w:bookmarkStart w:id="992" w:name="_Toc16198192"/>
      <w:bookmarkStart w:id="993" w:name="_Toc16675928"/>
      <w:bookmarkStart w:id="994" w:name="_Toc16844345"/>
      <w:bookmarkStart w:id="995" w:name="_Toc16854402"/>
      <w:bookmarkStart w:id="996" w:name="_Toc16855225"/>
      <w:bookmarkStart w:id="997" w:name="_Toc16856051"/>
      <w:bookmarkStart w:id="998" w:name="_Toc16856872"/>
      <w:bookmarkStart w:id="999" w:name="_Toc16198193"/>
      <w:bookmarkStart w:id="1000" w:name="_Toc16675929"/>
      <w:bookmarkStart w:id="1001" w:name="_Toc16844346"/>
      <w:bookmarkStart w:id="1002" w:name="_Toc16854403"/>
      <w:bookmarkStart w:id="1003" w:name="_Toc16855226"/>
      <w:bookmarkStart w:id="1004" w:name="_Toc16856052"/>
      <w:bookmarkStart w:id="1005" w:name="_Toc16856873"/>
      <w:bookmarkStart w:id="1006" w:name="_Toc16198194"/>
      <w:bookmarkStart w:id="1007" w:name="_Toc16675930"/>
      <w:bookmarkStart w:id="1008" w:name="_Toc16844347"/>
      <w:bookmarkStart w:id="1009" w:name="_Toc16854404"/>
      <w:bookmarkStart w:id="1010" w:name="_Toc16855227"/>
      <w:bookmarkStart w:id="1011" w:name="_Toc16856053"/>
      <w:bookmarkStart w:id="1012" w:name="_Toc16856874"/>
      <w:bookmarkStart w:id="1013" w:name="_Toc16198195"/>
      <w:bookmarkStart w:id="1014" w:name="_Toc16675931"/>
      <w:bookmarkStart w:id="1015" w:name="_Toc16844348"/>
      <w:bookmarkStart w:id="1016" w:name="_Toc16854405"/>
      <w:bookmarkStart w:id="1017" w:name="_Toc16855228"/>
      <w:bookmarkStart w:id="1018" w:name="_Toc16856054"/>
      <w:bookmarkStart w:id="1019" w:name="_Toc16856875"/>
      <w:bookmarkStart w:id="1020" w:name="_Toc16198196"/>
      <w:bookmarkStart w:id="1021" w:name="_Toc16675932"/>
      <w:bookmarkStart w:id="1022" w:name="_Toc16844349"/>
      <w:bookmarkStart w:id="1023" w:name="_Toc16854406"/>
      <w:bookmarkStart w:id="1024" w:name="_Toc16855229"/>
      <w:bookmarkStart w:id="1025" w:name="_Toc16856055"/>
      <w:bookmarkStart w:id="1026" w:name="_Toc16856876"/>
      <w:bookmarkStart w:id="1027" w:name="_Toc16198197"/>
      <w:bookmarkStart w:id="1028" w:name="_Toc16675933"/>
      <w:bookmarkStart w:id="1029" w:name="_Toc16844350"/>
      <w:bookmarkStart w:id="1030" w:name="_Toc16854407"/>
      <w:bookmarkStart w:id="1031" w:name="_Toc16855230"/>
      <w:bookmarkStart w:id="1032" w:name="_Toc16856056"/>
      <w:bookmarkStart w:id="1033" w:name="_Toc16856877"/>
      <w:bookmarkStart w:id="1034" w:name="_Toc16198198"/>
      <w:bookmarkStart w:id="1035" w:name="_Toc16675934"/>
      <w:bookmarkStart w:id="1036" w:name="_Toc16844351"/>
      <w:bookmarkStart w:id="1037" w:name="_Toc16854408"/>
      <w:bookmarkStart w:id="1038" w:name="_Toc16855231"/>
      <w:bookmarkStart w:id="1039" w:name="_Toc16856057"/>
      <w:bookmarkStart w:id="1040" w:name="_Toc16856878"/>
      <w:bookmarkStart w:id="1041" w:name="_Toc16198199"/>
      <w:bookmarkStart w:id="1042" w:name="_Toc16675935"/>
      <w:bookmarkStart w:id="1043" w:name="_Toc16844352"/>
      <w:bookmarkStart w:id="1044" w:name="_Toc16854409"/>
      <w:bookmarkStart w:id="1045" w:name="_Toc16855232"/>
      <w:bookmarkStart w:id="1046" w:name="_Toc16856058"/>
      <w:bookmarkStart w:id="1047" w:name="_Toc16856879"/>
      <w:bookmarkStart w:id="1048" w:name="_Toc16198200"/>
      <w:bookmarkStart w:id="1049" w:name="_Toc16675936"/>
      <w:bookmarkStart w:id="1050" w:name="_Toc16844353"/>
      <w:bookmarkStart w:id="1051" w:name="_Toc16854410"/>
      <w:bookmarkStart w:id="1052" w:name="_Toc16855233"/>
      <w:bookmarkStart w:id="1053" w:name="_Toc16856059"/>
      <w:bookmarkStart w:id="1054" w:name="_Toc16856880"/>
      <w:bookmarkStart w:id="1055" w:name="_Toc16198201"/>
      <w:bookmarkStart w:id="1056" w:name="_Toc16675937"/>
      <w:bookmarkStart w:id="1057" w:name="_Toc16844354"/>
      <w:bookmarkStart w:id="1058" w:name="_Toc16854411"/>
      <w:bookmarkStart w:id="1059" w:name="_Toc16855234"/>
      <w:bookmarkStart w:id="1060" w:name="_Toc16856060"/>
      <w:bookmarkStart w:id="1061" w:name="_Toc16856881"/>
      <w:bookmarkStart w:id="1062" w:name="_Toc16198202"/>
      <w:bookmarkStart w:id="1063" w:name="_Toc16675938"/>
      <w:bookmarkStart w:id="1064" w:name="_Toc16844355"/>
      <w:bookmarkStart w:id="1065" w:name="_Toc16854412"/>
      <w:bookmarkStart w:id="1066" w:name="_Toc16855235"/>
      <w:bookmarkStart w:id="1067" w:name="_Toc16856061"/>
      <w:bookmarkStart w:id="1068" w:name="_Toc16856882"/>
      <w:bookmarkStart w:id="1069" w:name="_Toc16198203"/>
      <w:bookmarkStart w:id="1070" w:name="_Toc16675939"/>
      <w:bookmarkStart w:id="1071" w:name="_Toc16844356"/>
      <w:bookmarkStart w:id="1072" w:name="_Toc16854413"/>
      <w:bookmarkStart w:id="1073" w:name="_Toc16855236"/>
      <w:bookmarkStart w:id="1074" w:name="_Toc16856062"/>
      <w:bookmarkStart w:id="1075" w:name="_Toc16856883"/>
      <w:bookmarkStart w:id="1076" w:name="_Toc16198204"/>
      <w:bookmarkStart w:id="1077" w:name="_Toc16675940"/>
      <w:bookmarkStart w:id="1078" w:name="_Toc16844357"/>
      <w:bookmarkStart w:id="1079" w:name="_Toc16854414"/>
      <w:bookmarkStart w:id="1080" w:name="_Toc16855237"/>
      <w:bookmarkStart w:id="1081" w:name="_Toc16856063"/>
      <w:bookmarkStart w:id="1082" w:name="_Toc16856884"/>
      <w:bookmarkStart w:id="1083" w:name="_Toc16198205"/>
      <w:bookmarkStart w:id="1084" w:name="_Toc16675941"/>
      <w:bookmarkStart w:id="1085" w:name="_Toc16844358"/>
      <w:bookmarkStart w:id="1086" w:name="_Toc16854415"/>
      <w:bookmarkStart w:id="1087" w:name="_Toc16855238"/>
      <w:bookmarkStart w:id="1088" w:name="_Toc16856064"/>
      <w:bookmarkStart w:id="1089" w:name="_Toc16856885"/>
      <w:bookmarkStart w:id="1090" w:name="_Toc16198206"/>
      <w:bookmarkStart w:id="1091" w:name="_Toc16675942"/>
      <w:bookmarkStart w:id="1092" w:name="_Toc16844359"/>
      <w:bookmarkStart w:id="1093" w:name="_Toc16854416"/>
      <w:bookmarkStart w:id="1094" w:name="_Toc16855239"/>
      <w:bookmarkStart w:id="1095" w:name="_Toc16856065"/>
      <w:bookmarkStart w:id="1096" w:name="_Toc16856886"/>
      <w:bookmarkStart w:id="1097" w:name="_Toc16198207"/>
      <w:bookmarkStart w:id="1098" w:name="_Toc16675943"/>
      <w:bookmarkStart w:id="1099" w:name="_Toc16844360"/>
      <w:bookmarkStart w:id="1100" w:name="_Toc16854417"/>
      <w:bookmarkStart w:id="1101" w:name="_Toc16855240"/>
      <w:bookmarkStart w:id="1102" w:name="_Toc16856066"/>
      <w:bookmarkStart w:id="1103" w:name="_Toc16856887"/>
      <w:bookmarkStart w:id="1104" w:name="_Toc16198208"/>
      <w:bookmarkStart w:id="1105" w:name="_Toc16675944"/>
      <w:bookmarkStart w:id="1106" w:name="_Toc16844361"/>
      <w:bookmarkStart w:id="1107" w:name="_Toc16854418"/>
      <w:bookmarkStart w:id="1108" w:name="_Toc16855241"/>
      <w:bookmarkStart w:id="1109" w:name="_Toc16856067"/>
      <w:bookmarkStart w:id="1110" w:name="_Toc16856888"/>
      <w:bookmarkStart w:id="1111" w:name="_Toc16198209"/>
      <w:bookmarkStart w:id="1112" w:name="_Toc16675945"/>
      <w:bookmarkStart w:id="1113" w:name="_Toc16844362"/>
      <w:bookmarkStart w:id="1114" w:name="_Toc16854419"/>
      <w:bookmarkStart w:id="1115" w:name="_Toc16855242"/>
      <w:bookmarkStart w:id="1116" w:name="_Toc16856068"/>
      <w:bookmarkStart w:id="1117" w:name="_Toc16856889"/>
      <w:bookmarkStart w:id="1118" w:name="_Toc16675946"/>
      <w:bookmarkStart w:id="1119" w:name="_Toc16844363"/>
      <w:bookmarkStart w:id="1120" w:name="_Toc16854420"/>
      <w:bookmarkStart w:id="1121" w:name="_Toc16855243"/>
      <w:bookmarkStart w:id="1122" w:name="_Toc16856069"/>
      <w:bookmarkStart w:id="1123" w:name="_Toc16856890"/>
      <w:bookmarkStart w:id="1124" w:name="_Toc16675954"/>
      <w:bookmarkStart w:id="1125" w:name="_Toc16844371"/>
      <w:bookmarkStart w:id="1126" w:name="_Toc16854428"/>
      <w:bookmarkStart w:id="1127" w:name="_Toc16855251"/>
      <w:bookmarkStart w:id="1128" w:name="_Toc16856077"/>
      <w:bookmarkStart w:id="1129" w:name="_Toc16856898"/>
      <w:bookmarkStart w:id="1130" w:name="_Toc16675955"/>
      <w:bookmarkStart w:id="1131" w:name="_Toc16844372"/>
      <w:bookmarkStart w:id="1132" w:name="_Toc16854429"/>
      <w:bookmarkStart w:id="1133" w:name="_Toc16855252"/>
      <w:bookmarkStart w:id="1134" w:name="_Toc16856078"/>
      <w:bookmarkStart w:id="1135" w:name="_Toc16856899"/>
      <w:bookmarkStart w:id="1136" w:name="_Toc16675956"/>
      <w:bookmarkStart w:id="1137" w:name="_Toc16844373"/>
      <w:bookmarkStart w:id="1138" w:name="_Toc16854430"/>
      <w:bookmarkStart w:id="1139" w:name="_Toc16855253"/>
      <w:bookmarkStart w:id="1140" w:name="_Toc16856079"/>
      <w:bookmarkStart w:id="1141" w:name="_Toc16856900"/>
      <w:bookmarkStart w:id="1142" w:name="_Toc16675957"/>
      <w:bookmarkStart w:id="1143" w:name="_Toc16844374"/>
      <w:bookmarkStart w:id="1144" w:name="_Toc16854431"/>
      <w:bookmarkStart w:id="1145" w:name="_Toc16855254"/>
      <w:bookmarkStart w:id="1146" w:name="_Toc16856080"/>
      <w:bookmarkStart w:id="1147" w:name="_Toc16856901"/>
      <w:bookmarkStart w:id="1148" w:name="_Toc16675958"/>
      <w:bookmarkStart w:id="1149" w:name="_Toc16844375"/>
      <w:bookmarkStart w:id="1150" w:name="_Toc16854432"/>
      <w:bookmarkStart w:id="1151" w:name="_Toc16855255"/>
      <w:bookmarkStart w:id="1152" w:name="_Toc16856081"/>
      <w:bookmarkStart w:id="1153" w:name="_Toc16856902"/>
      <w:bookmarkStart w:id="1154" w:name="_Toc16675959"/>
      <w:bookmarkStart w:id="1155" w:name="_Toc16844376"/>
      <w:bookmarkStart w:id="1156" w:name="_Toc16854433"/>
      <w:bookmarkStart w:id="1157" w:name="_Toc16855256"/>
      <w:bookmarkStart w:id="1158" w:name="_Toc16856082"/>
      <w:bookmarkStart w:id="1159" w:name="_Toc16856903"/>
      <w:bookmarkStart w:id="1160" w:name="_Toc16675960"/>
      <w:bookmarkStart w:id="1161" w:name="_Toc16844377"/>
      <w:bookmarkStart w:id="1162" w:name="_Toc16854434"/>
      <w:bookmarkStart w:id="1163" w:name="_Toc16855257"/>
      <w:bookmarkStart w:id="1164" w:name="_Toc16856083"/>
      <w:bookmarkStart w:id="1165" w:name="_Toc16856904"/>
      <w:bookmarkStart w:id="1166" w:name="_Toc16675961"/>
      <w:bookmarkStart w:id="1167" w:name="_Toc16844378"/>
      <w:bookmarkStart w:id="1168" w:name="_Toc16854435"/>
      <w:bookmarkStart w:id="1169" w:name="_Toc16855258"/>
      <w:bookmarkStart w:id="1170" w:name="_Toc16856084"/>
      <w:bookmarkStart w:id="1171" w:name="_Toc16856905"/>
      <w:bookmarkStart w:id="1172" w:name="_Toc16675962"/>
      <w:bookmarkStart w:id="1173" w:name="_Toc16844379"/>
      <w:bookmarkStart w:id="1174" w:name="_Toc16854436"/>
      <w:bookmarkStart w:id="1175" w:name="_Toc16855259"/>
      <w:bookmarkStart w:id="1176" w:name="_Toc16856085"/>
      <w:bookmarkStart w:id="1177" w:name="_Toc16856906"/>
      <w:bookmarkStart w:id="1178" w:name="_Toc16675963"/>
      <w:bookmarkStart w:id="1179" w:name="_Toc16844380"/>
      <w:bookmarkStart w:id="1180" w:name="_Toc16854437"/>
      <w:bookmarkStart w:id="1181" w:name="_Toc16855260"/>
      <w:bookmarkStart w:id="1182" w:name="_Toc16856086"/>
      <w:bookmarkStart w:id="1183" w:name="_Toc16856907"/>
      <w:bookmarkStart w:id="1184" w:name="_Toc16675964"/>
      <w:bookmarkStart w:id="1185" w:name="_Toc16844381"/>
      <w:bookmarkStart w:id="1186" w:name="_Toc16854438"/>
      <w:bookmarkStart w:id="1187" w:name="_Toc16855261"/>
      <w:bookmarkStart w:id="1188" w:name="_Toc16856087"/>
      <w:bookmarkStart w:id="1189" w:name="_Toc16856908"/>
      <w:bookmarkStart w:id="1190" w:name="_Toc16675965"/>
      <w:bookmarkStart w:id="1191" w:name="_Toc16844382"/>
      <w:bookmarkStart w:id="1192" w:name="_Toc16854439"/>
      <w:bookmarkStart w:id="1193" w:name="_Toc16855262"/>
      <w:bookmarkStart w:id="1194" w:name="_Toc16856088"/>
      <w:bookmarkStart w:id="1195" w:name="_Toc16856909"/>
      <w:bookmarkStart w:id="1196" w:name="_Toc16675966"/>
      <w:bookmarkStart w:id="1197" w:name="_Toc16844383"/>
      <w:bookmarkStart w:id="1198" w:name="_Toc16854440"/>
      <w:bookmarkStart w:id="1199" w:name="_Toc16855263"/>
      <w:bookmarkStart w:id="1200" w:name="_Toc16856089"/>
      <w:bookmarkStart w:id="1201" w:name="_Toc16856910"/>
      <w:bookmarkStart w:id="1202" w:name="_Toc16675967"/>
      <w:bookmarkStart w:id="1203" w:name="_Toc16844384"/>
      <w:bookmarkStart w:id="1204" w:name="_Toc16854441"/>
      <w:bookmarkStart w:id="1205" w:name="_Toc16855264"/>
      <w:bookmarkStart w:id="1206" w:name="_Toc16856090"/>
      <w:bookmarkStart w:id="1207" w:name="_Toc16856911"/>
      <w:bookmarkStart w:id="1208" w:name="_Toc16675968"/>
      <w:bookmarkStart w:id="1209" w:name="_Toc16844385"/>
      <w:bookmarkStart w:id="1210" w:name="_Toc16854442"/>
      <w:bookmarkStart w:id="1211" w:name="_Toc16855265"/>
      <w:bookmarkStart w:id="1212" w:name="_Toc16856091"/>
      <w:bookmarkStart w:id="1213" w:name="_Toc16856912"/>
      <w:bookmarkStart w:id="1214" w:name="_Toc16675969"/>
      <w:bookmarkStart w:id="1215" w:name="_Toc16844386"/>
      <w:bookmarkStart w:id="1216" w:name="_Toc16854443"/>
      <w:bookmarkStart w:id="1217" w:name="_Toc16855266"/>
      <w:bookmarkStart w:id="1218" w:name="_Toc16856092"/>
      <w:bookmarkStart w:id="1219" w:name="_Toc16856913"/>
      <w:bookmarkStart w:id="1220" w:name="_Toc16675985"/>
      <w:bookmarkStart w:id="1221" w:name="_Toc16844402"/>
      <w:bookmarkStart w:id="1222" w:name="_Toc16854459"/>
      <w:bookmarkStart w:id="1223" w:name="_Toc16855282"/>
      <w:bookmarkStart w:id="1224" w:name="_Toc16856108"/>
      <w:bookmarkStart w:id="1225" w:name="_Toc16856929"/>
      <w:bookmarkStart w:id="1226" w:name="_Toc16675986"/>
      <w:bookmarkStart w:id="1227" w:name="_Toc16844403"/>
      <w:bookmarkStart w:id="1228" w:name="_Toc16854460"/>
      <w:bookmarkStart w:id="1229" w:name="_Toc16855283"/>
      <w:bookmarkStart w:id="1230" w:name="_Toc16856109"/>
      <w:bookmarkStart w:id="1231" w:name="_Toc16856930"/>
      <w:bookmarkStart w:id="1232" w:name="_Toc16675987"/>
      <w:bookmarkStart w:id="1233" w:name="_Toc16844404"/>
      <w:bookmarkStart w:id="1234" w:name="_Toc16854461"/>
      <w:bookmarkStart w:id="1235" w:name="_Toc16855284"/>
      <w:bookmarkStart w:id="1236" w:name="_Toc16856110"/>
      <w:bookmarkStart w:id="1237" w:name="_Toc16856931"/>
      <w:bookmarkStart w:id="1238" w:name="_Toc16675988"/>
      <w:bookmarkStart w:id="1239" w:name="_Toc16844405"/>
      <w:bookmarkStart w:id="1240" w:name="_Toc16854462"/>
      <w:bookmarkStart w:id="1241" w:name="_Toc16855285"/>
      <w:bookmarkStart w:id="1242" w:name="_Toc16856111"/>
      <w:bookmarkStart w:id="1243" w:name="_Toc16856932"/>
      <w:bookmarkStart w:id="1244" w:name="_Toc16675989"/>
      <w:bookmarkStart w:id="1245" w:name="_Toc16844406"/>
      <w:bookmarkStart w:id="1246" w:name="_Toc16854463"/>
      <w:bookmarkStart w:id="1247" w:name="_Toc16855286"/>
      <w:bookmarkStart w:id="1248" w:name="_Toc16856112"/>
      <w:bookmarkStart w:id="1249" w:name="_Toc16856933"/>
      <w:bookmarkStart w:id="1250" w:name="_Toc16675990"/>
      <w:bookmarkStart w:id="1251" w:name="_Toc16844407"/>
      <w:bookmarkStart w:id="1252" w:name="_Toc16854464"/>
      <w:bookmarkStart w:id="1253" w:name="_Toc16855287"/>
      <w:bookmarkStart w:id="1254" w:name="_Toc16856113"/>
      <w:bookmarkStart w:id="1255" w:name="_Toc16856934"/>
      <w:bookmarkStart w:id="1256" w:name="_Toc16675991"/>
      <w:bookmarkStart w:id="1257" w:name="_Toc16844408"/>
      <w:bookmarkStart w:id="1258" w:name="_Toc16854465"/>
      <w:bookmarkStart w:id="1259" w:name="_Toc16855288"/>
      <w:bookmarkStart w:id="1260" w:name="_Toc16856114"/>
      <w:bookmarkStart w:id="1261" w:name="_Toc16856935"/>
      <w:bookmarkStart w:id="1262" w:name="_Toc16675992"/>
      <w:bookmarkStart w:id="1263" w:name="_Toc16844409"/>
      <w:bookmarkStart w:id="1264" w:name="_Toc16854466"/>
      <w:bookmarkStart w:id="1265" w:name="_Toc16855289"/>
      <w:bookmarkStart w:id="1266" w:name="_Toc16856115"/>
      <w:bookmarkStart w:id="1267" w:name="_Toc16856936"/>
      <w:bookmarkStart w:id="1268" w:name="_Toc16675993"/>
      <w:bookmarkStart w:id="1269" w:name="_Toc16844410"/>
      <w:bookmarkStart w:id="1270" w:name="_Toc16854467"/>
      <w:bookmarkStart w:id="1271" w:name="_Toc16855290"/>
      <w:bookmarkStart w:id="1272" w:name="_Toc16856116"/>
      <w:bookmarkStart w:id="1273" w:name="_Toc16856937"/>
      <w:bookmarkStart w:id="1274" w:name="_Toc16675994"/>
      <w:bookmarkStart w:id="1275" w:name="_Toc16844411"/>
      <w:bookmarkStart w:id="1276" w:name="_Toc16854468"/>
      <w:bookmarkStart w:id="1277" w:name="_Toc16855291"/>
      <w:bookmarkStart w:id="1278" w:name="_Toc16856117"/>
      <w:bookmarkStart w:id="1279" w:name="_Toc16856938"/>
      <w:bookmarkStart w:id="1280" w:name="_Toc16675995"/>
      <w:bookmarkStart w:id="1281" w:name="_Toc16844412"/>
      <w:bookmarkStart w:id="1282" w:name="_Toc16854469"/>
      <w:bookmarkStart w:id="1283" w:name="_Toc16855292"/>
      <w:bookmarkStart w:id="1284" w:name="_Toc16856118"/>
      <w:bookmarkStart w:id="1285" w:name="_Toc16856939"/>
      <w:bookmarkStart w:id="1286" w:name="_Toc16675996"/>
      <w:bookmarkStart w:id="1287" w:name="_Toc16844413"/>
      <w:bookmarkStart w:id="1288" w:name="_Toc16854470"/>
      <w:bookmarkStart w:id="1289" w:name="_Toc16855293"/>
      <w:bookmarkStart w:id="1290" w:name="_Toc16856119"/>
      <w:bookmarkStart w:id="1291" w:name="_Toc16856940"/>
      <w:bookmarkStart w:id="1292" w:name="_Toc16675997"/>
      <w:bookmarkStart w:id="1293" w:name="_Toc16844414"/>
      <w:bookmarkStart w:id="1294" w:name="_Toc16854471"/>
      <w:bookmarkStart w:id="1295" w:name="_Toc16855294"/>
      <w:bookmarkStart w:id="1296" w:name="_Toc16856120"/>
      <w:bookmarkStart w:id="1297" w:name="_Toc16856941"/>
      <w:bookmarkStart w:id="1298" w:name="_Toc16193140"/>
      <w:bookmarkStart w:id="1299" w:name="_Toc16198214"/>
      <w:bookmarkStart w:id="1300" w:name="_Toc16675998"/>
      <w:bookmarkStart w:id="1301" w:name="_Toc16844415"/>
      <w:bookmarkStart w:id="1302" w:name="_Toc16854472"/>
      <w:bookmarkStart w:id="1303" w:name="_Toc16855295"/>
      <w:bookmarkStart w:id="1304" w:name="_Toc16856121"/>
      <w:bookmarkStart w:id="1305" w:name="_Toc16856942"/>
      <w:bookmarkStart w:id="1306" w:name="_Toc16193141"/>
      <w:bookmarkStart w:id="1307" w:name="_Toc16198215"/>
      <w:bookmarkStart w:id="1308" w:name="_Toc16675999"/>
      <w:bookmarkStart w:id="1309" w:name="_Toc16844416"/>
      <w:bookmarkStart w:id="1310" w:name="_Toc16854473"/>
      <w:bookmarkStart w:id="1311" w:name="_Toc16855296"/>
      <w:bookmarkStart w:id="1312" w:name="_Toc16856122"/>
      <w:bookmarkStart w:id="1313" w:name="_Toc16856943"/>
      <w:bookmarkStart w:id="1314" w:name="_Toc16193142"/>
      <w:bookmarkStart w:id="1315" w:name="_Toc16198216"/>
      <w:bookmarkStart w:id="1316" w:name="_Toc16676000"/>
      <w:bookmarkStart w:id="1317" w:name="_Toc16844417"/>
      <w:bookmarkStart w:id="1318" w:name="_Toc16854474"/>
      <w:bookmarkStart w:id="1319" w:name="_Toc16855297"/>
      <w:bookmarkStart w:id="1320" w:name="_Toc16856123"/>
      <w:bookmarkStart w:id="1321" w:name="_Toc16856944"/>
      <w:bookmarkStart w:id="1322" w:name="_Toc16193143"/>
      <w:bookmarkStart w:id="1323" w:name="_Toc16198217"/>
      <w:bookmarkStart w:id="1324" w:name="_Toc16676001"/>
      <w:bookmarkStart w:id="1325" w:name="_Toc16844418"/>
      <w:bookmarkStart w:id="1326" w:name="_Toc16854475"/>
      <w:bookmarkStart w:id="1327" w:name="_Toc16855298"/>
      <w:bookmarkStart w:id="1328" w:name="_Toc16856124"/>
      <w:bookmarkStart w:id="1329" w:name="_Toc16856945"/>
      <w:bookmarkStart w:id="1330" w:name="_Toc16193144"/>
      <w:bookmarkStart w:id="1331" w:name="_Toc16198218"/>
      <w:bookmarkStart w:id="1332" w:name="_Toc16676002"/>
      <w:bookmarkStart w:id="1333" w:name="_Toc16844419"/>
      <w:bookmarkStart w:id="1334" w:name="_Toc16854476"/>
      <w:bookmarkStart w:id="1335" w:name="_Toc16855299"/>
      <w:bookmarkStart w:id="1336" w:name="_Toc16856125"/>
      <w:bookmarkStart w:id="1337" w:name="_Toc16856946"/>
      <w:bookmarkStart w:id="1338" w:name="_Toc16193145"/>
      <w:bookmarkStart w:id="1339" w:name="_Toc16198219"/>
      <w:bookmarkStart w:id="1340" w:name="_Toc16676003"/>
      <w:bookmarkStart w:id="1341" w:name="_Toc16844420"/>
      <w:bookmarkStart w:id="1342" w:name="_Toc16854477"/>
      <w:bookmarkStart w:id="1343" w:name="_Toc16855300"/>
      <w:bookmarkStart w:id="1344" w:name="_Toc16856126"/>
      <w:bookmarkStart w:id="1345" w:name="_Toc16856947"/>
      <w:bookmarkStart w:id="1346" w:name="_Toc16193146"/>
      <w:bookmarkStart w:id="1347" w:name="_Toc16198220"/>
      <w:bookmarkStart w:id="1348" w:name="_Toc16676004"/>
      <w:bookmarkStart w:id="1349" w:name="_Toc16844421"/>
      <w:bookmarkStart w:id="1350" w:name="_Toc16854478"/>
      <w:bookmarkStart w:id="1351" w:name="_Toc16855301"/>
      <w:bookmarkStart w:id="1352" w:name="_Toc16856127"/>
      <w:bookmarkStart w:id="1353" w:name="_Toc16856948"/>
      <w:bookmarkStart w:id="1354" w:name="_Toc16193147"/>
      <w:bookmarkStart w:id="1355" w:name="_Toc16198221"/>
      <w:bookmarkStart w:id="1356" w:name="_Toc16676005"/>
      <w:bookmarkStart w:id="1357" w:name="_Toc16844422"/>
      <w:bookmarkStart w:id="1358" w:name="_Toc16854479"/>
      <w:bookmarkStart w:id="1359" w:name="_Toc16855302"/>
      <w:bookmarkStart w:id="1360" w:name="_Toc16856128"/>
      <w:bookmarkStart w:id="1361" w:name="_Toc16856949"/>
      <w:bookmarkStart w:id="1362" w:name="_Toc16193148"/>
      <w:bookmarkStart w:id="1363" w:name="_Toc16198222"/>
      <w:bookmarkStart w:id="1364" w:name="_Toc16676006"/>
      <w:bookmarkStart w:id="1365" w:name="_Toc16844423"/>
      <w:bookmarkStart w:id="1366" w:name="_Toc16854480"/>
      <w:bookmarkStart w:id="1367" w:name="_Toc16855303"/>
      <w:bookmarkStart w:id="1368" w:name="_Toc16856129"/>
      <w:bookmarkStart w:id="1369" w:name="_Toc16856950"/>
      <w:bookmarkStart w:id="1370" w:name="_Toc16193149"/>
      <w:bookmarkStart w:id="1371" w:name="_Toc16198223"/>
      <w:bookmarkStart w:id="1372" w:name="_Toc16676007"/>
      <w:bookmarkStart w:id="1373" w:name="_Toc16844424"/>
      <w:bookmarkStart w:id="1374" w:name="_Toc16854481"/>
      <w:bookmarkStart w:id="1375" w:name="_Toc16855304"/>
      <w:bookmarkStart w:id="1376" w:name="_Toc16856130"/>
      <w:bookmarkStart w:id="1377" w:name="_Toc16856951"/>
      <w:bookmarkStart w:id="1378" w:name="_Toc16193150"/>
      <w:bookmarkStart w:id="1379" w:name="_Toc16198224"/>
      <w:bookmarkStart w:id="1380" w:name="_Toc16676008"/>
      <w:bookmarkStart w:id="1381" w:name="_Toc16844425"/>
      <w:bookmarkStart w:id="1382" w:name="_Toc16854482"/>
      <w:bookmarkStart w:id="1383" w:name="_Toc16855305"/>
      <w:bookmarkStart w:id="1384" w:name="_Toc16856131"/>
      <w:bookmarkStart w:id="1385" w:name="_Toc16856952"/>
      <w:bookmarkStart w:id="1386" w:name="_Toc16193151"/>
      <w:bookmarkStart w:id="1387" w:name="_Toc16198225"/>
      <w:bookmarkStart w:id="1388" w:name="_Toc16676009"/>
      <w:bookmarkStart w:id="1389" w:name="_Toc16844426"/>
      <w:bookmarkStart w:id="1390" w:name="_Toc16854483"/>
      <w:bookmarkStart w:id="1391" w:name="_Toc16855306"/>
      <w:bookmarkStart w:id="1392" w:name="_Toc16856132"/>
      <w:bookmarkStart w:id="1393" w:name="_Toc16856953"/>
      <w:bookmarkStart w:id="1394" w:name="_Toc16193152"/>
      <w:bookmarkStart w:id="1395" w:name="_Toc16198226"/>
      <w:bookmarkStart w:id="1396" w:name="_Toc16676010"/>
      <w:bookmarkStart w:id="1397" w:name="_Toc16844427"/>
      <w:bookmarkStart w:id="1398" w:name="_Toc16854484"/>
      <w:bookmarkStart w:id="1399" w:name="_Toc16855307"/>
      <w:bookmarkStart w:id="1400" w:name="_Toc16856133"/>
      <w:bookmarkStart w:id="1401" w:name="_Toc16856954"/>
      <w:bookmarkStart w:id="1402" w:name="_Toc16193153"/>
      <w:bookmarkStart w:id="1403" w:name="_Toc16198227"/>
      <w:bookmarkStart w:id="1404" w:name="_Toc16676011"/>
      <w:bookmarkStart w:id="1405" w:name="_Toc16844428"/>
      <w:bookmarkStart w:id="1406" w:name="_Toc16854485"/>
      <w:bookmarkStart w:id="1407" w:name="_Toc16855308"/>
      <w:bookmarkStart w:id="1408" w:name="_Toc16856134"/>
      <w:bookmarkStart w:id="1409" w:name="_Toc16856955"/>
      <w:bookmarkStart w:id="1410" w:name="_Toc16193154"/>
      <w:bookmarkStart w:id="1411" w:name="_Toc16198228"/>
      <w:bookmarkStart w:id="1412" w:name="_Toc16676012"/>
      <w:bookmarkStart w:id="1413" w:name="_Toc16844429"/>
      <w:bookmarkStart w:id="1414" w:name="_Toc16854486"/>
      <w:bookmarkStart w:id="1415" w:name="_Toc16855309"/>
      <w:bookmarkStart w:id="1416" w:name="_Toc16856135"/>
      <w:bookmarkStart w:id="1417" w:name="_Toc16856956"/>
      <w:bookmarkStart w:id="1418" w:name="_Toc16193155"/>
      <w:bookmarkStart w:id="1419" w:name="_Toc16198229"/>
      <w:bookmarkStart w:id="1420" w:name="_Toc16676013"/>
      <w:bookmarkStart w:id="1421" w:name="_Toc16844430"/>
      <w:bookmarkStart w:id="1422" w:name="_Toc16854487"/>
      <w:bookmarkStart w:id="1423" w:name="_Toc16855310"/>
      <w:bookmarkStart w:id="1424" w:name="_Toc16856136"/>
      <w:bookmarkStart w:id="1425" w:name="_Toc16856957"/>
      <w:bookmarkStart w:id="1426" w:name="_Toc16193156"/>
      <w:bookmarkStart w:id="1427" w:name="_Toc16198230"/>
      <w:bookmarkStart w:id="1428" w:name="_Toc16676014"/>
      <w:bookmarkStart w:id="1429" w:name="_Toc16844431"/>
      <w:bookmarkStart w:id="1430" w:name="_Toc16854488"/>
      <w:bookmarkStart w:id="1431" w:name="_Toc16855311"/>
      <w:bookmarkStart w:id="1432" w:name="_Toc16856137"/>
      <w:bookmarkStart w:id="1433" w:name="_Toc16856958"/>
      <w:bookmarkStart w:id="1434" w:name="_Toc16193157"/>
      <w:bookmarkStart w:id="1435" w:name="_Toc16198231"/>
      <w:bookmarkStart w:id="1436" w:name="_Toc16676015"/>
      <w:bookmarkStart w:id="1437" w:name="_Toc16844432"/>
      <w:bookmarkStart w:id="1438" w:name="_Toc16854489"/>
      <w:bookmarkStart w:id="1439" w:name="_Toc16855312"/>
      <w:bookmarkStart w:id="1440" w:name="_Toc16856138"/>
      <w:bookmarkStart w:id="1441" w:name="_Toc16856959"/>
      <w:bookmarkStart w:id="1442" w:name="_Toc16193158"/>
      <w:bookmarkStart w:id="1443" w:name="_Toc16198232"/>
      <w:bookmarkStart w:id="1444" w:name="_Toc16676016"/>
      <w:bookmarkStart w:id="1445" w:name="_Toc16844433"/>
      <w:bookmarkStart w:id="1446" w:name="_Toc16854490"/>
      <w:bookmarkStart w:id="1447" w:name="_Toc16855313"/>
      <w:bookmarkStart w:id="1448" w:name="_Toc16856139"/>
      <w:bookmarkStart w:id="1449" w:name="_Toc16856960"/>
      <w:bookmarkStart w:id="1450" w:name="_Toc16193159"/>
      <w:bookmarkStart w:id="1451" w:name="_Toc16198233"/>
      <w:bookmarkStart w:id="1452" w:name="_Toc16676017"/>
      <w:bookmarkStart w:id="1453" w:name="_Toc16844434"/>
      <w:bookmarkStart w:id="1454" w:name="_Toc16854491"/>
      <w:bookmarkStart w:id="1455" w:name="_Toc16855314"/>
      <w:bookmarkStart w:id="1456" w:name="_Toc16856140"/>
      <w:bookmarkStart w:id="1457" w:name="_Toc16856961"/>
      <w:bookmarkStart w:id="1458" w:name="_Toc16193160"/>
      <w:bookmarkStart w:id="1459" w:name="_Toc16198234"/>
      <w:bookmarkStart w:id="1460" w:name="_Toc16676018"/>
      <w:bookmarkStart w:id="1461" w:name="_Toc16844435"/>
      <w:bookmarkStart w:id="1462" w:name="_Toc16854492"/>
      <w:bookmarkStart w:id="1463" w:name="_Toc16855315"/>
      <w:bookmarkStart w:id="1464" w:name="_Toc16856141"/>
      <w:bookmarkStart w:id="1465" w:name="_Toc16856962"/>
      <w:bookmarkStart w:id="1466" w:name="_Toc16193161"/>
      <w:bookmarkStart w:id="1467" w:name="_Toc16198235"/>
      <w:bookmarkStart w:id="1468" w:name="_Toc16676019"/>
      <w:bookmarkStart w:id="1469" w:name="_Toc16844436"/>
      <w:bookmarkStart w:id="1470" w:name="_Toc16854493"/>
      <w:bookmarkStart w:id="1471" w:name="_Toc16855316"/>
      <w:bookmarkStart w:id="1472" w:name="_Toc16856142"/>
      <w:bookmarkStart w:id="1473" w:name="_Toc16856963"/>
      <w:bookmarkStart w:id="1474" w:name="_Toc16193162"/>
      <w:bookmarkStart w:id="1475" w:name="_Toc16198236"/>
      <w:bookmarkStart w:id="1476" w:name="_Toc16676020"/>
      <w:bookmarkStart w:id="1477" w:name="_Toc16844437"/>
      <w:bookmarkStart w:id="1478" w:name="_Toc16854494"/>
      <w:bookmarkStart w:id="1479" w:name="_Toc16855317"/>
      <w:bookmarkStart w:id="1480" w:name="_Toc16856143"/>
      <w:bookmarkStart w:id="1481" w:name="_Toc16856964"/>
      <w:bookmarkStart w:id="1482" w:name="_Toc16193163"/>
      <w:bookmarkStart w:id="1483" w:name="_Toc16198237"/>
      <w:bookmarkStart w:id="1484" w:name="_Toc16676021"/>
      <w:bookmarkStart w:id="1485" w:name="_Toc16844438"/>
      <w:bookmarkStart w:id="1486" w:name="_Toc16854495"/>
      <w:bookmarkStart w:id="1487" w:name="_Toc16855318"/>
      <w:bookmarkStart w:id="1488" w:name="_Toc16856144"/>
      <w:bookmarkStart w:id="1489" w:name="_Toc16856965"/>
      <w:bookmarkStart w:id="1490" w:name="_Toc16193164"/>
      <w:bookmarkStart w:id="1491" w:name="_Toc16198238"/>
      <w:bookmarkStart w:id="1492" w:name="_Toc16676022"/>
      <w:bookmarkStart w:id="1493" w:name="_Toc16844439"/>
      <w:bookmarkStart w:id="1494" w:name="_Toc16854496"/>
      <w:bookmarkStart w:id="1495" w:name="_Toc16855319"/>
      <w:bookmarkStart w:id="1496" w:name="_Toc16856145"/>
      <w:bookmarkStart w:id="1497" w:name="_Toc16856966"/>
      <w:bookmarkStart w:id="1498" w:name="_Toc16193165"/>
      <w:bookmarkStart w:id="1499" w:name="_Toc16198239"/>
      <w:bookmarkStart w:id="1500" w:name="_Toc16676023"/>
      <w:bookmarkStart w:id="1501" w:name="_Toc16844440"/>
      <w:bookmarkStart w:id="1502" w:name="_Toc16854497"/>
      <w:bookmarkStart w:id="1503" w:name="_Toc16855320"/>
      <w:bookmarkStart w:id="1504" w:name="_Toc16856146"/>
      <w:bookmarkStart w:id="1505" w:name="_Toc16856967"/>
      <w:bookmarkStart w:id="1506" w:name="_Toc16193166"/>
      <w:bookmarkStart w:id="1507" w:name="_Toc16198240"/>
      <w:bookmarkStart w:id="1508" w:name="_Toc16676024"/>
      <w:bookmarkStart w:id="1509" w:name="_Toc16844441"/>
      <w:bookmarkStart w:id="1510" w:name="_Toc16854498"/>
      <w:bookmarkStart w:id="1511" w:name="_Toc16855321"/>
      <w:bookmarkStart w:id="1512" w:name="_Toc16856147"/>
      <w:bookmarkStart w:id="1513" w:name="_Toc16856968"/>
      <w:bookmarkStart w:id="1514" w:name="_Toc16193167"/>
      <w:bookmarkStart w:id="1515" w:name="_Toc16198241"/>
      <w:bookmarkStart w:id="1516" w:name="_Toc16676025"/>
      <w:bookmarkStart w:id="1517" w:name="_Toc16844442"/>
      <w:bookmarkStart w:id="1518" w:name="_Toc16854499"/>
      <w:bookmarkStart w:id="1519" w:name="_Toc16855322"/>
      <w:bookmarkStart w:id="1520" w:name="_Toc16856148"/>
      <w:bookmarkStart w:id="1521" w:name="_Toc16856969"/>
      <w:bookmarkStart w:id="1522" w:name="_Toc16193168"/>
      <w:bookmarkStart w:id="1523" w:name="_Toc16198242"/>
      <w:bookmarkStart w:id="1524" w:name="_Toc16676026"/>
      <w:bookmarkStart w:id="1525" w:name="_Toc16844443"/>
      <w:bookmarkStart w:id="1526" w:name="_Toc16854500"/>
      <w:bookmarkStart w:id="1527" w:name="_Toc16855323"/>
      <w:bookmarkStart w:id="1528" w:name="_Toc16856149"/>
      <w:bookmarkStart w:id="1529" w:name="_Toc16856970"/>
      <w:bookmarkStart w:id="1530" w:name="_Toc16193169"/>
      <w:bookmarkStart w:id="1531" w:name="_Toc16198243"/>
      <w:bookmarkStart w:id="1532" w:name="_Toc16676027"/>
      <w:bookmarkStart w:id="1533" w:name="_Toc16844444"/>
      <w:bookmarkStart w:id="1534" w:name="_Toc16854501"/>
      <w:bookmarkStart w:id="1535" w:name="_Toc16855324"/>
      <w:bookmarkStart w:id="1536" w:name="_Toc16856150"/>
      <w:bookmarkStart w:id="1537" w:name="_Toc16856971"/>
      <w:bookmarkStart w:id="1538" w:name="_Toc16193170"/>
      <w:bookmarkStart w:id="1539" w:name="_Toc16198244"/>
      <w:bookmarkStart w:id="1540" w:name="_Toc16676028"/>
      <w:bookmarkStart w:id="1541" w:name="_Toc16844445"/>
      <w:bookmarkStart w:id="1542" w:name="_Toc16854502"/>
      <w:bookmarkStart w:id="1543" w:name="_Toc16855325"/>
      <w:bookmarkStart w:id="1544" w:name="_Toc16856151"/>
      <w:bookmarkStart w:id="1545" w:name="_Toc16856972"/>
      <w:bookmarkStart w:id="1546" w:name="_Toc16193171"/>
      <w:bookmarkStart w:id="1547" w:name="_Toc16198245"/>
      <w:bookmarkStart w:id="1548" w:name="_Toc16676029"/>
      <w:bookmarkStart w:id="1549" w:name="_Toc16844446"/>
      <w:bookmarkStart w:id="1550" w:name="_Toc16854503"/>
      <w:bookmarkStart w:id="1551" w:name="_Toc16855326"/>
      <w:bookmarkStart w:id="1552" w:name="_Toc16856152"/>
      <w:bookmarkStart w:id="1553" w:name="_Toc16856973"/>
      <w:bookmarkStart w:id="1554" w:name="_Toc16193172"/>
      <w:bookmarkStart w:id="1555" w:name="_Toc16198246"/>
      <w:bookmarkStart w:id="1556" w:name="_Toc16676030"/>
      <w:bookmarkStart w:id="1557" w:name="_Toc16844447"/>
      <w:bookmarkStart w:id="1558" w:name="_Toc16854504"/>
      <w:bookmarkStart w:id="1559" w:name="_Toc16855327"/>
      <w:bookmarkStart w:id="1560" w:name="_Toc16856153"/>
      <w:bookmarkStart w:id="1561" w:name="_Toc16856974"/>
      <w:bookmarkStart w:id="1562" w:name="_Toc16193173"/>
      <w:bookmarkStart w:id="1563" w:name="_Toc16198247"/>
      <w:bookmarkStart w:id="1564" w:name="_Toc16676031"/>
      <w:bookmarkStart w:id="1565" w:name="_Toc16844448"/>
      <w:bookmarkStart w:id="1566" w:name="_Toc16854505"/>
      <w:bookmarkStart w:id="1567" w:name="_Toc16855328"/>
      <w:bookmarkStart w:id="1568" w:name="_Toc16856154"/>
      <w:bookmarkStart w:id="1569" w:name="_Toc16856975"/>
      <w:bookmarkStart w:id="1570" w:name="_Toc16193174"/>
      <w:bookmarkStart w:id="1571" w:name="_Toc16198248"/>
      <w:bookmarkStart w:id="1572" w:name="_Toc16676032"/>
      <w:bookmarkStart w:id="1573" w:name="_Toc16844449"/>
      <w:bookmarkStart w:id="1574" w:name="_Toc16854506"/>
      <w:bookmarkStart w:id="1575" w:name="_Toc16855329"/>
      <w:bookmarkStart w:id="1576" w:name="_Toc16856155"/>
      <w:bookmarkStart w:id="1577" w:name="_Toc16856976"/>
      <w:bookmarkStart w:id="1578" w:name="_Toc16193175"/>
      <w:bookmarkStart w:id="1579" w:name="_Toc16198249"/>
      <w:bookmarkStart w:id="1580" w:name="_Toc16676033"/>
      <w:bookmarkStart w:id="1581" w:name="_Toc16844450"/>
      <w:bookmarkStart w:id="1582" w:name="_Toc16854507"/>
      <w:bookmarkStart w:id="1583" w:name="_Toc16855330"/>
      <w:bookmarkStart w:id="1584" w:name="_Toc16856156"/>
      <w:bookmarkStart w:id="1585" w:name="_Toc16856977"/>
      <w:bookmarkStart w:id="1586" w:name="_Toc16193176"/>
      <w:bookmarkStart w:id="1587" w:name="_Toc16198250"/>
      <w:bookmarkStart w:id="1588" w:name="_Toc16676034"/>
      <w:bookmarkStart w:id="1589" w:name="_Toc16844451"/>
      <w:bookmarkStart w:id="1590" w:name="_Toc16854508"/>
      <w:bookmarkStart w:id="1591" w:name="_Toc16855331"/>
      <w:bookmarkStart w:id="1592" w:name="_Toc16856157"/>
      <w:bookmarkStart w:id="1593" w:name="_Toc16856978"/>
      <w:bookmarkStart w:id="1594" w:name="_Toc16193177"/>
      <w:bookmarkStart w:id="1595" w:name="_Toc16198251"/>
      <w:bookmarkStart w:id="1596" w:name="_Toc16676035"/>
      <w:bookmarkStart w:id="1597" w:name="_Toc16844452"/>
      <w:bookmarkStart w:id="1598" w:name="_Toc16854509"/>
      <w:bookmarkStart w:id="1599" w:name="_Toc16855332"/>
      <w:bookmarkStart w:id="1600" w:name="_Toc16856158"/>
      <w:bookmarkStart w:id="1601" w:name="_Toc16856979"/>
      <w:bookmarkStart w:id="1602" w:name="_Toc16193178"/>
      <w:bookmarkStart w:id="1603" w:name="_Toc16198252"/>
      <w:bookmarkStart w:id="1604" w:name="_Toc16676036"/>
      <w:bookmarkStart w:id="1605" w:name="_Toc16844453"/>
      <w:bookmarkStart w:id="1606" w:name="_Toc16854510"/>
      <w:bookmarkStart w:id="1607" w:name="_Toc16855333"/>
      <w:bookmarkStart w:id="1608" w:name="_Toc16856159"/>
      <w:bookmarkStart w:id="1609" w:name="_Toc16856980"/>
      <w:bookmarkStart w:id="1610" w:name="_Toc16193179"/>
      <w:bookmarkStart w:id="1611" w:name="_Toc16198253"/>
      <w:bookmarkStart w:id="1612" w:name="_Toc16676037"/>
      <w:bookmarkStart w:id="1613" w:name="_Toc16844454"/>
      <w:bookmarkStart w:id="1614" w:name="_Toc16854511"/>
      <w:bookmarkStart w:id="1615" w:name="_Toc16855334"/>
      <w:bookmarkStart w:id="1616" w:name="_Toc16856160"/>
      <w:bookmarkStart w:id="1617" w:name="_Toc16856981"/>
      <w:bookmarkStart w:id="1618" w:name="_Toc16193180"/>
      <w:bookmarkStart w:id="1619" w:name="_Toc16198254"/>
      <w:bookmarkStart w:id="1620" w:name="_Toc16676038"/>
      <w:bookmarkStart w:id="1621" w:name="_Toc16844455"/>
      <w:bookmarkStart w:id="1622" w:name="_Toc16854512"/>
      <w:bookmarkStart w:id="1623" w:name="_Toc16855335"/>
      <w:bookmarkStart w:id="1624" w:name="_Toc16856161"/>
      <w:bookmarkStart w:id="1625" w:name="_Toc16856982"/>
      <w:bookmarkStart w:id="1626" w:name="_Toc16193181"/>
      <w:bookmarkStart w:id="1627" w:name="_Toc16198255"/>
      <w:bookmarkStart w:id="1628" w:name="_Toc16676039"/>
      <w:bookmarkStart w:id="1629" w:name="_Toc16844456"/>
      <w:bookmarkStart w:id="1630" w:name="_Toc16854513"/>
      <w:bookmarkStart w:id="1631" w:name="_Toc16855336"/>
      <w:bookmarkStart w:id="1632" w:name="_Toc16856162"/>
      <w:bookmarkStart w:id="1633" w:name="_Toc16856983"/>
      <w:bookmarkStart w:id="1634" w:name="_Toc16193182"/>
      <w:bookmarkStart w:id="1635" w:name="_Toc16198256"/>
      <w:bookmarkStart w:id="1636" w:name="_Toc16676040"/>
      <w:bookmarkStart w:id="1637" w:name="_Toc16844457"/>
      <w:bookmarkStart w:id="1638" w:name="_Toc16854514"/>
      <w:bookmarkStart w:id="1639" w:name="_Toc16855337"/>
      <w:bookmarkStart w:id="1640" w:name="_Toc16856163"/>
      <w:bookmarkStart w:id="1641" w:name="_Toc16856984"/>
      <w:bookmarkStart w:id="1642" w:name="_Toc16193183"/>
      <w:bookmarkStart w:id="1643" w:name="_Toc16198257"/>
      <w:bookmarkStart w:id="1644" w:name="_Toc16676041"/>
      <w:bookmarkStart w:id="1645" w:name="_Toc16844458"/>
      <w:bookmarkStart w:id="1646" w:name="_Toc16854515"/>
      <w:bookmarkStart w:id="1647" w:name="_Toc16855338"/>
      <w:bookmarkStart w:id="1648" w:name="_Toc16856164"/>
      <w:bookmarkStart w:id="1649" w:name="_Toc16856985"/>
      <w:bookmarkStart w:id="1650" w:name="_Toc16193184"/>
      <w:bookmarkStart w:id="1651" w:name="_Toc16198258"/>
      <w:bookmarkStart w:id="1652" w:name="_Toc16676042"/>
      <w:bookmarkStart w:id="1653" w:name="_Toc16844459"/>
      <w:bookmarkStart w:id="1654" w:name="_Toc16854516"/>
      <w:bookmarkStart w:id="1655" w:name="_Toc16855339"/>
      <w:bookmarkStart w:id="1656" w:name="_Toc16856165"/>
      <w:bookmarkStart w:id="1657" w:name="_Toc16856986"/>
      <w:bookmarkStart w:id="1658" w:name="_Toc16193185"/>
      <w:bookmarkStart w:id="1659" w:name="_Toc16198259"/>
      <w:bookmarkStart w:id="1660" w:name="_Toc16676043"/>
      <w:bookmarkStart w:id="1661" w:name="_Toc16844460"/>
      <w:bookmarkStart w:id="1662" w:name="_Toc16854517"/>
      <w:bookmarkStart w:id="1663" w:name="_Toc16855340"/>
      <w:bookmarkStart w:id="1664" w:name="_Toc16856166"/>
      <w:bookmarkStart w:id="1665" w:name="_Toc16856987"/>
      <w:bookmarkStart w:id="1666" w:name="_Toc16676044"/>
      <w:bookmarkStart w:id="1667" w:name="_Toc16844461"/>
      <w:bookmarkStart w:id="1668" w:name="_Toc16854518"/>
      <w:bookmarkStart w:id="1669" w:name="_Toc16855341"/>
      <w:bookmarkStart w:id="1670" w:name="_Toc16856167"/>
      <w:bookmarkStart w:id="1671" w:name="_Toc16856988"/>
      <w:bookmarkStart w:id="1672" w:name="_Toc16676045"/>
      <w:bookmarkStart w:id="1673" w:name="_Toc16844462"/>
      <w:bookmarkStart w:id="1674" w:name="_Toc16854519"/>
      <w:bookmarkStart w:id="1675" w:name="_Toc16855342"/>
      <w:bookmarkStart w:id="1676" w:name="_Toc16856168"/>
      <w:bookmarkStart w:id="1677" w:name="_Toc16856989"/>
      <w:bookmarkStart w:id="1678" w:name="_Toc16676046"/>
      <w:bookmarkStart w:id="1679" w:name="_Toc16844463"/>
      <w:bookmarkStart w:id="1680" w:name="_Toc16854520"/>
      <w:bookmarkStart w:id="1681" w:name="_Toc16855343"/>
      <w:bookmarkStart w:id="1682" w:name="_Toc16856169"/>
      <w:bookmarkStart w:id="1683" w:name="_Toc16856990"/>
      <w:bookmarkStart w:id="1684" w:name="_Toc16676047"/>
      <w:bookmarkStart w:id="1685" w:name="_Toc16844464"/>
      <w:bookmarkStart w:id="1686" w:name="_Toc16854521"/>
      <w:bookmarkStart w:id="1687" w:name="_Toc16855344"/>
      <w:bookmarkStart w:id="1688" w:name="_Toc16856170"/>
      <w:bookmarkStart w:id="1689" w:name="_Toc16856991"/>
      <w:bookmarkStart w:id="1690" w:name="_Toc16676048"/>
      <w:bookmarkStart w:id="1691" w:name="_Toc16844465"/>
      <w:bookmarkStart w:id="1692" w:name="_Toc16854522"/>
      <w:bookmarkStart w:id="1693" w:name="_Toc16855345"/>
      <w:bookmarkStart w:id="1694" w:name="_Toc16856171"/>
      <w:bookmarkStart w:id="1695" w:name="_Toc16856992"/>
      <w:bookmarkStart w:id="1696" w:name="_Toc16676049"/>
      <w:bookmarkStart w:id="1697" w:name="_Toc16844466"/>
      <w:bookmarkStart w:id="1698" w:name="_Toc16854523"/>
      <w:bookmarkStart w:id="1699" w:name="_Toc16855346"/>
      <w:bookmarkStart w:id="1700" w:name="_Toc16856172"/>
      <w:bookmarkStart w:id="1701" w:name="_Toc16856993"/>
      <w:bookmarkStart w:id="1702" w:name="_Toc16676050"/>
      <w:bookmarkStart w:id="1703" w:name="_Toc16844467"/>
      <w:bookmarkStart w:id="1704" w:name="_Toc16854524"/>
      <w:bookmarkStart w:id="1705" w:name="_Toc16855347"/>
      <w:bookmarkStart w:id="1706" w:name="_Toc16856173"/>
      <w:bookmarkStart w:id="1707" w:name="_Toc16856994"/>
      <w:bookmarkStart w:id="1708" w:name="_Toc16676051"/>
      <w:bookmarkStart w:id="1709" w:name="_Toc16844468"/>
      <w:bookmarkStart w:id="1710" w:name="_Toc16854525"/>
      <w:bookmarkStart w:id="1711" w:name="_Toc16855348"/>
      <w:bookmarkStart w:id="1712" w:name="_Toc16856174"/>
      <w:bookmarkStart w:id="1713" w:name="_Toc16856995"/>
      <w:bookmarkStart w:id="1714" w:name="_Toc16676052"/>
      <w:bookmarkStart w:id="1715" w:name="_Toc16844469"/>
      <w:bookmarkStart w:id="1716" w:name="_Toc16854526"/>
      <w:bookmarkStart w:id="1717" w:name="_Toc16855349"/>
      <w:bookmarkStart w:id="1718" w:name="_Toc16856175"/>
      <w:bookmarkStart w:id="1719" w:name="_Toc16856996"/>
      <w:bookmarkStart w:id="1720" w:name="_Toc16676053"/>
      <w:bookmarkStart w:id="1721" w:name="_Toc16844470"/>
      <w:bookmarkStart w:id="1722" w:name="_Toc16854527"/>
      <w:bookmarkStart w:id="1723" w:name="_Toc16855350"/>
      <w:bookmarkStart w:id="1724" w:name="_Toc16856176"/>
      <w:bookmarkStart w:id="1725" w:name="_Toc16856997"/>
      <w:bookmarkStart w:id="1726" w:name="_Toc16676054"/>
      <w:bookmarkStart w:id="1727" w:name="_Toc16844471"/>
      <w:bookmarkStart w:id="1728" w:name="_Toc16854528"/>
      <w:bookmarkStart w:id="1729" w:name="_Toc16855351"/>
      <w:bookmarkStart w:id="1730" w:name="_Toc16856177"/>
      <w:bookmarkStart w:id="1731" w:name="_Toc16856998"/>
      <w:bookmarkStart w:id="1732" w:name="_Toc16676055"/>
      <w:bookmarkStart w:id="1733" w:name="_Toc16844472"/>
      <w:bookmarkStart w:id="1734" w:name="_Toc16854529"/>
      <w:bookmarkStart w:id="1735" w:name="_Toc16855352"/>
      <w:bookmarkStart w:id="1736" w:name="_Toc16856178"/>
      <w:bookmarkStart w:id="1737" w:name="_Toc16856999"/>
      <w:bookmarkStart w:id="1738" w:name="_Toc16676061"/>
      <w:bookmarkStart w:id="1739" w:name="_Toc16844478"/>
      <w:bookmarkStart w:id="1740" w:name="_Toc16854535"/>
      <w:bookmarkStart w:id="1741" w:name="_Toc16855358"/>
      <w:bookmarkStart w:id="1742" w:name="_Toc16856184"/>
      <w:bookmarkStart w:id="1743" w:name="_Toc16857005"/>
      <w:bookmarkStart w:id="1744" w:name="_Toc16676062"/>
      <w:bookmarkStart w:id="1745" w:name="_Toc16844479"/>
      <w:bookmarkStart w:id="1746" w:name="_Toc16854536"/>
      <w:bookmarkStart w:id="1747" w:name="_Toc16855359"/>
      <w:bookmarkStart w:id="1748" w:name="_Toc16856185"/>
      <w:bookmarkStart w:id="1749" w:name="_Toc16857006"/>
      <w:bookmarkStart w:id="1750" w:name="_Toc16676063"/>
      <w:bookmarkStart w:id="1751" w:name="_Toc16844480"/>
      <w:bookmarkStart w:id="1752" w:name="_Toc16854537"/>
      <w:bookmarkStart w:id="1753" w:name="_Toc16855360"/>
      <w:bookmarkStart w:id="1754" w:name="_Toc16856186"/>
      <w:bookmarkStart w:id="1755" w:name="_Toc16857007"/>
      <w:bookmarkStart w:id="1756" w:name="_Toc16676064"/>
      <w:bookmarkStart w:id="1757" w:name="_Toc16844481"/>
      <w:bookmarkStart w:id="1758" w:name="_Toc16854538"/>
      <w:bookmarkStart w:id="1759" w:name="_Toc16855361"/>
      <w:bookmarkStart w:id="1760" w:name="_Toc16856187"/>
      <w:bookmarkStart w:id="1761" w:name="_Toc16857008"/>
      <w:bookmarkStart w:id="1762" w:name="_Toc16676065"/>
      <w:bookmarkStart w:id="1763" w:name="_Toc16844482"/>
      <w:bookmarkStart w:id="1764" w:name="_Toc16854539"/>
      <w:bookmarkStart w:id="1765" w:name="_Toc16855362"/>
      <w:bookmarkStart w:id="1766" w:name="_Toc16856188"/>
      <w:bookmarkStart w:id="1767" w:name="_Toc16857009"/>
      <w:bookmarkStart w:id="1768" w:name="_Toc16676068"/>
      <w:bookmarkStart w:id="1769" w:name="_Toc16844485"/>
      <w:bookmarkStart w:id="1770" w:name="_Toc16854542"/>
      <w:bookmarkStart w:id="1771" w:name="_Toc16855365"/>
      <w:bookmarkStart w:id="1772" w:name="_Toc16856191"/>
      <w:bookmarkStart w:id="1773" w:name="_Toc16857012"/>
      <w:bookmarkStart w:id="1774" w:name="_Toc16676069"/>
      <w:bookmarkStart w:id="1775" w:name="_Toc16844486"/>
      <w:bookmarkStart w:id="1776" w:name="_Toc16854543"/>
      <w:bookmarkStart w:id="1777" w:name="_Toc16855366"/>
      <w:bookmarkStart w:id="1778" w:name="_Toc16856192"/>
      <w:bookmarkStart w:id="1779" w:name="_Toc16857013"/>
      <w:bookmarkStart w:id="1780" w:name="_Toc16676070"/>
      <w:bookmarkStart w:id="1781" w:name="_Toc16844487"/>
      <w:bookmarkStart w:id="1782" w:name="_Toc16854544"/>
      <w:bookmarkStart w:id="1783" w:name="_Toc16855367"/>
      <w:bookmarkStart w:id="1784" w:name="_Toc16856193"/>
      <w:bookmarkStart w:id="1785" w:name="_Toc16857014"/>
      <w:bookmarkStart w:id="1786" w:name="_Toc16676071"/>
      <w:bookmarkStart w:id="1787" w:name="_Toc16844488"/>
      <w:bookmarkStart w:id="1788" w:name="_Toc16854545"/>
      <w:bookmarkStart w:id="1789" w:name="_Toc16855368"/>
      <w:bookmarkStart w:id="1790" w:name="_Toc16856194"/>
      <w:bookmarkStart w:id="1791" w:name="_Toc16857015"/>
      <w:bookmarkStart w:id="1792" w:name="_Toc16676072"/>
      <w:bookmarkStart w:id="1793" w:name="_Toc16844489"/>
      <w:bookmarkStart w:id="1794" w:name="_Toc16854546"/>
      <w:bookmarkStart w:id="1795" w:name="_Toc16855369"/>
      <w:bookmarkStart w:id="1796" w:name="_Toc16856195"/>
      <w:bookmarkStart w:id="1797" w:name="_Toc16857016"/>
      <w:bookmarkStart w:id="1798" w:name="_Toc16676073"/>
      <w:bookmarkStart w:id="1799" w:name="_Toc16844490"/>
      <w:bookmarkStart w:id="1800" w:name="_Toc16854547"/>
      <w:bookmarkStart w:id="1801" w:name="_Toc16855370"/>
      <w:bookmarkStart w:id="1802" w:name="_Toc16856196"/>
      <w:bookmarkStart w:id="1803" w:name="_Toc16857017"/>
      <w:bookmarkStart w:id="1804" w:name="_Toc16676074"/>
      <w:bookmarkStart w:id="1805" w:name="_Toc16844491"/>
      <w:bookmarkStart w:id="1806" w:name="_Toc16854548"/>
      <w:bookmarkStart w:id="1807" w:name="_Toc16855371"/>
      <w:bookmarkStart w:id="1808" w:name="_Toc16856197"/>
      <w:bookmarkStart w:id="1809" w:name="_Toc16857018"/>
      <w:bookmarkStart w:id="1810" w:name="_Toc16676075"/>
      <w:bookmarkStart w:id="1811" w:name="_Toc16844492"/>
      <w:bookmarkStart w:id="1812" w:name="_Toc16854549"/>
      <w:bookmarkStart w:id="1813" w:name="_Toc16855372"/>
      <w:bookmarkStart w:id="1814" w:name="_Toc16856198"/>
      <w:bookmarkStart w:id="1815" w:name="_Toc16857019"/>
      <w:bookmarkStart w:id="1816" w:name="_Toc16676076"/>
      <w:bookmarkStart w:id="1817" w:name="_Toc16844493"/>
      <w:bookmarkStart w:id="1818" w:name="_Toc16854550"/>
      <w:bookmarkStart w:id="1819" w:name="_Toc16855373"/>
      <w:bookmarkStart w:id="1820" w:name="_Toc16856199"/>
      <w:bookmarkStart w:id="1821" w:name="_Toc16857020"/>
      <w:bookmarkStart w:id="1822" w:name="_Toc16676090"/>
      <w:bookmarkStart w:id="1823" w:name="_Toc16844507"/>
      <w:bookmarkStart w:id="1824" w:name="_Toc16854564"/>
      <w:bookmarkStart w:id="1825" w:name="_Toc16855387"/>
      <w:bookmarkStart w:id="1826" w:name="_Toc16856213"/>
      <w:bookmarkStart w:id="1827" w:name="_Toc16857034"/>
      <w:bookmarkStart w:id="1828" w:name="_Toc16676091"/>
      <w:bookmarkStart w:id="1829" w:name="_Toc16844508"/>
      <w:bookmarkStart w:id="1830" w:name="_Toc16854565"/>
      <w:bookmarkStart w:id="1831" w:name="_Toc16855388"/>
      <w:bookmarkStart w:id="1832" w:name="_Toc16856214"/>
      <w:bookmarkStart w:id="1833" w:name="_Toc16857035"/>
      <w:bookmarkStart w:id="1834" w:name="_Toc16676092"/>
      <w:bookmarkStart w:id="1835" w:name="_Toc16844509"/>
      <w:bookmarkStart w:id="1836" w:name="_Toc16854566"/>
      <w:bookmarkStart w:id="1837" w:name="_Toc16855389"/>
      <w:bookmarkStart w:id="1838" w:name="_Toc16856215"/>
      <w:bookmarkStart w:id="1839" w:name="_Toc16857036"/>
      <w:bookmarkStart w:id="1840" w:name="_Toc16676093"/>
      <w:bookmarkStart w:id="1841" w:name="_Toc16844510"/>
      <w:bookmarkStart w:id="1842" w:name="_Toc16854567"/>
      <w:bookmarkStart w:id="1843" w:name="_Toc16855390"/>
      <w:bookmarkStart w:id="1844" w:name="_Toc16856216"/>
      <w:bookmarkStart w:id="1845" w:name="_Toc16857037"/>
      <w:bookmarkStart w:id="1846" w:name="_Toc16676094"/>
      <w:bookmarkStart w:id="1847" w:name="_Toc16844511"/>
      <w:bookmarkStart w:id="1848" w:name="_Toc16854568"/>
      <w:bookmarkStart w:id="1849" w:name="_Toc16855391"/>
      <w:bookmarkStart w:id="1850" w:name="_Toc16856217"/>
      <w:bookmarkStart w:id="1851" w:name="_Toc16857038"/>
      <w:bookmarkStart w:id="1852" w:name="_Toc16676095"/>
      <w:bookmarkStart w:id="1853" w:name="_Toc16844512"/>
      <w:bookmarkStart w:id="1854" w:name="_Toc16854569"/>
      <w:bookmarkStart w:id="1855" w:name="_Toc16855392"/>
      <w:bookmarkStart w:id="1856" w:name="_Toc16856218"/>
      <w:bookmarkStart w:id="1857" w:name="_Toc16857039"/>
      <w:bookmarkStart w:id="1858" w:name="_Toc16676096"/>
      <w:bookmarkStart w:id="1859" w:name="_Toc16844513"/>
      <w:bookmarkStart w:id="1860" w:name="_Toc16854570"/>
      <w:bookmarkStart w:id="1861" w:name="_Toc16855393"/>
      <w:bookmarkStart w:id="1862" w:name="_Toc16856219"/>
      <w:bookmarkStart w:id="1863" w:name="_Toc16857040"/>
      <w:bookmarkStart w:id="1864" w:name="_Toc16676097"/>
      <w:bookmarkStart w:id="1865" w:name="_Toc16844514"/>
      <w:bookmarkStart w:id="1866" w:name="_Toc16854571"/>
      <w:bookmarkStart w:id="1867" w:name="_Toc16855394"/>
      <w:bookmarkStart w:id="1868" w:name="_Toc16856220"/>
      <w:bookmarkStart w:id="1869" w:name="_Toc16857041"/>
      <w:bookmarkStart w:id="1870" w:name="_Toc16676098"/>
      <w:bookmarkStart w:id="1871" w:name="_Toc16844515"/>
      <w:bookmarkStart w:id="1872" w:name="_Toc16854572"/>
      <w:bookmarkStart w:id="1873" w:name="_Toc16855395"/>
      <w:bookmarkStart w:id="1874" w:name="_Toc16856221"/>
      <w:bookmarkStart w:id="1875" w:name="_Toc16857042"/>
      <w:bookmarkStart w:id="1876" w:name="_Toc16676099"/>
      <w:bookmarkStart w:id="1877" w:name="_Toc16844516"/>
      <w:bookmarkStart w:id="1878" w:name="_Toc16854573"/>
      <w:bookmarkStart w:id="1879" w:name="_Toc16855396"/>
      <w:bookmarkStart w:id="1880" w:name="_Toc16856222"/>
      <w:bookmarkStart w:id="1881" w:name="_Toc16857043"/>
      <w:bookmarkStart w:id="1882" w:name="_Toc16676100"/>
      <w:bookmarkStart w:id="1883" w:name="_Toc16844517"/>
      <w:bookmarkStart w:id="1884" w:name="_Toc16854574"/>
      <w:bookmarkStart w:id="1885" w:name="_Toc16855397"/>
      <w:bookmarkStart w:id="1886" w:name="_Toc16856223"/>
      <w:bookmarkStart w:id="1887" w:name="_Toc16857044"/>
      <w:bookmarkStart w:id="1888" w:name="_Toc16676101"/>
      <w:bookmarkStart w:id="1889" w:name="_Toc16844518"/>
      <w:bookmarkStart w:id="1890" w:name="_Toc16854575"/>
      <w:bookmarkStart w:id="1891" w:name="_Toc16855398"/>
      <w:bookmarkStart w:id="1892" w:name="_Toc16856224"/>
      <w:bookmarkStart w:id="1893" w:name="_Toc16857045"/>
      <w:bookmarkStart w:id="1894" w:name="_Toc16676107"/>
      <w:bookmarkStart w:id="1895" w:name="_Toc16844524"/>
      <w:bookmarkStart w:id="1896" w:name="_Toc16854581"/>
      <w:bookmarkStart w:id="1897" w:name="_Toc16855404"/>
      <w:bookmarkStart w:id="1898" w:name="_Toc16856230"/>
      <w:bookmarkStart w:id="1899" w:name="_Toc16857051"/>
      <w:bookmarkStart w:id="1900" w:name="_Toc16676108"/>
      <w:bookmarkStart w:id="1901" w:name="_Toc16844525"/>
      <w:bookmarkStart w:id="1902" w:name="_Toc16854582"/>
      <w:bookmarkStart w:id="1903" w:name="_Toc16855405"/>
      <w:bookmarkStart w:id="1904" w:name="_Toc16856231"/>
      <w:bookmarkStart w:id="1905" w:name="_Toc16857052"/>
      <w:bookmarkStart w:id="1906" w:name="_Toc16676109"/>
      <w:bookmarkStart w:id="1907" w:name="_Toc16844526"/>
      <w:bookmarkStart w:id="1908" w:name="_Toc16854583"/>
      <w:bookmarkStart w:id="1909" w:name="_Toc16855406"/>
      <w:bookmarkStart w:id="1910" w:name="_Toc16856232"/>
      <w:bookmarkStart w:id="1911" w:name="_Toc16857053"/>
      <w:bookmarkStart w:id="1912" w:name="_Toc16676110"/>
      <w:bookmarkStart w:id="1913" w:name="_Toc16844527"/>
      <w:bookmarkStart w:id="1914" w:name="_Toc16854584"/>
      <w:bookmarkStart w:id="1915" w:name="_Toc16855407"/>
      <w:bookmarkStart w:id="1916" w:name="_Toc16856233"/>
      <w:bookmarkStart w:id="1917" w:name="_Toc16857054"/>
      <w:bookmarkStart w:id="1918" w:name="_Toc16676111"/>
      <w:bookmarkStart w:id="1919" w:name="_Toc16844528"/>
      <w:bookmarkStart w:id="1920" w:name="_Toc16854585"/>
      <w:bookmarkStart w:id="1921" w:name="_Toc16855408"/>
      <w:bookmarkStart w:id="1922" w:name="_Toc16856234"/>
      <w:bookmarkStart w:id="1923" w:name="_Toc16857055"/>
      <w:bookmarkStart w:id="1924" w:name="_Toc16676112"/>
      <w:bookmarkStart w:id="1925" w:name="_Toc16844529"/>
      <w:bookmarkStart w:id="1926" w:name="_Toc16854586"/>
      <w:bookmarkStart w:id="1927" w:name="_Toc16855409"/>
      <w:bookmarkStart w:id="1928" w:name="_Toc16856235"/>
      <w:bookmarkStart w:id="1929" w:name="_Toc16857056"/>
      <w:bookmarkStart w:id="1930" w:name="_Toc16676113"/>
      <w:bookmarkStart w:id="1931" w:name="_Toc16844530"/>
      <w:bookmarkStart w:id="1932" w:name="_Toc16854587"/>
      <w:bookmarkStart w:id="1933" w:name="_Toc16855410"/>
      <w:bookmarkStart w:id="1934" w:name="_Toc16856236"/>
      <w:bookmarkStart w:id="1935" w:name="_Toc16857057"/>
      <w:bookmarkStart w:id="1936" w:name="_Toc16676114"/>
      <w:bookmarkStart w:id="1937" w:name="_Toc16844531"/>
      <w:bookmarkStart w:id="1938" w:name="_Toc16854588"/>
      <w:bookmarkStart w:id="1939" w:name="_Toc16855411"/>
      <w:bookmarkStart w:id="1940" w:name="_Toc16856237"/>
      <w:bookmarkStart w:id="1941" w:name="_Toc16857058"/>
      <w:bookmarkStart w:id="1942" w:name="_Toc16676115"/>
      <w:bookmarkStart w:id="1943" w:name="_Toc16844532"/>
      <w:bookmarkStart w:id="1944" w:name="_Toc16854589"/>
      <w:bookmarkStart w:id="1945" w:name="_Toc16855412"/>
      <w:bookmarkStart w:id="1946" w:name="_Toc16856238"/>
      <w:bookmarkStart w:id="1947" w:name="_Toc16857059"/>
      <w:bookmarkStart w:id="1948" w:name="_Toc16676116"/>
      <w:bookmarkStart w:id="1949" w:name="_Toc16844533"/>
      <w:bookmarkStart w:id="1950" w:name="_Toc16854590"/>
      <w:bookmarkStart w:id="1951" w:name="_Toc16855413"/>
      <w:bookmarkStart w:id="1952" w:name="_Toc16856239"/>
      <w:bookmarkStart w:id="1953" w:name="_Toc16857060"/>
      <w:bookmarkStart w:id="1954" w:name="_Toc16676117"/>
      <w:bookmarkStart w:id="1955" w:name="_Toc16844534"/>
      <w:bookmarkStart w:id="1956" w:name="_Toc16854591"/>
      <w:bookmarkStart w:id="1957" w:name="_Toc16855414"/>
      <w:bookmarkStart w:id="1958" w:name="_Toc16856240"/>
      <w:bookmarkStart w:id="1959" w:name="_Toc16857061"/>
      <w:bookmarkStart w:id="1960" w:name="_Toc16676118"/>
      <w:bookmarkStart w:id="1961" w:name="_Toc16844535"/>
      <w:bookmarkStart w:id="1962" w:name="_Toc16854592"/>
      <w:bookmarkStart w:id="1963" w:name="_Toc16855415"/>
      <w:bookmarkStart w:id="1964" w:name="_Toc16856241"/>
      <w:bookmarkStart w:id="1965" w:name="_Toc16857062"/>
      <w:bookmarkStart w:id="1966" w:name="_Toc16676121"/>
      <w:bookmarkStart w:id="1967" w:name="_Toc16844538"/>
      <w:bookmarkStart w:id="1968" w:name="_Toc16854595"/>
      <w:bookmarkStart w:id="1969" w:name="_Toc16855418"/>
      <w:bookmarkStart w:id="1970" w:name="_Toc16856244"/>
      <w:bookmarkStart w:id="1971" w:name="_Toc16857065"/>
      <w:bookmarkStart w:id="1972" w:name="_Toc16676122"/>
      <w:bookmarkStart w:id="1973" w:name="_Toc16844539"/>
      <w:bookmarkStart w:id="1974" w:name="_Toc16854596"/>
      <w:bookmarkStart w:id="1975" w:name="_Toc16855419"/>
      <w:bookmarkStart w:id="1976" w:name="_Toc16856245"/>
      <w:bookmarkStart w:id="1977" w:name="_Toc16857066"/>
      <w:bookmarkStart w:id="1978" w:name="_Toc16676123"/>
      <w:bookmarkStart w:id="1979" w:name="_Toc16844540"/>
      <w:bookmarkStart w:id="1980" w:name="_Toc16854597"/>
      <w:bookmarkStart w:id="1981" w:name="_Toc16855420"/>
      <w:bookmarkStart w:id="1982" w:name="_Toc16856246"/>
      <w:bookmarkStart w:id="1983" w:name="_Toc16857067"/>
      <w:bookmarkStart w:id="1984" w:name="_Toc16676124"/>
      <w:bookmarkStart w:id="1985" w:name="_Toc16844541"/>
      <w:bookmarkStart w:id="1986" w:name="_Toc16854598"/>
      <w:bookmarkStart w:id="1987" w:name="_Toc16855421"/>
      <w:bookmarkStart w:id="1988" w:name="_Toc16856247"/>
      <w:bookmarkStart w:id="1989" w:name="_Toc16857068"/>
      <w:bookmarkStart w:id="1990" w:name="_Toc16676125"/>
      <w:bookmarkStart w:id="1991" w:name="_Toc16844542"/>
      <w:bookmarkStart w:id="1992" w:name="_Toc16854599"/>
      <w:bookmarkStart w:id="1993" w:name="_Toc16855422"/>
      <w:bookmarkStart w:id="1994" w:name="_Toc16856248"/>
      <w:bookmarkStart w:id="1995" w:name="_Toc16857069"/>
      <w:bookmarkStart w:id="1996" w:name="_Toc16676126"/>
      <w:bookmarkStart w:id="1997" w:name="_Toc16844543"/>
      <w:bookmarkStart w:id="1998" w:name="_Toc16854600"/>
      <w:bookmarkStart w:id="1999" w:name="_Toc16855423"/>
      <w:bookmarkStart w:id="2000" w:name="_Toc16856249"/>
      <w:bookmarkStart w:id="2001" w:name="_Toc16857070"/>
      <w:bookmarkStart w:id="2002" w:name="_Toc16676127"/>
      <w:bookmarkStart w:id="2003" w:name="_Toc16844544"/>
      <w:bookmarkStart w:id="2004" w:name="_Toc16854601"/>
      <w:bookmarkStart w:id="2005" w:name="_Toc16855424"/>
      <w:bookmarkStart w:id="2006" w:name="_Toc16856250"/>
      <w:bookmarkStart w:id="2007" w:name="_Toc16857071"/>
      <w:bookmarkStart w:id="2008" w:name="_Toc16676128"/>
      <w:bookmarkStart w:id="2009" w:name="_Toc16844545"/>
      <w:bookmarkStart w:id="2010" w:name="_Toc16854602"/>
      <w:bookmarkStart w:id="2011" w:name="_Toc16855425"/>
      <w:bookmarkStart w:id="2012" w:name="_Toc16856251"/>
      <w:bookmarkStart w:id="2013" w:name="_Toc16857072"/>
      <w:bookmarkStart w:id="2014" w:name="_Toc16676129"/>
      <w:bookmarkStart w:id="2015" w:name="_Toc16844546"/>
      <w:bookmarkStart w:id="2016" w:name="_Toc16854603"/>
      <w:bookmarkStart w:id="2017" w:name="_Toc16855426"/>
      <w:bookmarkStart w:id="2018" w:name="_Toc16856252"/>
      <w:bookmarkStart w:id="2019" w:name="_Toc16857073"/>
      <w:bookmarkStart w:id="2020" w:name="_Toc16676130"/>
      <w:bookmarkStart w:id="2021" w:name="_Toc16844547"/>
      <w:bookmarkStart w:id="2022" w:name="_Toc16854604"/>
      <w:bookmarkStart w:id="2023" w:name="_Toc16855427"/>
      <w:bookmarkStart w:id="2024" w:name="_Toc16856253"/>
      <w:bookmarkStart w:id="2025" w:name="_Toc16857074"/>
      <w:bookmarkStart w:id="2026" w:name="_Toc16676131"/>
      <w:bookmarkStart w:id="2027" w:name="_Toc16844548"/>
      <w:bookmarkStart w:id="2028" w:name="_Toc16854605"/>
      <w:bookmarkStart w:id="2029" w:name="_Toc16855428"/>
      <w:bookmarkStart w:id="2030" w:name="_Toc16856254"/>
      <w:bookmarkStart w:id="2031" w:name="_Toc16857075"/>
      <w:bookmarkStart w:id="2032" w:name="_Toc16676132"/>
      <w:bookmarkStart w:id="2033" w:name="_Toc16844549"/>
      <w:bookmarkStart w:id="2034" w:name="_Toc16854606"/>
      <w:bookmarkStart w:id="2035" w:name="_Toc16855429"/>
      <w:bookmarkStart w:id="2036" w:name="_Toc16856255"/>
      <w:bookmarkStart w:id="2037" w:name="_Toc16857076"/>
      <w:bookmarkStart w:id="2038" w:name="_Toc16676133"/>
      <w:bookmarkStart w:id="2039" w:name="_Toc16844550"/>
      <w:bookmarkStart w:id="2040" w:name="_Toc16854607"/>
      <w:bookmarkStart w:id="2041" w:name="_Toc16855430"/>
      <w:bookmarkStart w:id="2042" w:name="_Toc16856256"/>
      <w:bookmarkStart w:id="2043" w:name="_Toc16857077"/>
      <w:bookmarkStart w:id="2044" w:name="_Toc16676134"/>
      <w:bookmarkStart w:id="2045" w:name="_Toc16844551"/>
      <w:bookmarkStart w:id="2046" w:name="_Toc16854608"/>
      <w:bookmarkStart w:id="2047" w:name="_Toc16855431"/>
      <w:bookmarkStart w:id="2048" w:name="_Toc16856257"/>
      <w:bookmarkStart w:id="2049" w:name="_Toc16857078"/>
      <w:bookmarkStart w:id="2050" w:name="_Toc16676135"/>
      <w:bookmarkStart w:id="2051" w:name="_Toc16844552"/>
      <w:bookmarkStart w:id="2052" w:name="_Toc16854609"/>
      <w:bookmarkStart w:id="2053" w:name="_Toc16855432"/>
      <w:bookmarkStart w:id="2054" w:name="_Toc16856258"/>
      <w:bookmarkStart w:id="2055" w:name="_Toc16857079"/>
      <w:bookmarkStart w:id="2056" w:name="_Toc16676138"/>
      <w:bookmarkStart w:id="2057" w:name="_Toc16844555"/>
      <w:bookmarkStart w:id="2058" w:name="_Toc16854612"/>
      <w:bookmarkStart w:id="2059" w:name="_Toc16855435"/>
      <w:bookmarkStart w:id="2060" w:name="_Toc16856261"/>
      <w:bookmarkStart w:id="2061" w:name="_Toc16857082"/>
      <w:bookmarkStart w:id="2062" w:name="_Toc16676139"/>
      <w:bookmarkStart w:id="2063" w:name="_Toc16844556"/>
      <w:bookmarkStart w:id="2064" w:name="_Toc16854613"/>
      <w:bookmarkStart w:id="2065" w:name="_Toc16855436"/>
      <w:bookmarkStart w:id="2066" w:name="_Toc16856262"/>
      <w:bookmarkStart w:id="2067" w:name="_Toc16857083"/>
      <w:bookmarkStart w:id="2068" w:name="_Toc16676140"/>
      <w:bookmarkStart w:id="2069" w:name="_Toc16844557"/>
      <w:bookmarkStart w:id="2070" w:name="_Toc16854614"/>
      <w:bookmarkStart w:id="2071" w:name="_Toc16855437"/>
      <w:bookmarkStart w:id="2072" w:name="_Toc16856263"/>
      <w:bookmarkStart w:id="2073" w:name="_Toc16857084"/>
      <w:bookmarkStart w:id="2074" w:name="_Toc16676141"/>
      <w:bookmarkStart w:id="2075" w:name="_Toc16844558"/>
      <w:bookmarkStart w:id="2076" w:name="_Toc16854615"/>
      <w:bookmarkStart w:id="2077" w:name="_Toc16855438"/>
      <w:bookmarkStart w:id="2078" w:name="_Toc16856264"/>
      <w:bookmarkStart w:id="2079" w:name="_Toc16857085"/>
      <w:bookmarkStart w:id="2080" w:name="_Toc16676142"/>
      <w:bookmarkStart w:id="2081" w:name="_Toc16844559"/>
      <w:bookmarkStart w:id="2082" w:name="_Toc16854616"/>
      <w:bookmarkStart w:id="2083" w:name="_Toc16855439"/>
      <w:bookmarkStart w:id="2084" w:name="_Toc16856265"/>
      <w:bookmarkStart w:id="2085" w:name="_Toc16857086"/>
      <w:bookmarkStart w:id="2086" w:name="_Toc16676143"/>
      <w:bookmarkStart w:id="2087" w:name="_Toc16844560"/>
      <w:bookmarkStart w:id="2088" w:name="_Toc16854617"/>
      <w:bookmarkStart w:id="2089" w:name="_Toc16855440"/>
      <w:bookmarkStart w:id="2090" w:name="_Toc16856266"/>
      <w:bookmarkStart w:id="2091" w:name="_Toc16857087"/>
      <w:bookmarkStart w:id="2092" w:name="_Toc16676144"/>
      <w:bookmarkStart w:id="2093" w:name="_Toc16844561"/>
      <w:bookmarkStart w:id="2094" w:name="_Toc16854618"/>
      <w:bookmarkStart w:id="2095" w:name="_Toc16855441"/>
      <w:bookmarkStart w:id="2096" w:name="_Toc16856267"/>
      <w:bookmarkStart w:id="2097" w:name="_Toc16857088"/>
      <w:bookmarkStart w:id="2098" w:name="_Toc16676145"/>
      <w:bookmarkStart w:id="2099" w:name="_Toc16844562"/>
      <w:bookmarkStart w:id="2100" w:name="_Toc16854619"/>
      <w:bookmarkStart w:id="2101" w:name="_Toc16855442"/>
      <w:bookmarkStart w:id="2102" w:name="_Toc16856268"/>
      <w:bookmarkStart w:id="2103" w:name="_Toc16857089"/>
      <w:bookmarkStart w:id="2104" w:name="_Toc16676146"/>
      <w:bookmarkStart w:id="2105" w:name="_Toc16844563"/>
      <w:bookmarkStart w:id="2106" w:name="_Toc16854620"/>
      <w:bookmarkStart w:id="2107" w:name="_Toc16855443"/>
      <w:bookmarkStart w:id="2108" w:name="_Toc16856269"/>
      <w:bookmarkStart w:id="2109" w:name="_Toc16857090"/>
      <w:bookmarkStart w:id="2110" w:name="_Toc16676147"/>
      <w:bookmarkStart w:id="2111" w:name="_Toc16844564"/>
      <w:bookmarkStart w:id="2112" w:name="_Toc16854621"/>
      <w:bookmarkStart w:id="2113" w:name="_Toc16855444"/>
      <w:bookmarkStart w:id="2114" w:name="_Toc16856270"/>
      <w:bookmarkStart w:id="2115" w:name="_Toc16857091"/>
      <w:bookmarkStart w:id="2116" w:name="_Toc16676148"/>
      <w:bookmarkStart w:id="2117" w:name="_Toc16844565"/>
      <w:bookmarkStart w:id="2118" w:name="_Toc16854622"/>
      <w:bookmarkStart w:id="2119" w:name="_Toc16855445"/>
      <w:bookmarkStart w:id="2120" w:name="_Toc16856271"/>
      <w:bookmarkStart w:id="2121" w:name="_Toc16857092"/>
      <w:bookmarkStart w:id="2122" w:name="_Toc16676149"/>
      <w:bookmarkStart w:id="2123" w:name="_Toc16844566"/>
      <w:bookmarkStart w:id="2124" w:name="_Toc16854623"/>
      <w:bookmarkStart w:id="2125" w:name="_Toc16855446"/>
      <w:bookmarkStart w:id="2126" w:name="_Toc16856272"/>
      <w:bookmarkStart w:id="2127" w:name="_Toc16857093"/>
      <w:bookmarkStart w:id="2128" w:name="_Toc16676152"/>
      <w:bookmarkStart w:id="2129" w:name="_Toc16844569"/>
      <w:bookmarkStart w:id="2130" w:name="_Toc16854626"/>
      <w:bookmarkStart w:id="2131" w:name="_Toc16855449"/>
      <w:bookmarkStart w:id="2132" w:name="_Toc16856275"/>
      <w:bookmarkStart w:id="2133" w:name="_Toc16857096"/>
      <w:bookmarkStart w:id="2134" w:name="_Toc16676153"/>
      <w:bookmarkStart w:id="2135" w:name="_Toc16844570"/>
      <w:bookmarkStart w:id="2136" w:name="_Toc16854627"/>
      <w:bookmarkStart w:id="2137" w:name="_Toc16855450"/>
      <w:bookmarkStart w:id="2138" w:name="_Toc16856276"/>
      <w:bookmarkStart w:id="2139" w:name="_Toc16857097"/>
      <w:bookmarkStart w:id="2140" w:name="_Toc16676154"/>
      <w:bookmarkStart w:id="2141" w:name="_Toc16844571"/>
      <w:bookmarkStart w:id="2142" w:name="_Toc16854628"/>
      <w:bookmarkStart w:id="2143" w:name="_Toc16855451"/>
      <w:bookmarkStart w:id="2144" w:name="_Toc16856277"/>
      <w:bookmarkStart w:id="2145" w:name="_Toc16857098"/>
      <w:bookmarkStart w:id="2146" w:name="_Toc16676155"/>
      <w:bookmarkStart w:id="2147" w:name="_Toc16844572"/>
      <w:bookmarkStart w:id="2148" w:name="_Toc16854629"/>
      <w:bookmarkStart w:id="2149" w:name="_Toc16855452"/>
      <w:bookmarkStart w:id="2150" w:name="_Toc16856278"/>
      <w:bookmarkStart w:id="2151" w:name="_Toc16857099"/>
      <w:bookmarkStart w:id="2152" w:name="_Toc16676156"/>
      <w:bookmarkStart w:id="2153" w:name="_Toc16844573"/>
      <w:bookmarkStart w:id="2154" w:name="_Toc16854630"/>
      <w:bookmarkStart w:id="2155" w:name="_Toc16855453"/>
      <w:bookmarkStart w:id="2156" w:name="_Toc16856279"/>
      <w:bookmarkStart w:id="2157" w:name="_Toc16857100"/>
      <w:bookmarkStart w:id="2158" w:name="_Toc16676159"/>
      <w:bookmarkStart w:id="2159" w:name="_Toc16844576"/>
      <w:bookmarkStart w:id="2160" w:name="_Toc16854633"/>
      <w:bookmarkStart w:id="2161" w:name="_Toc16855456"/>
      <w:bookmarkStart w:id="2162" w:name="_Toc16856282"/>
      <w:bookmarkStart w:id="2163" w:name="_Toc16857103"/>
      <w:bookmarkStart w:id="2164" w:name="_Toc16676365"/>
      <w:bookmarkStart w:id="2165" w:name="_Toc16844892"/>
      <w:bookmarkStart w:id="2166" w:name="_Toc16854949"/>
      <w:bookmarkStart w:id="2167" w:name="_Toc16855772"/>
      <w:bookmarkStart w:id="2168" w:name="_Toc16856598"/>
      <w:bookmarkStart w:id="2169" w:name="_Toc16857419"/>
      <w:bookmarkStart w:id="2170" w:name="_Toc16676366"/>
      <w:bookmarkStart w:id="2171" w:name="_Toc16844893"/>
      <w:bookmarkStart w:id="2172" w:name="_Toc16854950"/>
      <w:bookmarkStart w:id="2173" w:name="_Toc16855773"/>
      <w:bookmarkStart w:id="2174" w:name="_Toc16856599"/>
      <w:bookmarkStart w:id="2175" w:name="_Toc16857420"/>
      <w:bookmarkStart w:id="2176" w:name="_Toc16676367"/>
      <w:bookmarkStart w:id="2177" w:name="_Toc16844894"/>
      <w:bookmarkStart w:id="2178" w:name="_Toc16854951"/>
      <w:bookmarkStart w:id="2179" w:name="_Toc16855774"/>
      <w:bookmarkStart w:id="2180" w:name="_Toc16856600"/>
      <w:bookmarkStart w:id="2181" w:name="_Toc16857421"/>
      <w:bookmarkStart w:id="2182" w:name="_Toc16676368"/>
      <w:bookmarkStart w:id="2183" w:name="_Toc16844895"/>
      <w:bookmarkStart w:id="2184" w:name="_Toc16854952"/>
      <w:bookmarkStart w:id="2185" w:name="_Toc16855775"/>
      <w:bookmarkStart w:id="2186" w:name="_Toc16856601"/>
      <w:bookmarkStart w:id="2187" w:name="_Toc16857422"/>
      <w:bookmarkStart w:id="2188" w:name="_Toc16676369"/>
      <w:bookmarkStart w:id="2189" w:name="_Toc16844896"/>
      <w:bookmarkStart w:id="2190" w:name="_Toc16854953"/>
      <w:bookmarkStart w:id="2191" w:name="_Toc16855776"/>
      <w:bookmarkStart w:id="2192" w:name="_Toc16856602"/>
      <w:bookmarkStart w:id="2193" w:name="_Toc16857423"/>
      <w:bookmarkStart w:id="2194" w:name="_Toc16676370"/>
      <w:bookmarkStart w:id="2195" w:name="_Toc16844897"/>
      <w:bookmarkStart w:id="2196" w:name="_Toc16854954"/>
      <w:bookmarkStart w:id="2197" w:name="_Toc16855777"/>
      <w:bookmarkStart w:id="2198" w:name="_Toc16856603"/>
      <w:bookmarkStart w:id="2199" w:name="_Toc16857424"/>
      <w:bookmarkStart w:id="2200" w:name="_Toc16676371"/>
      <w:bookmarkStart w:id="2201" w:name="_Toc16844898"/>
      <w:bookmarkStart w:id="2202" w:name="_Toc16854955"/>
      <w:bookmarkStart w:id="2203" w:name="_Toc16855778"/>
      <w:bookmarkStart w:id="2204" w:name="_Toc16856604"/>
      <w:bookmarkStart w:id="2205" w:name="_Toc16857425"/>
      <w:bookmarkStart w:id="2206" w:name="_Toc16676372"/>
      <w:bookmarkStart w:id="2207" w:name="_Toc16844899"/>
      <w:bookmarkStart w:id="2208" w:name="_Toc16854956"/>
      <w:bookmarkStart w:id="2209" w:name="_Toc16855779"/>
      <w:bookmarkStart w:id="2210" w:name="_Toc16856605"/>
      <w:bookmarkStart w:id="2211" w:name="_Toc16857426"/>
      <w:bookmarkStart w:id="2212" w:name="_Toc16676373"/>
      <w:bookmarkStart w:id="2213" w:name="_Toc16844900"/>
      <w:bookmarkStart w:id="2214" w:name="_Toc16854957"/>
      <w:bookmarkStart w:id="2215" w:name="_Toc16855780"/>
      <w:bookmarkStart w:id="2216" w:name="_Toc16856606"/>
      <w:bookmarkStart w:id="2217" w:name="_Toc16857427"/>
      <w:bookmarkStart w:id="2218" w:name="_Toc16676374"/>
      <w:bookmarkStart w:id="2219" w:name="_Toc16844901"/>
      <w:bookmarkStart w:id="2220" w:name="_Toc16854958"/>
      <w:bookmarkStart w:id="2221" w:name="_Toc16855781"/>
      <w:bookmarkStart w:id="2222" w:name="_Toc16856607"/>
      <w:bookmarkStart w:id="2223" w:name="_Toc16857428"/>
      <w:bookmarkStart w:id="2224" w:name="_Toc16676375"/>
      <w:bookmarkStart w:id="2225" w:name="_Toc16844902"/>
      <w:bookmarkStart w:id="2226" w:name="_Toc16854959"/>
      <w:bookmarkStart w:id="2227" w:name="_Toc16855782"/>
      <w:bookmarkStart w:id="2228" w:name="_Toc16856608"/>
      <w:bookmarkStart w:id="2229" w:name="_Toc16857429"/>
      <w:bookmarkStart w:id="2230" w:name="_Toc16676376"/>
      <w:bookmarkStart w:id="2231" w:name="_Toc16844903"/>
      <w:bookmarkStart w:id="2232" w:name="_Toc16854960"/>
      <w:bookmarkStart w:id="2233" w:name="_Toc16855783"/>
      <w:bookmarkStart w:id="2234" w:name="_Toc16856609"/>
      <w:bookmarkStart w:id="2235" w:name="_Toc16857430"/>
      <w:bookmarkStart w:id="2236" w:name="_Toc16676377"/>
      <w:bookmarkStart w:id="2237" w:name="_Toc16844904"/>
      <w:bookmarkStart w:id="2238" w:name="_Toc16854961"/>
      <w:bookmarkStart w:id="2239" w:name="_Toc16855784"/>
      <w:bookmarkStart w:id="2240" w:name="_Toc16856610"/>
      <w:bookmarkStart w:id="2241" w:name="_Toc16857431"/>
      <w:bookmarkStart w:id="2242" w:name="_Toc16676378"/>
      <w:bookmarkStart w:id="2243" w:name="_Toc16844905"/>
      <w:bookmarkStart w:id="2244" w:name="_Toc16854962"/>
      <w:bookmarkStart w:id="2245" w:name="_Toc16855785"/>
      <w:bookmarkStart w:id="2246" w:name="_Toc16856611"/>
      <w:bookmarkStart w:id="2247" w:name="_Toc16857432"/>
      <w:bookmarkStart w:id="2248" w:name="_Toc16676379"/>
      <w:bookmarkStart w:id="2249" w:name="_Toc16844906"/>
      <w:bookmarkStart w:id="2250" w:name="_Toc16854963"/>
      <w:bookmarkStart w:id="2251" w:name="_Toc16855786"/>
      <w:bookmarkStart w:id="2252" w:name="_Toc16856612"/>
      <w:bookmarkStart w:id="2253" w:name="_Toc16857433"/>
      <w:bookmarkStart w:id="2254" w:name="_Toc16676380"/>
      <w:bookmarkStart w:id="2255" w:name="_Toc16844907"/>
      <w:bookmarkStart w:id="2256" w:name="_Toc16854964"/>
      <w:bookmarkStart w:id="2257" w:name="_Toc16855787"/>
      <w:bookmarkStart w:id="2258" w:name="_Toc16856613"/>
      <w:bookmarkStart w:id="2259" w:name="_Toc16857434"/>
      <w:bookmarkStart w:id="2260" w:name="_Toc16676381"/>
      <w:bookmarkStart w:id="2261" w:name="_Toc16844908"/>
      <w:bookmarkStart w:id="2262" w:name="_Toc16854965"/>
      <w:bookmarkStart w:id="2263" w:name="_Toc16855788"/>
      <w:bookmarkStart w:id="2264" w:name="_Toc16856614"/>
      <w:bookmarkStart w:id="2265" w:name="_Toc16857435"/>
      <w:bookmarkStart w:id="2266" w:name="_Toc16676382"/>
      <w:bookmarkStart w:id="2267" w:name="_Toc16844909"/>
      <w:bookmarkStart w:id="2268" w:name="_Toc16854966"/>
      <w:bookmarkStart w:id="2269" w:name="_Toc16855789"/>
      <w:bookmarkStart w:id="2270" w:name="_Toc16856615"/>
      <w:bookmarkStart w:id="2271" w:name="_Toc16857436"/>
      <w:bookmarkStart w:id="2272" w:name="_Toc16676383"/>
      <w:bookmarkStart w:id="2273" w:name="_Toc16844910"/>
      <w:bookmarkStart w:id="2274" w:name="_Toc16854967"/>
      <w:bookmarkStart w:id="2275" w:name="_Toc16855790"/>
      <w:bookmarkStart w:id="2276" w:name="_Toc16856616"/>
      <w:bookmarkStart w:id="2277" w:name="_Toc16857437"/>
      <w:bookmarkStart w:id="2278" w:name="_Toc16676384"/>
      <w:bookmarkStart w:id="2279" w:name="_Toc16844911"/>
      <w:bookmarkStart w:id="2280" w:name="_Toc16854968"/>
      <w:bookmarkStart w:id="2281" w:name="_Toc16855791"/>
      <w:bookmarkStart w:id="2282" w:name="_Toc16856617"/>
      <w:bookmarkStart w:id="2283" w:name="_Toc16857438"/>
      <w:bookmarkStart w:id="2284" w:name="_Toc16676385"/>
      <w:bookmarkStart w:id="2285" w:name="_Toc16844912"/>
      <w:bookmarkStart w:id="2286" w:name="_Toc16854969"/>
      <w:bookmarkStart w:id="2287" w:name="_Toc16855792"/>
      <w:bookmarkStart w:id="2288" w:name="_Toc16856618"/>
      <w:bookmarkStart w:id="2289" w:name="_Toc16857439"/>
      <w:bookmarkStart w:id="2290" w:name="_Toc16676386"/>
      <w:bookmarkStart w:id="2291" w:name="_Toc16844913"/>
      <w:bookmarkStart w:id="2292" w:name="_Toc16854970"/>
      <w:bookmarkStart w:id="2293" w:name="_Toc16855793"/>
      <w:bookmarkStart w:id="2294" w:name="_Toc16856619"/>
      <w:bookmarkStart w:id="2295" w:name="_Toc16857440"/>
      <w:bookmarkStart w:id="2296" w:name="_Toc16676387"/>
      <w:bookmarkStart w:id="2297" w:name="_Toc16844914"/>
      <w:bookmarkStart w:id="2298" w:name="_Toc16854971"/>
      <w:bookmarkStart w:id="2299" w:name="_Toc16855794"/>
      <w:bookmarkStart w:id="2300" w:name="_Toc16856620"/>
      <w:bookmarkStart w:id="2301" w:name="_Toc16857441"/>
      <w:bookmarkStart w:id="2302" w:name="_Toc16676388"/>
      <w:bookmarkStart w:id="2303" w:name="_Toc16844915"/>
      <w:bookmarkStart w:id="2304" w:name="_Toc16854972"/>
      <w:bookmarkStart w:id="2305" w:name="_Toc16855795"/>
      <w:bookmarkStart w:id="2306" w:name="_Toc16856621"/>
      <w:bookmarkStart w:id="2307" w:name="_Toc16857442"/>
      <w:bookmarkStart w:id="2308" w:name="_Toc16676389"/>
      <w:bookmarkStart w:id="2309" w:name="_Toc16844916"/>
      <w:bookmarkStart w:id="2310" w:name="_Toc16854973"/>
      <w:bookmarkStart w:id="2311" w:name="_Toc16855796"/>
      <w:bookmarkStart w:id="2312" w:name="_Toc16856622"/>
      <w:bookmarkStart w:id="2313" w:name="_Toc16857443"/>
      <w:bookmarkStart w:id="2314" w:name="_Toc16676398"/>
      <w:bookmarkStart w:id="2315" w:name="_Toc16844925"/>
      <w:bookmarkStart w:id="2316" w:name="_Toc16854982"/>
      <w:bookmarkStart w:id="2317" w:name="_Toc16855805"/>
      <w:bookmarkStart w:id="2318" w:name="_Toc16856631"/>
      <w:bookmarkStart w:id="2319" w:name="_Toc16857452"/>
      <w:bookmarkStart w:id="2320" w:name="_Toc16676399"/>
      <w:bookmarkStart w:id="2321" w:name="_Toc16844926"/>
      <w:bookmarkStart w:id="2322" w:name="_Toc16854983"/>
      <w:bookmarkStart w:id="2323" w:name="_Toc16855806"/>
      <w:bookmarkStart w:id="2324" w:name="_Toc16856632"/>
      <w:bookmarkStart w:id="2325" w:name="_Toc16857453"/>
      <w:bookmarkStart w:id="2326" w:name="_Toc16676400"/>
      <w:bookmarkStart w:id="2327" w:name="_Toc16844927"/>
      <w:bookmarkStart w:id="2328" w:name="_Toc16854984"/>
      <w:bookmarkStart w:id="2329" w:name="_Toc16855807"/>
      <w:bookmarkStart w:id="2330" w:name="_Toc16856633"/>
      <w:bookmarkStart w:id="2331" w:name="_Toc16857454"/>
      <w:bookmarkStart w:id="2332" w:name="_Toc16676401"/>
      <w:bookmarkStart w:id="2333" w:name="_Toc16844928"/>
      <w:bookmarkStart w:id="2334" w:name="_Toc16854985"/>
      <w:bookmarkStart w:id="2335" w:name="_Toc16855808"/>
      <w:bookmarkStart w:id="2336" w:name="_Toc16856634"/>
      <w:bookmarkStart w:id="2337" w:name="_Toc16857455"/>
      <w:bookmarkStart w:id="2338" w:name="_Toc16676402"/>
      <w:bookmarkStart w:id="2339" w:name="_Toc16844929"/>
      <w:bookmarkStart w:id="2340" w:name="_Toc16854986"/>
      <w:bookmarkStart w:id="2341" w:name="_Toc16855809"/>
      <w:bookmarkStart w:id="2342" w:name="_Toc16856635"/>
      <w:bookmarkStart w:id="2343" w:name="_Toc16857456"/>
      <w:bookmarkStart w:id="2344" w:name="_Toc16676403"/>
      <w:bookmarkStart w:id="2345" w:name="_Toc16844930"/>
      <w:bookmarkStart w:id="2346" w:name="_Toc16854987"/>
      <w:bookmarkStart w:id="2347" w:name="_Toc16855810"/>
      <w:bookmarkStart w:id="2348" w:name="_Toc16856636"/>
      <w:bookmarkStart w:id="2349" w:name="_Toc16857457"/>
      <w:bookmarkStart w:id="2350" w:name="_Ref82532403"/>
      <w:bookmarkStart w:id="2351" w:name="_Toc86158505"/>
      <w:bookmarkStart w:id="2352" w:name="_Toc496689363"/>
      <w:bookmarkEnd w:id="425"/>
      <w:bookmarkEnd w:id="426"/>
      <w:bookmarkEnd w:id="42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r>
        <w:rPr>
          <w:color w:val="auto"/>
        </w:rPr>
        <w:lastRenderedPageBreak/>
        <w:t>Final recommendations and n</w:t>
      </w:r>
      <w:r w:rsidR="00CC36EC">
        <w:rPr>
          <w:color w:val="auto"/>
        </w:rPr>
        <w:t xml:space="preserve">ext </w:t>
      </w:r>
      <w:r w:rsidR="002F68B0">
        <w:rPr>
          <w:color w:val="auto"/>
        </w:rPr>
        <w:t>s</w:t>
      </w:r>
      <w:r w:rsidR="00CC36EC">
        <w:rPr>
          <w:color w:val="auto"/>
        </w:rPr>
        <w:t>teps</w:t>
      </w:r>
      <w:bookmarkEnd w:id="2350"/>
      <w:bookmarkEnd w:id="2351"/>
      <w:r w:rsidR="00071E46">
        <w:rPr>
          <w:color w:val="auto"/>
        </w:rPr>
        <w:t xml:space="preserve"> </w:t>
      </w:r>
    </w:p>
    <w:p w14:paraId="4BC3FD48" w14:textId="52121AFD" w:rsidR="00A961CC" w:rsidRDefault="00A961CC" w:rsidP="00A961CC">
      <w:pPr>
        <w:pStyle w:val="Heading2"/>
      </w:pPr>
      <w:bookmarkStart w:id="2353" w:name="_Toc86158506"/>
      <w:r>
        <w:t>Summary of final recommendations</w:t>
      </w:r>
      <w:bookmarkEnd w:id="2353"/>
    </w:p>
    <w:p w14:paraId="2C0DF11C" w14:textId="47EA84C2" w:rsidR="00CC36EC" w:rsidRDefault="00E513F7" w:rsidP="00E513F7">
      <w:pPr>
        <w:pStyle w:val="BodyCopy"/>
      </w:pPr>
      <w:r>
        <w:t xml:space="preserve">This </w:t>
      </w:r>
      <w:r w:rsidR="009F0EA2">
        <w:t>D</w:t>
      </w:r>
      <w:r w:rsidR="00B25452">
        <w:t>-</w:t>
      </w:r>
      <w:r w:rsidR="00CC36EC">
        <w:t>RIS</w:t>
      </w:r>
      <w:r>
        <w:t xml:space="preserve"> contains a range of recommendations </w:t>
      </w:r>
      <w:r w:rsidR="00A961CC">
        <w:t>for technical changes to the PAYGO model, the choice of an option for cost allocation and for implementing heavy vehicle charges to apply from 2022–23 onwards.</w:t>
      </w:r>
      <w:r w:rsidR="009E61AA">
        <w:t xml:space="preserve"> </w:t>
      </w:r>
    </w:p>
    <w:p w14:paraId="233DDE4F" w14:textId="612F31D4" w:rsidR="00A961CC" w:rsidRDefault="00A961CC" w:rsidP="00E513F7">
      <w:pPr>
        <w:pStyle w:val="BodyCopy"/>
      </w:pPr>
      <w:r>
        <w:t>Table 31 summarises the NTC’s final recommendations.</w:t>
      </w:r>
      <w:r w:rsidR="009E61AA">
        <w:t xml:space="preserve"> </w:t>
      </w:r>
    </w:p>
    <w:p w14:paraId="66C8C80F" w14:textId="767A0749" w:rsidR="00F65738" w:rsidRDefault="00C34E02" w:rsidP="00C34E02">
      <w:pPr>
        <w:pStyle w:val="Tabletitle"/>
      </w:pPr>
      <w:bookmarkStart w:id="2354" w:name="_Ref82511563"/>
      <w:bookmarkStart w:id="2355" w:name="_Toc86158570"/>
      <w:r>
        <w:t>Summary of recommendations</w:t>
      </w:r>
      <w:bookmarkEnd w:id="2354"/>
      <w:bookmarkEnd w:id="2355"/>
    </w:p>
    <w:tbl>
      <w:tblPr>
        <w:tblStyle w:val="NTCtable"/>
        <w:tblW w:w="9425" w:type="dxa"/>
        <w:tblCellMar>
          <w:top w:w="28" w:type="dxa"/>
          <w:left w:w="28" w:type="dxa"/>
          <w:bottom w:w="28" w:type="dxa"/>
          <w:right w:w="28" w:type="dxa"/>
        </w:tblCellMar>
        <w:tblLook w:val="04A0" w:firstRow="1" w:lastRow="0" w:firstColumn="1" w:lastColumn="0" w:noHBand="0" w:noVBand="1"/>
      </w:tblPr>
      <w:tblGrid>
        <w:gridCol w:w="993"/>
        <w:gridCol w:w="1984"/>
        <w:gridCol w:w="6448"/>
      </w:tblGrid>
      <w:tr w:rsidR="00C34E02" w14:paraId="660C2EC1" w14:textId="77777777" w:rsidTr="008A167B">
        <w:trPr>
          <w:cnfStyle w:val="100000000000" w:firstRow="1" w:lastRow="0" w:firstColumn="0" w:lastColumn="0" w:oddVBand="0" w:evenVBand="0" w:oddHBand="0" w:evenHBand="0" w:firstRowFirstColumn="0" w:firstRowLastColumn="0" w:lastRowFirstColumn="0" w:lastRowLastColumn="0"/>
          <w:tblHeader/>
        </w:trPr>
        <w:tc>
          <w:tcPr>
            <w:tcW w:w="993" w:type="dxa"/>
          </w:tcPr>
          <w:p w14:paraId="363438A3" w14:textId="77777777" w:rsidR="00C34E02" w:rsidRPr="00357D40" w:rsidRDefault="00C34E02" w:rsidP="008A167B">
            <w:pPr>
              <w:pStyle w:val="BodyCopy"/>
              <w:spacing w:before="80" w:after="80"/>
              <w:rPr>
                <w:szCs w:val="22"/>
              </w:rPr>
            </w:pPr>
            <w:r w:rsidRPr="00D056D9">
              <w:t>Section</w:t>
            </w:r>
          </w:p>
        </w:tc>
        <w:tc>
          <w:tcPr>
            <w:tcW w:w="1984" w:type="dxa"/>
          </w:tcPr>
          <w:p w14:paraId="0C6D9F22" w14:textId="77777777" w:rsidR="00C34E02" w:rsidRPr="00A131E4" w:rsidRDefault="00C34E02" w:rsidP="008A167B">
            <w:pPr>
              <w:pStyle w:val="BodyCopy"/>
              <w:spacing w:before="80" w:after="80"/>
              <w:rPr>
                <w:sz w:val="20"/>
                <w:szCs w:val="20"/>
              </w:rPr>
            </w:pPr>
            <w:r w:rsidRPr="00A131E4">
              <w:t>Topic</w:t>
            </w:r>
          </w:p>
        </w:tc>
        <w:tc>
          <w:tcPr>
            <w:tcW w:w="6448" w:type="dxa"/>
          </w:tcPr>
          <w:p w14:paraId="647E8DA0" w14:textId="46A65D13" w:rsidR="00C34E02" w:rsidRPr="00A131E4" w:rsidRDefault="00BC7D72" w:rsidP="008A167B">
            <w:pPr>
              <w:pStyle w:val="BodyCopy"/>
              <w:spacing w:before="80" w:after="80"/>
              <w:rPr>
                <w:sz w:val="20"/>
                <w:szCs w:val="20"/>
              </w:rPr>
            </w:pPr>
            <w:r>
              <w:t>Recommendations</w:t>
            </w:r>
          </w:p>
        </w:tc>
      </w:tr>
      <w:tr w:rsidR="00C34E02" w14:paraId="536A8207" w14:textId="77777777" w:rsidTr="008A167B">
        <w:tc>
          <w:tcPr>
            <w:tcW w:w="993" w:type="dxa"/>
          </w:tcPr>
          <w:p w14:paraId="5190BFDF" w14:textId="2307C489" w:rsidR="00C34E02" w:rsidRPr="00357D40" w:rsidDel="00CD1BE2" w:rsidRDefault="00C34E02" w:rsidP="008A167B">
            <w:pPr>
              <w:pStyle w:val="BodyCopy"/>
              <w:spacing w:before="80" w:after="80"/>
            </w:pPr>
            <w:r w:rsidRPr="00215D90">
              <w:fldChar w:fldCharType="begin"/>
            </w:r>
            <w:r w:rsidRPr="00357D40">
              <w:instrText xml:space="preserve"> REF _Ref64880951 \r \h  \* MERGEFORMAT </w:instrText>
            </w:r>
            <w:r w:rsidRPr="00215D90">
              <w:fldChar w:fldCharType="separate"/>
            </w:r>
            <w:r w:rsidR="00225EEA">
              <w:t>4.2</w:t>
            </w:r>
            <w:r w:rsidRPr="00215D90">
              <w:fldChar w:fldCharType="end"/>
            </w:r>
          </w:p>
        </w:tc>
        <w:tc>
          <w:tcPr>
            <w:tcW w:w="1984" w:type="dxa"/>
          </w:tcPr>
          <w:p w14:paraId="391DB0C5" w14:textId="77777777" w:rsidR="00C34E02" w:rsidRPr="00215D90" w:rsidDel="00CD1BE2" w:rsidRDefault="00C34E02" w:rsidP="008A167B">
            <w:pPr>
              <w:pStyle w:val="BodyCopy"/>
              <w:spacing w:before="80" w:after="80"/>
            </w:pPr>
            <w:r w:rsidRPr="00D056D9">
              <w:t xml:space="preserve">Trust in </w:t>
            </w:r>
            <w:r w:rsidRPr="00357D40">
              <w:t>expenditure</w:t>
            </w:r>
            <w:r w:rsidRPr="00D056D9">
              <w:t xml:space="preserve"> data</w:t>
            </w:r>
          </w:p>
        </w:tc>
        <w:tc>
          <w:tcPr>
            <w:tcW w:w="6448" w:type="dxa"/>
          </w:tcPr>
          <w:p w14:paraId="192A4A42" w14:textId="0BC4AD48" w:rsidR="007D3C97" w:rsidRDefault="007D3C97" w:rsidP="008A167B">
            <w:pPr>
              <w:pStyle w:val="BodyCopy"/>
              <w:spacing w:before="80" w:after="80"/>
            </w:pPr>
            <w:r>
              <w:t xml:space="preserve">The NTC </w:t>
            </w:r>
            <w:r w:rsidRPr="0042671F">
              <w:t>recommends</w:t>
            </w:r>
            <w:r>
              <w:t xml:space="preserve"> that:</w:t>
            </w:r>
          </w:p>
          <w:p w14:paraId="066F82AC" w14:textId="0BC4AD48" w:rsidR="007D3C97" w:rsidRDefault="007D3C97" w:rsidP="008A167B">
            <w:pPr>
              <w:pStyle w:val="List-bulletlvl1"/>
              <w:spacing w:before="80" w:after="80"/>
            </w:pPr>
            <w:r>
              <w:t>there be no change to expenditure auditing at this time</w:t>
            </w:r>
          </w:p>
          <w:p w14:paraId="4313387A" w14:textId="784AED4A" w:rsidR="00C34E02" w:rsidRPr="00357D40" w:rsidRDefault="007D3C97" w:rsidP="008A167B">
            <w:pPr>
              <w:pStyle w:val="List-bulletlvl1"/>
              <w:spacing w:before="80" w:after="80"/>
            </w:pPr>
            <w:r>
              <w:t>the NTC should investigate whether additional certification requirements similar to those recommended by the ATA could be introduced at reasonable cost in the future.</w:t>
            </w:r>
          </w:p>
        </w:tc>
      </w:tr>
      <w:tr w:rsidR="00C34E02" w14:paraId="7B00DEE9" w14:textId="77777777" w:rsidTr="008A167B">
        <w:tc>
          <w:tcPr>
            <w:tcW w:w="993" w:type="dxa"/>
          </w:tcPr>
          <w:p w14:paraId="380B1AFD" w14:textId="5F979FF6" w:rsidR="00C34E02" w:rsidRPr="00357D40" w:rsidRDefault="00C34E02" w:rsidP="008A167B">
            <w:pPr>
              <w:pStyle w:val="BodyCopy"/>
              <w:spacing w:before="80" w:after="80"/>
            </w:pPr>
            <w:r w:rsidRPr="00215D90">
              <w:fldChar w:fldCharType="begin"/>
            </w:r>
            <w:r w:rsidRPr="00357D40">
              <w:instrText xml:space="preserve"> REF _Ref64880968 \r \h  \* MERGEFORMAT </w:instrText>
            </w:r>
            <w:r w:rsidRPr="00215D90">
              <w:fldChar w:fldCharType="separate"/>
            </w:r>
            <w:r w:rsidR="00225EEA">
              <w:t>4.3</w:t>
            </w:r>
            <w:r w:rsidRPr="00215D90">
              <w:fldChar w:fldCharType="end"/>
            </w:r>
          </w:p>
        </w:tc>
        <w:tc>
          <w:tcPr>
            <w:tcW w:w="1984" w:type="dxa"/>
          </w:tcPr>
          <w:p w14:paraId="1D172A96" w14:textId="77777777" w:rsidR="00C34E02" w:rsidRPr="00357D40" w:rsidRDefault="00C34E02" w:rsidP="008A167B">
            <w:pPr>
              <w:pStyle w:val="BodyCopy"/>
              <w:spacing w:before="80" w:after="80"/>
            </w:pPr>
            <w:r w:rsidRPr="00357D40">
              <w:t xml:space="preserve">Expenditure categories </w:t>
            </w:r>
          </w:p>
        </w:tc>
        <w:tc>
          <w:tcPr>
            <w:tcW w:w="6448" w:type="dxa"/>
          </w:tcPr>
          <w:p w14:paraId="1A310503" w14:textId="7D07D18F" w:rsidR="00512401" w:rsidRDefault="00512401" w:rsidP="008A167B">
            <w:pPr>
              <w:pStyle w:val="BodyCopy"/>
              <w:spacing w:before="80" w:after="80"/>
            </w:pPr>
            <w:r>
              <w:t xml:space="preserve">Based on the analysis in </w:t>
            </w:r>
            <w:r>
              <w:fldChar w:fldCharType="begin"/>
            </w:r>
            <w:r>
              <w:instrText xml:space="preserve"> REF _Ref57370723 \r \h </w:instrText>
            </w:r>
            <w:r>
              <w:fldChar w:fldCharType="separate"/>
            </w:r>
            <w:r w:rsidR="00225EEA">
              <w:t>Table 5</w:t>
            </w:r>
            <w:r>
              <w:fldChar w:fldCharType="end"/>
            </w:r>
            <w:r>
              <w:t>, the NTC recommends that:</w:t>
            </w:r>
          </w:p>
          <w:p w14:paraId="659A0846" w14:textId="0F1E557B" w:rsidR="00512401" w:rsidRDefault="00512401" w:rsidP="008A167B">
            <w:pPr>
              <w:pStyle w:val="List-bulletlvl1"/>
              <w:spacing w:before="80" w:after="80"/>
            </w:pPr>
            <w:r>
              <w:t>the existing PAYGO expenditure categories</w:t>
            </w:r>
            <w:r w:rsidR="00F36E9F">
              <w:t xml:space="preserve"> should</w:t>
            </w:r>
            <w:r>
              <w:t xml:space="preserve"> be retained</w:t>
            </w:r>
          </w:p>
          <w:p w14:paraId="1CC98BB2" w14:textId="2CDDB6BC" w:rsidR="00C34E02" w:rsidRPr="00512401" w:rsidRDefault="00512401" w:rsidP="008A167B">
            <w:pPr>
              <w:pStyle w:val="List-bulletlvl1"/>
              <w:spacing w:before="80" w:after="80"/>
            </w:pPr>
            <w:r>
              <w:t xml:space="preserve">the option of introducing new expenditure categories should be explored once a new set of expenditure categories is agreed under HVRR. </w:t>
            </w:r>
          </w:p>
        </w:tc>
      </w:tr>
      <w:tr w:rsidR="00C34E02" w14:paraId="16B8BAD2" w14:textId="77777777" w:rsidTr="008A167B">
        <w:tc>
          <w:tcPr>
            <w:tcW w:w="993" w:type="dxa"/>
          </w:tcPr>
          <w:p w14:paraId="6B749A23" w14:textId="73782BFB" w:rsidR="00C34E02" w:rsidRPr="00357D40" w:rsidDel="00CD1BE2" w:rsidRDefault="00C34E02" w:rsidP="008A167B">
            <w:pPr>
              <w:pStyle w:val="BodyCopy"/>
              <w:spacing w:before="80" w:after="80"/>
            </w:pPr>
            <w:r w:rsidRPr="00215D90">
              <w:fldChar w:fldCharType="begin"/>
            </w:r>
            <w:r w:rsidRPr="00357D40">
              <w:instrText xml:space="preserve"> REF _Ref64880985 \r \h  \* MERGEFORMAT </w:instrText>
            </w:r>
            <w:r w:rsidRPr="00215D90">
              <w:fldChar w:fldCharType="separate"/>
            </w:r>
            <w:r w:rsidR="00225EEA">
              <w:t>4.4</w:t>
            </w:r>
            <w:r w:rsidRPr="00215D90">
              <w:fldChar w:fldCharType="end"/>
            </w:r>
          </w:p>
        </w:tc>
        <w:tc>
          <w:tcPr>
            <w:tcW w:w="1984" w:type="dxa"/>
          </w:tcPr>
          <w:p w14:paraId="734A168A" w14:textId="77777777" w:rsidR="00C34E02" w:rsidRPr="00357D40" w:rsidRDefault="00C34E02" w:rsidP="008A167B">
            <w:pPr>
              <w:pStyle w:val="BodyCopy"/>
              <w:spacing w:before="80" w:after="80"/>
            </w:pPr>
            <w:r w:rsidRPr="00357D40">
              <w:t>Treatment of innovative funding and financing models</w:t>
            </w:r>
          </w:p>
        </w:tc>
        <w:tc>
          <w:tcPr>
            <w:tcW w:w="6448" w:type="dxa"/>
          </w:tcPr>
          <w:p w14:paraId="307A4972" w14:textId="77777777" w:rsidR="00982D32" w:rsidRDefault="00982D32" w:rsidP="008A167B">
            <w:pPr>
              <w:pStyle w:val="BodyCopy"/>
              <w:spacing w:before="80" w:after="80"/>
            </w:pPr>
            <w:r>
              <w:t>The NTC recommends that:</w:t>
            </w:r>
          </w:p>
          <w:p w14:paraId="5E605DD9" w14:textId="729B39AD" w:rsidR="00982D32" w:rsidRPr="006E7D67" w:rsidRDefault="00674DB8" w:rsidP="008A167B">
            <w:pPr>
              <w:pStyle w:val="List-bulletlvl1"/>
              <w:spacing w:before="80" w:after="80"/>
            </w:pPr>
            <w:r>
              <w:t>t</w:t>
            </w:r>
            <w:r w:rsidR="00982D32">
              <w:t>he NTC should c</w:t>
            </w:r>
            <w:r w:rsidR="00982D32" w:rsidRPr="002A194F">
              <w:t>hange</w:t>
            </w:r>
            <w:r w:rsidR="00982D32">
              <w:t xml:space="preserve"> the expenditure reporting</w:t>
            </w:r>
            <w:r w:rsidR="00982D32" w:rsidRPr="002A194F">
              <w:t xml:space="preserve"> guidelines to account for tolled roads and any other types of innovative funding or financing models used by governments </w:t>
            </w:r>
            <w:r w:rsidR="00982D32">
              <w:t xml:space="preserve">on a net neutral basis (Option 5) in </w:t>
            </w:r>
            <w:r w:rsidR="00982D32" w:rsidRPr="00357D40">
              <w:t>accordance</w:t>
            </w:r>
            <w:r w:rsidR="00982D32">
              <w:t xml:space="preserve"> with the principles in section </w:t>
            </w:r>
            <w:r w:rsidR="00982D32">
              <w:fldChar w:fldCharType="begin"/>
            </w:r>
            <w:r w:rsidR="00982D32">
              <w:instrText xml:space="preserve"> REF _Ref75784539 \r \h </w:instrText>
            </w:r>
            <w:r w:rsidR="00982D32">
              <w:fldChar w:fldCharType="separate"/>
            </w:r>
            <w:r w:rsidR="00225EEA">
              <w:t>4.4.4</w:t>
            </w:r>
            <w:r w:rsidR="00982D32">
              <w:fldChar w:fldCharType="end"/>
            </w:r>
            <w:r w:rsidR="00982D32" w:rsidRPr="002A194F">
              <w:t>.</w:t>
            </w:r>
          </w:p>
          <w:p w14:paraId="7C4FA6A3" w14:textId="2FB2DFF3" w:rsidR="00C34E02" w:rsidRPr="00982D32" w:rsidRDefault="00674DB8" w:rsidP="008A167B">
            <w:pPr>
              <w:pStyle w:val="List-bulletlvl1"/>
              <w:spacing w:before="80" w:after="80"/>
            </w:pPr>
            <w:r>
              <w:t>t</w:t>
            </w:r>
            <w:r w:rsidR="00982D32">
              <w:t>he NTC should work with state and territory road agencies to assist them in reporting the relevant expenditures and revenues in accordance with the guidelines and principles.</w:t>
            </w:r>
          </w:p>
        </w:tc>
      </w:tr>
      <w:tr w:rsidR="00C34E02" w14:paraId="0E7B8772" w14:textId="77777777" w:rsidTr="008A167B">
        <w:tc>
          <w:tcPr>
            <w:tcW w:w="993" w:type="dxa"/>
          </w:tcPr>
          <w:p w14:paraId="6B4964F5" w14:textId="5A55CA0E" w:rsidR="00C34E02" w:rsidRPr="00357D40" w:rsidRDefault="00C34E02" w:rsidP="008A167B">
            <w:pPr>
              <w:pStyle w:val="BodyCopy"/>
              <w:spacing w:before="80" w:after="80"/>
            </w:pPr>
            <w:r w:rsidRPr="00215D90">
              <w:fldChar w:fldCharType="begin"/>
            </w:r>
            <w:r w:rsidRPr="00357D40">
              <w:instrText xml:space="preserve"> REF _Ref64880998 \r \h  \* MERGEFORMAT </w:instrText>
            </w:r>
            <w:r w:rsidRPr="00215D90">
              <w:fldChar w:fldCharType="separate"/>
            </w:r>
            <w:r w:rsidR="00225EEA">
              <w:t>4.5</w:t>
            </w:r>
            <w:r w:rsidRPr="00215D90">
              <w:fldChar w:fldCharType="end"/>
            </w:r>
          </w:p>
        </w:tc>
        <w:tc>
          <w:tcPr>
            <w:tcW w:w="1984" w:type="dxa"/>
          </w:tcPr>
          <w:p w14:paraId="79B2F34D" w14:textId="77777777" w:rsidR="00C34E02" w:rsidRPr="00357D40" w:rsidRDefault="00C34E02" w:rsidP="008A167B">
            <w:pPr>
              <w:pStyle w:val="BodyCopy"/>
              <w:spacing w:before="80" w:after="80"/>
            </w:pPr>
            <w:r w:rsidRPr="00357D40">
              <w:t>Usage data</w:t>
            </w:r>
          </w:p>
        </w:tc>
        <w:tc>
          <w:tcPr>
            <w:tcW w:w="6448" w:type="dxa"/>
          </w:tcPr>
          <w:p w14:paraId="18947BC2" w14:textId="77777777" w:rsidR="00B611A9" w:rsidRDefault="00B611A9" w:rsidP="008A167B">
            <w:pPr>
              <w:pStyle w:val="BodyCopy"/>
              <w:spacing w:before="80" w:after="80"/>
            </w:pPr>
            <w:r>
              <w:t>The NTC recommends that:</w:t>
            </w:r>
          </w:p>
          <w:p w14:paraId="135C8657" w14:textId="23439016" w:rsidR="00B611A9" w:rsidRPr="00582E9B" w:rsidRDefault="00B611A9" w:rsidP="008A167B">
            <w:pPr>
              <w:pStyle w:val="List-bulletlvl1"/>
              <w:spacing w:before="80" w:after="80"/>
            </w:pPr>
            <w:r>
              <w:t>the NTC should explore whether the current work undertaken by BITRE to replace the usage data previously sourced from the SMVU will provide suitable usage data for use in the PAYGO model in the future</w:t>
            </w:r>
          </w:p>
          <w:p w14:paraId="5F9A684F" w14:textId="77777777" w:rsidR="00B611A9" w:rsidRDefault="00B611A9" w:rsidP="008A167B">
            <w:pPr>
              <w:pStyle w:val="List-bulletlvl1"/>
              <w:spacing w:before="80" w:after="80"/>
            </w:pPr>
            <w:r>
              <w:t>the NTC should collaborate with BITRE to develop an alternative source of usage data, if possible</w:t>
            </w:r>
          </w:p>
          <w:p w14:paraId="612CCB2E" w14:textId="1702C17F" w:rsidR="00C34E02" w:rsidRPr="00B611A9" w:rsidRDefault="00B611A9" w:rsidP="008A167B">
            <w:pPr>
              <w:pStyle w:val="List-bulletlvl1"/>
              <w:spacing w:before="80" w:after="80"/>
            </w:pPr>
            <w:r>
              <w:t>the NTC explore alternative options if it is unlikely that the current work undertaken by BITRE will provide the type of data needed to operate the PAYGO model within a suitable time frame.</w:t>
            </w:r>
          </w:p>
        </w:tc>
      </w:tr>
      <w:tr w:rsidR="00C34E02" w14:paraId="3DB89685" w14:textId="77777777" w:rsidTr="008A167B">
        <w:tc>
          <w:tcPr>
            <w:tcW w:w="993" w:type="dxa"/>
          </w:tcPr>
          <w:p w14:paraId="3407CAD3" w14:textId="20867F97" w:rsidR="00C34E02" w:rsidRPr="00357D40" w:rsidRDefault="00C34E02" w:rsidP="008A167B">
            <w:pPr>
              <w:pStyle w:val="BodyCopy"/>
              <w:spacing w:before="80" w:after="80"/>
            </w:pPr>
            <w:r w:rsidRPr="00357D40">
              <w:lastRenderedPageBreak/>
              <w:fldChar w:fldCharType="begin"/>
            </w:r>
            <w:r w:rsidRPr="00357D40">
              <w:instrText xml:space="preserve"> REF _Ref81987284 \r \h  \* MERGEFORMAT </w:instrText>
            </w:r>
            <w:r w:rsidRPr="00357D40">
              <w:fldChar w:fldCharType="separate"/>
            </w:r>
            <w:r w:rsidR="00225EEA">
              <w:t>4.6</w:t>
            </w:r>
            <w:r w:rsidRPr="00357D40">
              <w:fldChar w:fldCharType="end"/>
            </w:r>
          </w:p>
        </w:tc>
        <w:tc>
          <w:tcPr>
            <w:tcW w:w="1984" w:type="dxa"/>
          </w:tcPr>
          <w:p w14:paraId="29FCD326" w14:textId="77777777" w:rsidR="00C34E02" w:rsidRPr="00357D40" w:rsidRDefault="00C34E02" w:rsidP="008A167B">
            <w:pPr>
              <w:pStyle w:val="BodyCopy"/>
              <w:spacing w:before="80" w:after="80"/>
            </w:pPr>
            <w:r w:rsidRPr="00357D40">
              <w:t>Review of ESA values</w:t>
            </w:r>
          </w:p>
        </w:tc>
        <w:tc>
          <w:tcPr>
            <w:tcW w:w="6448" w:type="dxa"/>
          </w:tcPr>
          <w:p w14:paraId="51B0B9C3" w14:textId="77777777" w:rsidR="00B611A9" w:rsidRDefault="00B611A9" w:rsidP="008A167B">
            <w:pPr>
              <w:pStyle w:val="BodyCopy"/>
              <w:spacing w:before="80" w:after="80"/>
            </w:pPr>
            <w:r>
              <w:t>The NTC recommends that:</w:t>
            </w:r>
          </w:p>
          <w:p w14:paraId="03D35445" w14:textId="77777777" w:rsidR="00B611A9" w:rsidRDefault="00B611A9" w:rsidP="008A167B">
            <w:pPr>
              <w:pStyle w:val="List-bulletlvl1"/>
              <w:spacing w:before="80" w:after="80"/>
            </w:pPr>
            <w:r>
              <w:t>the revised ESA values developed by PTT be adopted for use in the PAYGO model</w:t>
            </w:r>
          </w:p>
          <w:p w14:paraId="633D321E" w14:textId="66CCBB5F" w:rsidR="00C34E02" w:rsidRPr="00357D40" w:rsidRDefault="00B611A9" w:rsidP="008A167B">
            <w:pPr>
              <w:pStyle w:val="List-bulletlvl1"/>
              <w:spacing w:before="80" w:after="80"/>
            </w:pPr>
            <w:r>
              <w:t>the NTC investigate</w:t>
            </w:r>
            <w:r w:rsidRPr="00D60B81">
              <w:t xml:space="preserve"> adopting alternative values in the future, should better options become available, and report its findings to ITMM.</w:t>
            </w:r>
            <w:r w:rsidR="009E61AA">
              <w:t xml:space="preserve"> </w:t>
            </w:r>
          </w:p>
        </w:tc>
      </w:tr>
      <w:tr w:rsidR="00C34E02" w14:paraId="430C9800" w14:textId="77777777" w:rsidTr="008A167B">
        <w:tc>
          <w:tcPr>
            <w:tcW w:w="993" w:type="dxa"/>
          </w:tcPr>
          <w:p w14:paraId="7002B541" w14:textId="507DF31B" w:rsidR="00C34E02" w:rsidRPr="00357D40" w:rsidDel="00CD1BE2" w:rsidRDefault="00C34E02" w:rsidP="008A167B">
            <w:pPr>
              <w:pStyle w:val="BodyCopy"/>
              <w:spacing w:before="80" w:after="80"/>
            </w:pPr>
            <w:r w:rsidRPr="00215D90">
              <w:fldChar w:fldCharType="begin"/>
            </w:r>
            <w:r w:rsidRPr="00357D40">
              <w:instrText xml:space="preserve"> REF _Ref64881058 \r \h  \* MERGEFORMAT </w:instrText>
            </w:r>
            <w:r w:rsidRPr="00215D90">
              <w:fldChar w:fldCharType="separate"/>
            </w:r>
            <w:r w:rsidR="00225EEA">
              <w:t>4.8</w:t>
            </w:r>
            <w:r w:rsidRPr="00215D90">
              <w:fldChar w:fldCharType="end"/>
            </w:r>
          </w:p>
        </w:tc>
        <w:tc>
          <w:tcPr>
            <w:tcW w:w="1984" w:type="dxa"/>
          </w:tcPr>
          <w:p w14:paraId="32F06A10" w14:textId="77777777" w:rsidR="00C34E02" w:rsidRPr="00357D40" w:rsidRDefault="00C34E02" w:rsidP="008A167B">
            <w:pPr>
              <w:pStyle w:val="BodyCopy"/>
              <w:spacing w:before="80" w:after="80"/>
            </w:pPr>
            <w:r w:rsidRPr="00357D40">
              <w:t>MaxMan</w:t>
            </w:r>
          </w:p>
        </w:tc>
        <w:tc>
          <w:tcPr>
            <w:tcW w:w="6448" w:type="dxa"/>
          </w:tcPr>
          <w:p w14:paraId="178BDD50" w14:textId="5D015FB0" w:rsidR="00982D32" w:rsidRDefault="00982D32" w:rsidP="008A167B">
            <w:pPr>
              <w:pStyle w:val="BodyCopy"/>
              <w:spacing w:before="80" w:after="80"/>
            </w:pPr>
            <w:r>
              <w:t>The NTC recommends:</w:t>
            </w:r>
          </w:p>
          <w:p w14:paraId="4C21AD92" w14:textId="1325B49A" w:rsidR="00C34E02" w:rsidRPr="00357D40" w:rsidRDefault="00982D32" w:rsidP="008A167B">
            <w:pPr>
              <w:pStyle w:val="List-bulletlvl1"/>
              <w:spacing w:before="80" w:after="80"/>
            </w:pPr>
            <w:r>
              <w:t>that MaxMan</w:t>
            </w:r>
            <w:r w:rsidR="00637E48">
              <w:t xml:space="preserve"> should</w:t>
            </w:r>
            <w:r>
              <w:t xml:space="preserve"> be removed from the PAYGO model. </w:t>
            </w:r>
          </w:p>
        </w:tc>
      </w:tr>
      <w:tr w:rsidR="00C34E02" w14:paraId="5E46D5AF" w14:textId="77777777" w:rsidTr="008A167B">
        <w:tc>
          <w:tcPr>
            <w:tcW w:w="993" w:type="dxa"/>
          </w:tcPr>
          <w:p w14:paraId="5530094C" w14:textId="6D35DD9F" w:rsidR="00C34E02" w:rsidRPr="00357D40" w:rsidDel="00CD1BE2" w:rsidRDefault="00C34E02" w:rsidP="008A167B">
            <w:pPr>
              <w:pStyle w:val="BodyCopy"/>
              <w:spacing w:before="80" w:after="80"/>
            </w:pPr>
            <w:r w:rsidRPr="00215D90">
              <w:fldChar w:fldCharType="begin"/>
            </w:r>
            <w:r w:rsidRPr="00357D40">
              <w:instrText xml:space="preserve"> REF _Ref64881068 \r \h  \* MERGEFORMAT </w:instrText>
            </w:r>
            <w:r w:rsidRPr="00215D90">
              <w:fldChar w:fldCharType="separate"/>
            </w:r>
            <w:r w:rsidR="00225EEA">
              <w:t>4.9</w:t>
            </w:r>
            <w:r w:rsidRPr="00215D90">
              <w:fldChar w:fldCharType="end"/>
            </w:r>
          </w:p>
        </w:tc>
        <w:tc>
          <w:tcPr>
            <w:tcW w:w="1984" w:type="dxa"/>
          </w:tcPr>
          <w:p w14:paraId="2EE18586" w14:textId="77777777" w:rsidR="00C34E02" w:rsidRPr="00357D40" w:rsidRDefault="00C34E02" w:rsidP="008A167B">
            <w:pPr>
              <w:pStyle w:val="BodyCopy"/>
              <w:spacing w:before="80" w:after="80"/>
            </w:pPr>
            <w:r w:rsidRPr="00357D40">
              <w:t>RUC leakages</w:t>
            </w:r>
          </w:p>
        </w:tc>
        <w:tc>
          <w:tcPr>
            <w:tcW w:w="6448" w:type="dxa"/>
          </w:tcPr>
          <w:p w14:paraId="44EC4932" w14:textId="77777777" w:rsidR="00DD5D9F" w:rsidRDefault="00DD5D9F" w:rsidP="008A167B">
            <w:pPr>
              <w:pStyle w:val="BodyCopy"/>
              <w:spacing w:before="80" w:after="80"/>
            </w:pPr>
            <w:r>
              <w:t>The NTC recommends:</w:t>
            </w:r>
          </w:p>
          <w:p w14:paraId="37C0E03A" w14:textId="5543E24E" w:rsidR="00DD5D9F" w:rsidRDefault="00DD5D9F" w:rsidP="008A167B">
            <w:pPr>
              <w:pStyle w:val="List-bulletlvl1"/>
              <w:spacing w:before="80" w:after="80"/>
            </w:pPr>
            <w:r>
              <w:t xml:space="preserve">implementing approach 2 in </w:t>
            </w:r>
            <w:r>
              <w:fldChar w:fldCharType="begin"/>
            </w:r>
            <w:r>
              <w:instrText xml:space="preserve"> REF _Ref82165064 \r \h </w:instrText>
            </w:r>
            <w:r>
              <w:fldChar w:fldCharType="separate"/>
            </w:r>
            <w:r w:rsidR="00225EEA">
              <w:t>Table 15</w:t>
            </w:r>
            <w:r>
              <w:fldChar w:fldCharType="end"/>
            </w:r>
            <w:r>
              <w:t xml:space="preserve">, as amended, which uses a conservative approach to produce an estimate of RUC exemptions using the ATO’s ‘fair and reasonable’ fuel tax rate exemption rates. </w:t>
            </w:r>
          </w:p>
          <w:p w14:paraId="1CCC2226" w14:textId="0A717176" w:rsidR="00C34E02" w:rsidRPr="00DD5D9F" w:rsidRDefault="00DD5D9F" w:rsidP="008A167B">
            <w:pPr>
              <w:pStyle w:val="List-bulletlvl1"/>
              <w:spacing w:before="80" w:after="80"/>
            </w:pPr>
            <w:r>
              <w:t>applying a reduction of 4 per cent to the estimates of total fuel consumption in the PAYGO model to reflect estimated RUC exemptions and arrive at an estimate of fuel that is actually subject to RUC.</w:t>
            </w:r>
          </w:p>
        </w:tc>
      </w:tr>
      <w:tr w:rsidR="00C34E02" w14:paraId="19E7FBD0" w14:textId="77777777" w:rsidTr="008A167B">
        <w:tc>
          <w:tcPr>
            <w:tcW w:w="993" w:type="dxa"/>
          </w:tcPr>
          <w:p w14:paraId="5E807828" w14:textId="49E19301" w:rsidR="00C34E02" w:rsidRPr="00357D40" w:rsidRDefault="00C34E02" w:rsidP="008A167B">
            <w:pPr>
              <w:pStyle w:val="BodyCopy"/>
              <w:spacing w:before="80" w:after="80"/>
            </w:pPr>
            <w:r w:rsidRPr="00215D90">
              <w:fldChar w:fldCharType="begin"/>
            </w:r>
            <w:r w:rsidRPr="00357D40">
              <w:instrText xml:space="preserve"> REF _Ref58416272 \r \h  \* MERGEFORMAT </w:instrText>
            </w:r>
            <w:r w:rsidRPr="00215D90">
              <w:fldChar w:fldCharType="separate"/>
            </w:r>
            <w:r w:rsidR="00225EEA">
              <w:t>4.10</w:t>
            </w:r>
            <w:r w:rsidRPr="00215D90">
              <w:fldChar w:fldCharType="end"/>
            </w:r>
          </w:p>
        </w:tc>
        <w:tc>
          <w:tcPr>
            <w:tcW w:w="1984" w:type="dxa"/>
          </w:tcPr>
          <w:p w14:paraId="018E91B8" w14:textId="77777777" w:rsidR="00C34E02" w:rsidRPr="00357D40" w:rsidRDefault="00C34E02" w:rsidP="008A167B">
            <w:pPr>
              <w:pStyle w:val="BodyCopy"/>
              <w:spacing w:before="80" w:after="80"/>
            </w:pPr>
            <w:r w:rsidRPr="00357D40">
              <w:t>Unsealed road travel discounts</w:t>
            </w:r>
          </w:p>
        </w:tc>
        <w:tc>
          <w:tcPr>
            <w:tcW w:w="6448" w:type="dxa"/>
          </w:tcPr>
          <w:p w14:paraId="6EBCD468" w14:textId="77777777" w:rsidR="00F36E9F" w:rsidRDefault="00F36E9F" w:rsidP="008A167B">
            <w:pPr>
              <w:pStyle w:val="BodyCopy"/>
              <w:spacing w:before="80" w:after="80"/>
            </w:pPr>
            <w:r>
              <w:t>The NTC recommends that:</w:t>
            </w:r>
          </w:p>
          <w:p w14:paraId="5D2D9A95" w14:textId="1AC2DCFF" w:rsidR="00F36E9F" w:rsidRDefault="00674DB8" w:rsidP="008A167B">
            <w:pPr>
              <w:pStyle w:val="List-bulletlvl1"/>
              <w:spacing w:before="80" w:after="80"/>
            </w:pPr>
            <w:r>
              <w:t>t</w:t>
            </w:r>
            <w:r w:rsidR="00F36E9F">
              <w:t>he current unsealed road travel discounts continue to be used in the PAYGO model</w:t>
            </w:r>
          </w:p>
          <w:p w14:paraId="5578E4A2" w14:textId="1CD3E725" w:rsidR="00C34E02" w:rsidRPr="00357D40" w:rsidRDefault="00674DB8" w:rsidP="008A167B">
            <w:pPr>
              <w:pStyle w:val="List-bulletlvl1"/>
              <w:spacing w:before="80" w:after="80"/>
            </w:pPr>
            <w:r>
              <w:t>t</w:t>
            </w:r>
            <w:r w:rsidR="00F36E9F">
              <w:t>he NTC investigate options to update the percentages used to calculate the unsealed road discount in PAYGO after the determination.</w:t>
            </w:r>
          </w:p>
        </w:tc>
      </w:tr>
      <w:tr w:rsidR="00C34E02" w14:paraId="0F150527" w14:textId="77777777" w:rsidTr="008A167B">
        <w:tc>
          <w:tcPr>
            <w:tcW w:w="993" w:type="dxa"/>
          </w:tcPr>
          <w:p w14:paraId="73B41B26" w14:textId="17065555" w:rsidR="00C34E02" w:rsidRPr="00357D40" w:rsidRDefault="00C34E02" w:rsidP="008A167B">
            <w:pPr>
              <w:pStyle w:val="BodyCopy"/>
              <w:spacing w:before="80" w:after="80"/>
            </w:pPr>
            <w:r w:rsidRPr="00215D90">
              <w:fldChar w:fldCharType="begin"/>
            </w:r>
            <w:r w:rsidRPr="00357D40">
              <w:instrText xml:space="preserve"> REF _Ref58416291 \r \h  \* MERGEFORMAT </w:instrText>
            </w:r>
            <w:r w:rsidRPr="00215D90">
              <w:fldChar w:fldCharType="separate"/>
            </w:r>
            <w:r w:rsidR="00225EEA">
              <w:t>4.11</w:t>
            </w:r>
            <w:r w:rsidRPr="00215D90">
              <w:fldChar w:fldCharType="end"/>
            </w:r>
          </w:p>
        </w:tc>
        <w:tc>
          <w:tcPr>
            <w:tcW w:w="1984" w:type="dxa"/>
          </w:tcPr>
          <w:p w14:paraId="5F8270AC" w14:textId="1FC93FCB" w:rsidR="00C34E02" w:rsidRPr="00357D40" w:rsidRDefault="002A1542" w:rsidP="008A167B">
            <w:pPr>
              <w:pStyle w:val="BodyCopy"/>
              <w:spacing w:before="80" w:after="80"/>
            </w:pPr>
            <w:r>
              <w:t>CSO</w:t>
            </w:r>
            <w:r w:rsidR="00C34E02" w:rsidRPr="00357D40">
              <w:t xml:space="preserve"> discount</w:t>
            </w:r>
          </w:p>
        </w:tc>
        <w:tc>
          <w:tcPr>
            <w:tcW w:w="6448" w:type="dxa"/>
          </w:tcPr>
          <w:p w14:paraId="19EBF0AE" w14:textId="7DC76208" w:rsidR="00931665" w:rsidRDefault="00931665" w:rsidP="008A167B">
            <w:pPr>
              <w:pStyle w:val="BodyCopy"/>
              <w:spacing w:before="80" w:after="80"/>
            </w:pPr>
            <w:r>
              <w:t xml:space="preserve">The NTC </w:t>
            </w:r>
            <w:r w:rsidRPr="13EB284F">
              <w:t>recommends</w:t>
            </w:r>
            <w:r w:rsidRPr="00BA5C03">
              <w:t xml:space="preserve"> that</w:t>
            </w:r>
            <w:r>
              <w:t>:</w:t>
            </w:r>
          </w:p>
          <w:p w14:paraId="2A2957AB" w14:textId="7BFD610C" w:rsidR="00C34E02" w:rsidRPr="008A167B" w:rsidRDefault="00931665" w:rsidP="008A167B">
            <w:pPr>
              <w:pStyle w:val="List-bulletlvl1"/>
              <w:spacing w:before="80" w:after="80"/>
              <w:rPr>
                <w:rFonts w:eastAsia="Arial" w:cs="Arial"/>
                <w:color w:val="0078D4"/>
                <w:u w:val="single"/>
              </w:rPr>
            </w:pPr>
            <w:r w:rsidRPr="00BA5C03">
              <w:t>th</w:t>
            </w:r>
            <w:r>
              <w:t>e CSO</w:t>
            </w:r>
            <w:r w:rsidRPr="00BA5C03">
              <w:t xml:space="preserve"> discount</w:t>
            </w:r>
            <w:r>
              <w:t xml:space="preserve"> </w:t>
            </w:r>
            <w:r w:rsidRPr="00BA5C03">
              <w:t>be discont</w:t>
            </w:r>
            <w:r>
              <w:t>in</w:t>
            </w:r>
            <w:r w:rsidRPr="00BA5C03">
              <w:t>ued</w:t>
            </w:r>
            <w:r>
              <w:t>.</w:t>
            </w:r>
            <w:r w:rsidRPr="435C51FB">
              <w:rPr>
                <w:rFonts w:eastAsia="Arial" w:cs="Arial"/>
                <w:color w:val="0078D4"/>
                <w:u w:val="single"/>
              </w:rPr>
              <w:t xml:space="preserve"> </w:t>
            </w:r>
          </w:p>
        </w:tc>
      </w:tr>
      <w:tr w:rsidR="00C34E02" w14:paraId="32F11BCB" w14:textId="77777777" w:rsidTr="008A167B">
        <w:tc>
          <w:tcPr>
            <w:tcW w:w="993" w:type="dxa"/>
          </w:tcPr>
          <w:p w14:paraId="582FDF7D" w14:textId="64CBEC13" w:rsidR="00C34E02" w:rsidRPr="00357D40" w:rsidRDefault="00C34E02" w:rsidP="008A167B">
            <w:pPr>
              <w:pStyle w:val="BodyCopy"/>
              <w:spacing w:before="80" w:after="80"/>
            </w:pPr>
            <w:r w:rsidRPr="00215D90">
              <w:fldChar w:fldCharType="begin"/>
            </w:r>
            <w:r w:rsidRPr="00357D40">
              <w:instrText xml:space="preserve"> REF _Ref58416306 \r \h  \* MERGEFORMAT </w:instrText>
            </w:r>
            <w:r w:rsidRPr="00215D90">
              <w:fldChar w:fldCharType="separate"/>
            </w:r>
            <w:r w:rsidR="00225EEA">
              <w:t>4.13</w:t>
            </w:r>
            <w:r w:rsidRPr="00215D90">
              <w:fldChar w:fldCharType="end"/>
            </w:r>
          </w:p>
        </w:tc>
        <w:tc>
          <w:tcPr>
            <w:tcW w:w="1984" w:type="dxa"/>
          </w:tcPr>
          <w:p w14:paraId="3F9D93AE" w14:textId="77777777" w:rsidR="00C34E02" w:rsidRPr="00357D40" w:rsidRDefault="00C34E02" w:rsidP="008A167B">
            <w:pPr>
              <w:pStyle w:val="BodyCopy"/>
              <w:spacing w:before="80" w:after="80"/>
            </w:pPr>
            <w:r w:rsidRPr="00357D40">
              <w:t>Electric vehicle fleet</w:t>
            </w:r>
          </w:p>
        </w:tc>
        <w:tc>
          <w:tcPr>
            <w:tcW w:w="6448" w:type="dxa"/>
          </w:tcPr>
          <w:p w14:paraId="20FF73A0" w14:textId="77777777" w:rsidR="00DD5D9F" w:rsidRDefault="00DD5D9F" w:rsidP="008A167B">
            <w:pPr>
              <w:pStyle w:val="BodyCopy"/>
              <w:spacing w:before="80" w:after="80"/>
            </w:pPr>
            <w:r>
              <w:t>The NTC recommends that:</w:t>
            </w:r>
          </w:p>
          <w:p w14:paraId="030396B2" w14:textId="77777777" w:rsidR="00DD5D9F" w:rsidRDefault="00DD5D9F" w:rsidP="008A167B">
            <w:pPr>
              <w:pStyle w:val="List-bulletlvl1"/>
              <w:spacing w:before="80" w:after="80"/>
            </w:pPr>
            <w:r>
              <w:t>state and territory road agencies regularly provide data to the NTC on electric vehicles by type</w:t>
            </w:r>
          </w:p>
          <w:p w14:paraId="3BB8EEC6" w14:textId="4F203983" w:rsidR="00DD5D9F" w:rsidRPr="00A67BF2" w:rsidRDefault="00DD5D9F" w:rsidP="008A167B">
            <w:pPr>
              <w:pStyle w:val="List-bulletlvl1"/>
              <w:spacing w:before="80" w:after="80"/>
            </w:pPr>
            <w:r>
              <w:t>the NTC monitors the number of electric vehicles over time and assess</w:t>
            </w:r>
            <w:r w:rsidR="005C751C">
              <w:t>es</w:t>
            </w:r>
            <w:r>
              <w:t xml:space="preserve"> their impact on cost recovery for heavy vehicles under the current heavy vehicle charges over time</w:t>
            </w:r>
          </w:p>
          <w:p w14:paraId="40AD000B" w14:textId="428114A7" w:rsidR="00DD5D9F" w:rsidRDefault="00DD5D9F" w:rsidP="008A167B">
            <w:pPr>
              <w:pStyle w:val="List-bulletlvl1"/>
              <w:spacing w:before="80" w:after="80"/>
            </w:pPr>
            <w:r>
              <w:t xml:space="preserve">the NTC makes this information available to states, </w:t>
            </w:r>
            <w:r w:rsidR="00376510">
              <w:t>territories,</w:t>
            </w:r>
            <w:r>
              <w:t xml:space="preserve"> and the Commonwealth through ITMM</w:t>
            </w:r>
          </w:p>
          <w:p w14:paraId="1B3748D0" w14:textId="5DE3E541" w:rsidR="00C34E02" w:rsidRPr="00357D40" w:rsidRDefault="00DD5D9F" w:rsidP="008A167B">
            <w:pPr>
              <w:pStyle w:val="List-bulletlvl1"/>
              <w:spacing w:before="80" w:after="80"/>
            </w:pPr>
            <w:r>
              <w:t>the NTC provides an update to ITMM at the end of 2024.</w:t>
            </w:r>
            <w:r w:rsidR="009E61AA">
              <w:t xml:space="preserve"> </w:t>
            </w:r>
          </w:p>
        </w:tc>
      </w:tr>
      <w:tr w:rsidR="00C34E02" w14:paraId="48BAC302" w14:textId="77777777" w:rsidTr="008A167B">
        <w:tc>
          <w:tcPr>
            <w:tcW w:w="993" w:type="dxa"/>
          </w:tcPr>
          <w:p w14:paraId="7932F6F5" w14:textId="0CF9DA29" w:rsidR="00C34E02" w:rsidRPr="00357D40" w:rsidRDefault="00C34E02" w:rsidP="008A167B">
            <w:pPr>
              <w:pStyle w:val="BodyCopy"/>
              <w:spacing w:before="80" w:after="80"/>
            </w:pPr>
            <w:r w:rsidRPr="00215D90">
              <w:fldChar w:fldCharType="begin"/>
            </w:r>
            <w:r w:rsidRPr="00357D40">
              <w:instrText xml:space="preserve"> REF _Ref58416330 \r \h  \* MERGEFORMAT </w:instrText>
            </w:r>
            <w:r w:rsidRPr="00215D90">
              <w:fldChar w:fldCharType="separate"/>
            </w:r>
            <w:r w:rsidR="00225EEA">
              <w:t>4.14</w:t>
            </w:r>
            <w:r w:rsidRPr="00215D90">
              <w:fldChar w:fldCharType="end"/>
            </w:r>
          </w:p>
        </w:tc>
        <w:tc>
          <w:tcPr>
            <w:tcW w:w="1984" w:type="dxa"/>
          </w:tcPr>
          <w:p w14:paraId="33391D13" w14:textId="77777777" w:rsidR="00C34E02" w:rsidRPr="00357D40" w:rsidRDefault="00C34E02" w:rsidP="008A167B">
            <w:pPr>
              <w:pStyle w:val="BodyCopy"/>
              <w:spacing w:before="80" w:after="80"/>
            </w:pPr>
            <w:r w:rsidRPr="00357D40">
              <w:t>Recovery of regulatory costs</w:t>
            </w:r>
          </w:p>
        </w:tc>
        <w:tc>
          <w:tcPr>
            <w:tcW w:w="6448" w:type="dxa"/>
          </w:tcPr>
          <w:p w14:paraId="53F7DE2E" w14:textId="22AE39C8" w:rsidR="002434A4" w:rsidRDefault="002434A4" w:rsidP="008A167B">
            <w:pPr>
              <w:pStyle w:val="BodyCopy"/>
              <w:spacing w:before="80" w:after="80"/>
            </w:pPr>
            <w:r>
              <w:t>The NTC recommends that:</w:t>
            </w:r>
          </w:p>
          <w:p w14:paraId="67137C3A" w14:textId="165CD4D5" w:rsidR="002434A4" w:rsidRDefault="002434A4" w:rsidP="008A167B">
            <w:pPr>
              <w:pStyle w:val="List-bulletlvl1"/>
              <w:spacing w:before="80" w:after="80"/>
            </w:pPr>
            <w:r>
              <w:t>regulatory charges for 2022–23 be reset using the existing methodology and the latest available information on weight (AGM), distance travelled (VKT) and the registered heavy vehicle fleet</w:t>
            </w:r>
          </w:p>
          <w:p w14:paraId="71919E06" w14:textId="20F06469" w:rsidR="002434A4" w:rsidRDefault="002434A4" w:rsidP="008A167B">
            <w:pPr>
              <w:pStyle w:val="List-bulletlvl1"/>
              <w:spacing w:before="80" w:after="80"/>
            </w:pPr>
            <w:r>
              <w:t>regulatory charges for subsequent years be automatically adjusted by scaling the 2022–23 regulatory charges up or down to recover the NHVR’s approved budget</w:t>
            </w:r>
          </w:p>
          <w:p w14:paraId="311D3659" w14:textId="79393603" w:rsidR="00C34E02" w:rsidRPr="002434A4" w:rsidRDefault="002434A4" w:rsidP="008A167B">
            <w:pPr>
              <w:pStyle w:val="List-bulletlvl1"/>
              <w:spacing w:before="80" w:after="80"/>
            </w:pPr>
            <w:r>
              <w:lastRenderedPageBreak/>
              <w:t>the model law be updated to include processes and formulae necessary to implement the automatic update of regulatory charges.</w:t>
            </w:r>
          </w:p>
        </w:tc>
      </w:tr>
      <w:tr w:rsidR="00BC7D72" w14:paraId="7AC6898F" w14:textId="77777777" w:rsidTr="008A167B">
        <w:tc>
          <w:tcPr>
            <w:tcW w:w="993" w:type="dxa"/>
          </w:tcPr>
          <w:p w14:paraId="57AF492B" w14:textId="08FF31BD" w:rsidR="00BC7D72" w:rsidRPr="00D056D9" w:rsidRDefault="00D056D9" w:rsidP="008A167B">
            <w:pPr>
              <w:pStyle w:val="BodyCopy"/>
              <w:spacing w:before="80" w:after="80"/>
            </w:pPr>
            <w:r>
              <w:lastRenderedPageBreak/>
              <w:fldChar w:fldCharType="begin"/>
            </w:r>
            <w:r>
              <w:instrText xml:space="preserve"> REF _Ref82511986 \r \h </w:instrText>
            </w:r>
            <w:r>
              <w:fldChar w:fldCharType="separate"/>
            </w:r>
            <w:r w:rsidR="00225EEA">
              <w:t>5.4</w:t>
            </w:r>
            <w:r>
              <w:fldChar w:fldCharType="end"/>
            </w:r>
          </w:p>
        </w:tc>
        <w:tc>
          <w:tcPr>
            <w:tcW w:w="1984" w:type="dxa"/>
          </w:tcPr>
          <w:p w14:paraId="7A96E669" w14:textId="022A3E8D" w:rsidR="00BC7D72" w:rsidRPr="00D056D9" w:rsidRDefault="00D056D9" w:rsidP="008A167B">
            <w:pPr>
              <w:pStyle w:val="BodyCopy"/>
              <w:spacing w:before="80" w:after="80"/>
            </w:pPr>
            <w:r>
              <w:t>Determination option</w:t>
            </w:r>
          </w:p>
        </w:tc>
        <w:tc>
          <w:tcPr>
            <w:tcW w:w="6448" w:type="dxa"/>
          </w:tcPr>
          <w:p w14:paraId="3E962EA9" w14:textId="3B0245BA" w:rsidR="00674DB8" w:rsidRDefault="00674DB8" w:rsidP="008A167B">
            <w:pPr>
              <w:pStyle w:val="BodyCopy"/>
              <w:spacing w:before="80" w:after="80"/>
            </w:pPr>
            <w:r>
              <w:t>The NTC recommends that</w:t>
            </w:r>
            <w:r w:rsidR="00880493">
              <w:t>:</w:t>
            </w:r>
          </w:p>
          <w:p w14:paraId="2288EA94" w14:textId="06B49D21" w:rsidR="00674DB8" w:rsidRDefault="00880493" w:rsidP="008A167B">
            <w:pPr>
              <w:pStyle w:val="List-bulletlvl1"/>
              <w:spacing w:before="80" w:after="80"/>
            </w:pPr>
            <w:r>
              <w:t>o</w:t>
            </w:r>
            <w:r w:rsidR="00674DB8">
              <w:t>ption B (modified current) be adopted as the standard cost allocation approach in PAYGO from 2022–23</w:t>
            </w:r>
          </w:p>
          <w:p w14:paraId="0A124AA6" w14:textId="7DCD8926" w:rsidR="00BC7D72" w:rsidRPr="00674DB8" w:rsidRDefault="00674DB8" w:rsidP="008A167B">
            <w:pPr>
              <w:pStyle w:val="List-bulletlvl1"/>
              <w:spacing w:before="80" w:after="80"/>
            </w:pPr>
            <w:r>
              <w:t>the heavy vehicle cost base be set at $ 4.516 billion for the 2022–23 charges year.</w:t>
            </w:r>
          </w:p>
        </w:tc>
      </w:tr>
      <w:tr w:rsidR="00D056D9" w14:paraId="7373A3FB" w14:textId="77777777" w:rsidTr="008A167B">
        <w:tc>
          <w:tcPr>
            <w:tcW w:w="993" w:type="dxa"/>
          </w:tcPr>
          <w:p w14:paraId="7164B5CB" w14:textId="17FFE506" w:rsidR="00D056D9" w:rsidRDefault="00D056D9" w:rsidP="008A167B">
            <w:pPr>
              <w:pStyle w:val="BodyCopy"/>
              <w:spacing w:before="80" w:after="80"/>
            </w:pPr>
            <w:r>
              <w:fldChar w:fldCharType="begin"/>
            </w:r>
            <w:r>
              <w:instrText xml:space="preserve"> REF _Ref82512037 \r \h </w:instrText>
            </w:r>
            <w:r>
              <w:fldChar w:fldCharType="separate"/>
            </w:r>
            <w:r w:rsidR="00225EEA">
              <w:t>6.6.6</w:t>
            </w:r>
            <w:r>
              <w:fldChar w:fldCharType="end"/>
            </w:r>
          </w:p>
        </w:tc>
        <w:tc>
          <w:tcPr>
            <w:tcW w:w="1984" w:type="dxa"/>
          </w:tcPr>
          <w:p w14:paraId="3F9F14BF" w14:textId="40503E0D" w:rsidR="00D056D9" w:rsidRDefault="00D056D9" w:rsidP="008A167B">
            <w:pPr>
              <w:pStyle w:val="BodyCopy"/>
              <w:spacing w:before="80" w:after="80"/>
            </w:pPr>
            <w:r>
              <w:t>Implementation option</w:t>
            </w:r>
          </w:p>
        </w:tc>
        <w:tc>
          <w:tcPr>
            <w:tcW w:w="6448" w:type="dxa"/>
          </w:tcPr>
          <w:p w14:paraId="0CA27A00" w14:textId="77777777" w:rsidR="00DD5D9F" w:rsidRDefault="00DD5D9F" w:rsidP="008A167B">
            <w:pPr>
              <w:pStyle w:val="BodyText1"/>
              <w:spacing w:before="80" w:after="80"/>
            </w:pPr>
            <w:r>
              <w:t>The NTC recommends that:</w:t>
            </w:r>
          </w:p>
          <w:p w14:paraId="502EFAE7" w14:textId="3AA0B2E1" w:rsidR="00DD5D9F" w:rsidRDefault="00DD5D9F" w:rsidP="008A167B">
            <w:pPr>
              <w:pStyle w:val="List-bulletlvl1"/>
              <w:spacing w:before="80" w:after="80"/>
            </w:pPr>
            <w:r>
              <w:t>ITMM endorse</w:t>
            </w:r>
            <w:r w:rsidR="00880493">
              <w:t>s</w:t>
            </w:r>
            <w:r>
              <w:t xml:space="preserve"> pathway 1 of the three-year fixed price path, with increases in heavy vehicle charges of 2.75 per cent in 2022–23, 3.0 per cent in 2023–24 and 3.5 per cent in 2024–25 as its preferred option for implementing this determination</w:t>
            </w:r>
          </w:p>
          <w:p w14:paraId="54EBC1B8" w14:textId="5420C0E0" w:rsidR="00D056D9" w:rsidRPr="00DD5D9F" w:rsidRDefault="00DD5D9F" w:rsidP="008A167B">
            <w:pPr>
              <w:pStyle w:val="List-bulletlvl1"/>
              <w:spacing w:before="80" w:after="80"/>
            </w:pPr>
            <w:r>
              <w:t>ITMM agree</w:t>
            </w:r>
            <w:r w:rsidR="00880493">
              <w:t>s</w:t>
            </w:r>
            <w:r>
              <w:t xml:space="preserve"> that the NTC undertake</w:t>
            </w:r>
            <w:r w:rsidR="00880493">
              <w:t>s</w:t>
            </w:r>
            <w:r>
              <w:t xml:space="preserve"> further consultation for 60 days on the preferred option for implementing the determination.</w:t>
            </w:r>
          </w:p>
        </w:tc>
      </w:tr>
    </w:tbl>
    <w:p w14:paraId="24D528F9" w14:textId="4C1A4F94" w:rsidR="00C212FE" w:rsidRDefault="0053647D" w:rsidP="0053647D">
      <w:pPr>
        <w:pStyle w:val="Heading2"/>
        <w:rPr>
          <w:rFonts w:eastAsia="Cambria"/>
        </w:rPr>
      </w:pPr>
      <w:bookmarkStart w:id="2356" w:name="_Toc86158507"/>
      <w:r>
        <w:rPr>
          <w:rFonts w:eastAsia="Cambria"/>
        </w:rPr>
        <w:t>Next steps</w:t>
      </w:r>
      <w:bookmarkEnd w:id="2356"/>
    </w:p>
    <w:p w14:paraId="25BAC57D" w14:textId="6807D620" w:rsidR="00A961CC" w:rsidRDefault="00A961CC" w:rsidP="00311E59">
      <w:pPr>
        <w:pStyle w:val="BodyCopy"/>
      </w:pPr>
      <w:r>
        <w:t xml:space="preserve">Ministers at the </w:t>
      </w:r>
      <w:r w:rsidR="00F0678E">
        <w:t>Dec</w:t>
      </w:r>
      <w:r w:rsidR="00BB333F">
        <w:t>ember 2021</w:t>
      </w:r>
      <w:r>
        <w:t xml:space="preserve"> </w:t>
      </w:r>
      <w:r w:rsidR="00880493">
        <w:t xml:space="preserve">ITMM </w:t>
      </w:r>
      <w:r>
        <w:t xml:space="preserve">will consider the NTC’s final recommendations for the determination and identify a preferred option </w:t>
      </w:r>
      <w:r w:rsidR="00BB333F">
        <w:t xml:space="preserve">for heavy vehicle charges applying from 2022–23. </w:t>
      </w:r>
    </w:p>
    <w:p w14:paraId="6D494D0A" w14:textId="08904833" w:rsidR="00BB333F" w:rsidRDefault="00BB333F" w:rsidP="00311E59">
      <w:pPr>
        <w:pStyle w:val="BodyCopy"/>
        <w:rPr>
          <w:rFonts w:ascii="Calibri" w:hAnsi="Calibri"/>
        </w:rPr>
      </w:pPr>
      <w:r>
        <w:t xml:space="preserve">Following the meeting, </w:t>
      </w:r>
      <w:r w:rsidR="00880493">
        <w:t>m</w:t>
      </w:r>
      <w:r>
        <w:t>inisters will consult further on</w:t>
      </w:r>
      <w:r w:rsidR="00A961CC">
        <w:t xml:space="preserve"> the preferred option for heavy vehicle charges</w:t>
      </w:r>
      <w:r>
        <w:t>, in line with the</w:t>
      </w:r>
      <w:r w:rsidR="00A961CC">
        <w:t xml:space="preserve"> requirements for consultation in the</w:t>
      </w:r>
      <w:r>
        <w:t xml:space="preserve"> Fuel Tax Act</w:t>
      </w:r>
      <w:r w:rsidR="00A961CC">
        <w:t>. This is e</w:t>
      </w:r>
      <w:r w:rsidR="008B1133">
        <w:t>xpected to occur in early 2022</w:t>
      </w:r>
      <w:r>
        <w:t>.</w:t>
      </w:r>
    </w:p>
    <w:p w14:paraId="301D63EE" w14:textId="515E9729" w:rsidR="00BB333F" w:rsidRDefault="00BB333F" w:rsidP="00311E59">
      <w:pPr>
        <w:pStyle w:val="BodyCopy"/>
      </w:pPr>
      <w:r>
        <w:t>ITMM will then consider any submissions received on the preferred option and make a final decision on registration charges and RUC to apply from 2022–23.</w:t>
      </w:r>
    </w:p>
    <w:bookmarkStart w:id="2357" w:name="_Toc86158508" w:displacedByCustomXml="next"/>
    <w:sdt>
      <w:sdtPr>
        <w:rPr>
          <w:color w:val="auto"/>
          <w:sz w:val="20"/>
          <w:szCs w:val="20"/>
        </w:rPr>
        <w:id w:val="1784301756"/>
        <w:docPartObj>
          <w:docPartGallery w:val="Bibliographies"/>
          <w:docPartUnique/>
        </w:docPartObj>
      </w:sdtPr>
      <w:sdtContent>
        <w:sdt>
          <w:sdtPr>
            <w:rPr>
              <w:color w:val="auto"/>
              <w:sz w:val="20"/>
              <w:szCs w:val="20"/>
            </w:rPr>
            <w:id w:val="-626315172"/>
            <w:docPartObj>
              <w:docPartGallery w:val="Bibliographies"/>
              <w:docPartUnique/>
            </w:docPartObj>
          </w:sdtPr>
          <w:sdtContent>
            <w:p w14:paraId="6390C622" w14:textId="2E57A3F1" w:rsidR="00C50B70" w:rsidRDefault="00C50B70" w:rsidP="00CD6B04">
              <w:pPr>
                <w:pStyle w:val="Heading1"/>
                <w:numPr>
                  <w:ilvl w:val="0"/>
                  <w:numId w:val="0"/>
                </w:numPr>
                <w:ind w:left="7"/>
              </w:pPr>
              <w:r>
                <w:t>References</w:t>
              </w:r>
              <w:bookmarkEnd w:id="2357"/>
            </w:p>
            <w:bookmarkStart w:id="2358" w:name="_Hlk16508795" w:displacedByCustomXml="next"/>
            <w:sdt>
              <w:sdtPr>
                <w:id w:val="-2114502931"/>
                <w:bibliography/>
              </w:sdtPr>
              <w:sdtContent>
                <w:p w14:paraId="6275E9A6" w14:textId="77777777" w:rsidR="000A4DC7" w:rsidRDefault="00C50B70" w:rsidP="000A4DC7">
                  <w:pPr>
                    <w:pStyle w:val="Bibliography"/>
                    <w:rPr>
                      <w:noProof/>
                      <w:sz w:val="24"/>
                      <w:szCs w:val="24"/>
                    </w:rPr>
                  </w:pPr>
                  <w:r>
                    <w:fldChar w:fldCharType="begin"/>
                  </w:r>
                  <w:r>
                    <w:instrText xml:space="preserve"> BIBLIOGRAPHY </w:instrText>
                  </w:r>
                  <w:r>
                    <w:fldChar w:fldCharType="separate"/>
                  </w:r>
                  <w:r w:rsidR="000A4DC7">
                    <w:rPr>
                      <w:noProof/>
                    </w:rPr>
                    <w:t xml:space="preserve">ABS, 2019. </w:t>
                  </w:r>
                  <w:r w:rsidR="000A4DC7">
                    <w:rPr>
                      <w:i/>
                      <w:iCs/>
                      <w:noProof/>
                    </w:rPr>
                    <w:t xml:space="preserve">Survey of Motor Vehicle Use – survey guide. </w:t>
                  </w:r>
                  <w:r w:rsidR="000A4DC7">
                    <w:rPr>
                      <w:noProof/>
                    </w:rPr>
                    <w:t xml:space="preserve">[Online] </w:t>
                  </w:r>
                  <w:r w:rsidR="000A4DC7">
                    <w:rPr>
                      <w:noProof/>
                    </w:rPr>
                    <w:br/>
                    <w:t xml:space="preserve">Available at: </w:t>
                  </w:r>
                  <w:r w:rsidR="000A4DC7">
                    <w:rPr>
                      <w:noProof/>
                      <w:u w:val="single"/>
                    </w:rPr>
                    <w:t>https://www.abs.gov.au/websitedbs/d3310114.nsf/4a256353001af3ed4b2562bb00121564/5dff3ab82130e7e0ca257c070010f3b8/$FILE/SMVU_Survey_Guide_2019-20.pdf</w:t>
                  </w:r>
                  <w:r w:rsidR="000A4DC7">
                    <w:rPr>
                      <w:noProof/>
                    </w:rPr>
                    <w:br/>
                    <w:t>[Accessed 22 December 2020].</w:t>
                  </w:r>
                </w:p>
                <w:p w14:paraId="60916D9A" w14:textId="77777777" w:rsidR="000A4DC7" w:rsidRDefault="000A4DC7" w:rsidP="000A4DC7">
                  <w:pPr>
                    <w:pStyle w:val="Bibliography"/>
                    <w:rPr>
                      <w:noProof/>
                    </w:rPr>
                  </w:pPr>
                  <w:r>
                    <w:rPr>
                      <w:noProof/>
                    </w:rPr>
                    <w:t xml:space="preserve">ABS, 2020. </w:t>
                  </w:r>
                  <w:r>
                    <w:rPr>
                      <w:i/>
                      <w:iCs/>
                      <w:noProof/>
                    </w:rPr>
                    <w:t xml:space="preserve">Survey of Motor Vehicle Use, Australia methodology. </w:t>
                  </w:r>
                  <w:r>
                    <w:rPr>
                      <w:noProof/>
                    </w:rPr>
                    <w:t xml:space="preserve">[Online] </w:t>
                  </w:r>
                  <w:r>
                    <w:rPr>
                      <w:noProof/>
                    </w:rPr>
                    <w:br/>
                    <w:t xml:space="preserve">Available at: </w:t>
                  </w:r>
                  <w:r>
                    <w:rPr>
                      <w:noProof/>
                      <w:u w:val="single"/>
                    </w:rPr>
                    <w:t>https://www.abs.gov.au/methodologies/survey-motor-vehicle-use-australia-methodology/12-months-ended-30-june-2020</w:t>
                  </w:r>
                  <w:r>
                    <w:rPr>
                      <w:noProof/>
                    </w:rPr>
                    <w:br/>
                    <w:t>[Accessed 21 December 2020].</w:t>
                  </w:r>
                </w:p>
                <w:p w14:paraId="4626A727" w14:textId="77777777" w:rsidR="000A4DC7" w:rsidRDefault="000A4DC7" w:rsidP="000A4DC7">
                  <w:pPr>
                    <w:pStyle w:val="Bibliography"/>
                    <w:rPr>
                      <w:noProof/>
                    </w:rPr>
                  </w:pPr>
                  <w:r>
                    <w:rPr>
                      <w:noProof/>
                    </w:rPr>
                    <w:t xml:space="preserve">Administrative Appeals Tribunal of Australia, 2012. </w:t>
                  </w:r>
                  <w:r>
                    <w:rPr>
                      <w:i/>
                      <w:iCs/>
                      <w:noProof/>
                    </w:rPr>
                    <w:t xml:space="preserve">Linfox Australia Pty Ltd and Commissioner of Taxation [2012] AATA 517 (7 August 2012). </w:t>
                  </w:r>
                  <w:r>
                    <w:rPr>
                      <w:noProof/>
                    </w:rPr>
                    <w:t xml:space="preserve">[Online] </w:t>
                  </w:r>
                  <w:r>
                    <w:rPr>
                      <w:noProof/>
                    </w:rPr>
                    <w:br/>
                    <w:t xml:space="preserve">Available at: </w:t>
                  </w:r>
                  <w:r>
                    <w:rPr>
                      <w:noProof/>
                      <w:u w:val="single"/>
                    </w:rPr>
                    <w:t>http://www8.austlii.edu.au/cgi-bin/viewdoc/au/cases/cth/AATA/2012/517.html</w:t>
                  </w:r>
                  <w:r>
                    <w:rPr>
                      <w:noProof/>
                    </w:rPr>
                    <w:br/>
                    <w:t>[Accessed 21 December 2020].</w:t>
                  </w:r>
                </w:p>
                <w:p w14:paraId="53E766D2" w14:textId="77777777" w:rsidR="000A4DC7" w:rsidRDefault="000A4DC7" w:rsidP="000A4DC7">
                  <w:pPr>
                    <w:pStyle w:val="Bibliography"/>
                    <w:rPr>
                      <w:noProof/>
                    </w:rPr>
                  </w:pPr>
                  <w:r>
                    <w:rPr>
                      <w:noProof/>
                    </w:rPr>
                    <w:t xml:space="preserve">ARRB, 2017a. </w:t>
                  </w:r>
                  <w:r>
                    <w:rPr>
                      <w:i/>
                      <w:iCs/>
                      <w:noProof/>
                    </w:rPr>
                    <w:t xml:space="preserve">Determination of common and allocated costs and associated use metrics for a revised cost allocation matrix, </w:t>
                  </w:r>
                  <w:r>
                    <w:rPr>
                      <w:noProof/>
                    </w:rPr>
                    <w:t>Port Melbourne: ARRB.</w:t>
                  </w:r>
                </w:p>
                <w:p w14:paraId="6F607674" w14:textId="77777777" w:rsidR="000A4DC7" w:rsidRDefault="000A4DC7" w:rsidP="000A4DC7">
                  <w:pPr>
                    <w:pStyle w:val="Bibliography"/>
                    <w:rPr>
                      <w:noProof/>
                    </w:rPr>
                  </w:pPr>
                  <w:r>
                    <w:rPr>
                      <w:noProof/>
                    </w:rPr>
                    <w:t xml:space="preserve">ARRB, 2017b. </w:t>
                  </w:r>
                  <w:r>
                    <w:rPr>
                      <w:i/>
                      <w:iCs/>
                      <w:noProof/>
                    </w:rPr>
                    <w:t xml:space="preserve">Road cost allocation literature review findings, </w:t>
                  </w:r>
                  <w:r>
                    <w:rPr>
                      <w:noProof/>
                    </w:rPr>
                    <w:t>Port Melbourne: ARRB.</w:t>
                  </w:r>
                </w:p>
                <w:p w14:paraId="62AD3D1F" w14:textId="77777777" w:rsidR="000A4DC7" w:rsidRDefault="000A4DC7" w:rsidP="000A4DC7">
                  <w:pPr>
                    <w:pStyle w:val="Bibliography"/>
                    <w:rPr>
                      <w:noProof/>
                    </w:rPr>
                  </w:pPr>
                  <w:r>
                    <w:rPr>
                      <w:noProof/>
                    </w:rPr>
                    <w:t xml:space="preserve">ARRB, 2019. </w:t>
                  </w:r>
                  <w:r>
                    <w:rPr>
                      <w:i/>
                      <w:iCs/>
                      <w:noProof/>
                    </w:rPr>
                    <w:t xml:space="preserve">Estimation of renewal and routine pavement costs for a forward looking cost base (FLCB) for heavy vehicles, </w:t>
                  </w:r>
                  <w:r>
                    <w:rPr>
                      <w:noProof/>
                    </w:rPr>
                    <w:t>Port Melbourne: ARRB.</w:t>
                  </w:r>
                </w:p>
                <w:p w14:paraId="2B0EA734" w14:textId="77777777" w:rsidR="000A4DC7" w:rsidRDefault="000A4DC7" w:rsidP="000A4DC7">
                  <w:pPr>
                    <w:pStyle w:val="Bibliography"/>
                    <w:rPr>
                      <w:noProof/>
                    </w:rPr>
                  </w:pPr>
                  <w:r>
                    <w:rPr>
                      <w:noProof/>
                    </w:rPr>
                    <w:t xml:space="preserve">ATC, 2007. </w:t>
                  </w:r>
                  <w:r>
                    <w:rPr>
                      <w:i/>
                      <w:iCs/>
                      <w:noProof/>
                    </w:rPr>
                    <w:t xml:space="preserve">ATC meeting on 4 May 2007. </w:t>
                  </w:r>
                  <w:r>
                    <w:rPr>
                      <w:noProof/>
                    </w:rPr>
                    <w:t>Broome, Australian Transport Council.</w:t>
                  </w:r>
                </w:p>
                <w:p w14:paraId="6C3140AB" w14:textId="77777777" w:rsidR="000A4DC7" w:rsidRDefault="000A4DC7" w:rsidP="000A4DC7">
                  <w:pPr>
                    <w:pStyle w:val="Bibliography"/>
                    <w:rPr>
                      <w:noProof/>
                    </w:rPr>
                  </w:pPr>
                  <w:r>
                    <w:rPr>
                      <w:noProof/>
                    </w:rPr>
                    <w:t xml:space="preserve">ATO, 2019. </w:t>
                  </w:r>
                  <w:r>
                    <w:rPr>
                      <w:i/>
                      <w:iCs/>
                      <w:noProof/>
                    </w:rPr>
                    <w:t xml:space="preserve">Practical compliance guidelines: PCG 2016/11 fuel tax credits – apportioning taxable fuel used in a heavy vehicle with auxiliary equipment. </w:t>
                  </w:r>
                  <w:r>
                    <w:rPr>
                      <w:noProof/>
                    </w:rPr>
                    <w:t xml:space="preserve">[Online] </w:t>
                  </w:r>
                  <w:r>
                    <w:rPr>
                      <w:noProof/>
                    </w:rPr>
                    <w:br/>
                    <w:t xml:space="preserve">Available at: </w:t>
                  </w:r>
                  <w:r>
                    <w:rPr>
                      <w:noProof/>
                      <w:u w:val="single"/>
                    </w:rPr>
                    <w:t>https://www.ato.gov.au/law/view/document?LocID=%22COG%2FPCG201611%2FNAT%2FATO%22&amp;PiT=99991231235958</w:t>
                  </w:r>
                  <w:r>
                    <w:rPr>
                      <w:noProof/>
                    </w:rPr>
                    <w:br/>
                    <w:t>[Accessed 21 December 2020].</w:t>
                  </w:r>
                </w:p>
                <w:p w14:paraId="388AC49A" w14:textId="77777777" w:rsidR="000A4DC7" w:rsidRDefault="000A4DC7" w:rsidP="000A4DC7">
                  <w:pPr>
                    <w:pStyle w:val="Bibliography"/>
                    <w:rPr>
                      <w:noProof/>
                    </w:rPr>
                  </w:pPr>
                  <w:r>
                    <w:rPr>
                      <w:noProof/>
                    </w:rPr>
                    <w:t xml:space="preserve">ATO, 2021. </w:t>
                  </w:r>
                  <w:r>
                    <w:rPr>
                      <w:i/>
                      <w:iCs/>
                      <w:noProof/>
                    </w:rPr>
                    <w:t xml:space="preserve">Annual tax gap refresh findings. </w:t>
                  </w:r>
                  <w:r>
                    <w:rPr>
                      <w:noProof/>
                    </w:rPr>
                    <w:t xml:space="preserve">[Online] </w:t>
                  </w:r>
                  <w:r>
                    <w:rPr>
                      <w:noProof/>
                    </w:rPr>
                    <w:br/>
                    <w:t xml:space="preserve">Available at: </w:t>
                  </w:r>
                  <w:r>
                    <w:rPr>
                      <w:noProof/>
                      <w:u w:val="single"/>
                    </w:rPr>
                    <w:t>https://www.ato.gov.au/about-ato/research-and-statistics/in-detail/tax-gap/australian-tax-gaps-overview/?anchor=Whywemeasurethetaxgap#Whywemeasurethetaxgap</w:t>
                  </w:r>
                  <w:r>
                    <w:rPr>
                      <w:noProof/>
                    </w:rPr>
                    <w:br/>
                    <w:t>[Accessed 10 September 2021].</w:t>
                  </w:r>
                </w:p>
                <w:p w14:paraId="3EA511C0" w14:textId="77777777" w:rsidR="000A4DC7" w:rsidRDefault="000A4DC7" w:rsidP="000A4DC7">
                  <w:pPr>
                    <w:pStyle w:val="Bibliography"/>
                    <w:rPr>
                      <w:noProof/>
                    </w:rPr>
                  </w:pPr>
                  <w:r>
                    <w:rPr>
                      <w:noProof/>
                    </w:rPr>
                    <w:t xml:space="preserve">Australian Government, 2021. </w:t>
                  </w:r>
                  <w:r>
                    <w:rPr>
                      <w:i/>
                      <w:iCs/>
                      <w:noProof/>
                    </w:rPr>
                    <w:t xml:space="preserve">Budget 2021–22: Budget Overview. </w:t>
                  </w:r>
                  <w:r>
                    <w:rPr>
                      <w:noProof/>
                    </w:rPr>
                    <w:t xml:space="preserve">[Online] </w:t>
                  </w:r>
                  <w:r>
                    <w:rPr>
                      <w:noProof/>
                    </w:rPr>
                    <w:br/>
                    <w:t xml:space="preserve">Available at: </w:t>
                  </w:r>
                  <w:r>
                    <w:rPr>
                      <w:noProof/>
                      <w:u w:val="single"/>
                    </w:rPr>
                    <w:t>https://budget.gov.au/2021-22/content/download/glossy_overview.pdf</w:t>
                  </w:r>
                  <w:r>
                    <w:rPr>
                      <w:noProof/>
                    </w:rPr>
                    <w:br/>
                    <w:t>[Accessed May 2021].</w:t>
                  </w:r>
                </w:p>
                <w:p w14:paraId="5DA6C95E" w14:textId="77777777" w:rsidR="000A4DC7" w:rsidRDefault="000A4DC7" w:rsidP="000A4DC7">
                  <w:pPr>
                    <w:pStyle w:val="Bibliography"/>
                    <w:rPr>
                      <w:noProof/>
                    </w:rPr>
                  </w:pPr>
                  <w:r>
                    <w:rPr>
                      <w:noProof/>
                    </w:rPr>
                    <w:t xml:space="preserve">Austroads, 2018. </w:t>
                  </w:r>
                  <w:r>
                    <w:rPr>
                      <w:i/>
                      <w:iCs/>
                      <w:noProof/>
                    </w:rPr>
                    <w:t xml:space="preserve">Minimum levels of componentisation for road infrastructure assets – background research, </w:t>
                  </w:r>
                  <w:r>
                    <w:rPr>
                      <w:noProof/>
                    </w:rPr>
                    <w:t>Sydney: Austroads.</w:t>
                  </w:r>
                </w:p>
                <w:p w14:paraId="6287F416" w14:textId="77777777" w:rsidR="000A4DC7" w:rsidRDefault="000A4DC7" w:rsidP="000A4DC7">
                  <w:pPr>
                    <w:pStyle w:val="Bibliography"/>
                    <w:rPr>
                      <w:noProof/>
                    </w:rPr>
                  </w:pPr>
                  <w:r>
                    <w:rPr>
                      <w:noProof/>
                    </w:rPr>
                    <w:t xml:space="preserve">Bureau of Infrastructure, Transport and Regional Economics, 2016. </w:t>
                  </w:r>
                  <w:r>
                    <w:rPr>
                      <w:i/>
                      <w:iCs/>
                      <w:noProof/>
                    </w:rPr>
                    <w:t xml:space="preserve">Toll roads in Australia, </w:t>
                  </w:r>
                  <w:r>
                    <w:rPr>
                      <w:noProof/>
                    </w:rPr>
                    <w:t>Canberra: BITRE.</w:t>
                  </w:r>
                </w:p>
                <w:p w14:paraId="14ABE123" w14:textId="77777777" w:rsidR="000A4DC7" w:rsidRDefault="000A4DC7" w:rsidP="000A4DC7">
                  <w:pPr>
                    <w:pStyle w:val="Bibliography"/>
                    <w:rPr>
                      <w:noProof/>
                    </w:rPr>
                  </w:pPr>
                  <w:r>
                    <w:rPr>
                      <w:noProof/>
                    </w:rPr>
                    <w:t xml:space="preserve">HoustonKemp, 2017. </w:t>
                  </w:r>
                  <w:r>
                    <w:rPr>
                      <w:i/>
                      <w:iCs/>
                      <w:noProof/>
                    </w:rPr>
                    <w:t xml:space="preserve">Review of the parameters used to allocate road infrastructure costs to heavy vehicles, </w:t>
                  </w:r>
                  <w:r>
                    <w:rPr>
                      <w:noProof/>
                    </w:rPr>
                    <w:t>Sydney: HoustonKemp.</w:t>
                  </w:r>
                </w:p>
                <w:p w14:paraId="20E8B9D5" w14:textId="77777777" w:rsidR="000A4DC7" w:rsidRDefault="000A4DC7" w:rsidP="000A4DC7">
                  <w:pPr>
                    <w:pStyle w:val="Bibliography"/>
                    <w:rPr>
                      <w:noProof/>
                    </w:rPr>
                  </w:pPr>
                  <w:r>
                    <w:rPr>
                      <w:noProof/>
                    </w:rPr>
                    <w:t xml:space="preserve">NHVR, 2021. </w:t>
                  </w:r>
                  <w:r>
                    <w:rPr>
                      <w:i/>
                      <w:iCs/>
                      <w:noProof/>
                    </w:rPr>
                    <w:t xml:space="preserve">Corporate Plan 2021-2024, </w:t>
                  </w:r>
                  <w:r>
                    <w:rPr>
                      <w:noProof/>
                    </w:rPr>
                    <w:t>Brisbane: National Heavy Vehicle Regulator.</w:t>
                  </w:r>
                </w:p>
                <w:p w14:paraId="1B2DEA1C" w14:textId="77777777" w:rsidR="000A4DC7" w:rsidRDefault="000A4DC7" w:rsidP="000A4DC7">
                  <w:pPr>
                    <w:pStyle w:val="Bibliography"/>
                    <w:rPr>
                      <w:noProof/>
                    </w:rPr>
                  </w:pPr>
                  <w:r>
                    <w:rPr>
                      <w:noProof/>
                    </w:rPr>
                    <w:t xml:space="preserve">NTC, 2021. </w:t>
                  </w:r>
                  <w:r>
                    <w:rPr>
                      <w:i/>
                      <w:iCs/>
                      <w:noProof/>
                    </w:rPr>
                    <w:t xml:space="preserve">Heavy vehicle charges determination: consultation regulation impact statement, </w:t>
                  </w:r>
                  <w:r>
                    <w:rPr>
                      <w:noProof/>
                    </w:rPr>
                    <w:t>Melbourne: National Transport Commission.</w:t>
                  </w:r>
                </w:p>
                <w:p w14:paraId="4B7B03D2" w14:textId="77777777" w:rsidR="000A4DC7" w:rsidRDefault="000A4DC7" w:rsidP="000A4DC7">
                  <w:pPr>
                    <w:pStyle w:val="Bibliography"/>
                    <w:rPr>
                      <w:noProof/>
                    </w:rPr>
                  </w:pPr>
                  <w:r>
                    <w:rPr>
                      <w:noProof/>
                    </w:rPr>
                    <w:t xml:space="preserve">Opus, 2017. </w:t>
                  </w:r>
                  <w:r>
                    <w:rPr>
                      <w:i/>
                      <w:iCs/>
                      <w:noProof/>
                    </w:rPr>
                    <w:t xml:space="preserve">Expenditure categories for a forward looking cost base, </w:t>
                  </w:r>
                  <w:r>
                    <w:rPr>
                      <w:noProof/>
                    </w:rPr>
                    <w:t>Melbourne: Opus International Consultants (Australia) Pty Ltd.</w:t>
                  </w:r>
                </w:p>
                <w:p w14:paraId="494E6C5A" w14:textId="77777777" w:rsidR="000A4DC7" w:rsidRDefault="000A4DC7" w:rsidP="000A4DC7">
                  <w:pPr>
                    <w:pStyle w:val="Bibliography"/>
                    <w:rPr>
                      <w:noProof/>
                    </w:rPr>
                  </w:pPr>
                  <w:r>
                    <w:rPr>
                      <w:noProof/>
                    </w:rPr>
                    <w:t xml:space="preserve">Prime Mover, 2021. </w:t>
                  </w:r>
                  <w:r>
                    <w:rPr>
                      <w:i/>
                      <w:iCs/>
                      <w:noProof/>
                    </w:rPr>
                    <w:t xml:space="preserve">NHVR adds primary producer concession info to app. </w:t>
                  </w:r>
                  <w:r>
                    <w:rPr>
                      <w:noProof/>
                    </w:rPr>
                    <w:t xml:space="preserve">[Online] </w:t>
                  </w:r>
                  <w:r>
                    <w:rPr>
                      <w:noProof/>
                    </w:rPr>
                    <w:br/>
                    <w:t xml:space="preserve">Available at: </w:t>
                  </w:r>
                  <w:r>
                    <w:rPr>
                      <w:noProof/>
                      <w:u w:val="single"/>
                    </w:rPr>
                    <w:t>https://www.primemovermag.com.au/nhvr-adds-primary-producer-concession-info-to-app/</w:t>
                  </w:r>
                  <w:r>
                    <w:rPr>
                      <w:noProof/>
                    </w:rPr>
                    <w:br/>
                    <w:t>[Accessed 5 October 2021].</w:t>
                  </w:r>
                </w:p>
                <w:p w14:paraId="609F8319" w14:textId="77777777" w:rsidR="000A4DC7" w:rsidRDefault="000A4DC7" w:rsidP="000A4DC7">
                  <w:pPr>
                    <w:pStyle w:val="Bibliography"/>
                    <w:rPr>
                      <w:noProof/>
                    </w:rPr>
                  </w:pPr>
                  <w:r>
                    <w:rPr>
                      <w:noProof/>
                    </w:rPr>
                    <w:t xml:space="preserve">Productivity Commission, 2014. </w:t>
                  </w:r>
                  <w:r>
                    <w:rPr>
                      <w:i/>
                      <w:iCs/>
                      <w:noProof/>
                    </w:rPr>
                    <w:t xml:space="preserve">Public Infrastructure, </w:t>
                  </w:r>
                  <w:r>
                    <w:rPr>
                      <w:noProof/>
                    </w:rPr>
                    <w:t>Canberra: Productivity Commission.</w:t>
                  </w:r>
                </w:p>
                <w:p w14:paraId="62753E15" w14:textId="77777777" w:rsidR="000A4DC7" w:rsidRDefault="000A4DC7" w:rsidP="000A4DC7">
                  <w:pPr>
                    <w:pStyle w:val="Bibliography"/>
                    <w:rPr>
                      <w:noProof/>
                    </w:rPr>
                  </w:pPr>
                  <w:r>
                    <w:rPr>
                      <w:noProof/>
                    </w:rPr>
                    <w:t xml:space="preserve">Transurban, 2015. </w:t>
                  </w:r>
                  <w:r>
                    <w:rPr>
                      <w:i/>
                      <w:iCs/>
                      <w:noProof/>
                    </w:rPr>
                    <w:t xml:space="preserve">CityLink Tulla widening scope change, </w:t>
                  </w:r>
                  <w:r>
                    <w:rPr>
                      <w:noProof/>
                    </w:rPr>
                    <w:t>Docklands: Transurban.</w:t>
                  </w:r>
                </w:p>
                <w:p w14:paraId="46DB89F7" w14:textId="77777777" w:rsidR="000A4DC7" w:rsidRDefault="000A4DC7" w:rsidP="000A4DC7">
                  <w:pPr>
                    <w:pStyle w:val="Bibliography"/>
                    <w:rPr>
                      <w:noProof/>
                    </w:rPr>
                  </w:pPr>
                  <w:r>
                    <w:rPr>
                      <w:noProof/>
                    </w:rPr>
                    <w:lastRenderedPageBreak/>
                    <w:t xml:space="preserve">Transurban, 2020. </w:t>
                  </w:r>
                  <w:r>
                    <w:rPr>
                      <w:i/>
                      <w:iCs/>
                      <w:noProof/>
                    </w:rPr>
                    <w:t xml:space="preserve">Roads and Projects – Melbourne. </w:t>
                  </w:r>
                  <w:r>
                    <w:rPr>
                      <w:noProof/>
                    </w:rPr>
                    <w:t xml:space="preserve">[Online] </w:t>
                  </w:r>
                  <w:r>
                    <w:rPr>
                      <w:noProof/>
                    </w:rPr>
                    <w:br/>
                    <w:t xml:space="preserve">Available at: </w:t>
                  </w:r>
                  <w:r>
                    <w:rPr>
                      <w:noProof/>
                      <w:u w:val="single"/>
                    </w:rPr>
                    <w:t>https://www.transurban.com/roads-and-projects/melbourne</w:t>
                  </w:r>
                  <w:r>
                    <w:rPr>
                      <w:noProof/>
                    </w:rPr>
                    <w:br/>
                    <w:t>[Accessed 26 November 2020].</w:t>
                  </w:r>
                </w:p>
                <w:p w14:paraId="440E0308" w14:textId="7F7B80CB" w:rsidR="00C50B70" w:rsidRDefault="00C50B70" w:rsidP="000A4DC7">
                  <w:pPr>
                    <w:pStyle w:val="Bibliography"/>
                  </w:pPr>
                  <w:r>
                    <w:rPr>
                      <w:b/>
                      <w:bCs/>
                      <w:noProof/>
                    </w:rPr>
                    <w:fldChar w:fldCharType="end"/>
                  </w:r>
                </w:p>
              </w:sdtContent>
            </w:sdt>
          </w:sdtContent>
        </w:sdt>
      </w:sdtContent>
    </w:sdt>
    <w:p w14:paraId="0AF4F2DF" w14:textId="54112155" w:rsidR="00220185" w:rsidRDefault="00220185" w:rsidP="00220185">
      <w:pPr>
        <w:pStyle w:val="Heading1"/>
        <w:numPr>
          <w:ilvl w:val="0"/>
          <w:numId w:val="0"/>
        </w:numPr>
        <w:ind w:left="7"/>
        <w:rPr>
          <w:color w:val="auto"/>
        </w:rPr>
      </w:pPr>
      <w:bookmarkStart w:id="2359" w:name="_Toc86158509"/>
      <w:bookmarkEnd w:id="2358"/>
      <w:r w:rsidRPr="000660B4">
        <w:rPr>
          <w:color w:val="auto"/>
        </w:rPr>
        <w:lastRenderedPageBreak/>
        <w:t>Glossary</w:t>
      </w:r>
      <w:bookmarkEnd w:id="2359"/>
    </w:p>
    <w:tbl>
      <w:tblPr>
        <w:tblStyle w:val="NTCtable"/>
        <w:tblW w:w="0" w:type="auto"/>
        <w:tblLook w:val="04A0" w:firstRow="1" w:lastRow="0" w:firstColumn="1" w:lastColumn="0" w:noHBand="0" w:noVBand="1"/>
      </w:tblPr>
      <w:tblGrid>
        <w:gridCol w:w="1721"/>
        <w:gridCol w:w="7306"/>
      </w:tblGrid>
      <w:tr w:rsidR="00873601" w:rsidRPr="00907FF5" w14:paraId="16B0095F" w14:textId="77777777" w:rsidTr="00873601">
        <w:trPr>
          <w:cnfStyle w:val="100000000000" w:firstRow="1" w:lastRow="0" w:firstColumn="0" w:lastColumn="0" w:oddVBand="0" w:evenVBand="0" w:oddHBand="0" w:evenHBand="0" w:firstRowFirstColumn="0" w:firstRowLastColumn="0" w:lastRowFirstColumn="0" w:lastRowLastColumn="0"/>
        </w:trPr>
        <w:tc>
          <w:tcPr>
            <w:tcW w:w="1721" w:type="dxa"/>
          </w:tcPr>
          <w:p w14:paraId="466A4FE0" w14:textId="77777777" w:rsidR="00873601" w:rsidRPr="000660B4" w:rsidRDefault="00873601" w:rsidP="00873601">
            <w:pPr>
              <w:spacing w:before="144" w:after="144"/>
              <w:rPr>
                <w:rFonts w:eastAsia="Cambria"/>
                <w:b/>
                <w:szCs w:val="24"/>
              </w:rPr>
            </w:pPr>
            <w:r w:rsidRPr="000660B4">
              <w:rPr>
                <w:rFonts w:eastAsia="Cambria"/>
                <w:b/>
                <w:szCs w:val="24"/>
              </w:rPr>
              <w:t>Term</w:t>
            </w:r>
          </w:p>
        </w:tc>
        <w:tc>
          <w:tcPr>
            <w:tcW w:w="7306" w:type="dxa"/>
          </w:tcPr>
          <w:p w14:paraId="77872554" w14:textId="77777777" w:rsidR="00873601" w:rsidRPr="000660B4" w:rsidRDefault="00873601" w:rsidP="00873601">
            <w:pPr>
              <w:spacing w:before="144" w:after="144"/>
              <w:rPr>
                <w:rFonts w:eastAsia="Cambria"/>
                <w:b/>
                <w:szCs w:val="24"/>
              </w:rPr>
            </w:pPr>
            <w:r w:rsidRPr="000660B4">
              <w:rPr>
                <w:rFonts w:eastAsia="Cambria"/>
                <w:b/>
                <w:szCs w:val="24"/>
              </w:rPr>
              <w:t>Definition</w:t>
            </w:r>
          </w:p>
        </w:tc>
      </w:tr>
      <w:tr w:rsidR="00873601" w:rsidRPr="00A239F5" w14:paraId="0122708D" w14:textId="77777777" w:rsidTr="00D35B2F">
        <w:trPr>
          <w:trHeight w:val="408"/>
        </w:trPr>
        <w:tc>
          <w:tcPr>
            <w:tcW w:w="1721" w:type="dxa"/>
          </w:tcPr>
          <w:p w14:paraId="7A642CBE" w14:textId="77777777" w:rsidR="00873601" w:rsidRPr="00A239F5" w:rsidRDefault="00873601" w:rsidP="00D35B2F">
            <w:pPr>
              <w:pStyle w:val="BodyText1"/>
              <w:spacing w:before="60" w:after="160"/>
              <w:rPr>
                <w:bCs/>
              </w:rPr>
            </w:pPr>
            <w:r>
              <w:rPr>
                <w:bCs/>
              </w:rPr>
              <w:t>AGM</w:t>
            </w:r>
          </w:p>
        </w:tc>
        <w:tc>
          <w:tcPr>
            <w:tcW w:w="7306" w:type="dxa"/>
          </w:tcPr>
          <w:p w14:paraId="70156DCE" w14:textId="2460B9BC" w:rsidR="00873601" w:rsidRPr="00A239F5" w:rsidRDefault="00873601" w:rsidP="00D35B2F">
            <w:pPr>
              <w:pStyle w:val="NTCBulletlist"/>
              <w:numPr>
                <w:ilvl w:val="0"/>
                <w:numId w:val="0"/>
              </w:numPr>
              <w:spacing w:before="60" w:after="160"/>
              <w:ind w:left="227" w:hanging="227"/>
              <w:rPr>
                <w:bCs/>
              </w:rPr>
            </w:pPr>
            <w:r>
              <w:rPr>
                <w:bCs/>
              </w:rPr>
              <w:t xml:space="preserve">Average </w:t>
            </w:r>
            <w:r w:rsidR="00257444">
              <w:rPr>
                <w:bCs/>
              </w:rPr>
              <w:t>g</w:t>
            </w:r>
            <w:r>
              <w:rPr>
                <w:bCs/>
              </w:rPr>
              <w:t xml:space="preserve">ross </w:t>
            </w:r>
            <w:r w:rsidR="00257444">
              <w:rPr>
                <w:bCs/>
              </w:rPr>
              <w:t>m</w:t>
            </w:r>
            <w:r>
              <w:rPr>
                <w:bCs/>
              </w:rPr>
              <w:t>ass</w:t>
            </w:r>
          </w:p>
        </w:tc>
      </w:tr>
      <w:tr w:rsidR="00873601" w:rsidRPr="00A239F5" w14:paraId="565684E9" w14:textId="77777777" w:rsidTr="00E541E9">
        <w:trPr>
          <w:trHeight w:val="1371"/>
        </w:trPr>
        <w:tc>
          <w:tcPr>
            <w:tcW w:w="0" w:type="dxa"/>
          </w:tcPr>
          <w:p w14:paraId="21447650" w14:textId="77777777" w:rsidR="00873601" w:rsidRDefault="00873601" w:rsidP="00D35B2F">
            <w:pPr>
              <w:pStyle w:val="BodyText1"/>
              <w:spacing w:before="60" w:after="160"/>
              <w:rPr>
                <w:bCs/>
              </w:rPr>
            </w:pPr>
            <w:r>
              <w:rPr>
                <w:bCs/>
              </w:rPr>
              <w:t>Capital costs</w:t>
            </w:r>
          </w:p>
        </w:tc>
        <w:tc>
          <w:tcPr>
            <w:tcW w:w="0" w:type="dxa"/>
          </w:tcPr>
          <w:p w14:paraId="5A7BB188" w14:textId="271EFA02" w:rsidR="00873601" w:rsidRPr="00284D5A" w:rsidRDefault="006126D3" w:rsidP="00D35B2F">
            <w:pPr>
              <w:pStyle w:val="NTCBulletlist"/>
              <w:numPr>
                <w:ilvl w:val="0"/>
                <w:numId w:val="0"/>
              </w:numPr>
              <w:spacing w:before="60" w:after="160"/>
              <w:ind w:firstLine="13"/>
            </w:pPr>
            <w:r>
              <w:rPr>
                <w:color w:val="202124"/>
                <w:shd w:val="clear" w:color="auto" w:fill="FFFFFF"/>
              </w:rPr>
              <w:t>F</w:t>
            </w:r>
            <w:r w:rsidR="00873601" w:rsidRPr="00284D5A">
              <w:rPr>
                <w:color w:val="202124"/>
                <w:shd w:val="clear" w:color="auto" w:fill="FFFFFF"/>
              </w:rPr>
              <w:t xml:space="preserve">ixed, one-time expenses incurred on the purchase of land, buildings, construction and equipment used in the production </w:t>
            </w:r>
            <w:r w:rsidR="00873601">
              <w:rPr>
                <w:color w:val="202124"/>
                <w:shd w:val="clear" w:color="auto" w:fill="FFFFFF"/>
              </w:rPr>
              <w:t xml:space="preserve">and maintenance </w:t>
            </w:r>
            <w:r w:rsidR="00873601" w:rsidRPr="00284D5A">
              <w:rPr>
                <w:color w:val="202124"/>
                <w:shd w:val="clear" w:color="auto" w:fill="FFFFFF"/>
              </w:rPr>
              <w:t xml:space="preserve">of </w:t>
            </w:r>
            <w:r w:rsidR="00873601">
              <w:rPr>
                <w:color w:val="202124"/>
                <w:shd w:val="clear" w:color="auto" w:fill="FFFFFF"/>
              </w:rPr>
              <w:t>roads</w:t>
            </w:r>
            <w:r w:rsidR="00873601" w:rsidRPr="00284D5A">
              <w:rPr>
                <w:color w:val="202124"/>
                <w:shd w:val="clear" w:color="auto" w:fill="FFFFFF"/>
              </w:rPr>
              <w:t>.</w:t>
            </w:r>
            <w:r w:rsidR="00873601" w:rsidRPr="00284D5A">
              <w:t xml:space="preserve"> </w:t>
            </w:r>
            <w:r w:rsidR="00873601">
              <w:t>From an operator perspective, c</w:t>
            </w:r>
            <w:r w:rsidR="00873601" w:rsidRPr="00284D5A">
              <w:t>apital costs are the one-time costs of purchasing a heavy vehicle and investment in the infrastructure associated with running a heavy vehicle operation.</w:t>
            </w:r>
          </w:p>
        </w:tc>
      </w:tr>
      <w:tr w:rsidR="00873601" w:rsidRPr="00A239F5" w14:paraId="449B60C1" w14:textId="77777777" w:rsidTr="00E541E9">
        <w:trPr>
          <w:trHeight w:val="1227"/>
        </w:trPr>
        <w:tc>
          <w:tcPr>
            <w:tcW w:w="0" w:type="dxa"/>
          </w:tcPr>
          <w:p w14:paraId="5035C05A" w14:textId="77777777" w:rsidR="00873601" w:rsidRDefault="00873601" w:rsidP="00D35B2F">
            <w:pPr>
              <w:pStyle w:val="BodyText1"/>
              <w:spacing w:before="60" w:after="160"/>
              <w:rPr>
                <w:bCs/>
              </w:rPr>
            </w:pPr>
            <w:bookmarkStart w:id="2360" w:name="_Hlk66974382"/>
            <w:r>
              <w:rPr>
                <w:bCs/>
              </w:rPr>
              <w:t>Community service obligation</w:t>
            </w:r>
          </w:p>
        </w:tc>
        <w:tc>
          <w:tcPr>
            <w:tcW w:w="0" w:type="dxa"/>
          </w:tcPr>
          <w:p w14:paraId="39211124" w14:textId="2CE84679" w:rsidR="00873601" w:rsidRDefault="00887E87" w:rsidP="00D35B2F">
            <w:pPr>
              <w:pStyle w:val="NTCBulletlist"/>
              <w:numPr>
                <w:ilvl w:val="0"/>
                <w:numId w:val="0"/>
              </w:numPr>
              <w:spacing w:before="60" w:after="160"/>
              <w:ind w:firstLine="13"/>
              <w:rPr>
                <w:bCs/>
              </w:rPr>
            </w:pPr>
            <w:r w:rsidRPr="0090440B">
              <w:rPr>
                <w:color w:val="202124"/>
                <w:shd w:val="clear" w:color="auto" w:fill="FFFFFF"/>
              </w:rPr>
              <w:t xml:space="preserve">In relation to roads, </w:t>
            </w:r>
            <w:r w:rsidR="00257444">
              <w:rPr>
                <w:color w:val="202124"/>
                <w:shd w:val="clear" w:color="auto" w:fill="FFFFFF"/>
              </w:rPr>
              <w:t>this</w:t>
            </w:r>
            <w:r w:rsidRPr="0090440B">
              <w:rPr>
                <w:color w:val="202124"/>
                <w:shd w:val="clear" w:color="auto" w:fill="FFFFFF"/>
              </w:rPr>
              <w:t xml:space="preserve"> relates to road expenditure undertaken with the primary aim of providing a minimum level of </w:t>
            </w:r>
            <w:r w:rsidR="0090440B">
              <w:rPr>
                <w:color w:val="202124"/>
                <w:shd w:val="clear" w:color="auto" w:fill="FFFFFF"/>
              </w:rPr>
              <w:t>service</w:t>
            </w:r>
            <w:r w:rsidRPr="0090440B">
              <w:rPr>
                <w:color w:val="202124"/>
                <w:shd w:val="clear" w:color="auto" w:fill="FFFFFF"/>
              </w:rPr>
              <w:t xml:space="preserve"> to a community </w:t>
            </w:r>
            <w:r w:rsidR="00D35B2F">
              <w:rPr>
                <w:color w:val="202124"/>
                <w:shd w:val="clear" w:color="auto" w:fill="FFFFFF"/>
              </w:rPr>
              <w:t>that</w:t>
            </w:r>
            <w:r w:rsidR="00D35B2F" w:rsidRPr="0090440B">
              <w:rPr>
                <w:color w:val="202124"/>
                <w:shd w:val="clear" w:color="auto" w:fill="FFFFFF"/>
              </w:rPr>
              <w:t xml:space="preserve"> </w:t>
            </w:r>
            <w:r w:rsidR="00765D91" w:rsidRPr="0090440B">
              <w:rPr>
                <w:color w:val="202124"/>
                <w:shd w:val="clear" w:color="auto" w:fill="FFFFFF"/>
              </w:rPr>
              <w:t>may not be justified solely on the amount of traffic using the road. An example could be to maintain a road to a minimum</w:t>
            </w:r>
            <w:r w:rsidR="0090440B">
              <w:rPr>
                <w:color w:val="202124"/>
                <w:shd w:val="clear" w:color="auto" w:fill="FFFFFF"/>
              </w:rPr>
              <w:t xml:space="preserve"> standard to provide</w:t>
            </w:r>
            <w:r w:rsidR="00765D91" w:rsidRPr="0090440B">
              <w:rPr>
                <w:color w:val="202124"/>
                <w:shd w:val="clear" w:color="auto" w:fill="FFFFFF"/>
              </w:rPr>
              <w:t xml:space="preserve"> access to remote communities.</w:t>
            </w:r>
            <w:r w:rsidR="009E61AA">
              <w:rPr>
                <w:bCs/>
              </w:rPr>
              <w:t xml:space="preserve"> </w:t>
            </w:r>
          </w:p>
        </w:tc>
      </w:tr>
      <w:bookmarkEnd w:id="2360"/>
      <w:tr w:rsidR="00873601" w:rsidRPr="00A239F5" w14:paraId="24CC40FB" w14:textId="77777777" w:rsidTr="00E541E9">
        <w:trPr>
          <w:trHeight w:val="705"/>
        </w:trPr>
        <w:tc>
          <w:tcPr>
            <w:tcW w:w="0" w:type="dxa"/>
          </w:tcPr>
          <w:p w14:paraId="17DB9B51" w14:textId="77777777" w:rsidR="00873601" w:rsidRDefault="00873601" w:rsidP="00D35B2F">
            <w:pPr>
              <w:pStyle w:val="BodyText1"/>
              <w:spacing w:before="60" w:after="160"/>
              <w:rPr>
                <w:bCs/>
              </w:rPr>
            </w:pPr>
            <w:r>
              <w:rPr>
                <w:bCs/>
              </w:rPr>
              <w:t>Cost allocators</w:t>
            </w:r>
          </w:p>
        </w:tc>
        <w:tc>
          <w:tcPr>
            <w:tcW w:w="0" w:type="dxa"/>
          </w:tcPr>
          <w:p w14:paraId="5EE225AD" w14:textId="7C7E0E20" w:rsidR="00873601" w:rsidRDefault="00257444" w:rsidP="00D35B2F">
            <w:pPr>
              <w:pStyle w:val="NTCBulletlist"/>
              <w:numPr>
                <w:ilvl w:val="0"/>
                <w:numId w:val="0"/>
              </w:numPr>
              <w:spacing w:before="60" w:after="160"/>
              <w:rPr>
                <w:bCs/>
              </w:rPr>
            </w:pPr>
            <w:r>
              <w:rPr>
                <w:rFonts w:eastAsia="Cambria"/>
                <w:bCs/>
              </w:rPr>
              <w:t xml:space="preserve">The </w:t>
            </w:r>
            <w:r w:rsidR="00873601">
              <w:rPr>
                <w:rFonts w:eastAsia="Cambria"/>
                <w:bCs/>
              </w:rPr>
              <w:t>aspects of road construction and maintenance costs allocated to heavy vehicle use of the roads for cost recovery</w:t>
            </w:r>
            <w:r>
              <w:rPr>
                <w:rFonts w:eastAsia="Cambria"/>
                <w:bCs/>
              </w:rPr>
              <w:t>.</w:t>
            </w:r>
          </w:p>
        </w:tc>
      </w:tr>
      <w:tr w:rsidR="00873601" w:rsidRPr="00A239F5" w14:paraId="58B2AB2E" w14:textId="77777777" w:rsidTr="00873601">
        <w:trPr>
          <w:trHeight w:val="624"/>
        </w:trPr>
        <w:tc>
          <w:tcPr>
            <w:tcW w:w="1721" w:type="dxa"/>
          </w:tcPr>
          <w:p w14:paraId="4AE59C93" w14:textId="77777777" w:rsidR="00873601" w:rsidRPr="00A239F5" w:rsidRDefault="00873601" w:rsidP="00D35B2F">
            <w:pPr>
              <w:pStyle w:val="BodyText1"/>
              <w:spacing w:before="60" w:after="160"/>
              <w:rPr>
                <w:bCs/>
              </w:rPr>
            </w:pPr>
            <w:r>
              <w:rPr>
                <w:bCs/>
              </w:rPr>
              <w:t xml:space="preserve">Cost allocation </w:t>
            </w:r>
          </w:p>
        </w:tc>
        <w:tc>
          <w:tcPr>
            <w:tcW w:w="7306" w:type="dxa"/>
          </w:tcPr>
          <w:p w14:paraId="65B48080" w14:textId="7D34A726" w:rsidR="00873601" w:rsidRPr="00A239F5" w:rsidRDefault="00873601" w:rsidP="00D35B2F">
            <w:pPr>
              <w:pStyle w:val="BodyText1"/>
              <w:spacing w:before="60" w:after="160"/>
              <w:rPr>
                <w:rFonts w:eastAsia="Cambria"/>
                <w:bCs/>
              </w:rPr>
            </w:pPr>
            <w:r>
              <w:rPr>
                <w:rFonts w:eastAsia="Cambria"/>
                <w:bCs/>
              </w:rPr>
              <w:t xml:space="preserve">The process of </w:t>
            </w:r>
            <w:r w:rsidR="008A449E">
              <w:rPr>
                <w:rFonts w:eastAsia="Cambria"/>
                <w:bCs/>
              </w:rPr>
              <w:t>allocating road construction and maintenance costs to different types of vehicles using a cost allocation matrix and usage data</w:t>
            </w:r>
            <w:r w:rsidR="00257444">
              <w:rPr>
                <w:rFonts w:eastAsia="Cambria"/>
                <w:bCs/>
              </w:rPr>
              <w:t>.</w:t>
            </w:r>
          </w:p>
        </w:tc>
      </w:tr>
      <w:tr w:rsidR="00873601" w:rsidRPr="00A239F5" w14:paraId="7D808B95" w14:textId="77777777" w:rsidTr="00873601">
        <w:trPr>
          <w:trHeight w:val="779"/>
        </w:trPr>
        <w:tc>
          <w:tcPr>
            <w:tcW w:w="1721" w:type="dxa"/>
          </w:tcPr>
          <w:p w14:paraId="595DE724" w14:textId="77777777" w:rsidR="00873601" w:rsidRPr="00A239F5" w:rsidRDefault="00873601" w:rsidP="00D35B2F">
            <w:pPr>
              <w:pStyle w:val="BodyText1"/>
              <w:spacing w:before="60" w:after="160"/>
              <w:rPr>
                <w:rFonts w:eastAsia="Cambria"/>
                <w:bCs/>
              </w:rPr>
            </w:pPr>
            <w:r>
              <w:rPr>
                <w:rFonts w:eastAsia="Cambria"/>
                <w:bCs/>
              </w:rPr>
              <w:t>ESA</w:t>
            </w:r>
          </w:p>
        </w:tc>
        <w:tc>
          <w:tcPr>
            <w:tcW w:w="7306" w:type="dxa"/>
          </w:tcPr>
          <w:p w14:paraId="02792B58" w14:textId="194E89BC" w:rsidR="00873601" w:rsidRPr="00A239F5" w:rsidRDefault="00873601" w:rsidP="00D35B2F">
            <w:pPr>
              <w:pStyle w:val="BodyText1"/>
              <w:spacing w:before="60" w:after="160"/>
              <w:rPr>
                <w:bCs/>
              </w:rPr>
            </w:pPr>
            <w:r>
              <w:rPr>
                <w:bCs/>
              </w:rPr>
              <w:t xml:space="preserve">Equivalent </w:t>
            </w:r>
            <w:r w:rsidR="00D35B2F">
              <w:rPr>
                <w:bCs/>
              </w:rPr>
              <w:t>s</w:t>
            </w:r>
            <w:r>
              <w:rPr>
                <w:bCs/>
              </w:rPr>
              <w:t xml:space="preserve">tandard </w:t>
            </w:r>
            <w:r w:rsidR="00D35B2F">
              <w:rPr>
                <w:bCs/>
              </w:rPr>
              <w:t>a</w:t>
            </w:r>
            <w:r>
              <w:rPr>
                <w:bCs/>
              </w:rPr>
              <w:t>x</w:t>
            </w:r>
            <w:r w:rsidR="008A449E">
              <w:rPr>
                <w:bCs/>
              </w:rPr>
              <w:t>le</w:t>
            </w:r>
            <w:r>
              <w:rPr>
                <w:bCs/>
              </w:rPr>
              <w:t xml:space="preserve">. </w:t>
            </w:r>
            <w:r>
              <w:t>ESA</w:t>
            </w:r>
            <w:r w:rsidR="008A449E">
              <w:t>-km</w:t>
            </w:r>
            <w:r>
              <w:t xml:space="preserve"> </w:t>
            </w:r>
            <w:r w:rsidR="008A449E">
              <w:t>is</w:t>
            </w:r>
            <w:r>
              <w:t xml:space="preserve"> a key cost allocator in the PAYGO model</w:t>
            </w:r>
            <w:r w:rsidR="008A449E">
              <w:t xml:space="preserve"> </w:t>
            </w:r>
            <w:r w:rsidR="00D35B2F">
              <w:t xml:space="preserve">that </w:t>
            </w:r>
            <w:r w:rsidR="008A449E">
              <w:t>is particularly significant</w:t>
            </w:r>
            <w:r>
              <w:t xml:space="preserve"> for heavy vehicles. ESA values </w:t>
            </w:r>
            <w:r w:rsidR="003F08C6">
              <w:t>are a measure of the</w:t>
            </w:r>
            <w:r>
              <w:t xml:space="preserve"> road wear</w:t>
            </w:r>
            <w:r w:rsidR="003F08C6">
              <w:t xml:space="preserve"> caused</w:t>
            </w:r>
            <w:r>
              <w:t xml:space="preserve"> by vehicles.</w:t>
            </w:r>
          </w:p>
        </w:tc>
      </w:tr>
      <w:tr w:rsidR="00873601" w:rsidRPr="00A239F5" w14:paraId="216268BC" w14:textId="77777777" w:rsidTr="00873601">
        <w:trPr>
          <w:trHeight w:val="779"/>
        </w:trPr>
        <w:tc>
          <w:tcPr>
            <w:tcW w:w="1721" w:type="dxa"/>
          </w:tcPr>
          <w:p w14:paraId="4777D14F" w14:textId="77777777" w:rsidR="00873601" w:rsidRDefault="00873601" w:rsidP="00D35B2F">
            <w:pPr>
              <w:pStyle w:val="BodyText1"/>
              <w:spacing w:before="60" w:after="160"/>
              <w:rPr>
                <w:rFonts w:eastAsia="Cambria"/>
                <w:bCs/>
              </w:rPr>
            </w:pPr>
            <w:r>
              <w:rPr>
                <w:rFonts w:eastAsia="Cambria"/>
                <w:bCs/>
              </w:rPr>
              <w:t>Expenditure categories</w:t>
            </w:r>
          </w:p>
        </w:tc>
        <w:tc>
          <w:tcPr>
            <w:tcW w:w="7306" w:type="dxa"/>
          </w:tcPr>
          <w:p w14:paraId="5AA5B01F" w14:textId="2730CBB3" w:rsidR="00873601" w:rsidRPr="00A239F5" w:rsidRDefault="00873601" w:rsidP="00D35B2F">
            <w:pPr>
              <w:pStyle w:val="BodyText1"/>
              <w:spacing w:before="60" w:after="160"/>
              <w:rPr>
                <w:bCs/>
              </w:rPr>
            </w:pPr>
            <w:r>
              <w:rPr>
                <w:bCs/>
              </w:rPr>
              <w:t xml:space="preserve">Road expenditure </w:t>
            </w:r>
            <w:r w:rsidR="003F08C6">
              <w:rPr>
                <w:bCs/>
              </w:rPr>
              <w:t>data is collected in</w:t>
            </w:r>
            <w:r>
              <w:rPr>
                <w:bCs/>
              </w:rPr>
              <w:t xml:space="preserve"> different expenditure categories.</w:t>
            </w:r>
            <w:r w:rsidR="009E61AA">
              <w:rPr>
                <w:bCs/>
              </w:rPr>
              <w:t xml:space="preserve"> </w:t>
            </w:r>
            <w:r>
              <w:rPr>
                <w:bCs/>
              </w:rPr>
              <w:t>Expenditure categories group</w:t>
            </w:r>
            <w:r w:rsidR="003F08C6">
              <w:rPr>
                <w:bCs/>
              </w:rPr>
              <w:t xml:space="preserve"> similar</w:t>
            </w:r>
            <w:r>
              <w:rPr>
                <w:bCs/>
              </w:rPr>
              <w:t xml:space="preserve"> types of expenditure together</w:t>
            </w:r>
            <w:r w:rsidR="004A1413">
              <w:rPr>
                <w:bCs/>
              </w:rPr>
              <w:t xml:space="preserve"> so they can be allocated consistently to different vehicle types.</w:t>
            </w:r>
          </w:p>
        </w:tc>
      </w:tr>
      <w:tr w:rsidR="00873601" w:rsidRPr="00A239F5" w14:paraId="15FD15E0" w14:textId="77777777" w:rsidTr="00873601">
        <w:trPr>
          <w:trHeight w:val="580"/>
        </w:trPr>
        <w:tc>
          <w:tcPr>
            <w:tcW w:w="1721" w:type="dxa"/>
          </w:tcPr>
          <w:p w14:paraId="5758B51C" w14:textId="77777777" w:rsidR="00873601" w:rsidRPr="00A239F5" w:rsidRDefault="00873601" w:rsidP="00D35B2F">
            <w:pPr>
              <w:pStyle w:val="BodyText1"/>
              <w:spacing w:before="60" w:after="160"/>
              <w:rPr>
                <w:rFonts w:eastAsia="Cambria"/>
                <w:bCs/>
              </w:rPr>
            </w:pPr>
            <w:r>
              <w:rPr>
                <w:rFonts w:eastAsia="Cambria"/>
                <w:bCs/>
              </w:rPr>
              <w:t>GCM</w:t>
            </w:r>
          </w:p>
        </w:tc>
        <w:tc>
          <w:tcPr>
            <w:tcW w:w="7306" w:type="dxa"/>
          </w:tcPr>
          <w:p w14:paraId="0128D196" w14:textId="43F87F0E" w:rsidR="00873601" w:rsidRPr="00770908" w:rsidRDefault="00873601" w:rsidP="00D35B2F">
            <w:pPr>
              <w:pStyle w:val="List-bulletlvl1"/>
              <w:numPr>
                <w:ilvl w:val="0"/>
                <w:numId w:val="0"/>
              </w:numPr>
              <w:spacing w:before="60" w:after="160"/>
              <w:ind w:left="13"/>
            </w:pPr>
            <w:r>
              <w:rPr>
                <w:bCs/>
              </w:rPr>
              <w:t xml:space="preserve">Gross </w:t>
            </w:r>
            <w:r w:rsidR="00D35B2F">
              <w:rPr>
                <w:bCs/>
              </w:rPr>
              <w:t>c</w:t>
            </w:r>
            <w:r>
              <w:rPr>
                <w:bCs/>
              </w:rPr>
              <w:t xml:space="preserve">ombination </w:t>
            </w:r>
            <w:r w:rsidR="00D35B2F">
              <w:rPr>
                <w:bCs/>
              </w:rPr>
              <w:t>m</w:t>
            </w:r>
            <w:r>
              <w:rPr>
                <w:bCs/>
              </w:rPr>
              <w:t xml:space="preserve">ass. </w:t>
            </w:r>
            <w:r>
              <w:t>The gross vehicle mass (GVM)</w:t>
            </w:r>
            <w:r w:rsidR="004A1413">
              <w:t xml:space="preserve"> and </w:t>
            </w:r>
            <w:r>
              <w:t>GCM dataset</w:t>
            </w:r>
            <w:r w:rsidR="004A1413">
              <w:t>s are</w:t>
            </w:r>
            <w:r>
              <w:t xml:space="preserve"> used to assess the distribution of GVM/GCM by vehicle type compared </w:t>
            </w:r>
            <w:r w:rsidR="00D35B2F">
              <w:t xml:space="preserve">with </w:t>
            </w:r>
            <w:r>
              <w:t>average values used in the PAYGO model.</w:t>
            </w:r>
          </w:p>
        </w:tc>
      </w:tr>
      <w:tr w:rsidR="00873601" w:rsidRPr="00A239F5" w14:paraId="7D0C70CD" w14:textId="77777777" w:rsidTr="00873601">
        <w:tc>
          <w:tcPr>
            <w:tcW w:w="1721" w:type="dxa"/>
          </w:tcPr>
          <w:p w14:paraId="293CF690" w14:textId="7241D2CB" w:rsidR="00873601" w:rsidRPr="00A239F5" w:rsidRDefault="00873601" w:rsidP="00D35B2F">
            <w:pPr>
              <w:pStyle w:val="BodyText1"/>
              <w:spacing w:before="60" w:after="160"/>
              <w:rPr>
                <w:rFonts w:eastAsia="Cambria"/>
                <w:bCs/>
              </w:rPr>
            </w:pPr>
            <w:r>
              <w:rPr>
                <w:rFonts w:eastAsia="Cambria"/>
                <w:bCs/>
              </w:rPr>
              <w:t>G</w:t>
            </w:r>
            <w:r w:rsidR="003F08C6">
              <w:rPr>
                <w:rFonts w:eastAsia="Cambria"/>
                <w:bCs/>
              </w:rPr>
              <w:t>TK</w:t>
            </w:r>
          </w:p>
        </w:tc>
        <w:tc>
          <w:tcPr>
            <w:tcW w:w="7306" w:type="dxa"/>
          </w:tcPr>
          <w:p w14:paraId="22CBBC88" w14:textId="0B59D70D" w:rsidR="00873601" w:rsidRPr="00A239F5" w:rsidRDefault="00873601" w:rsidP="00D35B2F">
            <w:pPr>
              <w:pStyle w:val="NTCBulletlist"/>
              <w:numPr>
                <w:ilvl w:val="0"/>
                <w:numId w:val="0"/>
              </w:numPr>
              <w:spacing w:before="60" w:after="160"/>
              <w:ind w:left="227" w:hanging="227"/>
              <w:rPr>
                <w:bCs/>
              </w:rPr>
            </w:pPr>
            <w:r>
              <w:rPr>
                <w:bCs/>
              </w:rPr>
              <w:t>Gross tonne</w:t>
            </w:r>
            <w:r w:rsidR="00670F32">
              <w:rPr>
                <w:bCs/>
              </w:rPr>
              <w:t xml:space="preserve"> </w:t>
            </w:r>
            <w:r>
              <w:rPr>
                <w:bCs/>
              </w:rPr>
              <w:t>kilometr</w:t>
            </w:r>
            <w:r w:rsidR="00257444">
              <w:rPr>
                <w:bCs/>
              </w:rPr>
              <w:t>e</w:t>
            </w:r>
            <w:r>
              <w:rPr>
                <w:bCs/>
              </w:rPr>
              <w:t>s</w:t>
            </w:r>
          </w:p>
        </w:tc>
      </w:tr>
      <w:tr w:rsidR="00873601" w:rsidRPr="00A239F5" w14:paraId="623E92E8" w14:textId="77777777" w:rsidTr="00873601">
        <w:tc>
          <w:tcPr>
            <w:tcW w:w="1721" w:type="dxa"/>
          </w:tcPr>
          <w:p w14:paraId="6150644A" w14:textId="77777777" w:rsidR="00873601" w:rsidRPr="00A239F5" w:rsidRDefault="00873601" w:rsidP="00D35B2F">
            <w:pPr>
              <w:pStyle w:val="BodyText1"/>
              <w:spacing w:before="60" w:after="160"/>
              <w:rPr>
                <w:bCs/>
              </w:rPr>
            </w:pPr>
            <w:r>
              <w:rPr>
                <w:bCs/>
              </w:rPr>
              <w:t>GVM</w:t>
            </w:r>
          </w:p>
        </w:tc>
        <w:tc>
          <w:tcPr>
            <w:tcW w:w="7306" w:type="dxa"/>
          </w:tcPr>
          <w:p w14:paraId="64245E32" w14:textId="198A12EA" w:rsidR="00873601" w:rsidRPr="00770908" w:rsidRDefault="00873601" w:rsidP="00D35B2F">
            <w:pPr>
              <w:pStyle w:val="BodyCopy"/>
              <w:spacing w:before="60" w:after="160"/>
            </w:pPr>
            <w:r>
              <w:rPr>
                <w:bCs/>
              </w:rPr>
              <w:t xml:space="preserve">Gross </w:t>
            </w:r>
            <w:r w:rsidR="00257444">
              <w:rPr>
                <w:bCs/>
              </w:rPr>
              <w:t>v</w:t>
            </w:r>
            <w:r>
              <w:rPr>
                <w:bCs/>
              </w:rPr>
              <w:t xml:space="preserve">ehicle </w:t>
            </w:r>
            <w:r w:rsidR="00257444">
              <w:rPr>
                <w:bCs/>
              </w:rPr>
              <w:t>m</w:t>
            </w:r>
            <w:r>
              <w:rPr>
                <w:bCs/>
              </w:rPr>
              <w:t xml:space="preserve">ass. </w:t>
            </w:r>
            <w:r>
              <w:t xml:space="preserve">Heavy vehicles charges apply to all vehicles with a GVM of above 4.5 tonnes. </w:t>
            </w:r>
          </w:p>
        </w:tc>
      </w:tr>
      <w:tr w:rsidR="00873601" w:rsidRPr="00A239F5" w14:paraId="12D4E232" w14:textId="77777777" w:rsidTr="00873601">
        <w:tc>
          <w:tcPr>
            <w:tcW w:w="1721" w:type="dxa"/>
          </w:tcPr>
          <w:p w14:paraId="1596B9F5" w14:textId="77777777" w:rsidR="00873601" w:rsidRPr="00A239F5" w:rsidRDefault="00873601" w:rsidP="00D35B2F">
            <w:pPr>
              <w:pStyle w:val="BodyText1"/>
              <w:spacing w:before="60" w:after="160"/>
              <w:rPr>
                <w:bCs/>
              </w:rPr>
            </w:pPr>
            <w:r>
              <w:rPr>
                <w:bCs/>
              </w:rPr>
              <w:t>Heavy vehicle charges</w:t>
            </w:r>
          </w:p>
        </w:tc>
        <w:tc>
          <w:tcPr>
            <w:tcW w:w="7306" w:type="dxa"/>
          </w:tcPr>
          <w:p w14:paraId="5268A027" w14:textId="0E8BDBD3" w:rsidR="00873601" w:rsidRPr="00A239F5" w:rsidRDefault="00873601" w:rsidP="00D35B2F">
            <w:pPr>
              <w:pStyle w:val="NTCBulletlist"/>
              <w:numPr>
                <w:ilvl w:val="0"/>
                <w:numId w:val="0"/>
              </w:numPr>
              <w:spacing w:before="60" w:after="160"/>
              <w:rPr>
                <w:bCs/>
              </w:rPr>
            </w:pPr>
            <w:r>
              <w:rPr>
                <w:bCs/>
              </w:rPr>
              <w:t>The charges</w:t>
            </w:r>
            <w:r w:rsidR="004A1413">
              <w:rPr>
                <w:bCs/>
              </w:rPr>
              <w:t xml:space="preserve"> paid by heavy vehicle operators. These consist of a yearly registration charge and a road user charge (RUC) on each litre of diesel fuel.</w:t>
            </w:r>
          </w:p>
        </w:tc>
      </w:tr>
      <w:tr w:rsidR="00873601" w:rsidRPr="00A239F5" w14:paraId="7070916F" w14:textId="77777777" w:rsidTr="00D35B2F">
        <w:trPr>
          <w:trHeight w:val="435"/>
        </w:trPr>
        <w:tc>
          <w:tcPr>
            <w:tcW w:w="1721" w:type="dxa"/>
          </w:tcPr>
          <w:p w14:paraId="0BF64C78" w14:textId="7BD68CE9" w:rsidR="00873601" w:rsidRDefault="00873601" w:rsidP="00D35B2F">
            <w:pPr>
              <w:pStyle w:val="BodyText1"/>
              <w:spacing w:before="60" w:after="160"/>
              <w:rPr>
                <w:bCs/>
              </w:rPr>
            </w:pPr>
            <w:r>
              <w:rPr>
                <w:bCs/>
              </w:rPr>
              <w:t xml:space="preserve">Heavy </w:t>
            </w:r>
            <w:r w:rsidR="007F649B">
              <w:rPr>
                <w:bCs/>
              </w:rPr>
              <w:t>V</w:t>
            </w:r>
            <w:r>
              <w:rPr>
                <w:bCs/>
              </w:rPr>
              <w:t xml:space="preserve">ehicle </w:t>
            </w:r>
            <w:r w:rsidR="007F649B">
              <w:rPr>
                <w:bCs/>
              </w:rPr>
              <w:t>R</w:t>
            </w:r>
            <w:r>
              <w:rPr>
                <w:bCs/>
              </w:rPr>
              <w:t xml:space="preserve">oad </w:t>
            </w:r>
            <w:r w:rsidR="007F649B">
              <w:rPr>
                <w:bCs/>
              </w:rPr>
              <w:t>R</w:t>
            </w:r>
            <w:r>
              <w:rPr>
                <w:bCs/>
              </w:rPr>
              <w:t>eform</w:t>
            </w:r>
          </w:p>
        </w:tc>
        <w:tc>
          <w:tcPr>
            <w:tcW w:w="7306" w:type="dxa"/>
          </w:tcPr>
          <w:p w14:paraId="02E042D5" w14:textId="3CA97A86" w:rsidR="00873601" w:rsidRDefault="00873601" w:rsidP="00D35B2F">
            <w:pPr>
              <w:pStyle w:val="NTCBulletlist"/>
              <w:numPr>
                <w:ilvl w:val="0"/>
                <w:numId w:val="0"/>
              </w:numPr>
              <w:spacing w:before="60" w:after="160"/>
              <w:ind w:firstLine="13"/>
              <w:rPr>
                <w:bCs/>
              </w:rPr>
            </w:pPr>
            <w:r>
              <w:t xml:space="preserve">Australian governments are working together to deliver </w:t>
            </w:r>
            <w:r w:rsidR="007F649B">
              <w:t>H</w:t>
            </w:r>
            <w:r>
              <w:t xml:space="preserve">eavy </w:t>
            </w:r>
            <w:r w:rsidR="007F649B">
              <w:t>V</w:t>
            </w:r>
            <w:r>
              <w:t xml:space="preserve">ehicle </w:t>
            </w:r>
            <w:r w:rsidR="007F649B">
              <w:t>R</w:t>
            </w:r>
            <w:r>
              <w:t xml:space="preserve">oad </w:t>
            </w:r>
            <w:r w:rsidR="007F649B">
              <w:t>R</w:t>
            </w:r>
            <w:r>
              <w:t xml:space="preserve">eform. This is expected to replace PAYGO and aims to link the needs of heavy vehicle users with the level of service they receive, the </w:t>
            </w:r>
            <w:r>
              <w:lastRenderedPageBreak/>
              <w:t>charges they pay and the investment of those charges back into road services.</w:t>
            </w:r>
          </w:p>
        </w:tc>
      </w:tr>
      <w:tr w:rsidR="00873601" w:rsidRPr="00A239F5" w14:paraId="7D3BC419" w14:textId="77777777" w:rsidTr="00E541E9">
        <w:trPr>
          <w:trHeight w:val="462"/>
        </w:trPr>
        <w:tc>
          <w:tcPr>
            <w:tcW w:w="0" w:type="dxa"/>
          </w:tcPr>
          <w:p w14:paraId="2988480A" w14:textId="2EC7671F" w:rsidR="00873601" w:rsidRDefault="00873601" w:rsidP="00D35B2F">
            <w:pPr>
              <w:pStyle w:val="BodyText1"/>
              <w:spacing w:before="60" w:after="160"/>
              <w:rPr>
                <w:bCs/>
              </w:rPr>
            </w:pPr>
            <w:r>
              <w:rPr>
                <w:bCs/>
              </w:rPr>
              <w:lastRenderedPageBreak/>
              <w:t>M</w:t>
            </w:r>
            <w:r w:rsidR="007F649B">
              <w:rPr>
                <w:bCs/>
              </w:rPr>
              <w:t>ax</w:t>
            </w:r>
            <w:r>
              <w:rPr>
                <w:bCs/>
              </w:rPr>
              <w:t>M</w:t>
            </w:r>
            <w:r w:rsidR="007F649B">
              <w:rPr>
                <w:bCs/>
              </w:rPr>
              <w:t>an</w:t>
            </w:r>
          </w:p>
        </w:tc>
        <w:tc>
          <w:tcPr>
            <w:tcW w:w="0" w:type="dxa"/>
          </w:tcPr>
          <w:p w14:paraId="6C4063A6" w14:textId="0619B135" w:rsidR="00873601" w:rsidRDefault="00873601" w:rsidP="00D35B2F">
            <w:pPr>
              <w:pStyle w:val="NTCBulletlist"/>
              <w:numPr>
                <w:ilvl w:val="0"/>
                <w:numId w:val="0"/>
              </w:numPr>
              <w:spacing w:before="60" w:after="160"/>
              <w:ind w:left="13"/>
              <w:rPr>
                <w:bCs/>
              </w:rPr>
            </w:pPr>
            <w:r>
              <w:t>M</w:t>
            </w:r>
            <w:r w:rsidR="00BC2B20">
              <w:t>a</w:t>
            </w:r>
            <w:r>
              <w:t>tri</w:t>
            </w:r>
            <w:r w:rsidR="00BC2B20">
              <w:t>x</w:t>
            </w:r>
            <w:r>
              <w:t xml:space="preserve"> M</w:t>
            </w:r>
            <w:r w:rsidR="00BC2B20">
              <w:t>an</w:t>
            </w:r>
            <w:r>
              <w:t>ipulation</w:t>
            </w:r>
            <w:r w:rsidR="00BC2B20">
              <w:t>.</w:t>
            </w:r>
            <w:r w:rsidR="004A1413">
              <w:t xml:space="preserve"> </w:t>
            </w:r>
            <w:r w:rsidR="00BC2B20">
              <w:t>S</w:t>
            </w:r>
            <w:r>
              <w:t xml:space="preserve">oftware used </w:t>
            </w:r>
            <w:r w:rsidR="00D35B2F">
              <w:t xml:space="preserve">to </w:t>
            </w:r>
            <w:r>
              <w:t>calculat</w:t>
            </w:r>
            <w:r w:rsidR="00D35B2F">
              <w:t>e</w:t>
            </w:r>
            <w:r>
              <w:t xml:space="preserve"> </w:t>
            </w:r>
            <w:r w:rsidR="004A1413">
              <w:t xml:space="preserve">reductions in cost allocation to </w:t>
            </w:r>
            <w:r>
              <w:t>road train</w:t>
            </w:r>
            <w:r w:rsidR="004A1413">
              <w:t>s to reflect their limited operating area.</w:t>
            </w:r>
          </w:p>
        </w:tc>
      </w:tr>
      <w:tr w:rsidR="00873601" w:rsidRPr="00A239F5" w14:paraId="6AA9BC91" w14:textId="77777777" w:rsidTr="00873601">
        <w:tc>
          <w:tcPr>
            <w:tcW w:w="1721" w:type="dxa"/>
          </w:tcPr>
          <w:p w14:paraId="78DEE964" w14:textId="77777777" w:rsidR="00873601" w:rsidRDefault="00873601" w:rsidP="00D35B2F">
            <w:pPr>
              <w:pStyle w:val="BodyText1"/>
              <w:spacing w:before="60" w:after="160"/>
              <w:rPr>
                <w:bCs/>
              </w:rPr>
            </w:pPr>
            <w:r>
              <w:rPr>
                <w:bCs/>
              </w:rPr>
              <w:t>NEVDIS</w:t>
            </w:r>
          </w:p>
        </w:tc>
        <w:tc>
          <w:tcPr>
            <w:tcW w:w="7306" w:type="dxa"/>
          </w:tcPr>
          <w:p w14:paraId="1AAC9A57" w14:textId="1176E2ED" w:rsidR="00873601" w:rsidRPr="00A239F5" w:rsidRDefault="00873601" w:rsidP="00D35B2F">
            <w:pPr>
              <w:pStyle w:val="BodyText1"/>
              <w:spacing w:before="60" w:after="160"/>
              <w:rPr>
                <w:bCs/>
              </w:rPr>
            </w:pPr>
            <w:r>
              <w:t xml:space="preserve">National Exchange of Vehicle and Driver Information System. NEVDIS is owned by Austroads. </w:t>
            </w:r>
            <w:r>
              <w:rPr>
                <w:lang w:val="en-AU"/>
              </w:rPr>
              <w:t>It</w:t>
            </w:r>
            <w:r w:rsidRPr="002965A4">
              <w:rPr>
                <w:lang w:val="en-AU"/>
              </w:rPr>
              <w:t xml:space="preserve"> exchanges information about vehicles and driver licenses across state borders.</w:t>
            </w:r>
          </w:p>
        </w:tc>
      </w:tr>
      <w:tr w:rsidR="00873601" w:rsidRPr="00A239F5" w14:paraId="183D7383" w14:textId="77777777" w:rsidTr="00873601">
        <w:tc>
          <w:tcPr>
            <w:tcW w:w="1721" w:type="dxa"/>
          </w:tcPr>
          <w:p w14:paraId="0CB3F307" w14:textId="77777777" w:rsidR="00873601" w:rsidRDefault="00873601" w:rsidP="00D35B2F">
            <w:pPr>
              <w:pStyle w:val="BodyText1"/>
              <w:spacing w:before="60" w:after="160"/>
              <w:rPr>
                <w:bCs/>
              </w:rPr>
            </w:pPr>
            <w:r>
              <w:rPr>
                <w:bCs/>
              </w:rPr>
              <w:t>PAYGO</w:t>
            </w:r>
          </w:p>
        </w:tc>
        <w:tc>
          <w:tcPr>
            <w:tcW w:w="7306" w:type="dxa"/>
          </w:tcPr>
          <w:p w14:paraId="6E7EF9AE" w14:textId="406D4C27" w:rsidR="00873601" w:rsidRPr="00A239F5" w:rsidRDefault="00873601" w:rsidP="00D35B2F">
            <w:pPr>
              <w:pStyle w:val="BodyText1"/>
              <w:spacing w:before="60" w:after="160"/>
              <w:rPr>
                <w:bCs/>
              </w:rPr>
            </w:pPr>
            <w:r>
              <w:rPr>
                <w:bCs/>
              </w:rPr>
              <w:t>Pay</w:t>
            </w:r>
            <w:r w:rsidR="00E44973">
              <w:rPr>
                <w:bCs/>
              </w:rPr>
              <w:t xml:space="preserve"> </w:t>
            </w:r>
            <w:r w:rsidR="004A1413">
              <w:rPr>
                <w:bCs/>
              </w:rPr>
              <w:t>as</w:t>
            </w:r>
            <w:r w:rsidR="00E44973">
              <w:rPr>
                <w:bCs/>
              </w:rPr>
              <w:t xml:space="preserve"> </w:t>
            </w:r>
            <w:r w:rsidR="004A1413">
              <w:rPr>
                <w:bCs/>
              </w:rPr>
              <w:t>you</w:t>
            </w:r>
            <w:r w:rsidR="00E44973">
              <w:rPr>
                <w:bCs/>
              </w:rPr>
              <w:t xml:space="preserve"> </w:t>
            </w:r>
            <w:r w:rsidR="004A1413">
              <w:rPr>
                <w:bCs/>
              </w:rPr>
              <w:t>go</w:t>
            </w:r>
            <w:r>
              <w:rPr>
                <w:bCs/>
              </w:rPr>
              <w:t xml:space="preserve">. The funding model </w:t>
            </w:r>
            <w:r w:rsidR="004A1413">
              <w:rPr>
                <w:bCs/>
              </w:rPr>
              <w:t xml:space="preserve">used to calculate the </w:t>
            </w:r>
            <w:r>
              <w:rPr>
                <w:bCs/>
              </w:rPr>
              <w:t>heavy vehicle</w:t>
            </w:r>
            <w:r w:rsidR="004A1413">
              <w:rPr>
                <w:bCs/>
              </w:rPr>
              <w:t xml:space="preserve"> cost base and to set heavy vehicle charges</w:t>
            </w:r>
            <w:r>
              <w:rPr>
                <w:bCs/>
              </w:rPr>
              <w:t>.</w:t>
            </w:r>
          </w:p>
        </w:tc>
      </w:tr>
      <w:tr w:rsidR="00873601" w:rsidRPr="00A239F5" w14:paraId="31264D1A" w14:textId="77777777" w:rsidTr="00873601">
        <w:tc>
          <w:tcPr>
            <w:tcW w:w="1721" w:type="dxa"/>
          </w:tcPr>
          <w:p w14:paraId="08852044" w14:textId="77777777" w:rsidR="00873601" w:rsidRDefault="00873601" w:rsidP="00D35B2F">
            <w:pPr>
              <w:pStyle w:val="BodyText1"/>
              <w:spacing w:before="60" w:after="160"/>
              <w:rPr>
                <w:bCs/>
              </w:rPr>
            </w:pPr>
            <w:r>
              <w:rPr>
                <w:bCs/>
              </w:rPr>
              <w:t>PPP</w:t>
            </w:r>
          </w:p>
        </w:tc>
        <w:tc>
          <w:tcPr>
            <w:tcW w:w="7306" w:type="dxa"/>
          </w:tcPr>
          <w:p w14:paraId="7633829A" w14:textId="65FAF5C0" w:rsidR="00873601" w:rsidRPr="00A239F5" w:rsidRDefault="00873601" w:rsidP="00D35B2F">
            <w:pPr>
              <w:pStyle w:val="BodyText1"/>
              <w:spacing w:before="60" w:after="160"/>
              <w:rPr>
                <w:bCs/>
              </w:rPr>
            </w:pPr>
            <w:r>
              <w:rPr>
                <w:bCs/>
              </w:rPr>
              <w:t>Public</w:t>
            </w:r>
            <w:r w:rsidR="00D35B2F">
              <w:rPr>
                <w:bCs/>
              </w:rPr>
              <w:t>–p</w:t>
            </w:r>
            <w:r>
              <w:rPr>
                <w:bCs/>
              </w:rPr>
              <w:t xml:space="preserve">rivate </w:t>
            </w:r>
            <w:r w:rsidR="00D35B2F">
              <w:rPr>
                <w:bCs/>
              </w:rPr>
              <w:t>p</w:t>
            </w:r>
            <w:r>
              <w:rPr>
                <w:bCs/>
              </w:rPr>
              <w:t>artnership. A joint funding partnership between government and the private sector, often in relation to construction.</w:t>
            </w:r>
          </w:p>
        </w:tc>
      </w:tr>
      <w:tr w:rsidR="00873601" w:rsidRPr="00A239F5" w14:paraId="2A667965" w14:textId="77777777" w:rsidTr="00873601">
        <w:tc>
          <w:tcPr>
            <w:tcW w:w="1721" w:type="dxa"/>
          </w:tcPr>
          <w:p w14:paraId="25689B5D" w14:textId="77777777" w:rsidR="00873601" w:rsidRDefault="00873601" w:rsidP="00D35B2F">
            <w:pPr>
              <w:pStyle w:val="BodyText1"/>
              <w:spacing w:before="60" w:after="160"/>
              <w:rPr>
                <w:bCs/>
              </w:rPr>
            </w:pPr>
            <w:r>
              <w:rPr>
                <w:bCs/>
              </w:rPr>
              <w:t>Regulatory costs</w:t>
            </w:r>
          </w:p>
        </w:tc>
        <w:tc>
          <w:tcPr>
            <w:tcW w:w="7306" w:type="dxa"/>
          </w:tcPr>
          <w:p w14:paraId="391D0C1D" w14:textId="5DD3BB24" w:rsidR="00873601" w:rsidRDefault="004A1413" w:rsidP="00D35B2F">
            <w:pPr>
              <w:pStyle w:val="BodyText1"/>
              <w:spacing w:before="60" w:after="160"/>
              <w:rPr>
                <w:bCs/>
              </w:rPr>
            </w:pPr>
            <w:r>
              <w:rPr>
                <w:bCs/>
              </w:rPr>
              <w:t>The cost of operating the National Heavy Vehicle Regulator, as reflected in the budget approved by ITMM.</w:t>
            </w:r>
          </w:p>
        </w:tc>
      </w:tr>
      <w:tr w:rsidR="00873601" w:rsidRPr="00A239F5" w14:paraId="07114AB4" w14:textId="77777777" w:rsidTr="00873601">
        <w:tc>
          <w:tcPr>
            <w:tcW w:w="1721" w:type="dxa"/>
          </w:tcPr>
          <w:p w14:paraId="384BEEC2" w14:textId="77777777" w:rsidR="00873601" w:rsidRDefault="00873601" w:rsidP="00D35B2F">
            <w:pPr>
              <w:pStyle w:val="BodyText1"/>
              <w:spacing w:before="60" w:after="160"/>
              <w:rPr>
                <w:bCs/>
              </w:rPr>
            </w:pPr>
            <w:r>
              <w:rPr>
                <w:bCs/>
              </w:rPr>
              <w:t>RUC</w:t>
            </w:r>
          </w:p>
        </w:tc>
        <w:tc>
          <w:tcPr>
            <w:tcW w:w="7306" w:type="dxa"/>
          </w:tcPr>
          <w:p w14:paraId="541364DD" w14:textId="50263BEA" w:rsidR="00873601" w:rsidRPr="00A239F5" w:rsidRDefault="00D35B2F" w:rsidP="00D35B2F">
            <w:pPr>
              <w:pStyle w:val="BodyText1"/>
              <w:spacing w:before="60" w:after="160"/>
              <w:rPr>
                <w:bCs/>
              </w:rPr>
            </w:pPr>
            <w:r>
              <w:rPr>
                <w:bCs/>
              </w:rPr>
              <w:t>R</w:t>
            </w:r>
            <w:r w:rsidR="00873601">
              <w:rPr>
                <w:bCs/>
              </w:rPr>
              <w:t xml:space="preserve">oad </w:t>
            </w:r>
            <w:r w:rsidR="004A1413">
              <w:rPr>
                <w:bCs/>
              </w:rPr>
              <w:t>u</w:t>
            </w:r>
            <w:r w:rsidR="00873601">
              <w:rPr>
                <w:bCs/>
              </w:rPr>
              <w:t xml:space="preserve">ser </w:t>
            </w:r>
            <w:r w:rsidR="004A1413">
              <w:rPr>
                <w:bCs/>
              </w:rPr>
              <w:t>c</w:t>
            </w:r>
            <w:r w:rsidR="00873601">
              <w:rPr>
                <w:bCs/>
              </w:rPr>
              <w:t>harge</w:t>
            </w:r>
            <w:r>
              <w:rPr>
                <w:bCs/>
              </w:rPr>
              <w:t>. The</w:t>
            </w:r>
            <w:r w:rsidR="004A1413">
              <w:rPr>
                <w:bCs/>
              </w:rPr>
              <w:t xml:space="preserve"> RUC </w:t>
            </w:r>
            <w:r w:rsidR="004A1413">
              <w:rPr>
                <w:bCs/>
                <w:lang w:val="en-AU"/>
              </w:rPr>
              <w:t>is paid by heavy vehicle op</w:t>
            </w:r>
            <w:r w:rsidR="004B1E48">
              <w:rPr>
                <w:bCs/>
                <w:lang w:val="en-AU"/>
              </w:rPr>
              <w:t>e</w:t>
            </w:r>
            <w:r w:rsidR="004A1413">
              <w:rPr>
                <w:bCs/>
                <w:lang w:val="en-AU"/>
              </w:rPr>
              <w:t>rators on each</w:t>
            </w:r>
            <w:r w:rsidR="00873601" w:rsidRPr="008066BB">
              <w:rPr>
                <w:bCs/>
                <w:lang w:val="en-AU"/>
              </w:rPr>
              <w:t xml:space="preserve"> litre of diesel used</w:t>
            </w:r>
            <w:r w:rsidR="004A1413">
              <w:rPr>
                <w:bCs/>
                <w:lang w:val="en-AU"/>
              </w:rPr>
              <w:t xml:space="preserve"> for travelling on public roads.</w:t>
            </w:r>
          </w:p>
        </w:tc>
      </w:tr>
      <w:tr w:rsidR="00873601" w:rsidRPr="00A239F5" w14:paraId="54733483" w14:textId="77777777" w:rsidTr="00873601">
        <w:tc>
          <w:tcPr>
            <w:tcW w:w="1721" w:type="dxa"/>
          </w:tcPr>
          <w:p w14:paraId="712458CF" w14:textId="77777777" w:rsidR="00873601" w:rsidRDefault="00873601" w:rsidP="00D35B2F">
            <w:pPr>
              <w:pStyle w:val="BodyText1"/>
              <w:spacing w:before="60" w:after="160"/>
              <w:rPr>
                <w:bCs/>
              </w:rPr>
            </w:pPr>
            <w:r>
              <w:rPr>
                <w:bCs/>
              </w:rPr>
              <w:t>SMVU</w:t>
            </w:r>
          </w:p>
        </w:tc>
        <w:tc>
          <w:tcPr>
            <w:tcW w:w="7306" w:type="dxa"/>
          </w:tcPr>
          <w:p w14:paraId="1A6FF769" w14:textId="6335C92A" w:rsidR="00873601" w:rsidRPr="00A239F5" w:rsidRDefault="00873601" w:rsidP="00D35B2F">
            <w:pPr>
              <w:pStyle w:val="BodyText1"/>
              <w:spacing w:before="60" w:after="160"/>
              <w:rPr>
                <w:bCs/>
              </w:rPr>
            </w:pPr>
            <w:r>
              <w:rPr>
                <w:bCs/>
              </w:rPr>
              <w:t>Survey of Motor Vehicle Use</w:t>
            </w:r>
            <w:r w:rsidR="00D35B2F">
              <w:rPr>
                <w:bCs/>
              </w:rPr>
              <w:t>. The SMVU is</w:t>
            </w:r>
            <w:r w:rsidR="004A1413">
              <w:rPr>
                <w:bCs/>
              </w:rPr>
              <w:t xml:space="preserve"> conducted by the Australian Bureau of Statistics</w:t>
            </w:r>
            <w:r>
              <w:rPr>
                <w:bCs/>
              </w:rPr>
              <w:t>. It is the primary source of data for PAYGO.</w:t>
            </w:r>
          </w:p>
        </w:tc>
      </w:tr>
      <w:tr w:rsidR="00873601" w:rsidRPr="00A239F5" w14:paraId="3E1FA379" w14:textId="77777777" w:rsidTr="00873601">
        <w:tc>
          <w:tcPr>
            <w:tcW w:w="1721" w:type="dxa"/>
          </w:tcPr>
          <w:p w14:paraId="62B2565C" w14:textId="67DD3835" w:rsidR="00873601" w:rsidRDefault="00873601" w:rsidP="00D35B2F">
            <w:pPr>
              <w:pStyle w:val="BodyText1"/>
              <w:spacing w:before="60" w:after="160"/>
              <w:rPr>
                <w:bCs/>
              </w:rPr>
            </w:pPr>
            <w:r>
              <w:rPr>
                <w:bCs/>
              </w:rPr>
              <w:t>Unsealed road</w:t>
            </w:r>
          </w:p>
        </w:tc>
        <w:tc>
          <w:tcPr>
            <w:tcW w:w="7306" w:type="dxa"/>
          </w:tcPr>
          <w:p w14:paraId="6EA80047" w14:textId="6062A525" w:rsidR="00873601" w:rsidRDefault="00873601" w:rsidP="00D35B2F">
            <w:pPr>
              <w:pStyle w:val="BodyText1"/>
              <w:spacing w:before="60" w:after="160"/>
              <w:rPr>
                <w:bCs/>
              </w:rPr>
            </w:pPr>
            <w:r w:rsidRPr="00537825">
              <w:rPr>
                <w:bCs/>
                <w:lang w:val="en-AU"/>
              </w:rPr>
              <w:t>A</w:t>
            </w:r>
            <w:r w:rsidR="006126D3" w:rsidRPr="00537825" w:rsidDel="006126D3">
              <w:rPr>
                <w:lang w:val="en-AU"/>
              </w:rPr>
              <w:t xml:space="preserve"> </w:t>
            </w:r>
            <w:r w:rsidRPr="00537825">
              <w:rPr>
                <w:lang w:val="en-AU"/>
              </w:rPr>
              <w:t>road</w:t>
            </w:r>
            <w:r w:rsidRPr="00537825">
              <w:rPr>
                <w:bCs/>
                <w:lang w:val="en-AU"/>
              </w:rPr>
              <w:t xml:space="preserve"> that has been formed and constructed but is not sealed with </w:t>
            </w:r>
            <w:r w:rsidR="004A1413">
              <w:rPr>
                <w:bCs/>
                <w:lang w:val="en-AU"/>
              </w:rPr>
              <w:t>a bitumen surface</w:t>
            </w:r>
            <w:r>
              <w:rPr>
                <w:bCs/>
                <w:lang w:val="en-AU"/>
              </w:rPr>
              <w:t>.</w:t>
            </w:r>
          </w:p>
        </w:tc>
      </w:tr>
      <w:tr w:rsidR="00873601" w:rsidRPr="00A239F5" w14:paraId="4D017629" w14:textId="77777777" w:rsidTr="00873601">
        <w:tc>
          <w:tcPr>
            <w:tcW w:w="1721" w:type="dxa"/>
          </w:tcPr>
          <w:p w14:paraId="5ECF2036" w14:textId="77777777" w:rsidR="00873601" w:rsidRDefault="00873601" w:rsidP="00D35B2F">
            <w:pPr>
              <w:pStyle w:val="BodyText1"/>
              <w:spacing w:before="60" w:after="160"/>
              <w:rPr>
                <w:bCs/>
              </w:rPr>
            </w:pPr>
            <w:r>
              <w:rPr>
                <w:bCs/>
              </w:rPr>
              <w:t>Usage data</w:t>
            </w:r>
          </w:p>
        </w:tc>
        <w:tc>
          <w:tcPr>
            <w:tcW w:w="7306" w:type="dxa"/>
          </w:tcPr>
          <w:p w14:paraId="4B13ADDB" w14:textId="79BCDF81" w:rsidR="00873601" w:rsidRPr="00A239F5" w:rsidRDefault="006126D3" w:rsidP="00D35B2F">
            <w:pPr>
              <w:pStyle w:val="BodyText1"/>
              <w:spacing w:before="60" w:after="160"/>
              <w:rPr>
                <w:bCs/>
              </w:rPr>
            </w:pPr>
            <w:r>
              <w:rPr>
                <w:bCs/>
              </w:rPr>
              <w:t>T</w:t>
            </w:r>
            <w:r w:rsidR="00873601">
              <w:rPr>
                <w:bCs/>
              </w:rPr>
              <w:t>he data on usage of the roads by heavy vehicles that informs the PAYGO model</w:t>
            </w:r>
            <w:r w:rsidR="004A1413">
              <w:rPr>
                <w:bCs/>
              </w:rPr>
              <w:t>. This data is collected through the SMVU.</w:t>
            </w:r>
            <w:r w:rsidR="009E61AA">
              <w:rPr>
                <w:bCs/>
              </w:rPr>
              <w:t xml:space="preserve"> </w:t>
            </w:r>
          </w:p>
        </w:tc>
      </w:tr>
      <w:tr w:rsidR="00873601" w:rsidRPr="00A239F5" w14:paraId="7C12FB10" w14:textId="77777777" w:rsidTr="00873601">
        <w:tc>
          <w:tcPr>
            <w:tcW w:w="1721" w:type="dxa"/>
          </w:tcPr>
          <w:p w14:paraId="4C1EE74C" w14:textId="77777777" w:rsidR="00873601" w:rsidRDefault="00873601" w:rsidP="00D35B2F">
            <w:pPr>
              <w:pStyle w:val="BodyText1"/>
              <w:spacing w:before="60" w:after="160"/>
              <w:rPr>
                <w:bCs/>
              </w:rPr>
            </w:pPr>
            <w:r>
              <w:rPr>
                <w:bCs/>
              </w:rPr>
              <w:t>VKT</w:t>
            </w:r>
          </w:p>
        </w:tc>
        <w:tc>
          <w:tcPr>
            <w:tcW w:w="7306" w:type="dxa"/>
          </w:tcPr>
          <w:p w14:paraId="589C37BC" w14:textId="7F0D4FDA" w:rsidR="00873601" w:rsidRPr="00A239F5" w:rsidRDefault="00873601" w:rsidP="00D35B2F">
            <w:pPr>
              <w:pStyle w:val="BodyText1"/>
              <w:spacing w:before="60" w:after="160"/>
              <w:rPr>
                <w:bCs/>
              </w:rPr>
            </w:pPr>
            <w:r>
              <w:rPr>
                <w:bCs/>
              </w:rPr>
              <w:t xml:space="preserve">Vehicle </w:t>
            </w:r>
            <w:r w:rsidR="00D35B2F">
              <w:rPr>
                <w:bCs/>
              </w:rPr>
              <w:t>k</w:t>
            </w:r>
            <w:r>
              <w:rPr>
                <w:bCs/>
              </w:rPr>
              <w:t>ilometr</w:t>
            </w:r>
            <w:r w:rsidR="006126D3">
              <w:rPr>
                <w:bCs/>
              </w:rPr>
              <w:t>e</w:t>
            </w:r>
            <w:r>
              <w:rPr>
                <w:bCs/>
              </w:rPr>
              <w:t xml:space="preserve">s </w:t>
            </w:r>
            <w:r w:rsidR="00D35B2F">
              <w:rPr>
                <w:bCs/>
              </w:rPr>
              <w:t>t</w:t>
            </w:r>
            <w:r>
              <w:rPr>
                <w:bCs/>
              </w:rPr>
              <w:t>ravelled</w:t>
            </w:r>
            <w:r w:rsidR="00D35B2F">
              <w:rPr>
                <w:bCs/>
              </w:rPr>
              <w:t>. A</w:t>
            </w:r>
            <w:r>
              <w:rPr>
                <w:bCs/>
              </w:rPr>
              <w:t xml:space="preserve"> unit of measure </w:t>
            </w:r>
            <w:r w:rsidR="006126D3">
              <w:rPr>
                <w:bCs/>
              </w:rPr>
              <w:t xml:space="preserve">that </w:t>
            </w:r>
            <w:r w:rsidR="004A1413">
              <w:rPr>
                <w:bCs/>
              </w:rPr>
              <w:t>describes the distance travelled by heavy vehicles</w:t>
            </w:r>
            <w:r>
              <w:rPr>
                <w:bCs/>
              </w:rPr>
              <w:t>.</w:t>
            </w:r>
          </w:p>
        </w:tc>
      </w:tr>
      <w:tr w:rsidR="00873601" w:rsidRPr="00A239F5" w14:paraId="242618CF" w14:textId="77777777" w:rsidTr="00873601">
        <w:tc>
          <w:tcPr>
            <w:tcW w:w="1721" w:type="dxa"/>
          </w:tcPr>
          <w:p w14:paraId="7F3697DC" w14:textId="77777777" w:rsidR="00873601" w:rsidRDefault="00873601" w:rsidP="00D35B2F">
            <w:pPr>
              <w:pStyle w:val="BodyText1"/>
              <w:spacing w:before="60" w:after="160"/>
              <w:rPr>
                <w:bCs/>
              </w:rPr>
            </w:pPr>
            <w:r>
              <w:rPr>
                <w:bCs/>
              </w:rPr>
              <w:t>WIM</w:t>
            </w:r>
          </w:p>
        </w:tc>
        <w:tc>
          <w:tcPr>
            <w:tcW w:w="7306" w:type="dxa"/>
          </w:tcPr>
          <w:p w14:paraId="6C6CC748" w14:textId="76F10D07" w:rsidR="00873601" w:rsidRPr="00A239F5" w:rsidRDefault="00873601" w:rsidP="00D35B2F">
            <w:pPr>
              <w:pStyle w:val="BodyText1"/>
              <w:spacing w:before="60" w:after="160"/>
              <w:rPr>
                <w:bCs/>
              </w:rPr>
            </w:pPr>
            <w:r>
              <w:rPr>
                <w:bCs/>
              </w:rPr>
              <w:t>Weigh</w:t>
            </w:r>
            <w:r w:rsidR="004A1413">
              <w:rPr>
                <w:bCs/>
              </w:rPr>
              <w:t>-in-motion</w:t>
            </w:r>
            <w:r w:rsidR="00D35B2F">
              <w:rPr>
                <w:bCs/>
              </w:rPr>
              <w:t>.</w:t>
            </w:r>
            <w:r w:rsidR="004A1413">
              <w:rPr>
                <w:bCs/>
              </w:rPr>
              <w:t xml:space="preserve"> A </w:t>
            </w:r>
            <w:r>
              <w:rPr>
                <w:bCs/>
              </w:rPr>
              <w:t xml:space="preserve">WIM </w:t>
            </w:r>
            <w:r w:rsidR="004A1413">
              <w:rPr>
                <w:bCs/>
              </w:rPr>
              <w:t xml:space="preserve">station </w:t>
            </w:r>
            <w:r>
              <w:rPr>
                <w:bCs/>
              </w:rPr>
              <w:t>weighs vehicles while they are in motion.</w:t>
            </w:r>
          </w:p>
        </w:tc>
      </w:tr>
    </w:tbl>
    <w:p w14:paraId="30388FD3" w14:textId="6C227D4F" w:rsidR="00873601" w:rsidRDefault="00873601" w:rsidP="00873601">
      <w:pPr>
        <w:pStyle w:val="BodyCopy"/>
      </w:pPr>
    </w:p>
    <w:p w14:paraId="1FDCBF83" w14:textId="77777777" w:rsidR="0064047D" w:rsidRDefault="0064047D" w:rsidP="00873601">
      <w:pPr>
        <w:pStyle w:val="BodyCopy"/>
        <w:sectPr w:rsidR="0064047D" w:rsidSect="0037076A">
          <w:headerReference w:type="even" r:id="rId50"/>
          <w:headerReference w:type="default" r:id="rId51"/>
          <w:footerReference w:type="even" r:id="rId52"/>
          <w:footerReference w:type="default" r:id="rId53"/>
          <w:headerReference w:type="first" r:id="rId54"/>
          <w:footerReference w:type="first" r:id="rId55"/>
          <w:pgSz w:w="11907" w:h="16840" w:code="9"/>
          <w:pgMar w:top="851" w:right="1440" w:bottom="1985" w:left="1440" w:header="283" w:footer="1134" w:gutter="0"/>
          <w:cols w:space="720"/>
          <w:docGrid w:linePitch="272"/>
        </w:sectPr>
      </w:pPr>
    </w:p>
    <w:p w14:paraId="0F65FB15" w14:textId="542F10E2" w:rsidR="00040D6D" w:rsidRDefault="009739F8" w:rsidP="00AF7B68">
      <w:pPr>
        <w:pStyle w:val="Head1-Appendix"/>
        <w:tabs>
          <w:tab w:val="num" w:pos="2552"/>
        </w:tabs>
        <w:ind w:left="2552" w:hanging="2552"/>
      </w:pPr>
      <w:bookmarkStart w:id="2361" w:name="_Toc86158510"/>
      <w:bookmarkStart w:id="2362" w:name="_Hlk12114094"/>
      <w:r>
        <w:lastRenderedPageBreak/>
        <w:t xml:space="preserve">Enlarged </w:t>
      </w:r>
      <w:r w:rsidR="002F68B0">
        <w:t>f</w:t>
      </w:r>
      <w:r w:rsidR="0061165B">
        <w:t>igures</w:t>
      </w:r>
      <w:bookmarkEnd w:id="2361"/>
    </w:p>
    <w:p w14:paraId="2A9D8CC5" w14:textId="2097585C" w:rsidR="00BF222D" w:rsidRDefault="00BF222D" w:rsidP="00AF7B68">
      <w:pPr>
        <w:pStyle w:val="BodyCopy"/>
        <w:rPr>
          <w:noProof/>
          <w:sz w:val="20"/>
          <w:szCs w:val="22"/>
        </w:rPr>
      </w:pPr>
      <w:r>
        <w:rPr>
          <w:b/>
          <w:bCs/>
          <w:noProof/>
          <w:sz w:val="20"/>
          <w:szCs w:val="22"/>
          <w:lang w:eastAsia="en-AU"/>
        </w:rPr>
        <w:drawing>
          <wp:anchor distT="0" distB="0" distL="114300" distR="114300" simplePos="0" relativeHeight="251662399" behindDoc="0" locked="0" layoutInCell="1" allowOverlap="1" wp14:anchorId="4EB97CB3" wp14:editId="34DF941F">
            <wp:simplePos x="0" y="0"/>
            <wp:positionH relativeFrom="column">
              <wp:posOffset>-3175</wp:posOffset>
            </wp:positionH>
            <wp:positionV relativeFrom="paragraph">
              <wp:posOffset>231140</wp:posOffset>
            </wp:positionV>
            <wp:extent cx="7261860" cy="4742180"/>
            <wp:effectExtent l="0" t="0" r="0" b="1270"/>
            <wp:wrapTopAndBottom/>
            <wp:docPr id="50" name="Picture 50"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61860" cy="4742180"/>
                    </a:xfrm>
                    <a:prstGeom prst="rect">
                      <a:avLst/>
                    </a:prstGeom>
                    <a:noFill/>
                  </pic:spPr>
                </pic:pic>
              </a:graphicData>
            </a:graphic>
          </wp:anchor>
        </w:drawing>
      </w:r>
      <w:r w:rsidR="0060107D" w:rsidRPr="00311E59">
        <w:rPr>
          <w:b/>
          <w:bCs/>
          <w:sz w:val="20"/>
          <w:szCs w:val="22"/>
        </w:rPr>
        <w:t>Figure 4. Heavy vehicle cost base and estimated revenue</w:t>
      </w:r>
      <w:r w:rsidR="000C4DA1">
        <w:rPr>
          <w:b/>
          <w:bCs/>
          <w:sz w:val="20"/>
          <w:szCs w:val="22"/>
        </w:rPr>
        <w:t xml:space="preserve"> ($m)</w:t>
      </w:r>
      <w:r w:rsidR="0060107D" w:rsidRPr="00311E59">
        <w:rPr>
          <w:noProof/>
          <w:sz w:val="20"/>
          <w:szCs w:val="22"/>
        </w:rPr>
        <w:t xml:space="preserve"> </w:t>
      </w:r>
    </w:p>
    <w:p w14:paraId="4F1476F0" w14:textId="10940575" w:rsidR="0060107D" w:rsidRPr="00254AE2" w:rsidRDefault="0060107D" w:rsidP="00311E59">
      <w:pPr>
        <w:pStyle w:val="BodyCopy"/>
        <w:rPr>
          <w:bCs/>
          <w:szCs w:val="22"/>
        </w:rPr>
      </w:pPr>
      <w:r w:rsidRPr="00311E59">
        <w:rPr>
          <w:b/>
          <w:bCs/>
          <w:sz w:val="20"/>
          <w:szCs w:val="22"/>
        </w:rPr>
        <w:lastRenderedPageBreak/>
        <w:t>Figure 5. Estimated heavy vehicle cost bases under different cost allocators</w:t>
      </w:r>
    </w:p>
    <w:p w14:paraId="47FF9212" w14:textId="03131A63" w:rsidR="0064047D" w:rsidRDefault="00462CB2" w:rsidP="00AF7B68">
      <w:pPr>
        <w:pStyle w:val="BodyCopy"/>
      </w:pPr>
      <w:r>
        <w:rPr>
          <w:noProof/>
          <w:lang w:eastAsia="en-AU"/>
        </w:rPr>
        <w:drawing>
          <wp:inline distT="0" distB="0" distL="0" distR="0" wp14:anchorId="68398B48" wp14:editId="0EE7FE1A">
            <wp:extent cx="7864475" cy="4932045"/>
            <wp:effectExtent l="0" t="0" r="317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64475" cy="4932045"/>
                    </a:xfrm>
                    <a:prstGeom prst="rect">
                      <a:avLst/>
                    </a:prstGeom>
                    <a:noFill/>
                  </pic:spPr>
                </pic:pic>
              </a:graphicData>
            </a:graphic>
          </wp:inline>
        </w:drawing>
      </w:r>
    </w:p>
    <w:p w14:paraId="55C1E1ED" w14:textId="77777777" w:rsidR="0060107D" w:rsidRDefault="0060107D" w:rsidP="00AF7B68">
      <w:pPr>
        <w:pStyle w:val="BodyCopy"/>
      </w:pPr>
    </w:p>
    <w:p w14:paraId="56DAC76C" w14:textId="78B60E4D" w:rsidR="0060107D" w:rsidRPr="00311E59" w:rsidRDefault="0060107D" w:rsidP="00AF7B68">
      <w:pPr>
        <w:pStyle w:val="BodyCopy"/>
        <w:rPr>
          <w:b/>
          <w:bCs/>
          <w:sz w:val="20"/>
          <w:szCs w:val="22"/>
        </w:rPr>
      </w:pPr>
      <w:r w:rsidRPr="00311E59">
        <w:rPr>
          <w:b/>
          <w:bCs/>
          <w:sz w:val="20"/>
          <w:szCs w:val="22"/>
        </w:rPr>
        <w:lastRenderedPageBreak/>
        <w:t>Figure 6</w:t>
      </w:r>
      <w:r w:rsidR="006F20F7" w:rsidRPr="00311E59">
        <w:rPr>
          <w:b/>
          <w:bCs/>
          <w:sz w:val="20"/>
          <w:szCs w:val="22"/>
        </w:rPr>
        <w:t>. Heavy vehicle cost base with and without MaxMan ($m)</w:t>
      </w:r>
    </w:p>
    <w:p w14:paraId="5314C4C6" w14:textId="6E508E28" w:rsidR="0064047D" w:rsidRDefault="00462CB2" w:rsidP="00AF7B68">
      <w:pPr>
        <w:pStyle w:val="BodyCopy"/>
      </w:pPr>
      <w:r>
        <w:rPr>
          <w:noProof/>
          <w:lang w:eastAsia="en-AU"/>
        </w:rPr>
        <w:drawing>
          <wp:inline distT="0" distB="0" distL="0" distR="0" wp14:anchorId="47F52224" wp14:editId="236A7A36">
            <wp:extent cx="8242300" cy="4925695"/>
            <wp:effectExtent l="0" t="0" r="635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42300" cy="4925695"/>
                    </a:xfrm>
                    <a:prstGeom prst="rect">
                      <a:avLst/>
                    </a:prstGeom>
                    <a:noFill/>
                  </pic:spPr>
                </pic:pic>
              </a:graphicData>
            </a:graphic>
          </wp:inline>
        </w:drawing>
      </w:r>
    </w:p>
    <w:p w14:paraId="5F6B04B7" w14:textId="4B121822" w:rsidR="0064047D" w:rsidRDefault="006F20F7" w:rsidP="00311E59">
      <w:pPr>
        <w:pStyle w:val="Figuretitle"/>
        <w:numPr>
          <w:ilvl w:val="0"/>
          <w:numId w:val="0"/>
        </w:numPr>
        <w:ind w:left="1021" w:hanging="1021"/>
      </w:pPr>
      <w:bookmarkStart w:id="2363" w:name="_Toc86158534"/>
      <w:r>
        <w:lastRenderedPageBreak/>
        <w:t>Figure 7. Allocated costs, with and without MaxMan for double and triple road trains ($m)</w:t>
      </w:r>
      <w:bookmarkEnd w:id="2363"/>
    </w:p>
    <w:p w14:paraId="176E3D01" w14:textId="482BD50A" w:rsidR="006F20F7" w:rsidRDefault="00961AB6" w:rsidP="00AF7B68">
      <w:pPr>
        <w:pStyle w:val="BodyCopy"/>
      </w:pPr>
      <w:r>
        <w:rPr>
          <w:noProof/>
          <w:lang w:eastAsia="en-AU"/>
        </w:rPr>
        <w:drawing>
          <wp:inline distT="0" distB="0" distL="0" distR="0" wp14:anchorId="11C563B9" wp14:editId="5498C1E4">
            <wp:extent cx="7815580" cy="52184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15580" cy="5218430"/>
                    </a:xfrm>
                    <a:prstGeom prst="rect">
                      <a:avLst/>
                    </a:prstGeom>
                    <a:noFill/>
                  </pic:spPr>
                </pic:pic>
              </a:graphicData>
            </a:graphic>
          </wp:inline>
        </w:drawing>
      </w:r>
    </w:p>
    <w:p w14:paraId="6AD03EB0" w14:textId="5D442B68" w:rsidR="006F20F7" w:rsidRDefault="006F20F7" w:rsidP="00311E59">
      <w:pPr>
        <w:pStyle w:val="Figuretitle"/>
        <w:numPr>
          <w:ilvl w:val="0"/>
          <w:numId w:val="0"/>
        </w:numPr>
        <w:ind w:left="1021" w:hanging="1021"/>
      </w:pPr>
      <w:bookmarkStart w:id="2364" w:name="_Toc86158535"/>
      <w:r>
        <w:lastRenderedPageBreak/>
        <w:t>Figure 8.</w:t>
      </w:r>
      <w:r w:rsidRPr="006F20F7">
        <w:t xml:space="preserve"> </w:t>
      </w:r>
      <w:r>
        <w:t>Impact on heavy vehicle cost base from changes considered in this RIS</w:t>
      </w:r>
      <w:r w:rsidR="003F761D">
        <w:t xml:space="preserve"> ($m)</w:t>
      </w:r>
      <w:bookmarkEnd w:id="2364"/>
    </w:p>
    <w:p w14:paraId="273E7BC0" w14:textId="15B8066E" w:rsidR="006F20F7" w:rsidRDefault="00472256" w:rsidP="00AF7B68">
      <w:pPr>
        <w:pStyle w:val="BodyCopy"/>
      </w:pPr>
      <w:r>
        <w:rPr>
          <w:noProof/>
          <w:lang w:eastAsia="en-AU"/>
        </w:rPr>
        <w:drawing>
          <wp:inline distT="0" distB="0" distL="0" distR="0" wp14:anchorId="260F78B5" wp14:editId="2C09EB1B">
            <wp:extent cx="8658225" cy="4599255"/>
            <wp:effectExtent l="0" t="0" r="0" b="0"/>
            <wp:docPr id="45" name="Picture 45" descr="Waterfall chart showing the impacts of various changes considered in this RIS. The updated status quo cost base ($4,363m) is decreased by updated AGM data ($240m), increased by updated ESA factors ($109m), decreased by removing MaxMan ($26m), increased by removing the CSO discount ($12m), and increased by using the modified current cost allocation approach ($298m), for a total heavy vehicle cost base of $4,51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terfall chart showing the impacts of various changes considered in this RIS. The updated status quo cost base ($4,363m) is decreased by updated AGM data ($240m), increased by updated ESA factors ($109m), decreased by removing MaxMan ($26m), increased by removing the CSO discount ($12m), and increased by using the modified current cost allocation approach ($298m), for a total heavy vehicle cost base of $4,516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78374" cy="4609958"/>
                    </a:xfrm>
                    <a:prstGeom prst="rect">
                      <a:avLst/>
                    </a:prstGeom>
                    <a:noFill/>
                  </pic:spPr>
                </pic:pic>
              </a:graphicData>
            </a:graphic>
          </wp:inline>
        </w:drawing>
      </w:r>
    </w:p>
    <w:p w14:paraId="1BE43F01" w14:textId="77777777" w:rsidR="006F20F7" w:rsidRDefault="006F20F7" w:rsidP="00AF7B68">
      <w:pPr>
        <w:pStyle w:val="BodyCopy"/>
      </w:pPr>
    </w:p>
    <w:p w14:paraId="52E632B7" w14:textId="5FEC1F63" w:rsidR="006F20F7" w:rsidRPr="00254AE2" w:rsidRDefault="006F20F7" w:rsidP="00311E59">
      <w:pPr>
        <w:pStyle w:val="Figuretitle"/>
        <w:numPr>
          <w:ilvl w:val="0"/>
          <w:numId w:val="0"/>
        </w:numPr>
        <w:rPr>
          <w:bCs/>
          <w:szCs w:val="22"/>
        </w:rPr>
      </w:pPr>
      <w:bookmarkStart w:id="2365" w:name="_Toc86158536"/>
      <w:r w:rsidRPr="00254AE2">
        <w:rPr>
          <w:bCs/>
          <w:szCs w:val="22"/>
        </w:rPr>
        <w:lastRenderedPageBreak/>
        <w:t>Figure 9</w:t>
      </w:r>
      <w:r w:rsidR="001C2FE5">
        <w:rPr>
          <w:b w:val="0"/>
          <w:bCs/>
          <w:szCs w:val="22"/>
        </w:rPr>
        <w:t xml:space="preserve">. </w:t>
      </w:r>
      <w:r w:rsidR="001C2FE5">
        <w:t>Projected f</w:t>
      </w:r>
      <w:r w:rsidR="001C2FE5" w:rsidRPr="0078066F">
        <w:t>inancial implications</w:t>
      </w:r>
      <w:r w:rsidR="001C2FE5">
        <w:t xml:space="preserve"> for </w:t>
      </w:r>
      <w:r w:rsidR="001C2FE5" w:rsidRPr="00A83008">
        <w:t>heavy vehicle charge revenue</w:t>
      </w:r>
      <w:r w:rsidR="000C4DA1">
        <w:t xml:space="preserve"> ($m)</w:t>
      </w:r>
      <w:bookmarkEnd w:id="2365"/>
    </w:p>
    <w:p w14:paraId="6EE85FFA" w14:textId="3C7660CD" w:rsidR="001C2FE5" w:rsidRDefault="00551F51" w:rsidP="00AF7B68">
      <w:pPr>
        <w:pStyle w:val="BodyCopy"/>
      </w:pPr>
      <w:r>
        <w:rPr>
          <w:noProof/>
          <w:lang w:eastAsia="en-AU"/>
        </w:rPr>
        <w:drawing>
          <wp:inline distT="0" distB="0" distL="0" distR="0" wp14:anchorId="4D10A211" wp14:editId="2F3E794E">
            <wp:extent cx="9315749" cy="5117429"/>
            <wp:effectExtent l="0" t="0" r="0" b="7620"/>
            <wp:docPr id="60" name="Picture 60"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 showing projected financial implications for heavy vehicle charge revenue under different implementation pathways. Projected revenue is lowest under pathway 1 of the three-year fixed price path (up to 3.5% increase), higher under pathway 2 of the three-year fixed price path (6% increase), and highest under direct implement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87452" cy="5156818"/>
                    </a:xfrm>
                    <a:prstGeom prst="rect">
                      <a:avLst/>
                    </a:prstGeom>
                    <a:noFill/>
                  </pic:spPr>
                </pic:pic>
              </a:graphicData>
            </a:graphic>
          </wp:inline>
        </w:drawing>
      </w:r>
    </w:p>
    <w:p w14:paraId="741B1C41" w14:textId="543AF8C6" w:rsidR="001C2FE5" w:rsidRDefault="001C2FE5" w:rsidP="00311E59">
      <w:pPr>
        <w:pStyle w:val="Figuretitle"/>
        <w:numPr>
          <w:ilvl w:val="0"/>
          <w:numId w:val="0"/>
        </w:numPr>
        <w:ind w:left="1021" w:hanging="1021"/>
      </w:pPr>
      <w:r>
        <w:lastRenderedPageBreak/>
        <w:t xml:space="preserve">Figure 10. </w:t>
      </w:r>
      <w:bookmarkStart w:id="2366" w:name="_Toc86158537"/>
      <w:r>
        <w:t>Changes in operating costs from 2013 to 2020</w:t>
      </w:r>
      <w:bookmarkEnd w:id="2366"/>
    </w:p>
    <w:p w14:paraId="7C5ED97C" w14:textId="3859AA6D" w:rsidR="001C2FE5" w:rsidRDefault="00FB473B" w:rsidP="00AF7B68">
      <w:pPr>
        <w:pStyle w:val="BodyCopy"/>
        <w:rPr>
          <w:noProof/>
        </w:rPr>
      </w:pPr>
      <w:r>
        <w:rPr>
          <w:noProof/>
          <w:lang w:eastAsia="en-AU"/>
        </w:rPr>
        <mc:AlternateContent>
          <mc:Choice Requires="wps">
            <w:drawing>
              <wp:anchor distT="0" distB="0" distL="114300" distR="114300" simplePos="0" relativeHeight="251661375" behindDoc="0" locked="0" layoutInCell="1" allowOverlap="1" wp14:anchorId="62EBD7A9" wp14:editId="2BB2A719">
                <wp:simplePos x="0" y="0"/>
                <wp:positionH relativeFrom="column">
                  <wp:posOffset>1721560</wp:posOffset>
                </wp:positionH>
                <wp:positionV relativeFrom="paragraph">
                  <wp:posOffset>166711</wp:posOffset>
                </wp:positionV>
                <wp:extent cx="4026089" cy="197893"/>
                <wp:effectExtent l="0" t="0" r="0" b="0"/>
                <wp:wrapNone/>
                <wp:docPr id="49" name="Text Box 49" descr="This picture shows annual operating costs for a range of heavy vehicle types for 2013 and 2020.  It shows that vehicle operating costs in 2020 have increased compared to 2013 for all categories except for the triple road train.  "/>
                <wp:cNvGraphicFramePr/>
                <a:graphic xmlns:a="http://schemas.openxmlformats.org/drawingml/2006/main">
                  <a:graphicData uri="http://schemas.microsoft.com/office/word/2010/wordprocessingShape">
                    <wps:wsp>
                      <wps:cNvSpPr txBox="1"/>
                      <wps:spPr>
                        <a:xfrm>
                          <a:off x="0" y="0"/>
                          <a:ext cx="4026089" cy="197893"/>
                        </a:xfrm>
                        <a:prstGeom prst="rect">
                          <a:avLst/>
                        </a:prstGeom>
                        <a:solidFill>
                          <a:schemeClr val="bg1"/>
                        </a:solidFill>
                        <a:ln w="6350">
                          <a:noFill/>
                        </a:ln>
                      </wps:spPr>
                      <wps:txbx>
                        <w:txbxContent>
                          <w:p w14:paraId="61FB835A" w14:textId="77777777" w:rsidR="00EB0EE2" w:rsidRDefault="00EB0EE2" w:rsidP="00FB4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BD7A9" id="Text Box 49" o:spid="_x0000_s1027" type="#_x0000_t202" alt="This picture shows annual operating costs for a range of heavy vehicle types for 2013 and 2020.  It shows that vehicle operating costs in 2020 have increased compared to 2013 for all categories except for the triple road train.  " style="position:absolute;margin-left:135.55pt;margin-top:13.15pt;width:317pt;height:15.6pt;z-index:25166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" fillcolor="white [3212]" stroked="f" strokeweight=".5pt">
                <v:textbox>
                  <w:txbxContent>
                    <w:p w14:paraId="61FB835A" w14:textId="77777777" w:rsidR="00EB0EE2" w:rsidRDefault="00EB0EE2" w:rsidP="00FB473B"/>
                  </w:txbxContent>
                </v:textbox>
              </v:shape>
            </w:pict>
          </mc:Fallback>
        </mc:AlternateContent>
      </w:r>
      <w:r>
        <w:rPr>
          <w:noProof/>
          <w:lang w:eastAsia="en-AU"/>
        </w:rPr>
        <w:drawing>
          <wp:inline distT="0" distB="0" distL="0" distR="0" wp14:anchorId="2061AF75" wp14:editId="5D861576">
            <wp:extent cx="7438030" cy="4861611"/>
            <wp:effectExtent l="0" t="0" r="0" b="0"/>
            <wp:docPr id="47" name="Picture 47" descr="This picture shows annual operating costs for a range of heavy vehicle types for 2013 and 2020.  It shows that vehicle operating costs in 2020 have increased compared to 2013 for all categories except for the triple road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picture shows annual operating costs for a range of heavy vehicle types for 2013 and 2020.  It shows that vehicle operating costs in 2020 have increased compared to 2013 for all categories except for the triple road trai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95666" cy="4899283"/>
                    </a:xfrm>
                    <a:prstGeom prst="rect">
                      <a:avLst/>
                    </a:prstGeom>
                    <a:noFill/>
                  </pic:spPr>
                </pic:pic>
              </a:graphicData>
            </a:graphic>
          </wp:inline>
        </w:drawing>
      </w:r>
    </w:p>
    <w:p w14:paraId="0C72EC98" w14:textId="515671F6" w:rsidR="00FB473B" w:rsidRDefault="00FB473B" w:rsidP="00AF7B68">
      <w:pPr>
        <w:pStyle w:val="BodyCopy"/>
        <w:sectPr w:rsidR="00FB473B" w:rsidSect="0064047D">
          <w:pgSz w:w="16840" w:h="11907" w:orient="landscape" w:code="9"/>
          <w:pgMar w:top="1440" w:right="851" w:bottom="1440" w:left="1985" w:header="283" w:footer="1134" w:gutter="0"/>
          <w:cols w:space="720"/>
          <w:docGrid w:linePitch="272"/>
        </w:sectPr>
      </w:pPr>
    </w:p>
    <w:p w14:paraId="18ED21F1" w14:textId="5744CCE3" w:rsidR="00C74DBF" w:rsidRDefault="00574A97" w:rsidP="00AF7B68">
      <w:pPr>
        <w:pStyle w:val="Head1-Appendix"/>
        <w:tabs>
          <w:tab w:val="num" w:pos="2552"/>
        </w:tabs>
        <w:ind w:left="2552" w:hanging="2552"/>
      </w:pPr>
      <w:bookmarkStart w:id="2367" w:name="_Ref63756920"/>
      <w:bookmarkStart w:id="2368" w:name="_Toc86158511"/>
      <w:r>
        <w:lastRenderedPageBreak/>
        <w:t>Charging schedules</w:t>
      </w:r>
      <w:bookmarkEnd w:id="2367"/>
      <w:bookmarkEnd w:id="2368"/>
    </w:p>
    <w:p w14:paraId="4DCBA456" w14:textId="7DBAA0BD" w:rsidR="00C82209" w:rsidRDefault="00C82209" w:rsidP="00C82209">
      <w:pPr>
        <w:pStyle w:val="BodyCopy"/>
      </w:pPr>
      <w:r>
        <w:t>Th</w:t>
      </w:r>
      <w:r w:rsidR="00DA69F2">
        <w:t>e following pages of this</w:t>
      </w:r>
      <w:r>
        <w:t xml:space="preserve"> appendix contain the charging schedules </w:t>
      </w:r>
      <w:r w:rsidR="00DA69F2">
        <w:t xml:space="preserve">for the roads component of registration charges </w:t>
      </w:r>
      <w:r>
        <w:t>under the different implementation options, as well as the charging schedule for the regulatory component of registration charges.</w:t>
      </w:r>
    </w:p>
    <w:p w14:paraId="798E373C" w14:textId="6BE92CB4" w:rsidR="00C82209" w:rsidRDefault="00C82209">
      <w:pPr>
        <w:spacing w:before="0" w:after="0"/>
        <w:rPr>
          <w:rFonts w:eastAsia="Cambria"/>
          <w:color w:val="000000"/>
          <w:sz w:val="22"/>
          <w:szCs w:val="24"/>
        </w:rPr>
      </w:pPr>
      <w:r>
        <w:br w:type="page"/>
      </w:r>
    </w:p>
    <w:p w14:paraId="453B6A76" w14:textId="2D5358AC" w:rsidR="00C82209" w:rsidRDefault="00C82209" w:rsidP="00C82209">
      <w:pPr>
        <w:pStyle w:val="Tabletitle"/>
      </w:pPr>
      <w:bookmarkStart w:id="2369" w:name="_Toc86158571"/>
      <w:r>
        <w:lastRenderedPageBreak/>
        <w:t xml:space="preserve">Charging schedule for </w:t>
      </w:r>
      <w:r w:rsidR="000B1A52">
        <w:t xml:space="preserve">the </w:t>
      </w:r>
      <w:r>
        <w:t xml:space="preserve">roads component of registration charges under direction implementation of </w:t>
      </w:r>
      <w:r w:rsidR="00314A7D">
        <w:t>o</w:t>
      </w:r>
      <w:r>
        <w:t>ption B</w:t>
      </w:r>
      <w:r w:rsidR="007C2428">
        <w:t>, 2022</w:t>
      </w:r>
      <w:r w:rsidR="00272BD6">
        <w:t>–2</w:t>
      </w:r>
      <w:r w:rsidR="007C2428">
        <w:t>3</w:t>
      </w:r>
      <w:bookmarkEnd w:id="2369"/>
      <w:r w:rsidR="007C2428">
        <w:t xml:space="preserve"> </w:t>
      </w:r>
    </w:p>
    <w:tbl>
      <w:tblPr>
        <w:tblStyle w:val="NTCtable"/>
        <w:tblW w:w="0" w:type="auto"/>
        <w:tblLook w:val="04A0" w:firstRow="1" w:lastRow="0" w:firstColumn="1" w:lastColumn="0" w:noHBand="0" w:noVBand="1"/>
      </w:tblPr>
      <w:tblGrid>
        <w:gridCol w:w="4420"/>
        <w:gridCol w:w="1132"/>
        <w:gridCol w:w="1211"/>
        <w:gridCol w:w="1132"/>
        <w:gridCol w:w="1132"/>
      </w:tblGrid>
      <w:tr w:rsidR="00C82209" w:rsidRPr="00C82209" w14:paraId="4289C82B" w14:textId="77777777" w:rsidTr="00AF7B68">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11A0026D" w14:textId="041B2D43" w:rsidR="00C82209" w:rsidRPr="00C4270B" w:rsidRDefault="00C82209" w:rsidP="00AF7B68">
            <w:pPr>
              <w:pStyle w:val="BodyCopy"/>
              <w:spacing w:before="40" w:after="40"/>
              <w:jc w:val="center"/>
              <w:rPr>
                <w:b/>
                <w:bCs/>
                <w:sz w:val="20"/>
                <w:szCs w:val="20"/>
              </w:rPr>
            </w:pPr>
            <w:r w:rsidRPr="00C4270B">
              <w:rPr>
                <w:b/>
                <w:bCs/>
                <w:sz w:val="20"/>
                <w:szCs w:val="20"/>
              </w:rPr>
              <w:t>1 July 2022 – 30 June 2023</w:t>
            </w:r>
          </w:p>
        </w:tc>
      </w:tr>
      <w:tr w:rsidR="00C82209" w:rsidRPr="00C82209" w14:paraId="7DE4DE5A" w14:textId="77777777" w:rsidTr="00AF7B68">
        <w:trPr>
          <w:trHeight w:val="300"/>
        </w:trPr>
        <w:tc>
          <w:tcPr>
            <w:tcW w:w="9027" w:type="dxa"/>
            <w:gridSpan w:val="5"/>
            <w:vAlign w:val="center"/>
            <w:hideMark/>
          </w:tcPr>
          <w:p w14:paraId="3AD0F8C8" w14:textId="1626B64D" w:rsidR="00C82209" w:rsidRPr="00C4270B" w:rsidRDefault="00C82209" w:rsidP="00AF7B68">
            <w:pPr>
              <w:pStyle w:val="BodyCopy"/>
              <w:spacing w:before="40" w:after="40"/>
              <w:jc w:val="center"/>
              <w:rPr>
                <w:b/>
                <w:bCs/>
                <w:sz w:val="20"/>
                <w:szCs w:val="20"/>
              </w:rPr>
            </w:pPr>
            <w:r w:rsidRPr="00C4270B">
              <w:rPr>
                <w:b/>
                <w:bCs/>
                <w:sz w:val="20"/>
                <w:szCs w:val="20"/>
              </w:rPr>
              <w:t>DIVISION 1 – LOAD CARRYING VEHICLES ($)</w:t>
            </w:r>
          </w:p>
        </w:tc>
      </w:tr>
      <w:tr w:rsidR="00C82209" w:rsidRPr="00C82209" w14:paraId="1A8E85A1" w14:textId="77777777" w:rsidTr="00C82209">
        <w:trPr>
          <w:trHeight w:val="300"/>
        </w:trPr>
        <w:tc>
          <w:tcPr>
            <w:tcW w:w="4420" w:type="dxa"/>
            <w:hideMark/>
          </w:tcPr>
          <w:p w14:paraId="503330C2" w14:textId="1DCDBBCA" w:rsidR="00C82209" w:rsidRPr="00C4270B" w:rsidRDefault="00C82209" w:rsidP="00AF7B68">
            <w:pPr>
              <w:pStyle w:val="BodyCopy"/>
              <w:spacing w:before="40" w:after="40"/>
              <w:rPr>
                <w:b/>
                <w:bCs/>
                <w:sz w:val="20"/>
                <w:szCs w:val="20"/>
              </w:rPr>
            </w:pPr>
            <w:r w:rsidRPr="00C4270B">
              <w:rPr>
                <w:b/>
                <w:bCs/>
                <w:sz w:val="20"/>
                <w:szCs w:val="20"/>
              </w:rPr>
              <w:t xml:space="preserve"> Vehicle </w:t>
            </w:r>
            <w:r w:rsidR="00314A7D" w:rsidRPr="00C4270B">
              <w:rPr>
                <w:b/>
                <w:bCs/>
                <w:sz w:val="20"/>
                <w:szCs w:val="20"/>
              </w:rPr>
              <w:t>t</w:t>
            </w:r>
            <w:r w:rsidRPr="00C4270B">
              <w:rPr>
                <w:b/>
                <w:bCs/>
                <w:sz w:val="20"/>
                <w:szCs w:val="20"/>
              </w:rPr>
              <w:t xml:space="preserve">ype </w:t>
            </w:r>
          </w:p>
        </w:tc>
        <w:tc>
          <w:tcPr>
            <w:tcW w:w="1132" w:type="dxa"/>
            <w:hideMark/>
          </w:tcPr>
          <w:p w14:paraId="56E26B4D" w14:textId="061FE4FD" w:rsidR="00C82209" w:rsidRPr="00C4270B" w:rsidRDefault="00C82209"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473B473B" w14:textId="712894E5" w:rsidR="00C82209" w:rsidRPr="00C4270B" w:rsidRDefault="00C82209"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48288F9B" w14:textId="0D0DB173" w:rsidR="00C82209" w:rsidRPr="00C4270B" w:rsidRDefault="00C82209"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5719F9BC" w14:textId="34D9ADB7" w:rsidR="00C82209" w:rsidRPr="00C4270B" w:rsidRDefault="00C82209"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C82209" w:rsidRPr="00C82209" w14:paraId="3451944A" w14:textId="77777777" w:rsidTr="00C82209">
        <w:trPr>
          <w:trHeight w:val="300"/>
        </w:trPr>
        <w:tc>
          <w:tcPr>
            <w:tcW w:w="4420" w:type="dxa"/>
            <w:hideMark/>
          </w:tcPr>
          <w:p w14:paraId="68A92D47" w14:textId="77777777" w:rsidR="00C82209" w:rsidRPr="00C4270B" w:rsidRDefault="00C82209" w:rsidP="00AF7B68">
            <w:pPr>
              <w:pStyle w:val="BodyCopy"/>
              <w:spacing w:before="40" w:after="40"/>
              <w:rPr>
                <w:b/>
                <w:bCs/>
                <w:sz w:val="20"/>
                <w:szCs w:val="20"/>
              </w:rPr>
            </w:pPr>
            <w:r w:rsidRPr="00C4270B">
              <w:rPr>
                <w:b/>
                <w:bCs/>
                <w:sz w:val="20"/>
                <w:szCs w:val="20"/>
              </w:rPr>
              <w:t xml:space="preserve"> Trucks </w:t>
            </w:r>
          </w:p>
        </w:tc>
        <w:tc>
          <w:tcPr>
            <w:tcW w:w="1132" w:type="dxa"/>
            <w:hideMark/>
          </w:tcPr>
          <w:p w14:paraId="3D3AFB0C" w14:textId="77777777" w:rsidR="00C82209" w:rsidRPr="00C4270B" w:rsidRDefault="00C82209" w:rsidP="00AF7B68">
            <w:pPr>
              <w:pStyle w:val="BodyCopy"/>
              <w:spacing w:before="40" w:after="40"/>
              <w:rPr>
                <w:sz w:val="20"/>
                <w:szCs w:val="20"/>
              </w:rPr>
            </w:pPr>
            <w:r w:rsidRPr="00C4270B">
              <w:rPr>
                <w:sz w:val="20"/>
                <w:szCs w:val="20"/>
              </w:rPr>
              <w:t> </w:t>
            </w:r>
          </w:p>
        </w:tc>
        <w:tc>
          <w:tcPr>
            <w:tcW w:w="1211" w:type="dxa"/>
            <w:hideMark/>
          </w:tcPr>
          <w:p w14:paraId="1ABDD7AC"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0007B2F0"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42683F4F" w14:textId="77777777" w:rsidR="00C82209" w:rsidRPr="00C4270B" w:rsidRDefault="00C82209" w:rsidP="00AF7B68">
            <w:pPr>
              <w:pStyle w:val="BodyCopy"/>
              <w:spacing w:before="40" w:after="40"/>
              <w:rPr>
                <w:sz w:val="20"/>
                <w:szCs w:val="20"/>
              </w:rPr>
            </w:pPr>
            <w:r w:rsidRPr="00C4270B">
              <w:rPr>
                <w:sz w:val="20"/>
                <w:szCs w:val="20"/>
              </w:rPr>
              <w:t> </w:t>
            </w:r>
          </w:p>
        </w:tc>
      </w:tr>
      <w:tr w:rsidR="001F4AAE" w:rsidRPr="00C82209" w14:paraId="75DFA33C" w14:textId="77777777" w:rsidTr="00C82209">
        <w:trPr>
          <w:trHeight w:val="300"/>
        </w:trPr>
        <w:tc>
          <w:tcPr>
            <w:tcW w:w="4420" w:type="dxa"/>
            <w:hideMark/>
          </w:tcPr>
          <w:p w14:paraId="38B2B326" w14:textId="77777777" w:rsidR="001F4AAE" w:rsidRPr="00C4270B" w:rsidRDefault="001F4AAE" w:rsidP="001F4AAE">
            <w:pPr>
              <w:pStyle w:val="BodyCopy"/>
              <w:spacing w:before="40" w:after="40"/>
              <w:rPr>
                <w:sz w:val="20"/>
                <w:szCs w:val="20"/>
              </w:rPr>
            </w:pPr>
            <w:r w:rsidRPr="00C4270B">
              <w:rPr>
                <w:sz w:val="20"/>
                <w:szCs w:val="20"/>
              </w:rPr>
              <w:t xml:space="preserve"> Truck (type 1) </w:t>
            </w:r>
          </w:p>
        </w:tc>
        <w:tc>
          <w:tcPr>
            <w:tcW w:w="1132" w:type="dxa"/>
            <w:hideMark/>
          </w:tcPr>
          <w:p w14:paraId="3A8F9198" w14:textId="23589C95" w:rsidR="001F4AAE" w:rsidRPr="008B4CF7" w:rsidRDefault="001F4AAE" w:rsidP="001F4AAE">
            <w:pPr>
              <w:pStyle w:val="BodyCopy"/>
              <w:spacing w:before="40" w:after="40"/>
              <w:rPr>
                <w:sz w:val="20"/>
                <w:szCs w:val="20"/>
              </w:rPr>
            </w:pPr>
            <w:r w:rsidRPr="00413523">
              <w:rPr>
                <w:sz w:val="20"/>
                <w:szCs w:val="20"/>
              </w:rPr>
              <w:t xml:space="preserve"> 485 </w:t>
            </w:r>
          </w:p>
        </w:tc>
        <w:tc>
          <w:tcPr>
            <w:tcW w:w="1211" w:type="dxa"/>
            <w:hideMark/>
          </w:tcPr>
          <w:p w14:paraId="30D1576D" w14:textId="7C7134BF" w:rsidR="001F4AAE" w:rsidRPr="008B4CF7" w:rsidRDefault="001F4AAE" w:rsidP="001F4AAE">
            <w:pPr>
              <w:pStyle w:val="BodyCopy"/>
              <w:spacing w:before="40" w:after="40"/>
              <w:rPr>
                <w:sz w:val="20"/>
                <w:szCs w:val="20"/>
              </w:rPr>
            </w:pPr>
            <w:r w:rsidRPr="00F00B5B">
              <w:rPr>
                <w:sz w:val="20"/>
                <w:szCs w:val="20"/>
              </w:rPr>
              <w:t xml:space="preserve"> 1,455 </w:t>
            </w:r>
          </w:p>
        </w:tc>
        <w:tc>
          <w:tcPr>
            <w:tcW w:w="1132" w:type="dxa"/>
            <w:hideMark/>
          </w:tcPr>
          <w:p w14:paraId="6A13B6F4" w14:textId="2E20116A" w:rsidR="001F4AAE" w:rsidRPr="008B4CF7" w:rsidRDefault="001F4AAE" w:rsidP="001F4AAE">
            <w:pPr>
              <w:pStyle w:val="BodyCopy"/>
              <w:spacing w:before="40" w:after="40"/>
              <w:rPr>
                <w:sz w:val="20"/>
                <w:szCs w:val="20"/>
              </w:rPr>
            </w:pPr>
            <w:r w:rsidRPr="00F00B5B">
              <w:rPr>
                <w:sz w:val="20"/>
                <w:szCs w:val="20"/>
              </w:rPr>
              <w:t xml:space="preserve"> 1,455 </w:t>
            </w:r>
          </w:p>
        </w:tc>
        <w:tc>
          <w:tcPr>
            <w:tcW w:w="1132" w:type="dxa"/>
            <w:hideMark/>
          </w:tcPr>
          <w:p w14:paraId="115E9DFD" w14:textId="42AEFC47" w:rsidR="001F4AAE" w:rsidRPr="008B4CF7" w:rsidRDefault="001F4AAE" w:rsidP="001F4AAE">
            <w:pPr>
              <w:pStyle w:val="BodyCopy"/>
              <w:spacing w:before="40" w:after="40"/>
              <w:rPr>
                <w:sz w:val="20"/>
                <w:szCs w:val="20"/>
              </w:rPr>
            </w:pPr>
            <w:r w:rsidRPr="00F00B5B">
              <w:rPr>
                <w:sz w:val="20"/>
                <w:szCs w:val="20"/>
              </w:rPr>
              <w:t xml:space="preserve"> 1,455 </w:t>
            </w:r>
          </w:p>
        </w:tc>
      </w:tr>
      <w:tr w:rsidR="001F4AAE" w:rsidRPr="00C82209" w14:paraId="666F0535" w14:textId="77777777" w:rsidTr="00C82209">
        <w:trPr>
          <w:trHeight w:val="300"/>
        </w:trPr>
        <w:tc>
          <w:tcPr>
            <w:tcW w:w="4420" w:type="dxa"/>
            <w:hideMark/>
          </w:tcPr>
          <w:p w14:paraId="1F863B12" w14:textId="77777777" w:rsidR="001F4AAE" w:rsidRPr="00C4270B" w:rsidRDefault="001F4AAE" w:rsidP="001F4AAE">
            <w:pPr>
              <w:pStyle w:val="BodyCopy"/>
              <w:spacing w:before="40" w:after="40"/>
              <w:rPr>
                <w:sz w:val="20"/>
                <w:szCs w:val="20"/>
              </w:rPr>
            </w:pPr>
            <w:r w:rsidRPr="00C4270B">
              <w:rPr>
                <w:sz w:val="20"/>
                <w:szCs w:val="20"/>
              </w:rPr>
              <w:t xml:space="preserve"> Truck (type 2) </w:t>
            </w:r>
          </w:p>
        </w:tc>
        <w:tc>
          <w:tcPr>
            <w:tcW w:w="1132" w:type="dxa"/>
            <w:hideMark/>
          </w:tcPr>
          <w:p w14:paraId="7B94E831" w14:textId="7DF6438C" w:rsidR="001F4AAE" w:rsidRPr="008B4CF7" w:rsidRDefault="001F4AAE" w:rsidP="001F4AAE">
            <w:pPr>
              <w:pStyle w:val="BodyCopy"/>
              <w:spacing w:before="40" w:after="40"/>
              <w:rPr>
                <w:sz w:val="20"/>
                <w:szCs w:val="20"/>
              </w:rPr>
            </w:pPr>
            <w:r w:rsidRPr="00F00B5B">
              <w:rPr>
                <w:sz w:val="20"/>
                <w:szCs w:val="20"/>
              </w:rPr>
              <w:t xml:space="preserve"> 1,455 </w:t>
            </w:r>
          </w:p>
        </w:tc>
        <w:tc>
          <w:tcPr>
            <w:tcW w:w="1211" w:type="dxa"/>
            <w:hideMark/>
          </w:tcPr>
          <w:p w14:paraId="1A9CAB05" w14:textId="0A75700D" w:rsidR="001F4AAE" w:rsidRPr="008B4CF7" w:rsidRDefault="001F4AAE" w:rsidP="001F4AAE">
            <w:pPr>
              <w:pStyle w:val="BodyCopy"/>
              <w:spacing w:before="40" w:after="40"/>
              <w:rPr>
                <w:sz w:val="20"/>
                <w:szCs w:val="20"/>
              </w:rPr>
            </w:pPr>
            <w:r w:rsidRPr="00F00B5B">
              <w:rPr>
                <w:sz w:val="20"/>
                <w:szCs w:val="20"/>
              </w:rPr>
              <w:t xml:space="preserve"> 1,652 </w:t>
            </w:r>
          </w:p>
        </w:tc>
        <w:tc>
          <w:tcPr>
            <w:tcW w:w="1132" w:type="dxa"/>
            <w:hideMark/>
          </w:tcPr>
          <w:p w14:paraId="0759A52E" w14:textId="1136EC9F" w:rsidR="001F4AAE" w:rsidRPr="008B4CF7" w:rsidRDefault="001F4AAE" w:rsidP="001F4AAE">
            <w:pPr>
              <w:pStyle w:val="BodyCopy"/>
              <w:spacing w:before="40" w:after="40"/>
              <w:rPr>
                <w:sz w:val="20"/>
                <w:szCs w:val="20"/>
              </w:rPr>
            </w:pPr>
            <w:r w:rsidRPr="00F00B5B">
              <w:rPr>
                <w:sz w:val="20"/>
                <w:szCs w:val="20"/>
              </w:rPr>
              <w:t xml:space="preserve"> 1,652 </w:t>
            </w:r>
          </w:p>
        </w:tc>
        <w:tc>
          <w:tcPr>
            <w:tcW w:w="1132" w:type="dxa"/>
            <w:hideMark/>
          </w:tcPr>
          <w:p w14:paraId="15227855" w14:textId="12EEAC34" w:rsidR="001F4AAE" w:rsidRPr="008B4CF7" w:rsidRDefault="001F4AAE" w:rsidP="001F4AAE">
            <w:pPr>
              <w:pStyle w:val="BodyCopy"/>
              <w:spacing w:before="40" w:after="40"/>
              <w:rPr>
                <w:sz w:val="20"/>
                <w:szCs w:val="20"/>
              </w:rPr>
            </w:pPr>
            <w:r w:rsidRPr="00F00B5B">
              <w:rPr>
                <w:sz w:val="20"/>
                <w:szCs w:val="20"/>
              </w:rPr>
              <w:t xml:space="preserve"> 1,652 </w:t>
            </w:r>
          </w:p>
        </w:tc>
      </w:tr>
      <w:tr w:rsidR="001F4AAE" w:rsidRPr="00C82209" w14:paraId="0D5442A6" w14:textId="77777777" w:rsidTr="00C82209">
        <w:trPr>
          <w:trHeight w:val="300"/>
        </w:trPr>
        <w:tc>
          <w:tcPr>
            <w:tcW w:w="4420" w:type="dxa"/>
            <w:hideMark/>
          </w:tcPr>
          <w:p w14:paraId="4C27A229" w14:textId="77777777" w:rsidR="001F4AAE" w:rsidRPr="00C4270B" w:rsidRDefault="001F4AAE" w:rsidP="001F4AAE">
            <w:pPr>
              <w:pStyle w:val="BodyCopy"/>
              <w:spacing w:before="40" w:after="40"/>
              <w:rPr>
                <w:sz w:val="20"/>
                <w:szCs w:val="20"/>
              </w:rPr>
            </w:pPr>
            <w:r w:rsidRPr="00C4270B">
              <w:rPr>
                <w:sz w:val="20"/>
                <w:szCs w:val="20"/>
              </w:rPr>
              <w:t xml:space="preserve"> Short combination truck </w:t>
            </w:r>
          </w:p>
        </w:tc>
        <w:tc>
          <w:tcPr>
            <w:tcW w:w="1132" w:type="dxa"/>
            <w:hideMark/>
          </w:tcPr>
          <w:p w14:paraId="2784EBEB" w14:textId="0072366B" w:rsidR="001F4AAE" w:rsidRPr="008B4CF7" w:rsidRDefault="001F4AAE" w:rsidP="001F4AAE">
            <w:pPr>
              <w:pStyle w:val="BodyCopy"/>
              <w:spacing w:before="40" w:after="40"/>
              <w:rPr>
                <w:sz w:val="20"/>
                <w:szCs w:val="20"/>
              </w:rPr>
            </w:pPr>
            <w:r w:rsidRPr="00F00B5B">
              <w:rPr>
                <w:sz w:val="20"/>
                <w:szCs w:val="20"/>
              </w:rPr>
              <w:t xml:space="preserve"> 1,455 </w:t>
            </w:r>
          </w:p>
        </w:tc>
        <w:tc>
          <w:tcPr>
            <w:tcW w:w="1211" w:type="dxa"/>
            <w:hideMark/>
          </w:tcPr>
          <w:p w14:paraId="315B54DD" w14:textId="5307233E" w:rsidR="001F4AAE" w:rsidRPr="008B4CF7" w:rsidRDefault="001F4AAE" w:rsidP="001F4AAE">
            <w:pPr>
              <w:pStyle w:val="BodyCopy"/>
              <w:spacing w:before="40" w:after="40"/>
              <w:rPr>
                <w:sz w:val="20"/>
                <w:szCs w:val="20"/>
              </w:rPr>
            </w:pPr>
            <w:r w:rsidRPr="00F00B5B">
              <w:rPr>
                <w:sz w:val="20"/>
                <w:szCs w:val="20"/>
              </w:rPr>
              <w:t xml:space="preserve"> 1,652 </w:t>
            </w:r>
          </w:p>
        </w:tc>
        <w:tc>
          <w:tcPr>
            <w:tcW w:w="1132" w:type="dxa"/>
            <w:hideMark/>
          </w:tcPr>
          <w:p w14:paraId="17D3687F" w14:textId="792CE1CE" w:rsidR="001F4AAE" w:rsidRPr="008B4CF7" w:rsidRDefault="001F4AAE" w:rsidP="001F4AAE">
            <w:pPr>
              <w:pStyle w:val="BodyCopy"/>
              <w:spacing w:before="40" w:after="40"/>
              <w:rPr>
                <w:sz w:val="20"/>
                <w:szCs w:val="20"/>
              </w:rPr>
            </w:pPr>
            <w:r w:rsidRPr="00F00B5B">
              <w:rPr>
                <w:sz w:val="20"/>
                <w:szCs w:val="20"/>
              </w:rPr>
              <w:t xml:space="preserve"> 1,999 </w:t>
            </w:r>
          </w:p>
        </w:tc>
        <w:tc>
          <w:tcPr>
            <w:tcW w:w="1132" w:type="dxa"/>
            <w:hideMark/>
          </w:tcPr>
          <w:p w14:paraId="245C8B2F" w14:textId="4BC29A5F" w:rsidR="001F4AAE" w:rsidRPr="008B4CF7" w:rsidRDefault="001F4AAE" w:rsidP="001F4AAE">
            <w:pPr>
              <w:pStyle w:val="BodyCopy"/>
              <w:spacing w:before="40" w:after="40"/>
              <w:rPr>
                <w:sz w:val="20"/>
                <w:szCs w:val="20"/>
              </w:rPr>
            </w:pPr>
            <w:r w:rsidRPr="00F00B5B">
              <w:rPr>
                <w:sz w:val="20"/>
                <w:szCs w:val="20"/>
              </w:rPr>
              <w:t xml:space="preserve"> 1,999 </w:t>
            </w:r>
          </w:p>
        </w:tc>
      </w:tr>
      <w:tr w:rsidR="001F4AAE" w:rsidRPr="00C82209" w14:paraId="64665F9C" w14:textId="77777777" w:rsidTr="00C82209">
        <w:trPr>
          <w:trHeight w:val="300"/>
        </w:trPr>
        <w:tc>
          <w:tcPr>
            <w:tcW w:w="4420" w:type="dxa"/>
            <w:hideMark/>
          </w:tcPr>
          <w:p w14:paraId="748D9319" w14:textId="77777777" w:rsidR="001F4AAE" w:rsidRPr="00C4270B" w:rsidRDefault="001F4AAE" w:rsidP="001F4AAE">
            <w:pPr>
              <w:pStyle w:val="BodyCopy"/>
              <w:spacing w:before="40" w:after="40"/>
              <w:rPr>
                <w:sz w:val="20"/>
                <w:szCs w:val="20"/>
              </w:rPr>
            </w:pPr>
            <w:r w:rsidRPr="00C4270B">
              <w:rPr>
                <w:sz w:val="20"/>
                <w:szCs w:val="20"/>
              </w:rPr>
              <w:t xml:space="preserve"> Medium combination truck </w:t>
            </w:r>
          </w:p>
        </w:tc>
        <w:tc>
          <w:tcPr>
            <w:tcW w:w="1132" w:type="dxa"/>
            <w:hideMark/>
          </w:tcPr>
          <w:p w14:paraId="76511A25" w14:textId="664C5FA0" w:rsidR="001F4AAE" w:rsidRPr="008B4CF7" w:rsidRDefault="001F4AAE" w:rsidP="001F4AAE">
            <w:pPr>
              <w:pStyle w:val="BodyCopy"/>
              <w:spacing w:before="40" w:after="40"/>
              <w:rPr>
                <w:sz w:val="20"/>
                <w:szCs w:val="20"/>
              </w:rPr>
            </w:pPr>
            <w:r w:rsidRPr="00776518">
              <w:rPr>
                <w:sz w:val="20"/>
                <w:szCs w:val="20"/>
              </w:rPr>
              <w:t xml:space="preserve"> 10,502 </w:t>
            </w:r>
          </w:p>
        </w:tc>
        <w:tc>
          <w:tcPr>
            <w:tcW w:w="1211" w:type="dxa"/>
            <w:hideMark/>
          </w:tcPr>
          <w:p w14:paraId="2064E538" w14:textId="20699C28" w:rsidR="001F4AAE" w:rsidRPr="008B4CF7" w:rsidRDefault="001F4AAE" w:rsidP="001F4AAE">
            <w:pPr>
              <w:pStyle w:val="BodyCopy"/>
              <w:spacing w:before="40" w:after="40"/>
              <w:rPr>
                <w:sz w:val="20"/>
                <w:szCs w:val="20"/>
              </w:rPr>
            </w:pPr>
            <w:r w:rsidRPr="00776518">
              <w:rPr>
                <w:sz w:val="20"/>
                <w:szCs w:val="20"/>
              </w:rPr>
              <w:t xml:space="preserve"> 10,502 </w:t>
            </w:r>
          </w:p>
        </w:tc>
        <w:tc>
          <w:tcPr>
            <w:tcW w:w="1132" w:type="dxa"/>
            <w:hideMark/>
          </w:tcPr>
          <w:p w14:paraId="59BA5ED9" w14:textId="33096406" w:rsidR="001F4AAE" w:rsidRPr="008B4CF7" w:rsidRDefault="001F4AAE" w:rsidP="001F4AAE">
            <w:pPr>
              <w:pStyle w:val="BodyCopy"/>
              <w:spacing w:before="40" w:after="40"/>
              <w:rPr>
                <w:sz w:val="20"/>
                <w:szCs w:val="20"/>
              </w:rPr>
            </w:pPr>
            <w:r w:rsidRPr="00776518">
              <w:rPr>
                <w:sz w:val="20"/>
                <w:szCs w:val="20"/>
              </w:rPr>
              <w:t xml:space="preserve"> 11,342 </w:t>
            </w:r>
          </w:p>
        </w:tc>
        <w:tc>
          <w:tcPr>
            <w:tcW w:w="1132" w:type="dxa"/>
            <w:hideMark/>
          </w:tcPr>
          <w:p w14:paraId="5DD58BF0" w14:textId="12D84C74" w:rsidR="001F4AAE" w:rsidRPr="008B4CF7" w:rsidRDefault="001F4AAE" w:rsidP="001F4AAE">
            <w:pPr>
              <w:pStyle w:val="BodyCopy"/>
              <w:spacing w:before="40" w:after="40"/>
              <w:rPr>
                <w:sz w:val="20"/>
                <w:szCs w:val="20"/>
              </w:rPr>
            </w:pPr>
            <w:r w:rsidRPr="00BD61D2">
              <w:rPr>
                <w:sz w:val="20"/>
                <w:szCs w:val="20"/>
              </w:rPr>
              <w:t xml:space="preserve"> 11,342 </w:t>
            </w:r>
          </w:p>
        </w:tc>
      </w:tr>
      <w:tr w:rsidR="001F4AAE" w:rsidRPr="00C82209" w14:paraId="4355A90E" w14:textId="77777777" w:rsidTr="00C82209">
        <w:trPr>
          <w:trHeight w:val="300"/>
        </w:trPr>
        <w:tc>
          <w:tcPr>
            <w:tcW w:w="4420" w:type="dxa"/>
            <w:hideMark/>
          </w:tcPr>
          <w:p w14:paraId="466ED351" w14:textId="77777777" w:rsidR="001F4AAE" w:rsidRPr="00C4270B" w:rsidRDefault="001F4AAE" w:rsidP="001F4AAE">
            <w:pPr>
              <w:pStyle w:val="BodyCopy"/>
              <w:spacing w:before="40" w:after="40"/>
              <w:rPr>
                <w:sz w:val="20"/>
                <w:szCs w:val="20"/>
              </w:rPr>
            </w:pPr>
            <w:r w:rsidRPr="00C4270B">
              <w:rPr>
                <w:sz w:val="20"/>
                <w:szCs w:val="20"/>
              </w:rPr>
              <w:t xml:space="preserve"> Long combination truck </w:t>
            </w:r>
          </w:p>
        </w:tc>
        <w:tc>
          <w:tcPr>
            <w:tcW w:w="1132" w:type="dxa"/>
            <w:hideMark/>
          </w:tcPr>
          <w:p w14:paraId="24AD96A1" w14:textId="2E29FBBB" w:rsidR="001F4AAE" w:rsidRPr="008B4CF7" w:rsidRDefault="001F4AAE" w:rsidP="001F4AAE">
            <w:pPr>
              <w:pStyle w:val="BodyCopy"/>
              <w:spacing w:before="40" w:after="40"/>
              <w:rPr>
                <w:sz w:val="20"/>
                <w:szCs w:val="20"/>
              </w:rPr>
            </w:pPr>
            <w:r w:rsidRPr="00BD61D2">
              <w:rPr>
                <w:sz w:val="20"/>
                <w:szCs w:val="20"/>
              </w:rPr>
              <w:t xml:space="preserve"> 14,518 </w:t>
            </w:r>
          </w:p>
        </w:tc>
        <w:tc>
          <w:tcPr>
            <w:tcW w:w="1211" w:type="dxa"/>
            <w:hideMark/>
          </w:tcPr>
          <w:p w14:paraId="32786DEA" w14:textId="1E8EF584" w:rsidR="001F4AAE" w:rsidRPr="008B4CF7" w:rsidRDefault="001F4AAE" w:rsidP="001F4AAE">
            <w:pPr>
              <w:pStyle w:val="BodyCopy"/>
              <w:spacing w:before="40" w:after="40"/>
              <w:rPr>
                <w:sz w:val="20"/>
                <w:szCs w:val="20"/>
              </w:rPr>
            </w:pPr>
            <w:r w:rsidRPr="00BD61D2">
              <w:rPr>
                <w:sz w:val="20"/>
                <w:szCs w:val="20"/>
              </w:rPr>
              <w:t xml:space="preserve"> 14,518 </w:t>
            </w:r>
          </w:p>
        </w:tc>
        <w:tc>
          <w:tcPr>
            <w:tcW w:w="1132" w:type="dxa"/>
            <w:hideMark/>
          </w:tcPr>
          <w:p w14:paraId="511D722A" w14:textId="53E37DB1" w:rsidR="001F4AAE" w:rsidRPr="008B4CF7" w:rsidRDefault="001F4AAE" w:rsidP="001F4AAE">
            <w:pPr>
              <w:pStyle w:val="BodyCopy"/>
              <w:spacing w:before="40" w:after="40"/>
              <w:rPr>
                <w:sz w:val="20"/>
                <w:szCs w:val="20"/>
              </w:rPr>
            </w:pPr>
            <w:r w:rsidRPr="00BD61D2">
              <w:rPr>
                <w:sz w:val="20"/>
                <w:szCs w:val="20"/>
              </w:rPr>
              <w:t xml:space="preserve"> 14,518 </w:t>
            </w:r>
          </w:p>
        </w:tc>
        <w:tc>
          <w:tcPr>
            <w:tcW w:w="1132" w:type="dxa"/>
            <w:hideMark/>
          </w:tcPr>
          <w:p w14:paraId="71B18C06" w14:textId="56BCF971" w:rsidR="001F4AAE" w:rsidRPr="008B4CF7" w:rsidRDefault="001F4AAE" w:rsidP="001F4AAE">
            <w:pPr>
              <w:pStyle w:val="BodyCopy"/>
              <w:spacing w:before="40" w:after="40"/>
              <w:rPr>
                <w:sz w:val="20"/>
                <w:szCs w:val="20"/>
              </w:rPr>
            </w:pPr>
            <w:r w:rsidRPr="00BD61D2">
              <w:rPr>
                <w:sz w:val="20"/>
                <w:szCs w:val="20"/>
              </w:rPr>
              <w:t xml:space="preserve"> 14,518 </w:t>
            </w:r>
          </w:p>
        </w:tc>
      </w:tr>
      <w:tr w:rsidR="001F4AAE" w:rsidRPr="00C82209" w14:paraId="490D3284" w14:textId="77777777" w:rsidTr="00C82209">
        <w:trPr>
          <w:trHeight w:val="300"/>
        </w:trPr>
        <w:tc>
          <w:tcPr>
            <w:tcW w:w="4420" w:type="dxa"/>
            <w:hideMark/>
          </w:tcPr>
          <w:p w14:paraId="4843670F" w14:textId="1DEA1907" w:rsidR="001F4AAE" w:rsidRPr="00C4270B" w:rsidRDefault="001F4AAE" w:rsidP="001F4AAE">
            <w:pPr>
              <w:pStyle w:val="BodyCopy"/>
              <w:spacing w:before="40" w:after="40"/>
              <w:rPr>
                <w:b/>
                <w:bCs/>
                <w:sz w:val="20"/>
                <w:szCs w:val="20"/>
              </w:rPr>
            </w:pPr>
            <w:r w:rsidRPr="00C4270B">
              <w:rPr>
                <w:b/>
                <w:bCs/>
                <w:sz w:val="20"/>
                <w:szCs w:val="20"/>
              </w:rPr>
              <w:t xml:space="preserve"> Prime movers </w:t>
            </w:r>
          </w:p>
        </w:tc>
        <w:tc>
          <w:tcPr>
            <w:tcW w:w="1132" w:type="dxa"/>
            <w:hideMark/>
          </w:tcPr>
          <w:p w14:paraId="5CD596A5" w14:textId="343A23B1" w:rsidR="001F4AAE" w:rsidRPr="008B4CF7" w:rsidRDefault="001F4AAE" w:rsidP="001F4AAE">
            <w:pPr>
              <w:pStyle w:val="BodyCopy"/>
              <w:spacing w:before="40" w:after="40"/>
              <w:rPr>
                <w:sz w:val="20"/>
                <w:szCs w:val="20"/>
              </w:rPr>
            </w:pPr>
          </w:p>
        </w:tc>
        <w:tc>
          <w:tcPr>
            <w:tcW w:w="1211" w:type="dxa"/>
            <w:hideMark/>
          </w:tcPr>
          <w:p w14:paraId="09011CE0" w14:textId="357819D7" w:rsidR="001F4AAE" w:rsidRPr="00007FAA" w:rsidRDefault="001F4AAE" w:rsidP="001F4AAE">
            <w:pPr>
              <w:pStyle w:val="BodyCopy"/>
              <w:spacing w:before="40" w:after="40"/>
              <w:rPr>
                <w:sz w:val="20"/>
                <w:szCs w:val="20"/>
              </w:rPr>
            </w:pPr>
          </w:p>
        </w:tc>
        <w:tc>
          <w:tcPr>
            <w:tcW w:w="1132" w:type="dxa"/>
            <w:hideMark/>
          </w:tcPr>
          <w:p w14:paraId="0ABD6431" w14:textId="5B840D18" w:rsidR="001F4AAE" w:rsidRPr="003408C6" w:rsidRDefault="001F4AAE" w:rsidP="001F4AAE">
            <w:pPr>
              <w:pStyle w:val="BodyCopy"/>
              <w:spacing w:before="40" w:after="40"/>
              <w:rPr>
                <w:sz w:val="20"/>
                <w:szCs w:val="20"/>
              </w:rPr>
            </w:pPr>
          </w:p>
        </w:tc>
        <w:tc>
          <w:tcPr>
            <w:tcW w:w="1132" w:type="dxa"/>
            <w:hideMark/>
          </w:tcPr>
          <w:p w14:paraId="1EB962BA" w14:textId="73F73033" w:rsidR="001F4AAE" w:rsidRPr="003408C6" w:rsidRDefault="001F4AAE" w:rsidP="001F4AAE">
            <w:pPr>
              <w:pStyle w:val="BodyCopy"/>
              <w:spacing w:before="40" w:after="40"/>
              <w:rPr>
                <w:sz w:val="20"/>
                <w:szCs w:val="20"/>
              </w:rPr>
            </w:pPr>
          </w:p>
        </w:tc>
      </w:tr>
      <w:tr w:rsidR="001F4AAE" w:rsidRPr="00C82209" w14:paraId="12DCF9B2" w14:textId="77777777" w:rsidTr="00C82209">
        <w:trPr>
          <w:trHeight w:val="300"/>
        </w:trPr>
        <w:tc>
          <w:tcPr>
            <w:tcW w:w="4420" w:type="dxa"/>
            <w:hideMark/>
          </w:tcPr>
          <w:p w14:paraId="1A57CD98" w14:textId="77777777" w:rsidR="001F4AAE" w:rsidRPr="00C4270B" w:rsidRDefault="001F4AAE" w:rsidP="001F4AAE">
            <w:pPr>
              <w:pStyle w:val="BodyCopy"/>
              <w:spacing w:before="40" w:after="40"/>
              <w:rPr>
                <w:sz w:val="20"/>
                <w:szCs w:val="20"/>
              </w:rPr>
            </w:pPr>
            <w:r w:rsidRPr="00C4270B">
              <w:rPr>
                <w:sz w:val="20"/>
                <w:szCs w:val="20"/>
              </w:rPr>
              <w:t xml:space="preserve"> Short combination prime mover </w:t>
            </w:r>
          </w:p>
        </w:tc>
        <w:tc>
          <w:tcPr>
            <w:tcW w:w="1132" w:type="dxa"/>
            <w:hideMark/>
          </w:tcPr>
          <w:p w14:paraId="3576F951" w14:textId="31709743" w:rsidR="001F4AAE" w:rsidRPr="008B4CF7" w:rsidRDefault="001F4AAE" w:rsidP="001F4AAE">
            <w:pPr>
              <w:pStyle w:val="BodyCopy"/>
              <w:spacing w:before="40" w:after="40"/>
              <w:rPr>
                <w:sz w:val="20"/>
                <w:szCs w:val="20"/>
              </w:rPr>
            </w:pPr>
            <w:r w:rsidRPr="00BD61D2">
              <w:rPr>
                <w:sz w:val="20"/>
                <w:szCs w:val="20"/>
              </w:rPr>
              <w:t xml:space="preserve"> 849 </w:t>
            </w:r>
          </w:p>
        </w:tc>
        <w:tc>
          <w:tcPr>
            <w:tcW w:w="1211" w:type="dxa"/>
            <w:hideMark/>
          </w:tcPr>
          <w:p w14:paraId="30475BA3" w14:textId="4767A687" w:rsidR="001F4AAE" w:rsidRPr="008B4CF7" w:rsidRDefault="001F4AAE" w:rsidP="001F4AAE">
            <w:pPr>
              <w:pStyle w:val="BodyCopy"/>
              <w:spacing w:before="40" w:after="40"/>
              <w:rPr>
                <w:sz w:val="20"/>
                <w:szCs w:val="20"/>
              </w:rPr>
            </w:pPr>
            <w:r w:rsidRPr="00BD61D2">
              <w:rPr>
                <w:sz w:val="20"/>
                <w:szCs w:val="20"/>
              </w:rPr>
              <w:t xml:space="preserve"> 4,844 </w:t>
            </w:r>
          </w:p>
        </w:tc>
        <w:tc>
          <w:tcPr>
            <w:tcW w:w="1132" w:type="dxa"/>
            <w:hideMark/>
          </w:tcPr>
          <w:p w14:paraId="3C93536F" w14:textId="6E6C63EE" w:rsidR="001F4AAE" w:rsidRPr="008B4CF7" w:rsidRDefault="001F4AAE" w:rsidP="001F4AAE">
            <w:pPr>
              <w:pStyle w:val="BodyCopy"/>
              <w:spacing w:before="40" w:after="40"/>
              <w:rPr>
                <w:sz w:val="20"/>
                <w:szCs w:val="20"/>
              </w:rPr>
            </w:pPr>
            <w:r w:rsidRPr="00BD61D2">
              <w:rPr>
                <w:sz w:val="20"/>
                <w:szCs w:val="20"/>
              </w:rPr>
              <w:t xml:space="preserve"> 5,208 </w:t>
            </w:r>
          </w:p>
        </w:tc>
        <w:tc>
          <w:tcPr>
            <w:tcW w:w="1132" w:type="dxa"/>
            <w:hideMark/>
          </w:tcPr>
          <w:p w14:paraId="7AF48D48" w14:textId="4F4287F6" w:rsidR="001F4AAE" w:rsidRPr="008B4CF7" w:rsidRDefault="001F4AAE" w:rsidP="001F4AAE">
            <w:pPr>
              <w:pStyle w:val="BodyCopy"/>
              <w:spacing w:before="40" w:after="40"/>
              <w:rPr>
                <w:sz w:val="20"/>
                <w:szCs w:val="20"/>
              </w:rPr>
            </w:pPr>
            <w:r w:rsidRPr="00BD61D2">
              <w:rPr>
                <w:sz w:val="20"/>
                <w:szCs w:val="20"/>
              </w:rPr>
              <w:t xml:space="preserve"> 5,208 </w:t>
            </w:r>
          </w:p>
        </w:tc>
      </w:tr>
      <w:tr w:rsidR="001F4AAE" w:rsidRPr="00C82209" w14:paraId="3046CE1E" w14:textId="77777777" w:rsidTr="00C82209">
        <w:trPr>
          <w:trHeight w:val="300"/>
        </w:trPr>
        <w:tc>
          <w:tcPr>
            <w:tcW w:w="4420" w:type="dxa"/>
            <w:hideMark/>
          </w:tcPr>
          <w:p w14:paraId="4263E2ED" w14:textId="77777777" w:rsidR="001F4AAE" w:rsidRPr="00C4270B" w:rsidRDefault="001F4AAE" w:rsidP="001F4AAE">
            <w:pPr>
              <w:pStyle w:val="BodyCopy"/>
              <w:spacing w:before="40" w:after="40"/>
              <w:rPr>
                <w:sz w:val="20"/>
                <w:szCs w:val="20"/>
              </w:rPr>
            </w:pPr>
            <w:r w:rsidRPr="00C4270B">
              <w:rPr>
                <w:sz w:val="20"/>
                <w:szCs w:val="20"/>
              </w:rPr>
              <w:t xml:space="preserve"> Multi-combination prime mover </w:t>
            </w:r>
          </w:p>
        </w:tc>
        <w:tc>
          <w:tcPr>
            <w:tcW w:w="1132" w:type="dxa"/>
            <w:hideMark/>
          </w:tcPr>
          <w:p w14:paraId="0D057FF5" w14:textId="4666D4CA" w:rsidR="001F4AAE" w:rsidRPr="008B4CF7" w:rsidRDefault="001F4AAE" w:rsidP="001F4AAE">
            <w:pPr>
              <w:pStyle w:val="BodyCopy"/>
              <w:spacing w:before="40" w:after="40"/>
              <w:rPr>
                <w:sz w:val="20"/>
                <w:szCs w:val="20"/>
              </w:rPr>
            </w:pPr>
            <w:r w:rsidRPr="00BD61D2">
              <w:rPr>
                <w:sz w:val="20"/>
                <w:szCs w:val="20"/>
              </w:rPr>
              <w:t xml:space="preserve"> 12,288 </w:t>
            </w:r>
          </w:p>
        </w:tc>
        <w:tc>
          <w:tcPr>
            <w:tcW w:w="1211" w:type="dxa"/>
            <w:hideMark/>
          </w:tcPr>
          <w:p w14:paraId="270A9606" w14:textId="71FE1CDA" w:rsidR="001F4AAE" w:rsidRPr="008B4CF7" w:rsidRDefault="001F4AAE" w:rsidP="001F4AAE">
            <w:pPr>
              <w:pStyle w:val="BodyCopy"/>
              <w:spacing w:before="40" w:after="40"/>
              <w:rPr>
                <w:sz w:val="20"/>
                <w:szCs w:val="20"/>
              </w:rPr>
            </w:pPr>
            <w:r w:rsidRPr="00BD61D2">
              <w:rPr>
                <w:sz w:val="20"/>
                <w:szCs w:val="20"/>
              </w:rPr>
              <w:t xml:space="preserve"> 12,288 </w:t>
            </w:r>
          </w:p>
        </w:tc>
        <w:tc>
          <w:tcPr>
            <w:tcW w:w="1132" w:type="dxa"/>
            <w:hideMark/>
          </w:tcPr>
          <w:p w14:paraId="5C2A2A9C" w14:textId="3CA5BE5F" w:rsidR="001F4AAE" w:rsidRPr="008B4CF7" w:rsidRDefault="001F4AAE" w:rsidP="001F4AAE">
            <w:pPr>
              <w:pStyle w:val="BodyCopy"/>
              <w:spacing w:before="40" w:after="40"/>
              <w:rPr>
                <w:sz w:val="20"/>
                <w:szCs w:val="20"/>
              </w:rPr>
            </w:pPr>
            <w:r w:rsidRPr="00BD61D2">
              <w:rPr>
                <w:sz w:val="20"/>
                <w:szCs w:val="20"/>
              </w:rPr>
              <w:t xml:space="preserve"> 13,517 </w:t>
            </w:r>
          </w:p>
        </w:tc>
        <w:tc>
          <w:tcPr>
            <w:tcW w:w="1132" w:type="dxa"/>
            <w:hideMark/>
          </w:tcPr>
          <w:p w14:paraId="58B198FC" w14:textId="3D8520FF" w:rsidR="001F4AAE" w:rsidRPr="008B4CF7" w:rsidRDefault="001F4AAE" w:rsidP="001F4AAE">
            <w:pPr>
              <w:pStyle w:val="BodyCopy"/>
              <w:spacing w:before="40" w:after="40"/>
              <w:rPr>
                <w:sz w:val="20"/>
                <w:szCs w:val="20"/>
              </w:rPr>
            </w:pPr>
            <w:r w:rsidRPr="00BD61D2">
              <w:rPr>
                <w:sz w:val="20"/>
                <w:szCs w:val="20"/>
              </w:rPr>
              <w:t xml:space="preserve"> 13,517 </w:t>
            </w:r>
          </w:p>
        </w:tc>
      </w:tr>
      <w:tr w:rsidR="00C82209" w:rsidRPr="00C82209" w14:paraId="642B0F35" w14:textId="77777777" w:rsidTr="00AF7B68">
        <w:trPr>
          <w:trHeight w:val="300"/>
        </w:trPr>
        <w:tc>
          <w:tcPr>
            <w:tcW w:w="9027" w:type="dxa"/>
            <w:gridSpan w:val="5"/>
            <w:vAlign w:val="center"/>
            <w:hideMark/>
          </w:tcPr>
          <w:p w14:paraId="275E352F" w14:textId="09912D33" w:rsidR="00C82209" w:rsidRPr="00C4270B" w:rsidRDefault="00C82209" w:rsidP="00AF7B68">
            <w:pPr>
              <w:pStyle w:val="BodyCopy"/>
              <w:spacing w:before="40" w:after="40"/>
              <w:jc w:val="center"/>
              <w:rPr>
                <w:b/>
                <w:bCs/>
                <w:sz w:val="20"/>
                <w:szCs w:val="20"/>
              </w:rPr>
            </w:pPr>
            <w:r w:rsidRPr="00C4270B">
              <w:rPr>
                <w:b/>
                <w:bCs/>
                <w:sz w:val="20"/>
                <w:szCs w:val="20"/>
              </w:rPr>
              <w:t>DIVISION 2 – LOAD CARRYING TRAILERS ($)</w:t>
            </w:r>
          </w:p>
        </w:tc>
      </w:tr>
      <w:tr w:rsidR="00C82209" w:rsidRPr="00C82209" w14:paraId="7FDA6D4B" w14:textId="77777777" w:rsidTr="00C82209">
        <w:trPr>
          <w:trHeight w:val="900"/>
        </w:trPr>
        <w:tc>
          <w:tcPr>
            <w:tcW w:w="4420" w:type="dxa"/>
            <w:hideMark/>
          </w:tcPr>
          <w:p w14:paraId="62F35ADD" w14:textId="77777777" w:rsidR="00C82209" w:rsidRPr="00C4270B" w:rsidRDefault="00C82209"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2CF1BEBB" w14:textId="32379D0A" w:rsidR="00C82209" w:rsidRPr="00C4270B" w:rsidRDefault="00C82209"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512EDBBB" w14:textId="675F0F8F" w:rsidR="00C82209" w:rsidRPr="00C4270B" w:rsidRDefault="00C82209"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0DB07FEF" w14:textId="773C6B63" w:rsidR="00C82209" w:rsidRPr="00C4270B" w:rsidRDefault="00C82209"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4728B5FC" w14:textId="2E69A14A" w:rsidR="00C82209" w:rsidRPr="00C4270B" w:rsidRDefault="00C82209"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C82209" w:rsidRPr="00C82209" w14:paraId="39543639" w14:textId="77777777" w:rsidTr="00C82209">
        <w:trPr>
          <w:trHeight w:val="300"/>
        </w:trPr>
        <w:tc>
          <w:tcPr>
            <w:tcW w:w="4420" w:type="dxa"/>
            <w:hideMark/>
          </w:tcPr>
          <w:p w14:paraId="799FD3E6" w14:textId="38CEE953" w:rsidR="00C82209" w:rsidRPr="00C4270B" w:rsidRDefault="00C82209" w:rsidP="00AF7B68">
            <w:pPr>
              <w:pStyle w:val="BodyCopy"/>
              <w:spacing w:before="40" w:after="40"/>
              <w:rPr>
                <w:b/>
                <w:bCs/>
                <w:sz w:val="20"/>
                <w:szCs w:val="20"/>
              </w:rPr>
            </w:pPr>
            <w:r w:rsidRPr="00C4270B">
              <w:rPr>
                <w:b/>
                <w:bCs/>
                <w:sz w:val="20"/>
                <w:szCs w:val="20"/>
              </w:rPr>
              <w:t xml:space="preserve"> Trailer </w:t>
            </w:r>
            <w:r w:rsidR="00314A7D" w:rsidRPr="00C4270B">
              <w:rPr>
                <w:b/>
                <w:bCs/>
                <w:sz w:val="20"/>
                <w:szCs w:val="20"/>
              </w:rPr>
              <w:t>t</w:t>
            </w:r>
            <w:r w:rsidRPr="00C4270B">
              <w:rPr>
                <w:b/>
                <w:bCs/>
                <w:sz w:val="20"/>
                <w:szCs w:val="20"/>
              </w:rPr>
              <w:t xml:space="preserve">ype </w:t>
            </w:r>
          </w:p>
        </w:tc>
        <w:tc>
          <w:tcPr>
            <w:tcW w:w="1132" w:type="dxa"/>
            <w:hideMark/>
          </w:tcPr>
          <w:p w14:paraId="03910FED" w14:textId="77777777" w:rsidR="00C82209" w:rsidRPr="00C4270B" w:rsidRDefault="00C82209" w:rsidP="00AF7B68">
            <w:pPr>
              <w:pStyle w:val="BodyCopy"/>
              <w:spacing w:before="40" w:after="40"/>
              <w:rPr>
                <w:sz w:val="20"/>
                <w:szCs w:val="20"/>
              </w:rPr>
            </w:pPr>
            <w:r w:rsidRPr="00C4270B">
              <w:rPr>
                <w:sz w:val="20"/>
                <w:szCs w:val="20"/>
              </w:rPr>
              <w:t> </w:t>
            </w:r>
          </w:p>
        </w:tc>
        <w:tc>
          <w:tcPr>
            <w:tcW w:w="1211" w:type="dxa"/>
            <w:hideMark/>
          </w:tcPr>
          <w:p w14:paraId="6F1CA3D4"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38C5E6B7"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1B30C722" w14:textId="77777777" w:rsidR="00C82209" w:rsidRPr="00C4270B" w:rsidRDefault="00C82209" w:rsidP="00AF7B68">
            <w:pPr>
              <w:pStyle w:val="BodyCopy"/>
              <w:spacing w:before="40" w:after="40"/>
              <w:rPr>
                <w:sz w:val="20"/>
                <w:szCs w:val="20"/>
              </w:rPr>
            </w:pPr>
            <w:r w:rsidRPr="00C4270B">
              <w:rPr>
                <w:sz w:val="20"/>
                <w:szCs w:val="20"/>
              </w:rPr>
              <w:t> </w:t>
            </w:r>
          </w:p>
        </w:tc>
      </w:tr>
      <w:tr w:rsidR="00EB0D57" w:rsidRPr="00C82209" w14:paraId="56B003AA" w14:textId="77777777" w:rsidTr="00C82209">
        <w:trPr>
          <w:trHeight w:val="300"/>
        </w:trPr>
        <w:tc>
          <w:tcPr>
            <w:tcW w:w="4420" w:type="dxa"/>
            <w:hideMark/>
          </w:tcPr>
          <w:p w14:paraId="6EB0FE7F" w14:textId="74D9EF70" w:rsidR="00EB0D57" w:rsidRPr="00C4270B" w:rsidRDefault="00EB0D57" w:rsidP="00EB0D57">
            <w:pPr>
              <w:pStyle w:val="BodyCopy"/>
              <w:spacing w:before="40" w:after="40"/>
              <w:rPr>
                <w:sz w:val="20"/>
                <w:szCs w:val="20"/>
              </w:rPr>
            </w:pPr>
            <w:r w:rsidRPr="00C4270B">
              <w:rPr>
                <w:sz w:val="20"/>
                <w:szCs w:val="20"/>
              </w:rPr>
              <w:t xml:space="preserve"> Pig </w:t>
            </w:r>
            <w:r>
              <w:rPr>
                <w:sz w:val="20"/>
                <w:szCs w:val="20"/>
              </w:rPr>
              <w:t>t</w:t>
            </w:r>
            <w:r w:rsidRPr="00C4270B">
              <w:rPr>
                <w:sz w:val="20"/>
                <w:szCs w:val="20"/>
              </w:rPr>
              <w:t xml:space="preserve">railer </w:t>
            </w:r>
          </w:p>
        </w:tc>
        <w:tc>
          <w:tcPr>
            <w:tcW w:w="1132" w:type="dxa"/>
            <w:hideMark/>
          </w:tcPr>
          <w:p w14:paraId="17204D85" w14:textId="374FB25A" w:rsidR="00EB0D57" w:rsidRPr="008B4CF7" w:rsidRDefault="00EB0D57" w:rsidP="00EB0D57">
            <w:pPr>
              <w:pStyle w:val="BodyCopy"/>
              <w:spacing w:before="40" w:after="40"/>
              <w:rPr>
                <w:sz w:val="20"/>
                <w:szCs w:val="20"/>
              </w:rPr>
            </w:pPr>
            <w:r w:rsidRPr="00BD61D2">
              <w:rPr>
                <w:sz w:val="20"/>
                <w:szCs w:val="20"/>
              </w:rPr>
              <w:t xml:space="preserve"> 722 </w:t>
            </w:r>
          </w:p>
        </w:tc>
        <w:tc>
          <w:tcPr>
            <w:tcW w:w="1211" w:type="dxa"/>
            <w:hideMark/>
          </w:tcPr>
          <w:p w14:paraId="4D4A92B3" w14:textId="0779E6C3" w:rsidR="00EB0D57" w:rsidRPr="008B4CF7" w:rsidRDefault="00EB0D57" w:rsidP="00EB0D57">
            <w:pPr>
              <w:pStyle w:val="BodyCopy"/>
              <w:spacing w:before="40" w:after="40"/>
              <w:rPr>
                <w:sz w:val="20"/>
                <w:szCs w:val="20"/>
              </w:rPr>
            </w:pPr>
            <w:r w:rsidRPr="00BD61D2">
              <w:rPr>
                <w:sz w:val="20"/>
                <w:szCs w:val="20"/>
              </w:rPr>
              <w:t xml:space="preserve"> 722 </w:t>
            </w:r>
          </w:p>
        </w:tc>
        <w:tc>
          <w:tcPr>
            <w:tcW w:w="1132" w:type="dxa"/>
            <w:hideMark/>
          </w:tcPr>
          <w:p w14:paraId="40EABD63" w14:textId="6A9685ED" w:rsidR="00EB0D57" w:rsidRPr="008B4CF7" w:rsidRDefault="00EB0D57" w:rsidP="00EB0D57">
            <w:pPr>
              <w:pStyle w:val="BodyCopy"/>
              <w:spacing w:before="40" w:after="40"/>
              <w:rPr>
                <w:sz w:val="20"/>
                <w:szCs w:val="20"/>
              </w:rPr>
            </w:pPr>
            <w:r w:rsidRPr="00BD61D2">
              <w:rPr>
                <w:sz w:val="20"/>
                <w:szCs w:val="20"/>
              </w:rPr>
              <w:t xml:space="preserve"> 722 </w:t>
            </w:r>
          </w:p>
        </w:tc>
        <w:tc>
          <w:tcPr>
            <w:tcW w:w="1132" w:type="dxa"/>
            <w:hideMark/>
          </w:tcPr>
          <w:p w14:paraId="08704913" w14:textId="2B9CD30E" w:rsidR="00EB0D57" w:rsidRPr="008B4CF7" w:rsidRDefault="00EB0D57" w:rsidP="00EB0D57">
            <w:pPr>
              <w:pStyle w:val="BodyCopy"/>
              <w:spacing w:before="40" w:after="40"/>
              <w:rPr>
                <w:sz w:val="20"/>
                <w:szCs w:val="20"/>
              </w:rPr>
            </w:pPr>
            <w:r w:rsidRPr="00BD61D2">
              <w:rPr>
                <w:sz w:val="20"/>
                <w:szCs w:val="20"/>
              </w:rPr>
              <w:t xml:space="preserve"> 722 </w:t>
            </w:r>
          </w:p>
        </w:tc>
      </w:tr>
      <w:tr w:rsidR="00EB0D57" w:rsidRPr="00C82209" w14:paraId="76F99857" w14:textId="77777777" w:rsidTr="00C82209">
        <w:trPr>
          <w:trHeight w:val="300"/>
        </w:trPr>
        <w:tc>
          <w:tcPr>
            <w:tcW w:w="4420" w:type="dxa"/>
            <w:hideMark/>
          </w:tcPr>
          <w:p w14:paraId="39897F94" w14:textId="67C3972B" w:rsidR="00EB0D57" w:rsidRPr="00C4270B" w:rsidRDefault="00EB0D57" w:rsidP="00EB0D57">
            <w:pPr>
              <w:pStyle w:val="BodyCopy"/>
              <w:spacing w:before="40" w:after="40"/>
              <w:rPr>
                <w:sz w:val="20"/>
                <w:szCs w:val="20"/>
              </w:rPr>
            </w:pPr>
            <w:r w:rsidRPr="00C4270B">
              <w:rPr>
                <w:sz w:val="20"/>
                <w:szCs w:val="20"/>
              </w:rPr>
              <w:t xml:space="preserve"> Dog </w:t>
            </w:r>
            <w:r>
              <w:rPr>
                <w:sz w:val="20"/>
                <w:szCs w:val="20"/>
              </w:rPr>
              <w:t>t</w:t>
            </w:r>
            <w:r w:rsidRPr="00C4270B">
              <w:rPr>
                <w:sz w:val="20"/>
                <w:szCs w:val="20"/>
              </w:rPr>
              <w:t xml:space="preserve">railer </w:t>
            </w:r>
          </w:p>
        </w:tc>
        <w:tc>
          <w:tcPr>
            <w:tcW w:w="1132" w:type="dxa"/>
            <w:hideMark/>
          </w:tcPr>
          <w:p w14:paraId="6AF01D0A" w14:textId="3A598086" w:rsidR="00EB0D57" w:rsidRPr="008B4CF7" w:rsidRDefault="00EB0D57" w:rsidP="00EB0D57">
            <w:pPr>
              <w:pStyle w:val="BodyCopy"/>
              <w:spacing w:before="40" w:after="40"/>
              <w:rPr>
                <w:sz w:val="20"/>
                <w:szCs w:val="20"/>
              </w:rPr>
            </w:pPr>
            <w:r w:rsidRPr="00BD61D2">
              <w:rPr>
                <w:sz w:val="20"/>
                <w:szCs w:val="20"/>
              </w:rPr>
              <w:t xml:space="preserve"> 722 </w:t>
            </w:r>
          </w:p>
        </w:tc>
        <w:tc>
          <w:tcPr>
            <w:tcW w:w="1211" w:type="dxa"/>
            <w:hideMark/>
          </w:tcPr>
          <w:p w14:paraId="18970564" w14:textId="16A4769D" w:rsidR="00EB0D57" w:rsidRPr="008B4CF7" w:rsidRDefault="00EB0D57" w:rsidP="00EB0D57">
            <w:pPr>
              <w:pStyle w:val="BodyCopy"/>
              <w:spacing w:before="40" w:after="40"/>
              <w:rPr>
                <w:sz w:val="20"/>
                <w:szCs w:val="20"/>
              </w:rPr>
            </w:pPr>
            <w:r w:rsidRPr="00BD61D2">
              <w:rPr>
                <w:sz w:val="20"/>
                <w:szCs w:val="20"/>
              </w:rPr>
              <w:t xml:space="preserve"> 722 </w:t>
            </w:r>
          </w:p>
        </w:tc>
        <w:tc>
          <w:tcPr>
            <w:tcW w:w="1132" w:type="dxa"/>
            <w:hideMark/>
          </w:tcPr>
          <w:p w14:paraId="74B6916F" w14:textId="3E672805" w:rsidR="00EB0D57" w:rsidRPr="008B4CF7" w:rsidRDefault="00EB0D57" w:rsidP="00EB0D57">
            <w:pPr>
              <w:pStyle w:val="BodyCopy"/>
              <w:spacing w:before="40" w:after="40"/>
              <w:rPr>
                <w:sz w:val="20"/>
                <w:szCs w:val="20"/>
              </w:rPr>
            </w:pPr>
            <w:r w:rsidRPr="00BD61D2">
              <w:rPr>
                <w:sz w:val="20"/>
                <w:szCs w:val="20"/>
              </w:rPr>
              <w:t xml:space="preserve"> 722 </w:t>
            </w:r>
          </w:p>
        </w:tc>
        <w:tc>
          <w:tcPr>
            <w:tcW w:w="1132" w:type="dxa"/>
            <w:hideMark/>
          </w:tcPr>
          <w:p w14:paraId="1AF653CD" w14:textId="1677307E" w:rsidR="00EB0D57" w:rsidRPr="008B4CF7" w:rsidRDefault="00EB0D57" w:rsidP="00EB0D57">
            <w:pPr>
              <w:pStyle w:val="BodyCopy"/>
              <w:spacing w:before="40" w:after="40"/>
              <w:rPr>
                <w:sz w:val="20"/>
                <w:szCs w:val="20"/>
              </w:rPr>
            </w:pPr>
            <w:r w:rsidRPr="00BD61D2">
              <w:rPr>
                <w:sz w:val="20"/>
                <w:szCs w:val="20"/>
              </w:rPr>
              <w:t xml:space="preserve"> 722 </w:t>
            </w:r>
          </w:p>
        </w:tc>
      </w:tr>
      <w:tr w:rsidR="00EB0D57" w:rsidRPr="00C82209" w14:paraId="38EE8BD6" w14:textId="77777777" w:rsidTr="00C82209">
        <w:trPr>
          <w:trHeight w:val="300"/>
        </w:trPr>
        <w:tc>
          <w:tcPr>
            <w:tcW w:w="4420" w:type="dxa"/>
            <w:hideMark/>
          </w:tcPr>
          <w:p w14:paraId="60563CA3" w14:textId="558B33A6" w:rsidR="00EB0D57" w:rsidRPr="00C4270B" w:rsidRDefault="00EB0D57" w:rsidP="00EB0D57">
            <w:pPr>
              <w:pStyle w:val="BodyCopy"/>
              <w:spacing w:before="40" w:after="40"/>
              <w:rPr>
                <w:sz w:val="20"/>
                <w:szCs w:val="20"/>
              </w:rPr>
            </w:pPr>
            <w:r w:rsidRPr="00C4270B">
              <w:rPr>
                <w:sz w:val="20"/>
                <w:szCs w:val="20"/>
              </w:rPr>
              <w:t xml:space="preserve"> Semi</w:t>
            </w:r>
            <w:r>
              <w:rPr>
                <w:sz w:val="20"/>
                <w:szCs w:val="20"/>
              </w:rPr>
              <w:t>t</w:t>
            </w:r>
            <w:r w:rsidRPr="00C4270B">
              <w:rPr>
                <w:sz w:val="20"/>
                <w:szCs w:val="20"/>
              </w:rPr>
              <w:t xml:space="preserve">railer </w:t>
            </w:r>
          </w:p>
        </w:tc>
        <w:tc>
          <w:tcPr>
            <w:tcW w:w="1132" w:type="dxa"/>
            <w:hideMark/>
          </w:tcPr>
          <w:p w14:paraId="67611CF1" w14:textId="758C2218" w:rsidR="00EB0D57" w:rsidRPr="008B4CF7" w:rsidRDefault="00EB0D57" w:rsidP="00EB0D57">
            <w:pPr>
              <w:pStyle w:val="BodyCopy"/>
              <w:spacing w:before="40" w:after="40"/>
              <w:rPr>
                <w:sz w:val="20"/>
                <w:szCs w:val="20"/>
              </w:rPr>
            </w:pPr>
            <w:r w:rsidRPr="00BD61D2">
              <w:rPr>
                <w:sz w:val="20"/>
                <w:szCs w:val="20"/>
              </w:rPr>
              <w:t xml:space="preserve"> 722 </w:t>
            </w:r>
          </w:p>
        </w:tc>
        <w:tc>
          <w:tcPr>
            <w:tcW w:w="1211" w:type="dxa"/>
            <w:hideMark/>
          </w:tcPr>
          <w:p w14:paraId="13A040B1" w14:textId="1C04E822" w:rsidR="00EB0D57" w:rsidRPr="008B4CF7" w:rsidRDefault="00EB0D57" w:rsidP="00EB0D57">
            <w:pPr>
              <w:pStyle w:val="BodyCopy"/>
              <w:spacing w:before="40" w:after="40"/>
              <w:rPr>
                <w:sz w:val="20"/>
                <w:szCs w:val="20"/>
              </w:rPr>
            </w:pPr>
            <w:r w:rsidRPr="00BD61D2">
              <w:rPr>
                <w:sz w:val="20"/>
                <w:szCs w:val="20"/>
              </w:rPr>
              <w:t xml:space="preserve"> 917 </w:t>
            </w:r>
          </w:p>
        </w:tc>
        <w:tc>
          <w:tcPr>
            <w:tcW w:w="1132" w:type="dxa"/>
            <w:hideMark/>
          </w:tcPr>
          <w:p w14:paraId="05DE7270" w14:textId="034A2C1C" w:rsidR="00EB0D57" w:rsidRPr="008B4CF7" w:rsidRDefault="00EB0D57" w:rsidP="00EB0D57">
            <w:pPr>
              <w:pStyle w:val="BodyCopy"/>
              <w:spacing w:before="40" w:after="40"/>
              <w:rPr>
                <w:sz w:val="20"/>
                <w:szCs w:val="20"/>
              </w:rPr>
            </w:pPr>
            <w:r w:rsidRPr="00BD61D2">
              <w:rPr>
                <w:sz w:val="20"/>
                <w:szCs w:val="20"/>
              </w:rPr>
              <w:t xml:space="preserve"> 652 </w:t>
            </w:r>
          </w:p>
        </w:tc>
        <w:tc>
          <w:tcPr>
            <w:tcW w:w="1132" w:type="dxa"/>
            <w:hideMark/>
          </w:tcPr>
          <w:p w14:paraId="41D8E5A4" w14:textId="4F8AD3C9" w:rsidR="00EB0D57" w:rsidRPr="008B4CF7" w:rsidRDefault="00EB0D57" w:rsidP="00EB0D57">
            <w:pPr>
              <w:pStyle w:val="BodyCopy"/>
              <w:spacing w:before="40" w:after="40"/>
              <w:rPr>
                <w:sz w:val="20"/>
                <w:szCs w:val="20"/>
              </w:rPr>
            </w:pPr>
            <w:r w:rsidRPr="00BD61D2">
              <w:rPr>
                <w:sz w:val="20"/>
                <w:szCs w:val="20"/>
              </w:rPr>
              <w:t xml:space="preserve"> 489 </w:t>
            </w:r>
          </w:p>
        </w:tc>
      </w:tr>
      <w:tr w:rsidR="00EB0D57" w:rsidRPr="00C82209" w14:paraId="71544A63" w14:textId="77777777" w:rsidTr="00C82209">
        <w:trPr>
          <w:trHeight w:val="300"/>
        </w:trPr>
        <w:tc>
          <w:tcPr>
            <w:tcW w:w="4420" w:type="dxa"/>
            <w:hideMark/>
          </w:tcPr>
          <w:p w14:paraId="3277609E" w14:textId="77777777" w:rsidR="00EB0D57" w:rsidRPr="00C4270B" w:rsidRDefault="00EB0D57" w:rsidP="00EB0D57">
            <w:pPr>
              <w:pStyle w:val="BodyCopy"/>
              <w:spacing w:before="40" w:after="40"/>
              <w:rPr>
                <w:sz w:val="20"/>
                <w:szCs w:val="20"/>
              </w:rPr>
            </w:pPr>
            <w:r w:rsidRPr="00C4270B">
              <w:rPr>
                <w:sz w:val="20"/>
                <w:szCs w:val="20"/>
              </w:rPr>
              <w:t xml:space="preserve"> B-double lead trailer and B-triple lead and middle trailers </w:t>
            </w:r>
          </w:p>
        </w:tc>
        <w:tc>
          <w:tcPr>
            <w:tcW w:w="1132" w:type="dxa"/>
            <w:hideMark/>
          </w:tcPr>
          <w:p w14:paraId="28C25901" w14:textId="1BEBA6E8" w:rsidR="00EB0D57" w:rsidRPr="008B4CF7" w:rsidRDefault="00EB0D57" w:rsidP="00EB0D57">
            <w:pPr>
              <w:pStyle w:val="BodyCopy"/>
              <w:spacing w:before="40" w:after="40"/>
              <w:rPr>
                <w:sz w:val="20"/>
                <w:szCs w:val="20"/>
              </w:rPr>
            </w:pPr>
            <w:r w:rsidRPr="00BD61D2">
              <w:rPr>
                <w:sz w:val="20"/>
                <w:szCs w:val="20"/>
              </w:rPr>
              <w:t xml:space="preserve"> 722 </w:t>
            </w:r>
          </w:p>
        </w:tc>
        <w:tc>
          <w:tcPr>
            <w:tcW w:w="1211" w:type="dxa"/>
            <w:hideMark/>
          </w:tcPr>
          <w:p w14:paraId="42DD3967" w14:textId="3A6ED771" w:rsidR="00EB0D57" w:rsidRPr="008B4CF7" w:rsidRDefault="00EB0D57" w:rsidP="00EB0D57">
            <w:pPr>
              <w:pStyle w:val="BodyCopy"/>
              <w:spacing w:before="40" w:after="40"/>
              <w:rPr>
                <w:sz w:val="20"/>
                <w:szCs w:val="20"/>
              </w:rPr>
            </w:pPr>
            <w:r w:rsidRPr="00BD61D2">
              <w:rPr>
                <w:sz w:val="20"/>
                <w:szCs w:val="20"/>
              </w:rPr>
              <w:t xml:space="preserve"> 917 </w:t>
            </w:r>
          </w:p>
        </w:tc>
        <w:tc>
          <w:tcPr>
            <w:tcW w:w="1132" w:type="dxa"/>
            <w:hideMark/>
          </w:tcPr>
          <w:p w14:paraId="3BF00D8B" w14:textId="494BD6A1" w:rsidR="00EB0D57" w:rsidRPr="008B4CF7" w:rsidRDefault="00EB0D57" w:rsidP="00EB0D57">
            <w:pPr>
              <w:pStyle w:val="BodyCopy"/>
              <w:spacing w:before="40" w:after="40"/>
              <w:rPr>
                <w:sz w:val="20"/>
                <w:szCs w:val="20"/>
              </w:rPr>
            </w:pPr>
            <w:r w:rsidRPr="00BD61D2">
              <w:rPr>
                <w:sz w:val="20"/>
                <w:szCs w:val="20"/>
              </w:rPr>
              <w:t xml:space="preserve"> 652 </w:t>
            </w:r>
          </w:p>
        </w:tc>
        <w:tc>
          <w:tcPr>
            <w:tcW w:w="1132" w:type="dxa"/>
            <w:hideMark/>
          </w:tcPr>
          <w:p w14:paraId="03446145" w14:textId="7D75AA63" w:rsidR="00EB0D57" w:rsidRPr="008B4CF7" w:rsidRDefault="00EB0D57" w:rsidP="00EB0D57">
            <w:pPr>
              <w:pStyle w:val="BodyCopy"/>
              <w:spacing w:before="40" w:after="40"/>
              <w:rPr>
                <w:sz w:val="20"/>
                <w:szCs w:val="20"/>
              </w:rPr>
            </w:pPr>
            <w:r w:rsidRPr="00BD61D2">
              <w:rPr>
                <w:sz w:val="20"/>
                <w:szCs w:val="20"/>
              </w:rPr>
              <w:t xml:space="preserve"> 489 </w:t>
            </w:r>
          </w:p>
        </w:tc>
      </w:tr>
      <w:tr w:rsidR="00EB0D57" w:rsidRPr="00C82209" w14:paraId="418A6C45" w14:textId="77777777" w:rsidTr="00C82209">
        <w:trPr>
          <w:trHeight w:val="300"/>
        </w:trPr>
        <w:tc>
          <w:tcPr>
            <w:tcW w:w="4420" w:type="dxa"/>
            <w:hideMark/>
          </w:tcPr>
          <w:p w14:paraId="49B6AC41" w14:textId="77777777" w:rsidR="00EB0D57" w:rsidRPr="00C4270B" w:rsidRDefault="00EB0D57" w:rsidP="00EB0D57">
            <w:pPr>
              <w:pStyle w:val="BodyCopy"/>
              <w:spacing w:before="40" w:after="40"/>
              <w:rPr>
                <w:sz w:val="20"/>
                <w:szCs w:val="20"/>
              </w:rPr>
            </w:pPr>
            <w:r w:rsidRPr="00C4270B">
              <w:rPr>
                <w:sz w:val="20"/>
                <w:szCs w:val="20"/>
              </w:rPr>
              <w:t xml:space="preserve"> Converter dolly or low loader dolly </w:t>
            </w:r>
          </w:p>
        </w:tc>
        <w:tc>
          <w:tcPr>
            <w:tcW w:w="1132" w:type="dxa"/>
            <w:hideMark/>
          </w:tcPr>
          <w:p w14:paraId="7FFB26EE" w14:textId="2616983E" w:rsidR="00EB0D57" w:rsidRPr="008B4CF7" w:rsidRDefault="00EB0D57" w:rsidP="00EB0D57">
            <w:pPr>
              <w:pStyle w:val="BodyCopy"/>
              <w:spacing w:before="40" w:after="40"/>
              <w:rPr>
                <w:sz w:val="20"/>
                <w:szCs w:val="20"/>
              </w:rPr>
            </w:pPr>
            <w:r w:rsidRPr="00BD61D2">
              <w:rPr>
                <w:sz w:val="20"/>
                <w:szCs w:val="20"/>
              </w:rPr>
              <w:t xml:space="preserve"> 0 </w:t>
            </w:r>
          </w:p>
        </w:tc>
        <w:tc>
          <w:tcPr>
            <w:tcW w:w="1211" w:type="dxa"/>
            <w:hideMark/>
          </w:tcPr>
          <w:p w14:paraId="61117930" w14:textId="4BDB5B2A" w:rsidR="00EB0D57" w:rsidRPr="008B4CF7" w:rsidRDefault="00EB0D57" w:rsidP="00EB0D57">
            <w:pPr>
              <w:pStyle w:val="BodyCopy"/>
              <w:spacing w:before="40" w:after="40"/>
              <w:rPr>
                <w:sz w:val="20"/>
                <w:szCs w:val="20"/>
              </w:rPr>
            </w:pPr>
            <w:r w:rsidRPr="00BD61D2">
              <w:rPr>
                <w:sz w:val="20"/>
                <w:szCs w:val="20"/>
              </w:rPr>
              <w:t xml:space="preserve"> 0 </w:t>
            </w:r>
          </w:p>
        </w:tc>
        <w:tc>
          <w:tcPr>
            <w:tcW w:w="1132" w:type="dxa"/>
            <w:hideMark/>
          </w:tcPr>
          <w:p w14:paraId="766302AC" w14:textId="39452F87" w:rsidR="00EB0D57" w:rsidRPr="008B4CF7" w:rsidRDefault="00EB0D57" w:rsidP="00EB0D57">
            <w:pPr>
              <w:pStyle w:val="BodyCopy"/>
              <w:spacing w:before="40" w:after="40"/>
              <w:rPr>
                <w:sz w:val="20"/>
                <w:szCs w:val="20"/>
              </w:rPr>
            </w:pPr>
            <w:r w:rsidRPr="00BD61D2">
              <w:rPr>
                <w:sz w:val="20"/>
                <w:szCs w:val="20"/>
              </w:rPr>
              <w:t xml:space="preserve"> 0 </w:t>
            </w:r>
          </w:p>
        </w:tc>
        <w:tc>
          <w:tcPr>
            <w:tcW w:w="1132" w:type="dxa"/>
            <w:hideMark/>
          </w:tcPr>
          <w:p w14:paraId="4F6A7153" w14:textId="2E3D1CA5" w:rsidR="00EB0D57" w:rsidRPr="008B4CF7" w:rsidRDefault="00EB0D57" w:rsidP="00EB0D57">
            <w:pPr>
              <w:pStyle w:val="BodyCopy"/>
              <w:spacing w:before="40" w:after="40"/>
              <w:rPr>
                <w:sz w:val="20"/>
                <w:szCs w:val="20"/>
              </w:rPr>
            </w:pPr>
            <w:r w:rsidRPr="00BD61D2">
              <w:rPr>
                <w:sz w:val="20"/>
                <w:szCs w:val="20"/>
              </w:rPr>
              <w:t xml:space="preserve"> 0 </w:t>
            </w:r>
          </w:p>
        </w:tc>
      </w:tr>
      <w:tr w:rsidR="00C82209" w:rsidRPr="00C82209" w14:paraId="214BD941" w14:textId="77777777" w:rsidTr="00AF7B68">
        <w:trPr>
          <w:trHeight w:val="300"/>
        </w:trPr>
        <w:tc>
          <w:tcPr>
            <w:tcW w:w="9027" w:type="dxa"/>
            <w:gridSpan w:val="5"/>
            <w:vAlign w:val="center"/>
            <w:hideMark/>
          </w:tcPr>
          <w:p w14:paraId="76687B37" w14:textId="225A0323" w:rsidR="00C82209" w:rsidRPr="00C4270B" w:rsidRDefault="00C82209" w:rsidP="00AF7B68">
            <w:pPr>
              <w:pStyle w:val="BodyCopy"/>
              <w:spacing w:before="40" w:after="40"/>
              <w:jc w:val="center"/>
              <w:rPr>
                <w:b/>
                <w:bCs/>
                <w:sz w:val="20"/>
                <w:szCs w:val="20"/>
              </w:rPr>
            </w:pPr>
            <w:r w:rsidRPr="00C4270B">
              <w:rPr>
                <w:b/>
                <w:bCs/>
                <w:sz w:val="20"/>
                <w:szCs w:val="20"/>
              </w:rPr>
              <w:t>DIVISION 3 – BUSES ($)</w:t>
            </w:r>
          </w:p>
        </w:tc>
      </w:tr>
      <w:tr w:rsidR="00C82209" w:rsidRPr="00C82209" w14:paraId="2F350729" w14:textId="77777777" w:rsidTr="00C82209">
        <w:trPr>
          <w:trHeight w:val="300"/>
        </w:trPr>
        <w:tc>
          <w:tcPr>
            <w:tcW w:w="4420" w:type="dxa"/>
            <w:hideMark/>
          </w:tcPr>
          <w:p w14:paraId="75DA5838" w14:textId="584937C7" w:rsidR="00C82209" w:rsidRPr="00C4270B" w:rsidRDefault="00C82209" w:rsidP="00AF7B68">
            <w:pPr>
              <w:pStyle w:val="BodyCopy"/>
              <w:spacing w:before="40" w:after="40"/>
              <w:rPr>
                <w:b/>
                <w:bCs/>
                <w:sz w:val="20"/>
                <w:szCs w:val="20"/>
              </w:rPr>
            </w:pPr>
            <w:r w:rsidRPr="00C4270B">
              <w:rPr>
                <w:b/>
                <w:bCs/>
                <w:sz w:val="20"/>
                <w:szCs w:val="20"/>
              </w:rPr>
              <w:t xml:space="preserve"> Bus </w:t>
            </w:r>
            <w:r w:rsidR="00314A7D" w:rsidRPr="00C4270B">
              <w:rPr>
                <w:b/>
                <w:bCs/>
                <w:sz w:val="20"/>
                <w:szCs w:val="20"/>
              </w:rPr>
              <w:t>t</w:t>
            </w:r>
            <w:r w:rsidRPr="00C4270B">
              <w:rPr>
                <w:b/>
                <w:bCs/>
                <w:sz w:val="20"/>
                <w:szCs w:val="20"/>
              </w:rPr>
              <w:t xml:space="preserve">ype </w:t>
            </w:r>
          </w:p>
        </w:tc>
        <w:tc>
          <w:tcPr>
            <w:tcW w:w="1132" w:type="dxa"/>
            <w:hideMark/>
          </w:tcPr>
          <w:p w14:paraId="547752BB" w14:textId="0BEDAA48" w:rsidR="00C82209" w:rsidRPr="00C4270B" w:rsidRDefault="00C82209" w:rsidP="00AF7B68">
            <w:pPr>
              <w:pStyle w:val="BodyCopy"/>
              <w:spacing w:before="40" w:after="40"/>
              <w:rPr>
                <w:b/>
                <w:bCs/>
                <w:sz w:val="20"/>
                <w:szCs w:val="20"/>
              </w:rPr>
            </w:pPr>
            <w:r w:rsidRPr="00C4270B">
              <w:rPr>
                <w:b/>
                <w:bCs/>
                <w:sz w:val="20"/>
                <w:szCs w:val="20"/>
              </w:rPr>
              <w:t xml:space="preserve"> 2</w:t>
            </w:r>
            <w:r w:rsidR="00C4270B" w:rsidRPr="00C4270B">
              <w:rPr>
                <w:b/>
                <w:bCs/>
                <w:sz w:val="20"/>
                <w:szCs w:val="20"/>
              </w:rPr>
              <w:t>-</w:t>
            </w:r>
            <w:r w:rsidRPr="00C4270B">
              <w:rPr>
                <w:b/>
                <w:bCs/>
                <w:sz w:val="20"/>
                <w:szCs w:val="20"/>
              </w:rPr>
              <w:t xml:space="preserve">axle </w:t>
            </w:r>
          </w:p>
        </w:tc>
        <w:tc>
          <w:tcPr>
            <w:tcW w:w="1211" w:type="dxa"/>
            <w:hideMark/>
          </w:tcPr>
          <w:p w14:paraId="00ADA97A" w14:textId="37AA4F98" w:rsidR="00C82209" w:rsidRPr="00C4270B" w:rsidRDefault="00C82209" w:rsidP="00AF7B68">
            <w:pPr>
              <w:pStyle w:val="BodyCopy"/>
              <w:spacing w:before="40" w:after="40"/>
              <w:rPr>
                <w:b/>
                <w:bCs/>
                <w:sz w:val="20"/>
                <w:szCs w:val="20"/>
              </w:rPr>
            </w:pPr>
            <w:r w:rsidRPr="00C4270B">
              <w:rPr>
                <w:b/>
                <w:bCs/>
                <w:sz w:val="20"/>
                <w:szCs w:val="20"/>
              </w:rPr>
              <w:t xml:space="preserve"> 3</w:t>
            </w:r>
            <w:r w:rsidR="00C4270B"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214B631F" w14:textId="1BBC3FFB" w:rsidR="00C82209" w:rsidRPr="00C4270B" w:rsidRDefault="00C82209" w:rsidP="00AF7B68">
            <w:pPr>
              <w:pStyle w:val="BodyCopy"/>
              <w:spacing w:before="40" w:after="40"/>
              <w:rPr>
                <w:b/>
                <w:bCs/>
                <w:sz w:val="20"/>
                <w:szCs w:val="20"/>
              </w:rPr>
            </w:pPr>
            <w:r w:rsidRPr="00C4270B">
              <w:rPr>
                <w:b/>
                <w:bCs/>
                <w:sz w:val="20"/>
                <w:szCs w:val="20"/>
              </w:rPr>
              <w:t xml:space="preserve"> 4</w:t>
            </w:r>
            <w:r w:rsidR="00C4270B" w:rsidRPr="00C4270B">
              <w:rPr>
                <w:b/>
                <w:bCs/>
                <w:sz w:val="20"/>
                <w:szCs w:val="20"/>
              </w:rPr>
              <w:t>-</w:t>
            </w:r>
            <w:r w:rsidRPr="00C4270B">
              <w:rPr>
                <w:b/>
                <w:bCs/>
                <w:sz w:val="20"/>
                <w:szCs w:val="20"/>
              </w:rPr>
              <w:t xml:space="preserve">axle </w:t>
            </w:r>
          </w:p>
        </w:tc>
        <w:tc>
          <w:tcPr>
            <w:tcW w:w="1132" w:type="dxa"/>
            <w:hideMark/>
          </w:tcPr>
          <w:p w14:paraId="64265FC5" w14:textId="77777777" w:rsidR="00C82209" w:rsidRPr="00C4270B" w:rsidRDefault="00C82209" w:rsidP="00AF7B68">
            <w:pPr>
              <w:pStyle w:val="BodyCopy"/>
              <w:spacing w:before="40" w:after="40"/>
              <w:rPr>
                <w:b/>
                <w:bCs/>
                <w:sz w:val="20"/>
                <w:szCs w:val="20"/>
              </w:rPr>
            </w:pPr>
            <w:r w:rsidRPr="00C4270B">
              <w:rPr>
                <w:b/>
                <w:bCs/>
                <w:sz w:val="20"/>
                <w:szCs w:val="20"/>
              </w:rPr>
              <w:t> </w:t>
            </w:r>
          </w:p>
        </w:tc>
      </w:tr>
      <w:tr w:rsidR="00D86145" w:rsidRPr="00C82209" w14:paraId="6F08AEB5" w14:textId="77777777" w:rsidTr="00C82209">
        <w:trPr>
          <w:trHeight w:val="300"/>
        </w:trPr>
        <w:tc>
          <w:tcPr>
            <w:tcW w:w="4420" w:type="dxa"/>
            <w:hideMark/>
          </w:tcPr>
          <w:p w14:paraId="206071FC" w14:textId="77777777" w:rsidR="00D86145" w:rsidRPr="00C4270B" w:rsidRDefault="00D86145" w:rsidP="00D86145">
            <w:pPr>
              <w:pStyle w:val="BodyCopy"/>
              <w:spacing w:before="40" w:after="40"/>
              <w:rPr>
                <w:sz w:val="20"/>
                <w:szCs w:val="20"/>
              </w:rPr>
            </w:pPr>
            <w:r w:rsidRPr="00C4270B">
              <w:rPr>
                <w:sz w:val="20"/>
                <w:szCs w:val="20"/>
              </w:rPr>
              <w:t xml:space="preserve"> Bus (type 1) </w:t>
            </w:r>
          </w:p>
        </w:tc>
        <w:tc>
          <w:tcPr>
            <w:tcW w:w="1132" w:type="dxa"/>
            <w:hideMark/>
          </w:tcPr>
          <w:p w14:paraId="2F018BF7" w14:textId="7980AE2B" w:rsidR="00D86145" w:rsidRPr="008B4CF7" w:rsidRDefault="00D86145" w:rsidP="00D86145">
            <w:pPr>
              <w:pStyle w:val="BodyCopy"/>
              <w:spacing w:before="40" w:after="40"/>
              <w:rPr>
                <w:sz w:val="20"/>
                <w:szCs w:val="20"/>
              </w:rPr>
            </w:pPr>
            <w:r w:rsidRPr="00BD61D2">
              <w:rPr>
                <w:sz w:val="20"/>
                <w:szCs w:val="20"/>
              </w:rPr>
              <w:t xml:space="preserve"> 364 </w:t>
            </w:r>
          </w:p>
        </w:tc>
        <w:tc>
          <w:tcPr>
            <w:tcW w:w="1211" w:type="dxa"/>
            <w:hideMark/>
          </w:tcPr>
          <w:p w14:paraId="69635E24" w14:textId="15A81013" w:rsidR="00D86145" w:rsidRPr="008B4CF7" w:rsidRDefault="00D86145" w:rsidP="00D86145">
            <w:pPr>
              <w:pStyle w:val="BodyCopy"/>
              <w:spacing w:before="40" w:after="40"/>
              <w:rPr>
                <w:sz w:val="20"/>
                <w:szCs w:val="20"/>
              </w:rPr>
            </w:pPr>
          </w:p>
        </w:tc>
        <w:tc>
          <w:tcPr>
            <w:tcW w:w="1132" w:type="dxa"/>
            <w:hideMark/>
          </w:tcPr>
          <w:p w14:paraId="241F7BFF" w14:textId="6B7D5B67" w:rsidR="00D86145" w:rsidRPr="008B4CF7" w:rsidRDefault="00D86145" w:rsidP="00D86145">
            <w:pPr>
              <w:pStyle w:val="BodyCopy"/>
              <w:spacing w:before="40" w:after="40"/>
              <w:rPr>
                <w:sz w:val="20"/>
                <w:szCs w:val="20"/>
              </w:rPr>
            </w:pPr>
          </w:p>
        </w:tc>
        <w:tc>
          <w:tcPr>
            <w:tcW w:w="1132" w:type="dxa"/>
            <w:hideMark/>
          </w:tcPr>
          <w:p w14:paraId="66E4B535" w14:textId="77777777" w:rsidR="00D86145" w:rsidRPr="00C4270B" w:rsidRDefault="00D86145" w:rsidP="00D86145">
            <w:pPr>
              <w:pStyle w:val="BodyCopy"/>
              <w:spacing w:before="40" w:after="40"/>
              <w:rPr>
                <w:sz w:val="20"/>
                <w:szCs w:val="20"/>
              </w:rPr>
            </w:pPr>
            <w:r w:rsidRPr="00C4270B">
              <w:rPr>
                <w:sz w:val="20"/>
                <w:szCs w:val="20"/>
              </w:rPr>
              <w:t> </w:t>
            </w:r>
          </w:p>
        </w:tc>
      </w:tr>
      <w:tr w:rsidR="00D86145" w:rsidRPr="00C82209" w14:paraId="7D66FDF2" w14:textId="77777777" w:rsidTr="00C82209">
        <w:trPr>
          <w:trHeight w:val="300"/>
        </w:trPr>
        <w:tc>
          <w:tcPr>
            <w:tcW w:w="4420" w:type="dxa"/>
            <w:hideMark/>
          </w:tcPr>
          <w:p w14:paraId="3B234AA5" w14:textId="77777777" w:rsidR="00D86145" w:rsidRPr="00C4270B" w:rsidRDefault="00D86145" w:rsidP="00D86145">
            <w:pPr>
              <w:pStyle w:val="BodyCopy"/>
              <w:spacing w:before="40" w:after="40"/>
              <w:rPr>
                <w:sz w:val="20"/>
                <w:szCs w:val="20"/>
              </w:rPr>
            </w:pPr>
            <w:r w:rsidRPr="00C4270B">
              <w:rPr>
                <w:sz w:val="20"/>
                <w:szCs w:val="20"/>
              </w:rPr>
              <w:t xml:space="preserve"> Bus (type 2) </w:t>
            </w:r>
          </w:p>
        </w:tc>
        <w:tc>
          <w:tcPr>
            <w:tcW w:w="1132" w:type="dxa"/>
            <w:hideMark/>
          </w:tcPr>
          <w:p w14:paraId="53F35D34" w14:textId="58A6ABB8" w:rsidR="00D86145" w:rsidRPr="008B4CF7" w:rsidRDefault="00D86145" w:rsidP="00D86145">
            <w:pPr>
              <w:pStyle w:val="BodyCopy"/>
              <w:spacing w:before="40" w:after="40"/>
              <w:rPr>
                <w:sz w:val="20"/>
                <w:szCs w:val="20"/>
              </w:rPr>
            </w:pPr>
            <w:r w:rsidRPr="00BD61D2">
              <w:rPr>
                <w:sz w:val="20"/>
                <w:szCs w:val="20"/>
              </w:rPr>
              <w:t xml:space="preserve"> 2,146 </w:t>
            </w:r>
          </w:p>
        </w:tc>
        <w:tc>
          <w:tcPr>
            <w:tcW w:w="1211" w:type="dxa"/>
            <w:hideMark/>
          </w:tcPr>
          <w:p w14:paraId="3A4B75BF" w14:textId="0D1694AD" w:rsidR="00D86145" w:rsidRPr="008B4CF7" w:rsidRDefault="00D86145" w:rsidP="00D86145">
            <w:pPr>
              <w:pStyle w:val="BodyCopy"/>
              <w:spacing w:before="40" w:after="40"/>
              <w:rPr>
                <w:sz w:val="20"/>
                <w:szCs w:val="20"/>
              </w:rPr>
            </w:pPr>
            <w:r w:rsidRPr="00BD61D2">
              <w:rPr>
                <w:sz w:val="20"/>
                <w:szCs w:val="20"/>
              </w:rPr>
              <w:t xml:space="preserve"> 7,432 </w:t>
            </w:r>
          </w:p>
        </w:tc>
        <w:tc>
          <w:tcPr>
            <w:tcW w:w="1132" w:type="dxa"/>
            <w:hideMark/>
          </w:tcPr>
          <w:p w14:paraId="7BF102C4" w14:textId="36527ABA" w:rsidR="00D86145" w:rsidRPr="008B4CF7" w:rsidRDefault="00D86145" w:rsidP="00D86145">
            <w:pPr>
              <w:pStyle w:val="BodyCopy"/>
              <w:spacing w:before="40" w:after="40"/>
              <w:rPr>
                <w:sz w:val="20"/>
                <w:szCs w:val="20"/>
              </w:rPr>
            </w:pPr>
            <w:r w:rsidRPr="00BD61D2">
              <w:rPr>
                <w:sz w:val="20"/>
                <w:szCs w:val="20"/>
              </w:rPr>
              <w:t xml:space="preserve"> 7,432 </w:t>
            </w:r>
          </w:p>
        </w:tc>
        <w:tc>
          <w:tcPr>
            <w:tcW w:w="1132" w:type="dxa"/>
            <w:hideMark/>
          </w:tcPr>
          <w:p w14:paraId="680405FF" w14:textId="77777777" w:rsidR="00D86145" w:rsidRPr="00C4270B" w:rsidRDefault="00D86145" w:rsidP="00D86145">
            <w:pPr>
              <w:pStyle w:val="BodyCopy"/>
              <w:spacing w:before="40" w:after="40"/>
              <w:rPr>
                <w:sz w:val="20"/>
                <w:szCs w:val="20"/>
              </w:rPr>
            </w:pPr>
            <w:r w:rsidRPr="00C4270B">
              <w:rPr>
                <w:sz w:val="20"/>
                <w:szCs w:val="20"/>
              </w:rPr>
              <w:t> </w:t>
            </w:r>
          </w:p>
        </w:tc>
      </w:tr>
      <w:tr w:rsidR="00D86145" w:rsidRPr="00C82209" w14:paraId="21CF66DF" w14:textId="77777777" w:rsidTr="00C82209">
        <w:trPr>
          <w:trHeight w:val="300"/>
        </w:trPr>
        <w:tc>
          <w:tcPr>
            <w:tcW w:w="4420" w:type="dxa"/>
            <w:hideMark/>
          </w:tcPr>
          <w:p w14:paraId="732925D8" w14:textId="77777777" w:rsidR="00D86145" w:rsidRPr="00C4270B" w:rsidRDefault="00D86145" w:rsidP="00D86145">
            <w:pPr>
              <w:pStyle w:val="BodyCopy"/>
              <w:spacing w:before="40" w:after="40"/>
              <w:rPr>
                <w:sz w:val="20"/>
                <w:szCs w:val="20"/>
              </w:rPr>
            </w:pPr>
            <w:r w:rsidRPr="00C4270B">
              <w:rPr>
                <w:sz w:val="20"/>
                <w:szCs w:val="20"/>
              </w:rPr>
              <w:t xml:space="preserve"> Articulated bus </w:t>
            </w:r>
          </w:p>
        </w:tc>
        <w:tc>
          <w:tcPr>
            <w:tcW w:w="1132" w:type="dxa"/>
            <w:hideMark/>
          </w:tcPr>
          <w:p w14:paraId="0C9DD645" w14:textId="3E933AFC" w:rsidR="00D86145" w:rsidRPr="008B4CF7" w:rsidRDefault="00D86145" w:rsidP="00D86145">
            <w:pPr>
              <w:pStyle w:val="BodyCopy"/>
              <w:spacing w:before="40" w:after="40"/>
              <w:rPr>
                <w:sz w:val="20"/>
                <w:szCs w:val="20"/>
              </w:rPr>
            </w:pPr>
          </w:p>
        </w:tc>
        <w:tc>
          <w:tcPr>
            <w:tcW w:w="1211" w:type="dxa"/>
            <w:hideMark/>
          </w:tcPr>
          <w:p w14:paraId="1E31BFDA" w14:textId="153B0F29" w:rsidR="00D86145" w:rsidRPr="008B4CF7" w:rsidRDefault="00D86145" w:rsidP="00D86145">
            <w:pPr>
              <w:pStyle w:val="BodyCopy"/>
              <w:spacing w:before="40" w:after="40"/>
              <w:rPr>
                <w:sz w:val="20"/>
                <w:szCs w:val="20"/>
              </w:rPr>
            </w:pPr>
            <w:r w:rsidRPr="00BD61D2">
              <w:rPr>
                <w:sz w:val="20"/>
                <w:szCs w:val="20"/>
              </w:rPr>
              <w:t xml:space="preserve"> 2,146 </w:t>
            </w:r>
          </w:p>
        </w:tc>
        <w:tc>
          <w:tcPr>
            <w:tcW w:w="1132" w:type="dxa"/>
            <w:hideMark/>
          </w:tcPr>
          <w:p w14:paraId="7599DD2B" w14:textId="15C1465A" w:rsidR="00D86145" w:rsidRPr="008B4CF7" w:rsidRDefault="00D86145" w:rsidP="00D86145">
            <w:pPr>
              <w:pStyle w:val="BodyCopy"/>
              <w:spacing w:before="40" w:after="40"/>
              <w:rPr>
                <w:sz w:val="20"/>
                <w:szCs w:val="20"/>
              </w:rPr>
            </w:pPr>
            <w:r w:rsidRPr="00BD61D2">
              <w:rPr>
                <w:sz w:val="20"/>
                <w:szCs w:val="20"/>
              </w:rPr>
              <w:t xml:space="preserve"> 2,146 </w:t>
            </w:r>
          </w:p>
        </w:tc>
        <w:tc>
          <w:tcPr>
            <w:tcW w:w="1132" w:type="dxa"/>
            <w:hideMark/>
          </w:tcPr>
          <w:p w14:paraId="2AC6A5B2" w14:textId="77777777" w:rsidR="00D86145" w:rsidRPr="00C4270B" w:rsidRDefault="00D86145" w:rsidP="00D86145">
            <w:pPr>
              <w:pStyle w:val="BodyCopy"/>
              <w:spacing w:before="40" w:after="40"/>
              <w:rPr>
                <w:sz w:val="20"/>
                <w:szCs w:val="20"/>
              </w:rPr>
            </w:pPr>
            <w:r w:rsidRPr="00C4270B">
              <w:rPr>
                <w:sz w:val="20"/>
                <w:szCs w:val="20"/>
              </w:rPr>
              <w:t> </w:t>
            </w:r>
          </w:p>
        </w:tc>
      </w:tr>
      <w:tr w:rsidR="00C82209" w:rsidRPr="00C82209" w14:paraId="1A22CA6F" w14:textId="77777777" w:rsidTr="00AF7B68">
        <w:trPr>
          <w:trHeight w:val="300"/>
        </w:trPr>
        <w:tc>
          <w:tcPr>
            <w:tcW w:w="9027" w:type="dxa"/>
            <w:gridSpan w:val="5"/>
            <w:vAlign w:val="center"/>
            <w:hideMark/>
          </w:tcPr>
          <w:p w14:paraId="2CAA3E3F" w14:textId="153C1A95" w:rsidR="00C82209" w:rsidRPr="00C4270B" w:rsidRDefault="00C82209" w:rsidP="00AF7B68">
            <w:pPr>
              <w:pStyle w:val="BodyCopy"/>
              <w:spacing w:before="40" w:after="40"/>
              <w:jc w:val="center"/>
              <w:rPr>
                <w:b/>
                <w:bCs/>
                <w:sz w:val="20"/>
                <w:szCs w:val="20"/>
              </w:rPr>
            </w:pPr>
            <w:r w:rsidRPr="00C4270B">
              <w:rPr>
                <w:b/>
                <w:bCs/>
                <w:sz w:val="20"/>
                <w:szCs w:val="20"/>
              </w:rPr>
              <w:t>DIVISION 4 – SPECIAL PURPOSE VEHICLES ($)</w:t>
            </w:r>
          </w:p>
        </w:tc>
      </w:tr>
      <w:tr w:rsidR="00C82209" w:rsidRPr="00C82209" w14:paraId="38304E34" w14:textId="77777777" w:rsidTr="00AF7B68">
        <w:trPr>
          <w:trHeight w:val="300"/>
        </w:trPr>
        <w:tc>
          <w:tcPr>
            <w:tcW w:w="4420" w:type="dxa"/>
            <w:hideMark/>
          </w:tcPr>
          <w:p w14:paraId="43BCCC1B" w14:textId="77777777" w:rsidR="00C82209" w:rsidRPr="00C4270B" w:rsidRDefault="00C82209"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3CEF0219" w14:textId="32B4B5D9" w:rsidR="00C82209" w:rsidRPr="00C4270B" w:rsidRDefault="00C82209" w:rsidP="00AF7B68">
            <w:pPr>
              <w:pStyle w:val="BodyCopy"/>
              <w:spacing w:before="40" w:after="40"/>
              <w:rPr>
                <w:sz w:val="20"/>
                <w:szCs w:val="20"/>
              </w:rPr>
            </w:pPr>
            <w:r w:rsidRPr="00C4270B">
              <w:rPr>
                <w:sz w:val="20"/>
                <w:szCs w:val="20"/>
              </w:rPr>
              <w:t xml:space="preserve">0 </w:t>
            </w:r>
          </w:p>
        </w:tc>
      </w:tr>
      <w:tr w:rsidR="00C82209" w:rsidRPr="00C82209" w14:paraId="48A37D6F" w14:textId="77777777" w:rsidTr="00AF7B68">
        <w:trPr>
          <w:trHeight w:val="300"/>
        </w:trPr>
        <w:tc>
          <w:tcPr>
            <w:tcW w:w="4420" w:type="dxa"/>
            <w:hideMark/>
          </w:tcPr>
          <w:p w14:paraId="3034E18E" w14:textId="77777777" w:rsidR="00C82209" w:rsidRPr="00C4270B" w:rsidRDefault="00C82209"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77BDD50E" w14:textId="7C29EEDE" w:rsidR="00C82209" w:rsidRPr="00C4270B" w:rsidRDefault="00BE28BC" w:rsidP="00AF7B68">
            <w:pPr>
              <w:pStyle w:val="BodyCopy"/>
              <w:spacing w:before="40" w:after="40"/>
              <w:rPr>
                <w:sz w:val="20"/>
                <w:szCs w:val="20"/>
              </w:rPr>
            </w:pPr>
            <w:r>
              <w:rPr>
                <w:sz w:val="20"/>
                <w:szCs w:val="20"/>
              </w:rPr>
              <w:t>3</w:t>
            </w:r>
            <w:r w:rsidR="00D86145">
              <w:rPr>
                <w:sz w:val="20"/>
                <w:szCs w:val="20"/>
              </w:rPr>
              <w:t>54</w:t>
            </w:r>
            <w:r w:rsidRPr="00C4270B">
              <w:rPr>
                <w:sz w:val="20"/>
                <w:szCs w:val="20"/>
              </w:rPr>
              <w:t xml:space="preserve"> </w:t>
            </w:r>
          </w:p>
        </w:tc>
      </w:tr>
      <w:tr w:rsidR="00C82209" w:rsidRPr="00C82209" w14:paraId="34B20174" w14:textId="77777777" w:rsidTr="00AF7B68">
        <w:trPr>
          <w:trHeight w:val="300"/>
        </w:trPr>
        <w:tc>
          <w:tcPr>
            <w:tcW w:w="4420" w:type="dxa"/>
            <w:hideMark/>
          </w:tcPr>
          <w:p w14:paraId="430FF533" w14:textId="77777777" w:rsidR="00C82209" w:rsidRPr="00C4270B" w:rsidRDefault="00C82209"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563E7241" w14:textId="7EDD4A3F" w:rsidR="00C82209" w:rsidRPr="00C4270B" w:rsidRDefault="00C82209" w:rsidP="00AF7B68">
            <w:pPr>
              <w:pStyle w:val="BodyCopy"/>
              <w:spacing w:before="40" w:after="40"/>
              <w:rPr>
                <w:sz w:val="20"/>
                <w:szCs w:val="20"/>
              </w:rPr>
            </w:pPr>
            <w:r w:rsidRPr="00C4270B">
              <w:rPr>
                <w:sz w:val="20"/>
                <w:szCs w:val="20"/>
              </w:rPr>
              <w:t>Calculated using the formula:</w:t>
            </w:r>
            <w:r w:rsidRPr="00C4270B">
              <w:rPr>
                <w:sz w:val="20"/>
                <w:szCs w:val="20"/>
              </w:rPr>
              <w:br/>
            </w:r>
            <w:r w:rsidR="00D86145">
              <w:rPr>
                <w:sz w:val="20"/>
                <w:szCs w:val="20"/>
              </w:rPr>
              <w:t>442</w:t>
            </w:r>
            <w:r w:rsidR="00D86145" w:rsidRPr="00C4270B">
              <w:rPr>
                <w:sz w:val="20"/>
                <w:szCs w:val="20"/>
              </w:rPr>
              <w:t xml:space="preserve"> </w:t>
            </w:r>
            <w:r w:rsidRPr="00C4270B">
              <w:rPr>
                <w:sz w:val="20"/>
                <w:szCs w:val="20"/>
              </w:rPr>
              <w:t>+ (</w:t>
            </w:r>
            <w:r w:rsidR="00D86145">
              <w:rPr>
                <w:sz w:val="20"/>
                <w:szCs w:val="20"/>
              </w:rPr>
              <w:t>442</w:t>
            </w:r>
            <w:r w:rsidRPr="00C4270B">
              <w:rPr>
                <w:sz w:val="20"/>
                <w:szCs w:val="20"/>
              </w:rPr>
              <w:t xml:space="preserve"> </w:t>
            </w:r>
            <w:r w:rsidR="00314A7D" w:rsidRPr="00C4270B">
              <w:rPr>
                <w:sz w:val="20"/>
                <w:szCs w:val="20"/>
              </w:rPr>
              <w:t xml:space="preserve">× </w:t>
            </w:r>
            <w:r w:rsidRPr="00C4270B">
              <w:rPr>
                <w:sz w:val="20"/>
                <w:szCs w:val="20"/>
              </w:rPr>
              <w:t>number of axles over 2)</w:t>
            </w:r>
          </w:p>
        </w:tc>
      </w:tr>
    </w:tbl>
    <w:p w14:paraId="603519B6" w14:textId="61211A75" w:rsidR="00C82209" w:rsidRDefault="00C82209" w:rsidP="00C82209">
      <w:pPr>
        <w:pStyle w:val="BodyCopy"/>
      </w:pPr>
    </w:p>
    <w:p w14:paraId="76B05B73" w14:textId="7F7A8EE5" w:rsidR="00C82209" w:rsidRDefault="00C82209" w:rsidP="00C82209">
      <w:pPr>
        <w:pStyle w:val="Tabletitle"/>
      </w:pPr>
      <w:bookmarkStart w:id="2370" w:name="_Toc86158572"/>
      <w:r>
        <w:lastRenderedPageBreak/>
        <w:t xml:space="preserve">Charging schedule for </w:t>
      </w:r>
      <w:r w:rsidR="000B1A52">
        <w:t xml:space="preserve">the </w:t>
      </w:r>
      <w:r>
        <w:t>roads component of registration charges under</w:t>
      </w:r>
      <w:r w:rsidR="004A1413">
        <w:t xml:space="preserve"> </w:t>
      </w:r>
      <w:r w:rsidR="005D7B0D">
        <w:t xml:space="preserve">pathway </w:t>
      </w:r>
      <w:r w:rsidR="004A1413">
        <w:t>1 of the three-year fixed price implementation pathway</w:t>
      </w:r>
      <w:r w:rsidR="007C2428">
        <w:t>, 2022</w:t>
      </w:r>
      <w:r w:rsidR="00272BD6">
        <w:t>–2</w:t>
      </w:r>
      <w:r w:rsidR="007C2428">
        <w:t>3</w:t>
      </w:r>
      <w:bookmarkEnd w:id="2370"/>
    </w:p>
    <w:tbl>
      <w:tblPr>
        <w:tblStyle w:val="NTCtable"/>
        <w:tblW w:w="0" w:type="auto"/>
        <w:tblLook w:val="04A0" w:firstRow="1" w:lastRow="0" w:firstColumn="1" w:lastColumn="0" w:noHBand="0" w:noVBand="1"/>
      </w:tblPr>
      <w:tblGrid>
        <w:gridCol w:w="4420"/>
        <w:gridCol w:w="1132"/>
        <w:gridCol w:w="1211"/>
        <w:gridCol w:w="1132"/>
        <w:gridCol w:w="1132"/>
      </w:tblGrid>
      <w:tr w:rsidR="00C82209" w:rsidRPr="00C82209" w14:paraId="762EB17B" w14:textId="77777777" w:rsidTr="00BE28BC">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023995A6" w14:textId="6C6DBB48" w:rsidR="00C82209" w:rsidRPr="00C4270B" w:rsidRDefault="00C82209" w:rsidP="00AF7B68">
            <w:pPr>
              <w:pStyle w:val="BodyCopy"/>
              <w:spacing w:before="40" w:after="40"/>
              <w:jc w:val="center"/>
              <w:rPr>
                <w:b/>
                <w:bCs/>
                <w:sz w:val="20"/>
                <w:szCs w:val="20"/>
              </w:rPr>
            </w:pPr>
            <w:r w:rsidRPr="00C4270B">
              <w:rPr>
                <w:b/>
                <w:bCs/>
                <w:sz w:val="20"/>
                <w:szCs w:val="20"/>
              </w:rPr>
              <w:t>1 July 2022 – 30 June 2023</w:t>
            </w:r>
          </w:p>
        </w:tc>
      </w:tr>
      <w:tr w:rsidR="00C82209" w:rsidRPr="00C82209" w14:paraId="711609CB" w14:textId="77777777" w:rsidTr="00BE28BC">
        <w:trPr>
          <w:trHeight w:val="300"/>
        </w:trPr>
        <w:tc>
          <w:tcPr>
            <w:tcW w:w="9027" w:type="dxa"/>
            <w:gridSpan w:val="5"/>
            <w:vAlign w:val="center"/>
            <w:hideMark/>
          </w:tcPr>
          <w:p w14:paraId="785BB405" w14:textId="0D20B3A3" w:rsidR="00C82209" w:rsidRPr="00C4270B" w:rsidRDefault="00C82209" w:rsidP="00AF7B68">
            <w:pPr>
              <w:pStyle w:val="BodyCopy"/>
              <w:spacing w:before="40" w:after="40"/>
              <w:jc w:val="center"/>
              <w:rPr>
                <w:b/>
                <w:bCs/>
                <w:sz w:val="20"/>
                <w:szCs w:val="20"/>
              </w:rPr>
            </w:pPr>
            <w:r w:rsidRPr="00C4270B">
              <w:rPr>
                <w:b/>
                <w:bCs/>
                <w:sz w:val="20"/>
                <w:szCs w:val="20"/>
              </w:rPr>
              <w:t>DIVISION 1 – LOAD CARRYING VEHICLES ($)</w:t>
            </w:r>
          </w:p>
        </w:tc>
      </w:tr>
      <w:tr w:rsidR="00C82209" w:rsidRPr="00C82209" w14:paraId="72CE5126" w14:textId="77777777" w:rsidTr="00C82209">
        <w:trPr>
          <w:trHeight w:val="300"/>
        </w:trPr>
        <w:tc>
          <w:tcPr>
            <w:tcW w:w="4420" w:type="dxa"/>
            <w:hideMark/>
          </w:tcPr>
          <w:p w14:paraId="758292D3" w14:textId="7E94BFF6" w:rsidR="00C82209" w:rsidRPr="00C4270B" w:rsidRDefault="00C82209" w:rsidP="00AF7B68">
            <w:pPr>
              <w:pStyle w:val="BodyCopy"/>
              <w:spacing w:before="40" w:after="40"/>
              <w:rPr>
                <w:b/>
                <w:bCs/>
                <w:sz w:val="20"/>
                <w:szCs w:val="20"/>
              </w:rPr>
            </w:pPr>
            <w:r w:rsidRPr="00C4270B">
              <w:rPr>
                <w:b/>
                <w:bCs/>
                <w:sz w:val="20"/>
                <w:szCs w:val="20"/>
              </w:rPr>
              <w:t xml:space="preserve"> Vehicle </w:t>
            </w:r>
            <w:r w:rsidR="00314A7D" w:rsidRPr="00C4270B">
              <w:rPr>
                <w:b/>
                <w:bCs/>
                <w:sz w:val="20"/>
                <w:szCs w:val="20"/>
              </w:rPr>
              <w:t>t</w:t>
            </w:r>
            <w:r w:rsidRPr="00C4270B">
              <w:rPr>
                <w:b/>
                <w:bCs/>
                <w:sz w:val="20"/>
                <w:szCs w:val="20"/>
              </w:rPr>
              <w:t xml:space="preserve">ype </w:t>
            </w:r>
          </w:p>
        </w:tc>
        <w:tc>
          <w:tcPr>
            <w:tcW w:w="1132" w:type="dxa"/>
            <w:hideMark/>
          </w:tcPr>
          <w:p w14:paraId="2D47A004" w14:textId="2B954451" w:rsidR="00C82209" w:rsidRPr="00C4270B" w:rsidRDefault="00C82209"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2FD27A91" w14:textId="186AAC53" w:rsidR="00C82209" w:rsidRPr="00C4270B" w:rsidRDefault="00C82209"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38B4E099" w14:textId="4F6197E9" w:rsidR="00C82209" w:rsidRPr="00C4270B" w:rsidRDefault="00C82209"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0E1911D8" w14:textId="6E0DA27A" w:rsidR="00C82209" w:rsidRPr="00C4270B" w:rsidRDefault="00C82209"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C82209" w:rsidRPr="00C82209" w14:paraId="5F755AFB" w14:textId="77777777" w:rsidTr="00C82209">
        <w:trPr>
          <w:trHeight w:val="300"/>
        </w:trPr>
        <w:tc>
          <w:tcPr>
            <w:tcW w:w="4420" w:type="dxa"/>
            <w:hideMark/>
          </w:tcPr>
          <w:p w14:paraId="700C1C28" w14:textId="77777777" w:rsidR="00C82209" w:rsidRPr="00C4270B" w:rsidRDefault="00C82209" w:rsidP="00AF7B68">
            <w:pPr>
              <w:pStyle w:val="BodyCopy"/>
              <w:spacing w:before="40" w:after="40"/>
              <w:rPr>
                <w:b/>
                <w:bCs/>
                <w:sz w:val="20"/>
                <w:szCs w:val="20"/>
              </w:rPr>
            </w:pPr>
            <w:r w:rsidRPr="00C4270B">
              <w:rPr>
                <w:b/>
                <w:bCs/>
                <w:sz w:val="20"/>
                <w:szCs w:val="20"/>
              </w:rPr>
              <w:t xml:space="preserve"> Trucks </w:t>
            </w:r>
          </w:p>
        </w:tc>
        <w:tc>
          <w:tcPr>
            <w:tcW w:w="1132" w:type="dxa"/>
            <w:hideMark/>
          </w:tcPr>
          <w:p w14:paraId="1BA12664" w14:textId="77777777" w:rsidR="00C82209" w:rsidRPr="00C4270B" w:rsidRDefault="00C82209" w:rsidP="00AF7B68">
            <w:pPr>
              <w:pStyle w:val="BodyCopy"/>
              <w:spacing w:before="40" w:after="40"/>
              <w:rPr>
                <w:sz w:val="20"/>
                <w:szCs w:val="20"/>
              </w:rPr>
            </w:pPr>
            <w:r w:rsidRPr="00C4270B">
              <w:rPr>
                <w:sz w:val="20"/>
                <w:szCs w:val="20"/>
              </w:rPr>
              <w:t> </w:t>
            </w:r>
          </w:p>
        </w:tc>
        <w:tc>
          <w:tcPr>
            <w:tcW w:w="1211" w:type="dxa"/>
            <w:hideMark/>
          </w:tcPr>
          <w:p w14:paraId="104A878C"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163EC8B3"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01A62F68" w14:textId="77777777" w:rsidR="00C82209" w:rsidRPr="00C4270B" w:rsidRDefault="00C82209" w:rsidP="00AF7B68">
            <w:pPr>
              <w:pStyle w:val="BodyCopy"/>
              <w:spacing w:before="40" w:after="40"/>
              <w:rPr>
                <w:sz w:val="20"/>
                <w:szCs w:val="20"/>
              </w:rPr>
            </w:pPr>
            <w:r w:rsidRPr="00C4270B">
              <w:rPr>
                <w:sz w:val="20"/>
                <w:szCs w:val="20"/>
              </w:rPr>
              <w:t> </w:t>
            </w:r>
          </w:p>
        </w:tc>
      </w:tr>
      <w:tr w:rsidR="002E2433" w:rsidRPr="00C82209" w14:paraId="29489F86" w14:textId="77777777" w:rsidTr="00C82209">
        <w:trPr>
          <w:trHeight w:val="300"/>
        </w:trPr>
        <w:tc>
          <w:tcPr>
            <w:tcW w:w="4420" w:type="dxa"/>
            <w:hideMark/>
          </w:tcPr>
          <w:p w14:paraId="343043D9" w14:textId="77777777" w:rsidR="002E2433" w:rsidRPr="00C4270B" w:rsidRDefault="002E2433" w:rsidP="002E2433">
            <w:pPr>
              <w:pStyle w:val="BodyCopy"/>
              <w:spacing w:before="40" w:after="40"/>
              <w:rPr>
                <w:sz w:val="20"/>
                <w:szCs w:val="20"/>
              </w:rPr>
            </w:pPr>
            <w:r w:rsidRPr="00C4270B">
              <w:rPr>
                <w:sz w:val="20"/>
                <w:szCs w:val="20"/>
              </w:rPr>
              <w:t xml:space="preserve"> Truck (type 1) </w:t>
            </w:r>
          </w:p>
        </w:tc>
        <w:tc>
          <w:tcPr>
            <w:tcW w:w="1132" w:type="dxa"/>
            <w:hideMark/>
          </w:tcPr>
          <w:p w14:paraId="3AA7BA04" w14:textId="773098C1" w:rsidR="002E2433" w:rsidRPr="00BE28BC" w:rsidRDefault="002E2433" w:rsidP="002E2433">
            <w:pPr>
              <w:pStyle w:val="BodyCopy"/>
              <w:spacing w:before="40" w:after="40"/>
              <w:rPr>
                <w:sz w:val="20"/>
                <w:szCs w:val="20"/>
              </w:rPr>
            </w:pPr>
            <w:r w:rsidRPr="00BD61D2">
              <w:rPr>
                <w:sz w:val="20"/>
                <w:szCs w:val="20"/>
              </w:rPr>
              <w:t xml:space="preserve"> 433 </w:t>
            </w:r>
          </w:p>
        </w:tc>
        <w:tc>
          <w:tcPr>
            <w:tcW w:w="1211" w:type="dxa"/>
            <w:hideMark/>
          </w:tcPr>
          <w:p w14:paraId="4F9811A8" w14:textId="1E611628" w:rsidR="002E2433" w:rsidRPr="00BE28BC" w:rsidRDefault="002E2433" w:rsidP="002E2433">
            <w:pPr>
              <w:pStyle w:val="BodyCopy"/>
              <w:spacing w:before="40" w:after="40"/>
              <w:rPr>
                <w:sz w:val="20"/>
                <w:szCs w:val="20"/>
              </w:rPr>
            </w:pPr>
            <w:r w:rsidRPr="00BD61D2">
              <w:rPr>
                <w:sz w:val="20"/>
                <w:szCs w:val="20"/>
              </w:rPr>
              <w:t xml:space="preserve"> 769 </w:t>
            </w:r>
          </w:p>
        </w:tc>
        <w:tc>
          <w:tcPr>
            <w:tcW w:w="1132" w:type="dxa"/>
            <w:hideMark/>
          </w:tcPr>
          <w:p w14:paraId="17EA2A95" w14:textId="0D9BC1B2" w:rsidR="002E2433" w:rsidRPr="00BE28BC" w:rsidRDefault="002E2433" w:rsidP="002E2433">
            <w:pPr>
              <w:pStyle w:val="BodyCopy"/>
              <w:spacing w:before="40" w:after="40"/>
              <w:rPr>
                <w:sz w:val="20"/>
                <w:szCs w:val="20"/>
              </w:rPr>
            </w:pPr>
            <w:r w:rsidRPr="00BD61D2">
              <w:rPr>
                <w:sz w:val="20"/>
                <w:szCs w:val="20"/>
              </w:rPr>
              <w:t xml:space="preserve"> 769 </w:t>
            </w:r>
          </w:p>
        </w:tc>
        <w:tc>
          <w:tcPr>
            <w:tcW w:w="1132" w:type="dxa"/>
            <w:hideMark/>
          </w:tcPr>
          <w:p w14:paraId="0D7053B9" w14:textId="2B626FE1" w:rsidR="002E2433" w:rsidRPr="00BE28BC" w:rsidRDefault="002E2433" w:rsidP="002E2433">
            <w:pPr>
              <w:pStyle w:val="BodyCopy"/>
              <w:spacing w:before="40" w:after="40"/>
              <w:rPr>
                <w:sz w:val="20"/>
                <w:szCs w:val="20"/>
              </w:rPr>
            </w:pPr>
            <w:r w:rsidRPr="00BD61D2">
              <w:rPr>
                <w:sz w:val="20"/>
                <w:szCs w:val="20"/>
              </w:rPr>
              <w:t xml:space="preserve"> 769 </w:t>
            </w:r>
          </w:p>
        </w:tc>
      </w:tr>
      <w:tr w:rsidR="002E2433" w:rsidRPr="00C82209" w14:paraId="2D2E1086" w14:textId="77777777" w:rsidTr="00C82209">
        <w:trPr>
          <w:trHeight w:val="300"/>
        </w:trPr>
        <w:tc>
          <w:tcPr>
            <w:tcW w:w="4420" w:type="dxa"/>
            <w:hideMark/>
          </w:tcPr>
          <w:p w14:paraId="621C9DD0" w14:textId="77777777" w:rsidR="002E2433" w:rsidRPr="00C4270B" w:rsidRDefault="002E2433" w:rsidP="002E2433">
            <w:pPr>
              <w:pStyle w:val="BodyCopy"/>
              <w:spacing w:before="40" w:after="40"/>
              <w:rPr>
                <w:sz w:val="20"/>
                <w:szCs w:val="20"/>
              </w:rPr>
            </w:pPr>
            <w:r w:rsidRPr="00C4270B">
              <w:rPr>
                <w:sz w:val="20"/>
                <w:szCs w:val="20"/>
              </w:rPr>
              <w:t xml:space="preserve"> Truck (type 2) </w:t>
            </w:r>
          </w:p>
        </w:tc>
        <w:tc>
          <w:tcPr>
            <w:tcW w:w="1132" w:type="dxa"/>
            <w:hideMark/>
          </w:tcPr>
          <w:p w14:paraId="7EDF0EFF" w14:textId="7A6AD6A3" w:rsidR="002E2433" w:rsidRPr="00BE28BC" w:rsidRDefault="002E2433" w:rsidP="002E2433">
            <w:pPr>
              <w:pStyle w:val="BodyCopy"/>
              <w:spacing w:before="40" w:after="40"/>
              <w:rPr>
                <w:sz w:val="20"/>
                <w:szCs w:val="20"/>
              </w:rPr>
            </w:pPr>
            <w:r w:rsidRPr="00BD61D2">
              <w:rPr>
                <w:sz w:val="20"/>
                <w:szCs w:val="20"/>
              </w:rPr>
              <w:t xml:space="preserve"> 769 </w:t>
            </w:r>
          </w:p>
        </w:tc>
        <w:tc>
          <w:tcPr>
            <w:tcW w:w="1211" w:type="dxa"/>
            <w:hideMark/>
          </w:tcPr>
          <w:p w14:paraId="4E4F560E" w14:textId="6FB92B7D" w:rsidR="002E2433" w:rsidRPr="00BE28BC" w:rsidRDefault="002E2433" w:rsidP="002E2433">
            <w:pPr>
              <w:pStyle w:val="BodyCopy"/>
              <w:spacing w:before="40" w:after="40"/>
              <w:rPr>
                <w:sz w:val="20"/>
                <w:szCs w:val="20"/>
              </w:rPr>
            </w:pPr>
            <w:r w:rsidRPr="00BD61D2">
              <w:rPr>
                <w:sz w:val="20"/>
                <w:szCs w:val="20"/>
              </w:rPr>
              <w:t xml:space="preserve"> 873 </w:t>
            </w:r>
          </w:p>
        </w:tc>
        <w:tc>
          <w:tcPr>
            <w:tcW w:w="1132" w:type="dxa"/>
            <w:hideMark/>
          </w:tcPr>
          <w:p w14:paraId="54A53605" w14:textId="2DC6596A" w:rsidR="002E2433" w:rsidRPr="00BE28BC" w:rsidRDefault="002E2433" w:rsidP="002E2433">
            <w:pPr>
              <w:pStyle w:val="BodyCopy"/>
              <w:spacing w:before="40" w:after="40"/>
              <w:rPr>
                <w:sz w:val="20"/>
                <w:szCs w:val="20"/>
              </w:rPr>
            </w:pPr>
            <w:r w:rsidRPr="00BD61D2">
              <w:rPr>
                <w:sz w:val="20"/>
                <w:szCs w:val="20"/>
              </w:rPr>
              <w:t xml:space="preserve"> 873 </w:t>
            </w:r>
          </w:p>
        </w:tc>
        <w:tc>
          <w:tcPr>
            <w:tcW w:w="1132" w:type="dxa"/>
            <w:hideMark/>
          </w:tcPr>
          <w:p w14:paraId="61163CF9" w14:textId="2D610CDA" w:rsidR="002E2433" w:rsidRPr="00BE28BC" w:rsidRDefault="002E2433" w:rsidP="002E2433">
            <w:pPr>
              <w:pStyle w:val="BodyCopy"/>
              <w:spacing w:before="40" w:after="40"/>
              <w:rPr>
                <w:sz w:val="20"/>
                <w:szCs w:val="20"/>
              </w:rPr>
            </w:pPr>
            <w:r w:rsidRPr="00BD61D2">
              <w:rPr>
                <w:sz w:val="20"/>
                <w:szCs w:val="20"/>
              </w:rPr>
              <w:t xml:space="preserve"> 873 </w:t>
            </w:r>
          </w:p>
        </w:tc>
      </w:tr>
      <w:tr w:rsidR="002E2433" w:rsidRPr="00C82209" w14:paraId="39488BBA" w14:textId="77777777" w:rsidTr="00C82209">
        <w:trPr>
          <w:trHeight w:val="300"/>
        </w:trPr>
        <w:tc>
          <w:tcPr>
            <w:tcW w:w="4420" w:type="dxa"/>
            <w:hideMark/>
          </w:tcPr>
          <w:p w14:paraId="5B3CA604" w14:textId="77777777" w:rsidR="002E2433" w:rsidRPr="00C4270B" w:rsidRDefault="002E2433" w:rsidP="002E2433">
            <w:pPr>
              <w:pStyle w:val="BodyCopy"/>
              <w:spacing w:before="40" w:after="40"/>
              <w:rPr>
                <w:sz w:val="20"/>
                <w:szCs w:val="20"/>
              </w:rPr>
            </w:pPr>
            <w:r w:rsidRPr="00C4270B">
              <w:rPr>
                <w:sz w:val="20"/>
                <w:szCs w:val="20"/>
              </w:rPr>
              <w:t xml:space="preserve"> Short combination truck </w:t>
            </w:r>
          </w:p>
        </w:tc>
        <w:tc>
          <w:tcPr>
            <w:tcW w:w="1132" w:type="dxa"/>
            <w:hideMark/>
          </w:tcPr>
          <w:p w14:paraId="40B9D047" w14:textId="7F36DCC3" w:rsidR="002E2433" w:rsidRPr="00BE28BC" w:rsidRDefault="002E2433" w:rsidP="002E2433">
            <w:pPr>
              <w:pStyle w:val="BodyCopy"/>
              <w:spacing w:before="40" w:after="40"/>
              <w:rPr>
                <w:sz w:val="20"/>
                <w:szCs w:val="20"/>
              </w:rPr>
            </w:pPr>
            <w:r w:rsidRPr="00BD61D2">
              <w:rPr>
                <w:sz w:val="20"/>
                <w:szCs w:val="20"/>
              </w:rPr>
              <w:t xml:space="preserve"> 769 </w:t>
            </w:r>
          </w:p>
        </w:tc>
        <w:tc>
          <w:tcPr>
            <w:tcW w:w="1211" w:type="dxa"/>
            <w:hideMark/>
          </w:tcPr>
          <w:p w14:paraId="3378120E" w14:textId="76C00F4F" w:rsidR="002E2433" w:rsidRPr="00BE28BC" w:rsidRDefault="002E2433" w:rsidP="002E2433">
            <w:pPr>
              <w:pStyle w:val="BodyCopy"/>
              <w:spacing w:before="40" w:after="40"/>
              <w:rPr>
                <w:sz w:val="20"/>
                <w:szCs w:val="20"/>
              </w:rPr>
            </w:pPr>
            <w:r w:rsidRPr="00BD61D2">
              <w:rPr>
                <w:sz w:val="20"/>
                <w:szCs w:val="20"/>
              </w:rPr>
              <w:t xml:space="preserve"> 873 </w:t>
            </w:r>
          </w:p>
        </w:tc>
        <w:tc>
          <w:tcPr>
            <w:tcW w:w="1132" w:type="dxa"/>
            <w:hideMark/>
          </w:tcPr>
          <w:p w14:paraId="205969E5" w14:textId="41184E3F" w:rsidR="002E2433" w:rsidRPr="00BE28BC" w:rsidRDefault="002E2433" w:rsidP="002E2433">
            <w:pPr>
              <w:pStyle w:val="BodyCopy"/>
              <w:spacing w:before="40" w:after="40"/>
              <w:rPr>
                <w:sz w:val="20"/>
                <w:szCs w:val="20"/>
              </w:rPr>
            </w:pPr>
            <w:r w:rsidRPr="00BD61D2">
              <w:rPr>
                <w:sz w:val="20"/>
                <w:szCs w:val="20"/>
              </w:rPr>
              <w:t xml:space="preserve"> 1,782 </w:t>
            </w:r>
          </w:p>
        </w:tc>
        <w:tc>
          <w:tcPr>
            <w:tcW w:w="1132" w:type="dxa"/>
            <w:hideMark/>
          </w:tcPr>
          <w:p w14:paraId="2140429F" w14:textId="5C7EAD2A" w:rsidR="002E2433" w:rsidRPr="00BE28BC" w:rsidRDefault="002E2433" w:rsidP="002E2433">
            <w:pPr>
              <w:pStyle w:val="BodyCopy"/>
              <w:spacing w:before="40" w:after="40"/>
              <w:rPr>
                <w:sz w:val="20"/>
                <w:szCs w:val="20"/>
              </w:rPr>
            </w:pPr>
            <w:r w:rsidRPr="00BD61D2">
              <w:rPr>
                <w:sz w:val="20"/>
                <w:szCs w:val="20"/>
              </w:rPr>
              <w:t xml:space="preserve"> 1,782 </w:t>
            </w:r>
          </w:p>
        </w:tc>
      </w:tr>
      <w:tr w:rsidR="002E2433" w:rsidRPr="00C82209" w14:paraId="3CF34CD4" w14:textId="77777777" w:rsidTr="00C82209">
        <w:trPr>
          <w:trHeight w:val="300"/>
        </w:trPr>
        <w:tc>
          <w:tcPr>
            <w:tcW w:w="4420" w:type="dxa"/>
            <w:hideMark/>
          </w:tcPr>
          <w:p w14:paraId="2F2540BA" w14:textId="77777777" w:rsidR="002E2433" w:rsidRPr="00C4270B" w:rsidRDefault="002E2433" w:rsidP="002E2433">
            <w:pPr>
              <w:pStyle w:val="BodyCopy"/>
              <w:spacing w:before="40" w:after="40"/>
              <w:rPr>
                <w:sz w:val="20"/>
                <w:szCs w:val="20"/>
              </w:rPr>
            </w:pPr>
            <w:r w:rsidRPr="00C4270B">
              <w:rPr>
                <w:sz w:val="20"/>
                <w:szCs w:val="20"/>
              </w:rPr>
              <w:t xml:space="preserve"> Medium combination truck </w:t>
            </w:r>
          </w:p>
        </w:tc>
        <w:tc>
          <w:tcPr>
            <w:tcW w:w="1132" w:type="dxa"/>
            <w:hideMark/>
          </w:tcPr>
          <w:p w14:paraId="4330F776" w14:textId="02C5FBC7" w:rsidR="002E2433" w:rsidRPr="00BE28BC" w:rsidRDefault="002E2433" w:rsidP="002E2433">
            <w:pPr>
              <w:pStyle w:val="BodyCopy"/>
              <w:spacing w:before="40" w:after="40"/>
              <w:rPr>
                <w:sz w:val="20"/>
                <w:szCs w:val="20"/>
              </w:rPr>
            </w:pPr>
            <w:r w:rsidRPr="00BD61D2">
              <w:rPr>
                <w:sz w:val="20"/>
                <w:szCs w:val="20"/>
              </w:rPr>
              <w:t xml:space="preserve"> 9,364 </w:t>
            </w:r>
          </w:p>
        </w:tc>
        <w:tc>
          <w:tcPr>
            <w:tcW w:w="1211" w:type="dxa"/>
            <w:hideMark/>
          </w:tcPr>
          <w:p w14:paraId="4892462E" w14:textId="0058BAC4" w:rsidR="002E2433" w:rsidRPr="00BE28BC" w:rsidRDefault="002E2433" w:rsidP="002E2433">
            <w:pPr>
              <w:pStyle w:val="BodyCopy"/>
              <w:spacing w:before="40" w:after="40"/>
              <w:rPr>
                <w:sz w:val="20"/>
                <w:szCs w:val="20"/>
              </w:rPr>
            </w:pPr>
            <w:r w:rsidRPr="00BD61D2">
              <w:rPr>
                <w:sz w:val="20"/>
                <w:szCs w:val="20"/>
              </w:rPr>
              <w:t xml:space="preserve"> 9,364 </w:t>
            </w:r>
          </w:p>
        </w:tc>
        <w:tc>
          <w:tcPr>
            <w:tcW w:w="1132" w:type="dxa"/>
            <w:hideMark/>
          </w:tcPr>
          <w:p w14:paraId="2E9B2429" w14:textId="6701B0E4" w:rsidR="002E2433" w:rsidRPr="00BE28BC" w:rsidRDefault="002E2433" w:rsidP="002E2433">
            <w:pPr>
              <w:pStyle w:val="BodyCopy"/>
              <w:spacing w:before="40" w:after="40"/>
              <w:rPr>
                <w:sz w:val="20"/>
                <w:szCs w:val="20"/>
              </w:rPr>
            </w:pPr>
            <w:r w:rsidRPr="00BD61D2">
              <w:rPr>
                <w:sz w:val="20"/>
                <w:szCs w:val="20"/>
              </w:rPr>
              <w:t xml:space="preserve"> 10,114 </w:t>
            </w:r>
          </w:p>
        </w:tc>
        <w:tc>
          <w:tcPr>
            <w:tcW w:w="1132" w:type="dxa"/>
            <w:hideMark/>
          </w:tcPr>
          <w:p w14:paraId="10C6FD62" w14:textId="46EC1ACD" w:rsidR="002E2433" w:rsidRPr="00BE28BC" w:rsidRDefault="002E2433" w:rsidP="002E2433">
            <w:pPr>
              <w:pStyle w:val="BodyCopy"/>
              <w:spacing w:before="40" w:after="40"/>
              <w:rPr>
                <w:sz w:val="20"/>
                <w:szCs w:val="20"/>
              </w:rPr>
            </w:pPr>
            <w:r w:rsidRPr="00BD61D2">
              <w:rPr>
                <w:sz w:val="20"/>
                <w:szCs w:val="20"/>
              </w:rPr>
              <w:t xml:space="preserve"> 10,114 </w:t>
            </w:r>
          </w:p>
        </w:tc>
      </w:tr>
      <w:tr w:rsidR="002E2433" w:rsidRPr="00C82209" w14:paraId="129937BF" w14:textId="77777777" w:rsidTr="00C82209">
        <w:trPr>
          <w:trHeight w:val="300"/>
        </w:trPr>
        <w:tc>
          <w:tcPr>
            <w:tcW w:w="4420" w:type="dxa"/>
            <w:hideMark/>
          </w:tcPr>
          <w:p w14:paraId="5CD72BA5" w14:textId="77777777" w:rsidR="002E2433" w:rsidRPr="00C4270B" w:rsidRDefault="002E2433" w:rsidP="002E2433">
            <w:pPr>
              <w:pStyle w:val="BodyCopy"/>
              <w:spacing w:before="40" w:after="40"/>
              <w:rPr>
                <w:sz w:val="20"/>
                <w:szCs w:val="20"/>
              </w:rPr>
            </w:pPr>
            <w:r w:rsidRPr="00C4270B">
              <w:rPr>
                <w:sz w:val="20"/>
                <w:szCs w:val="20"/>
              </w:rPr>
              <w:t xml:space="preserve"> Long combination truck </w:t>
            </w:r>
          </w:p>
        </w:tc>
        <w:tc>
          <w:tcPr>
            <w:tcW w:w="1132" w:type="dxa"/>
            <w:hideMark/>
          </w:tcPr>
          <w:p w14:paraId="45B22F7C" w14:textId="6ACCFD57" w:rsidR="002E2433" w:rsidRPr="00BE28BC" w:rsidRDefault="002E2433" w:rsidP="002E2433">
            <w:pPr>
              <w:pStyle w:val="BodyCopy"/>
              <w:spacing w:before="40" w:after="40"/>
              <w:rPr>
                <w:sz w:val="20"/>
                <w:szCs w:val="20"/>
              </w:rPr>
            </w:pPr>
            <w:r w:rsidRPr="00BD61D2">
              <w:rPr>
                <w:sz w:val="20"/>
                <w:szCs w:val="20"/>
              </w:rPr>
              <w:t xml:space="preserve"> 12,945 </w:t>
            </w:r>
          </w:p>
        </w:tc>
        <w:tc>
          <w:tcPr>
            <w:tcW w:w="1211" w:type="dxa"/>
            <w:hideMark/>
          </w:tcPr>
          <w:p w14:paraId="5FD47A04" w14:textId="551FEEC3" w:rsidR="002E2433" w:rsidRPr="00BE28BC" w:rsidRDefault="002E2433" w:rsidP="002E2433">
            <w:pPr>
              <w:pStyle w:val="BodyCopy"/>
              <w:spacing w:before="40" w:after="40"/>
              <w:rPr>
                <w:sz w:val="20"/>
                <w:szCs w:val="20"/>
              </w:rPr>
            </w:pPr>
            <w:r w:rsidRPr="00BD61D2">
              <w:rPr>
                <w:sz w:val="20"/>
                <w:szCs w:val="20"/>
              </w:rPr>
              <w:t xml:space="preserve"> 12,945 </w:t>
            </w:r>
          </w:p>
        </w:tc>
        <w:tc>
          <w:tcPr>
            <w:tcW w:w="1132" w:type="dxa"/>
            <w:hideMark/>
          </w:tcPr>
          <w:p w14:paraId="7559E0B7" w14:textId="451787EE" w:rsidR="002E2433" w:rsidRPr="00BE28BC" w:rsidRDefault="002E2433" w:rsidP="002E2433">
            <w:pPr>
              <w:pStyle w:val="BodyCopy"/>
              <w:spacing w:before="40" w:after="40"/>
              <w:rPr>
                <w:sz w:val="20"/>
                <w:szCs w:val="20"/>
              </w:rPr>
            </w:pPr>
            <w:r w:rsidRPr="00BD61D2">
              <w:rPr>
                <w:sz w:val="20"/>
                <w:szCs w:val="20"/>
              </w:rPr>
              <w:t xml:space="preserve"> 12,945 </w:t>
            </w:r>
          </w:p>
        </w:tc>
        <w:tc>
          <w:tcPr>
            <w:tcW w:w="1132" w:type="dxa"/>
            <w:hideMark/>
          </w:tcPr>
          <w:p w14:paraId="140EB096" w14:textId="32C68E2D" w:rsidR="002E2433" w:rsidRPr="00BE28BC" w:rsidRDefault="002E2433" w:rsidP="002E2433">
            <w:pPr>
              <w:pStyle w:val="BodyCopy"/>
              <w:spacing w:before="40" w:after="40"/>
              <w:rPr>
                <w:sz w:val="20"/>
                <w:szCs w:val="20"/>
              </w:rPr>
            </w:pPr>
            <w:r w:rsidRPr="00BD61D2">
              <w:rPr>
                <w:sz w:val="20"/>
                <w:szCs w:val="20"/>
              </w:rPr>
              <w:t xml:space="preserve"> 12,945 </w:t>
            </w:r>
          </w:p>
        </w:tc>
      </w:tr>
      <w:tr w:rsidR="002E2433" w:rsidRPr="00C82209" w14:paraId="7ADAAA98" w14:textId="77777777" w:rsidTr="00C82209">
        <w:trPr>
          <w:trHeight w:val="300"/>
        </w:trPr>
        <w:tc>
          <w:tcPr>
            <w:tcW w:w="4420" w:type="dxa"/>
            <w:hideMark/>
          </w:tcPr>
          <w:p w14:paraId="1AFC5848" w14:textId="1C1F248C" w:rsidR="002E2433" w:rsidRPr="00C4270B" w:rsidRDefault="002E2433" w:rsidP="002E2433">
            <w:pPr>
              <w:pStyle w:val="BodyCopy"/>
              <w:spacing w:before="40" w:after="40"/>
              <w:rPr>
                <w:b/>
                <w:bCs/>
                <w:sz w:val="20"/>
                <w:szCs w:val="20"/>
              </w:rPr>
            </w:pPr>
            <w:r w:rsidRPr="00C4270B">
              <w:rPr>
                <w:b/>
                <w:bCs/>
                <w:sz w:val="20"/>
                <w:szCs w:val="20"/>
              </w:rPr>
              <w:t xml:space="preserve"> Prime movers </w:t>
            </w:r>
          </w:p>
        </w:tc>
        <w:tc>
          <w:tcPr>
            <w:tcW w:w="1132" w:type="dxa"/>
            <w:hideMark/>
          </w:tcPr>
          <w:p w14:paraId="5DD376FB" w14:textId="7756C898" w:rsidR="002E2433" w:rsidRPr="00876657" w:rsidRDefault="002E2433" w:rsidP="002E2433">
            <w:pPr>
              <w:pStyle w:val="BodyCopy"/>
              <w:spacing w:before="40" w:after="40"/>
              <w:rPr>
                <w:sz w:val="20"/>
                <w:szCs w:val="20"/>
              </w:rPr>
            </w:pPr>
          </w:p>
        </w:tc>
        <w:tc>
          <w:tcPr>
            <w:tcW w:w="1211" w:type="dxa"/>
            <w:hideMark/>
          </w:tcPr>
          <w:p w14:paraId="14885733" w14:textId="575A689A" w:rsidR="002E2433" w:rsidRPr="00876657" w:rsidRDefault="002E2433" w:rsidP="002E2433">
            <w:pPr>
              <w:pStyle w:val="BodyCopy"/>
              <w:spacing w:before="40" w:after="40"/>
              <w:rPr>
                <w:sz w:val="20"/>
                <w:szCs w:val="20"/>
              </w:rPr>
            </w:pPr>
          </w:p>
        </w:tc>
        <w:tc>
          <w:tcPr>
            <w:tcW w:w="1132" w:type="dxa"/>
            <w:hideMark/>
          </w:tcPr>
          <w:p w14:paraId="4D85F51A" w14:textId="426BBFAD" w:rsidR="002E2433" w:rsidRPr="00876657" w:rsidRDefault="002E2433" w:rsidP="002E2433">
            <w:pPr>
              <w:pStyle w:val="BodyCopy"/>
              <w:spacing w:before="40" w:after="40"/>
              <w:rPr>
                <w:sz w:val="20"/>
                <w:szCs w:val="20"/>
              </w:rPr>
            </w:pPr>
          </w:p>
        </w:tc>
        <w:tc>
          <w:tcPr>
            <w:tcW w:w="1132" w:type="dxa"/>
            <w:hideMark/>
          </w:tcPr>
          <w:p w14:paraId="2718BB6A" w14:textId="3AA5209F" w:rsidR="002E2433" w:rsidRPr="00876657" w:rsidRDefault="002E2433" w:rsidP="002E2433">
            <w:pPr>
              <w:pStyle w:val="BodyCopy"/>
              <w:spacing w:before="40" w:after="40"/>
              <w:rPr>
                <w:sz w:val="20"/>
                <w:szCs w:val="20"/>
              </w:rPr>
            </w:pPr>
          </w:p>
        </w:tc>
      </w:tr>
      <w:tr w:rsidR="002E2433" w:rsidRPr="00C82209" w14:paraId="7C460AB0" w14:textId="77777777" w:rsidTr="00C82209">
        <w:trPr>
          <w:trHeight w:val="300"/>
        </w:trPr>
        <w:tc>
          <w:tcPr>
            <w:tcW w:w="4420" w:type="dxa"/>
            <w:hideMark/>
          </w:tcPr>
          <w:p w14:paraId="31CF884C" w14:textId="77777777" w:rsidR="002E2433" w:rsidRPr="00C4270B" w:rsidRDefault="002E2433" w:rsidP="002E2433">
            <w:pPr>
              <w:pStyle w:val="BodyCopy"/>
              <w:spacing w:before="40" w:after="40"/>
              <w:rPr>
                <w:sz w:val="20"/>
                <w:szCs w:val="20"/>
              </w:rPr>
            </w:pPr>
            <w:r w:rsidRPr="00C4270B">
              <w:rPr>
                <w:sz w:val="20"/>
                <w:szCs w:val="20"/>
              </w:rPr>
              <w:t xml:space="preserve"> Short combination prime mover </w:t>
            </w:r>
          </w:p>
        </w:tc>
        <w:tc>
          <w:tcPr>
            <w:tcW w:w="1132" w:type="dxa"/>
            <w:hideMark/>
          </w:tcPr>
          <w:p w14:paraId="01ACA7DA" w14:textId="06493097" w:rsidR="002E2433" w:rsidRPr="00BE28BC" w:rsidRDefault="002E2433" w:rsidP="002E2433">
            <w:pPr>
              <w:pStyle w:val="BodyCopy"/>
              <w:spacing w:before="40" w:after="40"/>
              <w:rPr>
                <w:sz w:val="20"/>
                <w:szCs w:val="20"/>
              </w:rPr>
            </w:pPr>
            <w:r w:rsidRPr="00BD61D2">
              <w:rPr>
                <w:sz w:val="20"/>
                <w:szCs w:val="20"/>
              </w:rPr>
              <w:t xml:space="preserve"> 757 </w:t>
            </w:r>
          </w:p>
        </w:tc>
        <w:tc>
          <w:tcPr>
            <w:tcW w:w="1211" w:type="dxa"/>
            <w:hideMark/>
          </w:tcPr>
          <w:p w14:paraId="57AFFA4F" w14:textId="40D9B4F9" w:rsidR="002E2433" w:rsidRPr="00BE28BC" w:rsidRDefault="002E2433" w:rsidP="002E2433">
            <w:pPr>
              <w:pStyle w:val="BodyCopy"/>
              <w:spacing w:before="40" w:after="40"/>
              <w:rPr>
                <w:sz w:val="20"/>
                <w:szCs w:val="20"/>
              </w:rPr>
            </w:pPr>
            <w:r w:rsidRPr="00BD61D2">
              <w:rPr>
                <w:sz w:val="20"/>
                <w:szCs w:val="20"/>
              </w:rPr>
              <w:t xml:space="preserve"> 4,319 </w:t>
            </w:r>
          </w:p>
        </w:tc>
        <w:tc>
          <w:tcPr>
            <w:tcW w:w="1132" w:type="dxa"/>
            <w:hideMark/>
          </w:tcPr>
          <w:p w14:paraId="152297AC" w14:textId="7B007D0F" w:rsidR="002E2433" w:rsidRPr="00BE28BC" w:rsidRDefault="002E2433" w:rsidP="002E2433">
            <w:pPr>
              <w:pStyle w:val="BodyCopy"/>
              <w:spacing w:before="40" w:after="40"/>
              <w:rPr>
                <w:sz w:val="20"/>
                <w:szCs w:val="20"/>
              </w:rPr>
            </w:pPr>
            <w:r w:rsidRPr="00BD61D2">
              <w:rPr>
                <w:sz w:val="20"/>
                <w:szCs w:val="20"/>
              </w:rPr>
              <w:t xml:space="preserve"> 4,643 </w:t>
            </w:r>
          </w:p>
        </w:tc>
        <w:tc>
          <w:tcPr>
            <w:tcW w:w="1132" w:type="dxa"/>
            <w:hideMark/>
          </w:tcPr>
          <w:p w14:paraId="6B216C56" w14:textId="5CCAA906" w:rsidR="002E2433" w:rsidRPr="00BE28BC" w:rsidRDefault="002E2433" w:rsidP="002E2433">
            <w:pPr>
              <w:pStyle w:val="BodyCopy"/>
              <w:spacing w:before="40" w:after="40"/>
              <w:rPr>
                <w:sz w:val="20"/>
                <w:szCs w:val="20"/>
              </w:rPr>
            </w:pPr>
            <w:r w:rsidRPr="00BD61D2">
              <w:rPr>
                <w:sz w:val="20"/>
                <w:szCs w:val="20"/>
              </w:rPr>
              <w:t xml:space="preserve"> 4,643 </w:t>
            </w:r>
          </w:p>
        </w:tc>
      </w:tr>
      <w:tr w:rsidR="002E2433" w:rsidRPr="00C82209" w14:paraId="606C2CC6" w14:textId="77777777" w:rsidTr="00C82209">
        <w:trPr>
          <w:trHeight w:val="300"/>
        </w:trPr>
        <w:tc>
          <w:tcPr>
            <w:tcW w:w="4420" w:type="dxa"/>
            <w:hideMark/>
          </w:tcPr>
          <w:p w14:paraId="2614EE10" w14:textId="77777777" w:rsidR="002E2433" w:rsidRPr="00C4270B" w:rsidRDefault="002E2433" w:rsidP="002E2433">
            <w:pPr>
              <w:pStyle w:val="BodyCopy"/>
              <w:spacing w:before="40" w:after="40"/>
              <w:rPr>
                <w:sz w:val="20"/>
                <w:szCs w:val="20"/>
              </w:rPr>
            </w:pPr>
            <w:r w:rsidRPr="00C4270B">
              <w:rPr>
                <w:sz w:val="20"/>
                <w:szCs w:val="20"/>
              </w:rPr>
              <w:t xml:space="preserve"> Multi-combination prime mover </w:t>
            </w:r>
          </w:p>
        </w:tc>
        <w:tc>
          <w:tcPr>
            <w:tcW w:w="1132" w:type="dxa"/>
            <w:hideMark/>
          </w:tcPr>
          <w:p w14:paraId="0BFD937D" w14:textId="65C33FB1" w:rsidR="002E2433" w:rsidRPr="00BE28BC" w:rsidRDefault="002E2433" w:rsidP="002E2433">
            <w:pPr>
              <w:pStyle w:val="BodyCopy"/>
              <w:spacing w:before="40" w:after="40"/>
              <w:rPr>
                <w:sz w:val="20"/>
                <w:szCs w:val="20"/>
              </w:rPr>
            </w:pPr>
            <w:r w:rsidRPr="00BD61D2">
              <w:rPr>
                <w:sz w:val="20"/>
                <w:szCs w:val="20"/>
              </w:rPr>
              <w:t xml:space="preserve"> 10,957 </w:t>
            </w:r>
          </w:p>
        </w:tc>
        <w:tc>
          <w:tcPr>
            <w:tcW w:w="1211" w:type="dxa"/>
            <w:hideMark/>
          </w:tcPr>
          <w:p w14:paraId="1A0FD451" w14:textId="0E6F5474" w:rsidR="002E2433" w:rsidRPr="00BE28BC" w:rsidRDefault="002E2433" w:rsidP="002E2433">
            <w:pPr>
              <w:pStyle w:val="BodyCopy"/>
              <w:spacing w:before="40" w:after="40"/>
              <w:rPr>
                <w:sz w:val="20"/>
                <w:szCs w:val="20"/>
              </w:rPr>
            </w:pPr>
            <w:r w:rsidRPr="00BD61D2">
              <w:rPr>
                <w:sz w:val="20"/>
                <w:szCs w:val="20"/>
              </w:rPr>
              <w:t xml:space="preserve"> 10,957 </w:t>
            </w:r>
          </w:p>
        </w:tc>
        <w:tc>
          <w:tcPr>
            <w:tcW w:w="1132" w:type="dxa"/>
            <w:hideMark/>
          </w:tcPr>
          <w:p w14:paraId="6C50D9DA" w14:textId="60078FE0" w:rsidR="002E2433" w:rsidRPr="00BE28BC" w:rsidRDefault="002E2433" w:rsidP="002E2433">
            <w:pPr>
              <w:pStyle w:val="BodyCopy"/>
              <w:spacing w:before="40" w:after="40"/>
              <w:rPr>
                <w:sz w:val="20"/>
                <w:szCs w:val="20"/>
              </w:rPr>
            </w:pPr>
            <w:r w:rsidRPr="00BD61D2">
              <w:rPr>
                <w:sz w:val="20"/>
                <w:szCs w:val="20"/>
              </w:rPr>
              <w:t xml:space="preserve"> 12,053 </w:t>
            </w:r>
          </w:p>
        </w:tc>
        <w:tc>
          <w:tcPr>
            <w:tcW w:w="1132" w:type="dxa"/>
            <w:hideMark/>
          </w:tcPr>
          <w:p w14:paraId="74C26366" w14:textId="1D2764E3" w:rsidR="002E2433" w:rsidRPr="00BE28BC" w:rsidRDefault="002E2433" w:rsidP="002E2433">
            <w:pPr>
              <w:pStyle w:val="BodyCopy"/>
              <w:spacing w:before="40" w:after="40"/>
              <w:rPr>
                <w:sz w:val="20"/>
                <w:szCs w:val="20"/>
              </w:rPr>
            </w:pPr>
            <w:r w:rsidRPr="00BD61D2">
              <w:rPr>
                <w:sz w:val="20"/>
                <w:szCs w:val="20"/>
              </w:rPr>
              <w:t xml:space="preserve"> 12,053 </w:t>
            </w:r>
          </w:p>
        </w:tc>
      </w:tr>
      <w:tr w:rsidR="00C82209" w:rsidRPr="00C82209" w14:paraId="32010EFE" w14:textId="77777777" w:rsidTr="00BE28BC">
        <w:trPr>
          <w:trHeight w:val="300"/>
        </w:trPr>
        <w:tc>
          <w:tcPr>
            <w:tcW w:w="9027" w:type="dxa"/>
            <w:gridSpan w:val="5"/>
            <w:vAlign w:val="center"/>
            <w:hideMark/>
          </w:tcPr>
          <w:p w14:paraId="30FE9759" w14:textId="79ADC2C2" w:rsidR="00C82209" w:rsidRPr="00C4270B" w:rsidRDefault="00C82209" w:rsidP="00AF7B68">
            <w:pPr>
              <w:pStyle w:val="BodyCopy"/>
              <w:spacing w:before="40" w:after="40"/>
              <w:jc w:val="center"/>
              <w:rPr>
                <w:b/>
                <w:bCs/>
                <w:sz w:val="20"/>
                <w:szCs w:val="20"/>
              </w:rPr>
            </w:pPr>
            <w:r w:rsidRPr="00C4270B">
              <w:rPr>
                <w:b/>
                <w:bCs/>
                <w:sz w:val="20"/>
                <w:szCs w:val="20"/>
              </w:rPr>
              <w:t>DIVISION 2 – LOAD CARRYING TRAILERS ($)</w:t>
            </w:r>
          </w:p>
        </w:tc>
      </w:tr>
      <w:tr w:rsidR="00C82209" w:rsidRPr="00C82209" w14:paraId="49FF276B" w14:textId="77777777" w:rsidTr="00C82209">
        <w:trPr>
          <w:trHeight w:val="900"/>
        </w:trPr>
        <w:tc>
          <w:tcPr>
            <w:tcW w:w="4420" w:type="dxa"/>
            <w:hideMark/>
          </w:tcPr>
          <w:p w14:paraId="6DA9020F" w14:textId="77777777" w:rsidR="00C82209" w:rsidRPr="00C4270B" w:rsidRDefault="00C82209"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07C0E6D9" w14:textId="225CEC06" w:rsidR="00C82209" w:rsidRPr="00C4270B" w:rsidRDefault="00C82209"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0E64CDCE" w14:textId="0DD0DA91" w:rsidR="00C82209" w:rsidRPr="00C4270B" w:rsidRDefault="00C82209"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4C380970" w14:textId="3CC98D5E" w:rsidR="00C82209" w:rsidRPr="00C4270B" w:rsidRDefault="00C82209"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1CCEF0F8" w14:textId="1D87D97F" w:rsidR="00C82209" w:rsidRPr="00C4270B" w:rsidRDefault="00C82209"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C82209" w:rsidRPr="00C82209" w14:paraId="6492F0CA" w14:textId="77777777" w:rsidTr="00C82209">
        <w:trPr>
          <w:trHeight w:val="300"/>
        </w:trPr>
        <w:tc>
          <w:tcPr>
            <w:tcW w:w="4420" w:type="dxa"/>
            <w:hideMark/>
          </w:tcPr>
          <w:p w14:paraId="5C981F18" w14:textId="71C9DD02" w:rsidR="00C82209" w:rsidRPr="00C4270B" w:rsidRDefault="00C82209" w:rsidP="00AF7B68">
            <w:pPr>
              <w:pStyle w:val="BodyCopy"/>
              <w:spacing w:before="40" w:after="40"/>
              <w:rPr>
                <w:b/>
                <w:bCs/>
                <w:sz w:val="20"/>
                <w:szCs w:val="20"/>
              </w:rPr>
            </w:pPr>
            <w:r w:rsidRPr="00C4270B">
              <w:rPr>
                <w:b/>
                <w:bCs/>
                <w:sz w:val="20"/>
                <w:szCs w:val="20"/>
              </w:rPr>
              <w:t xml:space="preserve"> Trailer </w:t>
            </w:r>
            <w:r w:rsidR="00314A7D" w:rsidRPr="00C4270B">
              <w:rPr>
                <w:b/>
                <w:bCs/>
                <w:sz w:val="20"/>
                <w:szCs w:val="20"/>
              </w:rPr>
              <w:t>t</w:t>
            </w:r>
            <w:r w:rsidRPr="00C4270B">
              <w:rPr>
                <w:b/>
                <w:bCs/>
                <w:sz w:val="20"/>
                <w:szCs w:val="20"/>
              </w:rPr>
              <w:t xml:space="preserve">ype </w:t>
            </w:r>
          </w:p>
        </w:tc>
        <w:tc>
          <w:tcPr>
            <w:tcW w:w="1132" w:type="dxa"/>
            <w:hideMark/>
          </w:tcPr>
          <w:p w14:paraId="52EDB2C9" w14:textId="77777777" w:rsidR="00C82209" w:rsidRPr="00C4270B" w:rsidRDefault="00C82209" w:rsidP="00AF7B68">
            <w:pPr>
              <w:pStyle w:val="BodyCopy"/>
              <w:spacing w:before="40" w:after="40"/>
              <w:rPr>
                <w:sz w:val="20"/>
                <w:szCs w:val="20"/>
              </w:rPr>
            </w:pPr>
            <w:r w:rsidRPr="00C4270B">
              <w:rPr>
                <w:sz w:val="20"/>
                <w:szCs w:val="20"/>
              </w:rPr>
              <w:t> </w:t>
            </w:r>
          </w:p>
        </w:tc>
        <w:tc>
          <w:tcPr>
            <w:tcW w:w="1211" w:type="dxa"/>
            <w:hideMark/>
          </w:tcPr>
          <w:p w14:paraId="03F0A569"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42065F32" w14:textId="77777777" w:rsidR="00C82209" w:rsidRPr="00C4270B" w:rsidRDefault="00C82209" w:rsidP="00AF7B68">
            <w:pPr>
              <w:pStyle w:val="BodyCopy"/>
              <w:spacing w:before="40" w:after="40"/>
              <w:rPr>
                <w:sz w:val="20"/>
                <w:szCs w:val="20"/>
              </w:rPr>
            </w:pPr>
            <w:r w:rsidRPr="00C4270B">
              <w:rPr>
                <w:sz w:val="20"/>
                <w:szCs w:val="20"/>
              </w:rPr>
              <w:t> </w:t>
            </w:r>
          </w:p>
        </w:tc>
        <w:tc>
          <w:tcPr>
            <w:tcW w:w="1132" w:type="dxa"/>
            <w:hideMark/>
          </w:tcPr>
          <w:p w14:paraId="097EE7E5" w14:textId="77777777" w:rsidR="00C82209" w:rsidRPr="00C4270B" w:rsidRDefault="00C82209" w:rsidP="00AF7B68">
            <w:pPr>
              <w:pStyle w:val="BodyCopy"/>
              <w:spacing w:before="40" w:after="40"/>
              <w:rPr>
                <w:sz w:val="20"/>
                <w:szCs w:val="20"/>
              </w:rPr>
            </w:pPr>
            <w:r w:rsidRPr="00C4270B">
              <w:rPr>
                <w:sz w:val="20"/>
                <w:szCs w:val="20"/>
              </w:rPr>
              <w:t> </w:t>
            </w:r>
          </w:p>
        </w:tc>
      </w:tr>
      <w:tr w:rsidR="007C26C4" w:rsidRPr="00C82209" w14:paraId="5EF5A243" w14:textId="77777777" w:rsidTr="00C82209">
        <w:trPr>
          <w:trHeight w:val="300"/>
        </w:trPr>
        <w:tc>
          <w:tcPr>
            <w:tcW w:w="4420" w:type="dxa"/>
            <w:hideMark/>
          </w:tcPr>
          <w:p w14:paraId="742C62DA" w14:textId="683080DF" w:rsidR="007C26C4" w:rsidRPr="00C4270B" w:rsidRDefault="007C26C4" w:rsidP="007C26C4">
            <w:pPr>
              <w:pStyle w:val="BodyCopy"/>
              <w:spacing w:before="40" w:after="40"/>
              <w:rPr>
                <w:sz w:val="20"/>
                <w:szCs w:val="20"/>
              </w:rPr>
            </w:pPr>
            <w:r w:rsidRPr="00C4270B">
              <w:rPr>
                <w:sz w:val="20"/>
                <w:szCs w:val="20"/>
              </w:rPr>
              <w:t xml:space="preserve"> Pig trailer </w:t>
            </w:r>
          </w:p>
        </w:tc>
        <w:tc>
          <w:tcPr>
            <w:tcW w:w="1132" w:type="dxa"/>
            <w:hideMark/>
          </w:tcPr>
          <w:p w14:paraId="65D92D7E" w14:textId="0B560A25" w:rsidR="007C26C4" w:rsidRPr="00876657" w:rsidRDefault="007C26C4" w:rsidP="007C26C4">
            <w:pPr>
              <w:pStyle w:val="BodyCopy"/>
              <w:spacing w:before="40" w:after="40"/>
              <w:rPr>
                <w:sz w:val="20"/>
                <w:szCs w:val="20"/>
              </w:rPr>
            </w:pPr>
            <w:r w:rsidRPr="00BD61D2">
              <w:rPr>
                <w:sz w:val="20"/>
                <w:szCs w:val="20"/>
              </w:rPr>
              <w:t xml:space="preserve"> 643 </w:t>
            </w:r>
          </w:p>
        </w:tc>
        <w:tc>
          <w:tcPr>
            <w:tcW w:w="1211" w:type="dxa"/>
            <w:hideMark/>
          </w:tcPr>
          <w:p w14:paraId="57B334FB" w14:textId="7ECFF153" w:rsidR="007C26C4" w:rsidRPr="00876657" w:rsidRDefault="007C26C4" w:rsidP="007C26C4">
            <w:pPr>
              <w:pStyle w:val="BodyCopy"/>
              <w:spacing w:before="40" w:after="40"/>
              <w:rPr>
                <w:sz w:val="20"/>
                <w:szCs w:val="20"/>
              </w:rPr>
            </w:pPr>
            <w:r w:rsidRPr="00BD61D2">
              <w:rPr>
                <w:sz w:val="20"/>
                <w:szCs w:val="20"/>
              </w:rPr>
              <w:t xml:space="preserve"> 643 </w:t>
            </w:r>
          </w:p>
        </w:tc>
        <w:tc>
          <w:tcPr>
            <w:tcW w:w="1132" w:type="dxa"/>
            <w:hideMark/>
          </w:tcPr>
          <w:p w14:paraId="110464D7" w14:textId="0A69ECB9" w:rsidR="007C26C4" w:rsidRPr="00876657" w:rsidRDefault="007C26C4" w:rsidP="007C26C4">
            <w:pPr>
              <w:pStyle w:val="BodyCopy"/>
              <w:spacing w:before="40" w:after="40"/>
              <w:rPr>
                <w:sz w:val="20"/>
                <w:szCs w:val="20"/>
              </w:rPr>
            </w:pPr>
            <w:r w:rsidRPr="00BD61D2">
              <w:rPr>
                <w:sz w:val="20"/>
                <w:szCs w:val="20"/>
              </w:rPr>
              <w:t xml:space="preserve"> 643 </w:t>
            </w:r>
          </w:p>
        </w:tc>
        <w:tc>
          <w:tcPr>
            <w:tcW w:w="1132" w:type="dxa"/>
            <w:hideMark/>
          </w:tcPr>
          <w:p w14:paraId="709D55E8" w14:textId="1CAB3A85" w:rsidR="007C26C4" w:rsidRPr="00876657" w:rsidRDefault="007C26C4" w:rsidP="007C26C4">
            <w:pPr>
              <w:pStyle w:val="BodyCopy"/>
              <w:spacing w:before="40" w:after="40"/>
              <w:rPr>
                <w:sz w:val="20"/>
                <w:szCs w:val="20"/>
              </w:rPr>
            </w:pPr>
            <w:r w:rsidRPr="00BD61D2">
              <w:rPr>
                <w:sz w:val="20"/>
                <w:szCs w:val="20"/>
              </w:rPr>
              <w:t xml:space="preserve"> 643 </w:t>
            </w:r>
          </w:p>
        </w:tc>
      </w:tr>
      <w:tr w:rsidR="007C26C4" w:rsidRPr="00C82209" w14:paraId="2534AACA" w14:textId="77777777" w:rsidTr="00C82209">
        <w:trPr>
          <w:trHeight w:val="300"/>
        </w:trPr>
        <w:tc>
          <w:tcPr>
            <w:tcW w:w="4420" w:type="dxa"/>
            <w:hideMark/>
          </w:tcPr>
          <w:p w14:paraId="105EBD48" w14:textId="27CCE1A0" w:rsidR="007C26C4" w:rsidRPr="00C4270B" w:rsidRDefault="007C26C4" w:rsidP="007C26C4">
            <w:pPr>
              <w:pStyle w:val="BodyCopy"/>
              <w:spacing w:before="40" w:after="40"/>
              <w:rPr>
                <w:sz w:val="20"/>
                <w:szCs w:val="20"/>
              </w:rPr>
            </w:pPr>
            <w:r w:rsidRPr="00C4270B">
              <w:rPr>
                <w:sz w:val="20"/>
                <w:szCs w:val="20"/>
              </w:rPr>
              <w:t xml:space="preserve"> Dog trailer </w:t>
            </w:r>
          </w:p>
        </w:tc>
        <w:tc>
          <w:tcPr>
            <w:tcW w:w="1132" w:type="dxa"/>
            <w:hideMark/>
          </w:tcPr>
          <w:p w14:paraId="1D903DF0" w14:textId="6FF0B477" w:rsidR="007C26C4" w:rsidRPr="00876657" w:rsidRDefault="007C26C4" w:rsidP="007C26C4">
            <w:pPr>
              <w:pStyle w:val="BodyCopy"/>
              <w:spacing w:before="40" w:after="40"/>
              <w:rPr>
                <w:sz w:val="20"/>
                <w:szCs w:val="20"/>
              </w:rPr>
            </w:pPr>
            <w:r w:rsidRPr="00BD61D2">
              <w:rPr>
                <w:sz w:val="20"/>
                <w:szCs w:val="20"/>
              </w:rPr>
              <w:t xml:space="preserve"> 643 </w:t>
            </w:r>
          </w:p>
        </w:tc>
        <w:tc>
          <w:tcPr>
            <w:tcW w:w="1211" w:type="dxa"/>
            <w:hideMark/>
          </w:tcPr>
          <w:p w14:paraId="41A4DE4E" w14:textId="00482342" w:rsidR="007C26C4" w:rsidRPr="00876657" w:rsidRDefault="007C26C4" w:rsidP="007C26C4">
            <w:pPr>
              <w:pStyle w:val="BodyCopy"/>
              <w:spacing w:before="40" w:after="40"/>
              <w:rPr>
                <w:sz w:val="20"/>
                <w:szCs w:val="20"/>
              </w:rPr>
            </w:pPr>
            <w:r w:rsidRPr="00BD61D2">
              <w:rPr>
                <w:sz w:val="20"/>
                <w:szCs w:val="20"/>
              </w:rPr>
              <w:t xml:space="preserve"> 643 </w:t>
            </w:r>
          </w:p>
        </w:tc>
        <w:tc>
          <w:tcPr>
            <w:tcW w:w="1132" w:type="dxa"/>
            <w:hideMark/>
          </w:tcPr>
          <w:p w14:paraId="6CF12010" w14:textId="6A7D4F59" w:rsidR="007C26C4" w:rsidRPr="00876657" w:rsidRDefault="007C26C4" w:rsidP="007C26C4">
            <w:pPr>
              <w:pStyle w:val="BodyCopy"/>
              <w:spacing w:before="40" w:after="40"/>
              <w:rPr>
                <w:sz w:val="20"/>
                <w:szCs w:val="20"/>
              </w:rPr>
            </w:pPr>
            <w:r w:rsidRPr="00BD61D2">
              <w:rPr>
                <w:sz w:val="20"/>
                <w:szCs w:val="20"/>
              </w:rPr>
              <w:t xml:space="preserve"> 643 </w:t>
            </w:r>
          </w:p>
        </w:tc>
        <w:tc>
          <w:tcPr>
            <w:tcW w:w="1132" w:type="dxa"/>
            <w:hideMark/>
          </w:tcPr>
          <w:p w14:paraId="7967FBD2" w14:textId="645A0843" w:rsidR="007C26C4" w:rsidRPr="00876657" w:rsidRDefault="007C26C4" w:rsidP="007C26C4">
            <w:pPr>
              <w:pStyle w:val="BodyCopy"/>
              <w:spacing w:before="40" w:after="40"/>
              <w:rPr>
                <w:sz w:val="20"/>
                <w:szCs w:val="20"/>
              </w:rPr>
            </w:pPr>
            <w:r w:rsidRPr="00BD61D2">
              <w:rPr>
                <w:sz w:val="20"/>
                <w:szCs w:val="20"/>
              </w:rPr>
              <w:t xml:space="preserve"> 643 </w:t>
            </w:r>
          </w:p>
        </w:tc>
      </w:tr>
      <w:tr w:rsidR="007C26C4" w:rsidRPr="00C82209" w14:paraId="7913ADA8" w14:textId="77777777" w:rsidTr="00C82209">
        <w:trPr>
          <w:trHeight w:val="300"/>
        </w:trPr>
        <w:tc>
          <w:tcPr>
            <w:tcW w:w="4420" w:type="dxa"/>
            <w:hideMark/>
          </w:tcPr>
          <w:p w14:paraId="7088D8D4" w14:textId="79F87F34" w:rsidR="007C26C4" w:rsidRPr="00C4270B" w:rsidRDefault="007C26C4" w:rsidP="007C26C4">
            <w:pPr>
              <w:pStyle w:val="BodyCopy"/>
              <w:spacing w:before="40" w:after="40"/>
              <w:rPr>
                <w:sz w:val="20"/>
                <w:szCs w:val="20"/>
              </w:rPr>
            </w:pPr>
            <w:r w:rsidRPr="00C4270B">
              <w:rPr>
                <w:sz w:val="20"/>
                <w:szCs w:val="20"/>
              </w:rPr>
              <w:t xml:space="preserve"> Semitrailer </w:t>
            </w:r>
          </w:p>
        </w:tc>
        <w:tc>
          <w:tcPr>
            <w:tcW w:w="1132" w:type="dxa"/>
            <w:hideMark/>
          </w:tcPr>
          <w:p w14:paraId="4CF327DD" w14:textId="6CFBCF06" w:rsidR="007C26C4" w:rsidRPr="00876657" w:rsidRDefault="007C26C4" w:rsidP="007C26C4">
            <w:pPr>
              <w:pStyle w:val="BodyCopy"/>
              <w:spacing w:before="40" w:after="40"/>
              <w:rPr>
                <w:sz w:val="20"/>
                <w:szCs w:val="20"/>
              </w:rPr>
            </w:pPr>
            <w:r w:rsidRPr="00BD61D2">
              <w:rPr>
                <w:sz w:val="20"/>
                <w:szCs w:val="20"/>
              </w:rPr>
              <w:t xml:space="preserve"> 643 </w:t>
            </w:r>
          </w:p>
        </w:tc>
        <w:tc>
          <w:tcPr>
            <w:tcW w:w="1211" w:type="dxa"/>
            <w:hideMark/>
          </w:tcPr>
          <w:p w14:paraId="274D2406" w14:textId="13420D79" w:rsidR="007C26C4" w:rsidRPr="00876657" w:rsidRDefault="007C26C4" w:rsidP="007C26C4">
            <w:pPr>
              <w:pStyle w:val="BodyCopy"/>
              <w:spacing w:before="40" w:after="40"/>
              <w:rPr>
                <w:sz w:val="20"/>
                <w:szCs w:val="20"/>
              </w:rPr>
            </w:pPr>
            <w:r w:rsidRPr="00BD61D2">
              <w:rPr>
                <w:sz w:val="20"/>
                <w:szCs w:val="20"/>
              </w:rPr>
              <w:t xml:space="preserve"> 818 </w:t>
            </w:r>
          </w:p>
        </w:tc>
        <w:tc>
          <w:tcPr>
            <w:tcW w:w="1132" w:type="dxa"/>
            <w:hideMark/>
          </w:tcPr>
          <w:p w14:paraId="556BD2BE" w14:textId="680B8AD6" w:rsidR="007C26C4" w:rsidRPr="00876657" w:rsidRDefault="007C26C4" w:rsidP="007C26C4">
            <w:pPr>
              <w:pStyle w:val="BodyCopy"/>
              <w:spacing w:before="40" w:after="40"/>
              <w:rPr>
                <w:sz w:val="20"/>
                <w:szCs w:val="20"/>
              </w:rPr>
            </w:pPr>
            <w:r w:rsidRPr="00BD61D2">
              <w:rPr>
                <w:sz w:val="20"/>
                <w:szCs w:val="20"/>
              </w:rPr>
              <w:t xml:space="preserve"> 581 </w:t>
            </w:r>
          </w:p>
        </w:tc>
        <w:tc>
          <w:tcPr>
            <w:tcW w:w="1132" w:type="dxa"/>
            <w:hideMark/>
          </w:tcPr>
          <w:p w14:paraId="2480B7B0" w14:textId="1DDA1035" w:rsidR="007C26C4" w:rsidRPr="00876657" w:rsidRDefault="007C26C4" w:rsidP="007C26C4">
            <w:pPr>
              <w:pStyle w:val="BodyCopy"/>
              <w:spacing w:before="40" w:after="40"/>
              <w:rPr>
                <w:sz w:val="20"/>
                <w:szCs w:val="20"/>
              </w:rPr>
            </w:pPr>
            <w:r w:rsidRPr="00BD61D2">
              <w:rPr>
                <w:sz w:val="20"/>
                <w:szCs w:val="20"/>
              </w:rPr>
              <w:t xml:space="preserve"> 436 </w:t>
            </w:r>
          </w:p>
        </w:tc>
      </w:tr>
      <w:tr w:rsidR="007C26C4" w:rsidRPr="00C82209" w14:paraId="1962E4D0" w14:textId="77777777" w:rsidTr="00C82209">
        <w:trPr>
          <w:trHeight w:val="300"/>
        </w:trPr>
        <w:tc>
          <w:tcPr>
            <w:tcW w:w="4420" w:type="dxa"/>
            <w:hideMark/>
          </w:tcPr>
          <w:p w14:paraId="02F9F441" w14:textId="77777777" w:rsidR="007C26C4" w:rsidRPr="00C4270B" w:rsidRDefault="007C26C4" w:rsidP="007C26C4">
            <w:pPr>
              <w:pStyle w:val="BodyCopy"/>
              <w:spacing w:before="40" w:after="40"/>
              <w:rPr>
                <w:sz w:val="20"/>
                <w:szCs w:val="20"/>
              </w:rPr>
            </w:pPr>
            <w:r w:rsidRPr="00C4270B">
              <w:rPr>
                <w:sz w:val="20"/>
                <w:szCs w:val="20"/>
              </w:rPr>
              <w:t xml:space="preserve"> B-double lead trailer and B-triple lead and middle trailers </w:t>
            </w:r>
          </w:p>
        </w:tc>
        <w:tc>
          <w:tcPr>
            <w:tcW w:w="1132" w:type="dxa"/>
            <w:hideMark/>
          </w:tcPr>
          <w:p w14:paraId="4A1C1C95" w14:textId="51AC7A46" w:rsidR="007C26C4" w:rsidRPr="00876657" w:rsidRDefault="007C26C4" w:rsidP="007C26C4">
            <w:pPr>
              <w:pStyle w:val="BodyCopy"/>
              <w:spacing w:before="40" w:after="40"/>
              <w:rPr>
                <w:sz w:val="20"/>
                <w:szCs w:val="20"/>
              </w:rPr>
            </w:pPr>
            <w:r w:rsidRPr="00BD61D2">
              <w:rPr>
                <w:sz w:val="20"/>
                <w:szCs w:val="20"/>
              </w:rPr>
              <w:t xml:space="preserve"> 643 </w:t>
            </w:r>
          </w:p>
        </w:tc>
        <w:tc>
          <w:tcPr>
            <w:tcW w:w="1211" w:type="dxa"/>
            <w:hideMark/>
          </w:tcPr>
          <w:p w14:paraId="33815819" w14:textId="60DBB209" w:rsidR="007C26C4" w:rsidRPr="00876657" w:rsidRDefault="007C26C4" w:rsidP="007C26C4">
            <w:pPr>
              <w:pStyle w:val="BodyCopy"/>
              <w:spacing w:before="40" w:after="40"/>
              <w:rPr>
                <w:sz w:val="20"/>
                <w:szCs w:val="20"/>
              </w:rPr>
            </w:pPr>
            <w:r w:rsidRPr="00BD61D2">
              <w:rPr>
                <w:sz w:val="20"/>
                <w:szCs w:val="20"/>
              </w:rPr>
              <w:t xml:space="preserve"> 818 </w:t>
            </w:r>
          </w:p>
        </w:tc>
        <w:tc>
          <w:tcPr>
            <w:tcW w:w="1132" w:type="dxa"/>
            <w:hideMark/>
          </w:tcPr>
          <w:p w14:paraId="041D8B01" w14:textId="6749DE9B" w:rsidR="007C26C4" w:rsidRPr="00876657" w:rsidRDefault="007C26C4" w:rsidP="007C26C4">
            <w:pPr>
              <w:pStyle w:val="BodyCopy"/>
              <w:spacing w:before="40" w:after="40"/>
              <w:rPr>
                <w:sz w:val="20"/>
                <w:szCs w:val="20"/>
              </w:rPr>
            </w:pPr>
            <w:r w:rsidRPr="00BD61D2">
              <w:rPr>
                <w:sz w:val="20"/>
                <w:szCs w:val="20"/>
              </w:rPr>
              <w:t xml:space="preserve"> 581 </w:t>
            </w:r>
          </w:p>
        </w:tc>
        <w:tc>
          <w:tcPr>
            <w:tcW w:w="1132" w:type="dxa"/>
            <w:hideMark/>
          </w:tcPr>
          <w:p w14:paraId="7C6A699F" w14:textId="17EDCA43" w:rsidR="007C26C4" w:rsidRPr="00876657" w:rsidRDefault="007C26C4" w:rsidP="007C26C4">
            <w:pPr>
              <w:pStyle w:val="BodyCopy"/>
              <w:spacing w:before="40" w:after="40"/>
              <w:rPr>
                <w:sz w:val="20"/>
                <w:szCs w:val="20"/>
              </w:rPr>
            </w:pPr>
            <w:r w:rsidRPr="00BD61D2">
              <w:rPr>
                <w:sz w:val="20"/>
                <w:szCs w:val="20"/>
              </w:rPr>
              <w:t xml:space="preserve"> 436 </w:t>
            </w:r>
          </w:p>
        </w:tc>
      </w:tr>
      <w:tr w:rsidR="007C26C4" w:rsidRPr="00C82209" w14:paraId="29BEC007" w14:textId="77777777" w:rsidTr="00C82209">
        <w:trPr>
          <w:trHeight w:val="300"/>
        </w:trPr>
        <w:tc>
          <w:tcPr>
            <w:tcW w:w="4420" w:type="dxa"/>
            <w:hideMark/>
          </w:tcPr>
          <w:p w14:paraId="01F0B058" w14:textId="77777777" w:rsidR="007C26C4" w:rsidRPr="00C4270B" w:rsidRDefault="007C26C4" w:rsidP="007C26C4">
            <w:pPr>
              <w:pStyle w:val="BodyCopy"/>
              <w:spacing w:before="40" w:after="40"/>
              <w:rPr>
                <w:sz w:val="20"/>
                <w:szCs w:val="20"/>
              </w:rPr>
            </w:pPr>
            <w:r w:rsidRPr="00C4270B">
              <w:rPr>
                <w:sz w:val="20"/>
                <w:szCs w:val="20"/>
              </w:rPr>
              <w:t xml:space="preserve"> Converter dolly or low loader dolly </w:t>
            </w:r>
          </w:p>
        </w:tc>
        <w:tc>
          <w:tcPr>
            <w:tcW w:w="1132" w:type="dxa"/>
            <w:hideMark/>
          </w:tcPr>
          <w:p w14:paraId="09A9DCF7" w14:textId="187519AD" w:rsidR="007C26C4" w:rsidRPr="00876657" w:rsidRDefault="007C26C4" w:rsidP="007C26C4">
            <w:pPr>
              <w:pStyle w:val="BodyCopy"/>
              <w:spacing w:before="40" w:after="40"/>
              <w:rPr>
                <w:sz w:val="20"/>
                <w:szCs w:val="20"/>
              </w:rPr>
            </w:pPr>
            <w:r w:rsidRPr="00BD61D2">
              <w:rPr>
                <w:sz w:val="20"/>
                <w:szCs w:val="20"/>
              </w:rPr>
              <w:t xml:space="preserve"> 0 </w:t>
            </w:r>
          </w:p>
        </w:tc>
        <w:tc>
          <w:tcPr>
            <w:tcW w:w="1211" w:type="dxa"/>
            <w:hideMark/>
          </w:tcPr>
          <w:p w14:paraId="548E9DAA" w14:textId="5F66B133" w:rsidR="007C26C4" w:rsidRPr="00876657" w:rsidRDefault="007C26C4" w:rsidP="007C26C4">
            <w:pPr>
              <w:pStyle w:val="BodyCopy"/>
              <w:spacing w:before="40" w:after="40"/>
              <w:rPr>
                <w:sz w:val="20"/>
                <w:szCs w:val="20"/>
              </w:rPr>
            </w:pPr>
            <w:r w:rsidRPr="00BD61D2">
              <w:rPr>
                <w:sz w:val="20"/>
                <w:szCs w:val="20"/>
              </w:rPr>
              <w:t xml:space="preserve"> 0 </w:t>
            </w:r>
          </w:p>
        </w:tc>
        <w:tc>
          <w:tcPr>
            <w:tcW w:w="1132" w:type="dxa"/>
            <w:hideMark/>
          </w:tcPr>
          <w:p w14:paraId="7E435A7C" w14:textId="01A8E9F1" w:rsidR="007C26C4" w:rsidRPr="00876657" w:rsidRDefault="007C26C4" w:rsidP="007C26C4">
            <w:pPr>
              <w:pStyle w:val="BodyCopy"/>
              <w:spacing w:before="40" w:after="40"/>
              <w:rPr>
                <w:sz w:val="20"/>
                <w:szCs w:val="20"/>
              </w:rPr>
            </w:pPr>
            <w:r w:rsidRPr="00BD61D2">
              <w:rPr>
                <w:sz w:val="20"/>
                <w:szCs w:val="20"/>
              </w:rPr>
              <w:t xml:space="preserve"> 0 </w:t>
            </w:r>
          </w:p>
        </w:tc>
        <w:tc>
          <w:tcPr>
            <w:tcW w:w="1132" w:type="dxa"/>
            <w:hideMark/>
          </w:tcPr>
          <w:p w14:paraId="78F352DC" w14:textId="4823720E" w:rsidR="007C26C4" w:rsidRPr="00876657" w:rsidRDefault="007C26C4" w:rsidP="007C26C4">
            <w:pPr>
              <w:pStyle w:val="BodyCopy"/>
              <w:spacing w:before="40" w:after="40"/>
              <w:rPr>
                <w:sz w:val="20"/>
                <w:szCs w:val="20"/>
              </w:rPr>
            </w:pPr>
            <w:r w:rsidRPr="00BD61D2">
              <w:rPr>
                <w:sz w:val="20"/>
                <w:szCs w:val="20"/>
              </w:rPr>
              <w:t xml:space="preserve"> 0 </w:t>
            </w:r>
          </w:p>
        </w:tc>
      </w:tr>
      <w:tr w:rsidR="00C82209" w:rsidRPr="00C82209" w14:paraId="581BE2EE" w14:textId="77777777" w:rsidTr="00BE28BC">
        <w:trPr>
          <w:trHeight w:val="300"/>
        </w:trPr>
        <w:tc>
          <w:tcPr>
            <w:tcW w:w="9027" w:type="dxa"/>
            <w:gridSpan w:val="5"/>
            <w:vAlign w:val="center"/>
            <w:hideMark/>
          </w:tcPr>
          <w:p w14:paraId="15D99AFF" w14:textId="3E09C24A" w:rsidR="00C82209" w:rsidRPr="00C4270B" w:rsidRDefault="00C82209" w:rsidP="00AF7B68">
            <w:pPr>
              <w:pStyle w:val="BodyCopy"/>
              <w:spacing w:before="40" w:after="40"/>
              <w:jc w:val="center"/>
              <w:rPr>
                <w:b/>
                <w:bCs/>
                <w:sz w:val="20"/>
                <w:szCs w:val="20"/>
              </w:rPr>
            </w:pPr>
            <w:r w:rsidRPr="00C4270B">
              <w:rPr>
                <w:b/>
                <w:bCs/>
                <w:sz w:val="20"/>
                <w:szCs w:val="20"/>
              </w:rPr>
              <w:t>DIVISION 3 – BUSES ($)</w:t>
            </w:r>
          </w:p>
        </w:tc>
      </w:tr>
      <w:tr w:rsidR="00C82209" w:rsidRPr="00C82209" w14:paraId="20D46523" w14:textId="77777777" w:rsidTr="00C82209">
        <w:trPr>
          <w:trHeight w:val="300"/>
        </w:trPr>
        <w:tc>
          <w:tcPr>
            <w:tcW w:w="4420" w:type="dxa"/>
            <w:hideMark/>
          </w:tcPr>
          <w:p w14:paraId="40DDAA70" w14:textId="4D34E40D" w:rsidR="00C82209" w:rsidRPr="00C4270B" w:rsidRDefault="00C82209" w:rsidP="00AF7B68">
            <w:pPr>
              <w:pStyle w:val="BodyCopy"/>
              <w:spacing w:before="40" w:after="40"/>
              <w:rPr>
                <w:b/>
                <w:bCs/>
                <w:sz w:val="20"/>
                <w:szCs w:val="20"/>
              </w:rPr>
            </w:pPr>
            <w:r w:rsidRPr="00C4270B">
              <w:rPr>
                <w:b/>
                <w:bCs/>
                <w:sz w:val="20"/>
                <w:szCs w:val="20"/>
              </w:rPr>
              <w:t xml:space="preserve"> Bus </w:t>
            </w:r>
            <w:r w:rsidR="00314A7D" w:rsidRPr="00C4270B">
              <w:rPr>
                <w:b/>
                <w:bCs/>
                <w:sz w:val="20"/>
                <w:szCs w:val="20"/>
              </w:rPr>
              <w:t>t</w:t>
            </w:r>
            <w:r w:rsidRPr="00C4270B">
              <w:rPr>
                <w:b/>
                <w:bCs/>
                <w:sz w:val="20"/>
                <w:szCs w:val="20"/>
              </w:rPr>
              <w:t xml:space="preserve">ype </w:t>
            </w:r>
          </w:p>
        </w:tc>
        <w:tc>
          <w:tcPr>
            <w:tcW w:w="1132" w:type="dxa"/>
            <w:hideMark/>
          </w:tcPr>
          <w:p w14:paraId="12E06CB2" w14:textId="011DB1CD" w:rsidR="00C82209" w:rsidRPr="00C4270B" w:rsidRDefault="00C82209" w:rsidP="00AF7B68">
            <w:pPr>
              <w:pStyle w:val="BodyCopy"/>
              <w:spacing w:before="40" w:after="40"/>
              <w:rPr>
                <w:b/>
                <w:bCs/>
                <w:sz w:val="20"/>
                <w:szCs w:val="20"/>
              </w:rPr>
            </w:pPr>
            <w:r w:rsidRPr="00C4270B">
              <w:rPr>
                <w:b/>
                <w:bCs/>
                <w:sz w:val="20"/>
                <w:szCs w:val="20"/>
              </w:rPr>
              <w:t xml:space="preserve"> 2</w:t>
            </w:r>
            <w:r w:rsidR="00C4270B" w:rsidRPr="00C4270B">
              <w:rPr>
                <w:b/>
                <w:bCs/>
                <w:sz w:val="20"/>
                <w:szCs w:val="20"/>
              </w:rPr>
              <w:t>-</w:t>
            </w:r>
            <w:r w:rsidRPr="00C4270B">
              <w:rPr>
                <w:b/>
                <w:bCs/>
                <w:sz w:val="20"/>
                <w:szCs w:val="20"/>
              </w:rPr>
              <w:t xml:space="preserve">axle </w:t>
            </w:r>
          </w:p>
        </w:tc>
        <w:tc>
          <w:tcPr>
            <w:tcW w:w="1211" w:type="dxa"/>
            <w:hideMark/>
          </w:tcPr>
          <w:p w14:paraId="46B6B29E" w14:textId="6B3AA83D" w:rsidR="00C82209" w:rsidRPr="00C4270B" w:rsidRDefault="00C82209" w:rsidP="00AF7B68">
            <w:pPr>
              <w:pStyle w:val="BodyCopy"/>
              <w:spacing w:before="40" w:after="40"/>
              <w:rPr>
                <w:b/>
                <w:bCs/>
                <w:sz w:val="20"/>
                <w:szCs w:val="20"/>
              </w:rPr>
            </w:pPr>
            <w:r w:rsidRPr="00C4270B">
              <w:rPr>
                <w:b/>
                <w:bCs/>
                <w:sz w:val="20"/>
                <w:szCs w:val="20"/>
              </w:rPr>
              <w:t xml:space="preserve"> 3</w:t>
            </w:r>
            <w:r w:rsidR="00C4270B"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69EF3BF3" w14:textId="445510CA" w:rsidR="00C82209" w:rsidRPr="00C4270B" w:rsidRDefault="00C82209" w:rsidP="00AF7B68">
            <w:pPr>
              <w:pStyle w:val="BodyCopy"/>
              <w:spacing w:before="40" w:after="40"/>
              <w:rPr>
                <w:b/>
                <w:bCs/>
                <w:sz w:val="20"/>
                <w:szCs w:val="20"/>
              </w:rPr>
            </w:pPr>
            <w:r w:rsidRPr="00C4270B">
              <w:rPr>
                <w:b/>
                <w:bCs/>
                <w:sz w:val="20"/>
                <w:szCs w:val="20"/>
              </w:rPr>
              <w:t xml:space="preserve"> 4</w:t>
            </w:r>
            <w:r w:rsidR="00C4270B" w:rsidRPr="00C4270B">
              <w:rPr>
                <w:b/>
                <w:bCs/>
                <w:sz w:val="20"/>
                <w:szCs w:val="20"/>
              </w:rPr>
              <w:t>-</w:t>
            </w:r>
            <w:r w:rsidRPr="00C4270B">
              <w:rPr>
                <w:b/>
                <w:bCs/>
                <w:sz w:val="20"/>
                <w:szCs w:val="20"/>
              </w:rPr>
              <w:t xml:space="preserve">axle </w:t>
            </w:r>
          </w:p>
        </w:tc>
        <w:tc>
          <w:tcPr>
            <w:tcW w:w="1132" w:type="dxa"/>
            <w:hideMark/>
          </w:tcPr>
          <w:p w14:paraId="19DBD057" w14:textId="77777777" w:rsidR="00C82209" w:rsidRPr="00C4270B" w:rsidRDefault="00C82209" w:rsidP="00AF7B68">
            <w:pPr>
              <w:pStyle w:val="BodyCopy"/>
              <w:spacing w:before="40" w:after="40"/>
              <w:rPr>
                <w:b/>
                <w:bCs/>
                <w:sz w:val="20"/>
                <w:szCs w:val="20"/>
              </w:rPr>
            </w:pPr>
            <w:r w:rsidRPr="00C4270B">
              <w:rPr>
                <w:b/>
                <w:bCs/>
                <w:sz w:val="20"/>
                <w:szCs w:val="20"/>
              </w:rPr>
              <w:t> </w:t>
            </w:r>
          </w:p>
        </w:tc>
      </w:tr>
      <w:tr w:rsidR="007C26C4" w:rsidRPr="00C82209" w14:paraId="7C1D90E0" w14:textId="77777777" w:rsidTr="00C82209">
        <w:trPr>
          <w:trHeight w:val="300"/>
        </w:trPr>
        <w:tc>
          <w:tcPr>
            <w:tcW w:w="4420" w:type="dxa"/>
            <w:hideMark/>
          </w:tcPr>
          <w:p w14:paraId="0F38A6CA" w14:textId="77777777" w:rsidR="007C26C4" w:rsidRPr="00C4270B" w:rsidRDefault="007C26C4" w:rsidP="007C26C4">
            <w:pPr>
              <w:pStyle w:val="BodyCopy"/>
              <w:spacing w:before="40" w:after="40"/>
              <w:rPr>
                <w:sz w:val="20"/>
                <w:szCs w:val="20"/>
              </w:rPr>
            </w:pPr>
            <w:r w:rsidRPr="00C4270B">
              <w:rPr>
                <w:sz w:val="20"/>
                <w:szCs w:val="20"/>
              </w:rPr>
              <w:t xml:space="preserve"> Bus (type 1) </w:t>
            </w:r>
          </w:p>
        </w:tc>
        <w:tc>
          <w:tcPr>
            <w:tcW w:w="1132" w:type="dxa"/>
            <w:hideMark/>
          </w:tcPr>
          <w:p w14:paraId="0B635A45" w14:textId="12DB6313" w:rsidR="007C26C4" w:rsidRPr="00876657" w:rsidRDefault="007C26C4" w:rsidP="007C26C4">
            <w:pPr>
              <w:pStyle w:val="BodyCopy"/>
              <w:spacing w:before="40" w:after="40"/>
              <w:rPr>
                <w:sz w:val="20"/>
                <w:szCs w:val="20"/>
              </w:rPr>
            </w:pPr>
            <w:r w:rsidRPr="00BD61D2">
              <w:rPr>
                <w:sz w:val="20"/>
                <w:szCs w:val="20"/>
              </w:rPr>
              <w:t xml:space="preserve"> 325 </w:t>
            </w:r>
          </w:p>
        </w:tc>
        <w:tc>
          <w:tcPr>
            <w:tcW w:w="1211" w:type="dxa"/>
            <w:hideMark/>
          </w:tcPr>
          <w:p w14:paraId="7D8AB618" w14:textId="4EF55279" w:rsidR="007C26C4" w:rsidRPr="00876657" w:rsidRDefault="007C26C4" w:rsidP="007C26C4">
            <w:pPr>
              <w:pStyle w:val="BodyCopy"/>
              <w:spacing w:before="40" w:after="40"/>
              <w:rPr>
                <w:sz w:val="20"/>
                <w:szCs w:val="20"/>
              </w:rPr>
            </w:pPr>
          </w:p>
        </w:tc>
        <w:tc>
          <w:tcPr>
            <w:tcW w:w="1132" w:type="dxa"/>
            <w:hideMark/>
          </w:tcPr>
          <w:p w14:paraId="4D78BD4A" w14:textId="3469C31A" w:rsidR="007C26C4" w:rsidRPr="00876657" w:rsidRDefault="007C26C4" w:rsidP="007C26C4">
            <w:pPr>
              <w:pStyle w:val="BodyCopy"/>
              <w:spacing w:before="40" w:after="40"/>
              <w:rPr>
                <w:sz w:val="20"/>
                <w:szCs w:val="20"/>
              </w:rPr>
            </w:pPr>
          </w:p>
        </w:tc>
        <w:tc>
          <w:tcPr>
            <w:tcW w:w="1132" w:type="dxa"/>
            <w:hideMark/>
          </w:tcPr>
          <w:p w14:paraId="2C02A26A" w14:textId="77777777" w:rsidR="007C26C4" w:rsidRPr="00C4270B" w:rsidRDefault="007C26C4" w:rsidP="007C26C4">
            <w:pPr>
              <w:pStyle w:val="BodyCopy"/>
              <w:spacing w:before="40" w:after="40"/>
              <w:rPr>
                <w:sz w:val="20"/>
                <w:szCs w:val="20"/>
              </w:rPr>
            </w:pPr>
            <w:r w:rsidRPr="00C4270B">
              <w:rPr>
                <w:sz w:val="20"/>
                <w:szCs w:val="20"/>
              </w:rPr>
              <w:t> </w:t>
            </w:r>
          </w:p>
        </w:tc>
      </w:tr>
      <w:tr w:rsidR="007C26C4" w:rsidRPr="00C82209" w14:paraId="4AD21308" w14:textId="77777777" w:rsidTr="00C82209">
        <w:trPr>
          <w:trHeight w:val="300"/>
        </w:trPr>
        <w:tc>
          <w:tcPr>
            <w:tcW w:w="4420" w:type="dxa"/>
            <w:hideMark/>
          </w:tcPr>
          <w:p w14:paraId="154BCF73" w14:textId="77777777" w:rsidR="007C26C4" w:rsidRPr="00C4270B" w:rsidRDefault="007C26C4" w:rsidP="007C26C4">
            <w:pPr>
              <w:pStyle w:val="BodyCopy"/>
              <w:spacing w:before="40" w:after="40"/>
              <w:rPr>
                <w:sz w:val="20"/>
                <w:szCs w:val="20"/>
              </w:rPr>
            </w:pPr>
            <w:r w:rsidRPr="00C4270B">
              <w:rPr>
                <w:sz w:val="20"/>
                <w:szCs w:val="20"/>
              </w:rPr>
              <w:t xml:space="preserve"> Bus (type 2) </w:t>
            </w:r>
          </w:p>
        </w:tc>
        <w:tc>
          <w:tcPr>
            <w:tcW w:w="1132" w:type="dxa"/>
            <w:hideMark/>
          </w:tcPr>
          <w:p w14:paraId="18621BD0" w14:textId="057482A2" w:rsidR="007C26C4" w:rsidRPr="00876657" w:rsidRDefault="007C26C4" w:rsidP="007C26C4">
            <w:pPr>
              <w:pStyle w:val="BodyCopy"/>
              <w:spacing w:before="40" w:after="40"/>
              <w:rPr>
                <w:sz w:val="20"/>
                <w:szCs w:val="20"/>
              </w:rPr>
            </w:pPr>
            <w:r w:rsidRPr="00BD61D2">
              <w:rPr>
                <w:sz w:val="20"/>
                <w:szCs w:val="20"/>
              </w:rPr>
              <w:t xml:space="preserve"> 330 </w:t>
            </w:r>
          </w:p>
        </w:tc>
        <w:tc>
          <w:tcPr>
            <w:tcW w:w="1211" w:type="dxa"/>
            <w:hideMark/>
          </w:tcPr>
          <w:p w14:paraId="06D1B469" w14:textId="61C43334" w:rsidR="007C26C4" w:rsidRPr="00876657" w:rsidRDefault="007C26C4" w:rsidP="007C26C4">
            <w:pPr>
              <w:pStyle w:val="BodyCopy"/>
              <w:spacing w:before="40" w:after="40"/>
              <w:rPr>
                <w:sz w:val="20"/>
                <w:szCs w:val="20"/>
              </w:rPr>
            </w:pPr>
            <w:r w:rsidRPr="00BD61D2">
              <w:rPr>
                <w:sz w:val="20"/>
                <w:szCs w:val="20"/>
              </w:rPr>
              <w:t xml:space="preserve"> 2,415 </w:t>
            </w:r>
          </w:p>
        </w:tc>
        <w:tc>
          <w:tcPr>
            <w:tcW w:w="1132" w:type="dxa"/>
            <w:hideMark/>
          </w:tcPr>
          <w:p w14:paraId="3602DC50" w14:textId="3EED2E21" w:rsidR="007C26C4" w:rsidRPr="00876657" w:rsidRDefault="007C26C4" w:rsidP="007C26C4">
            <w:pPr>
              <w:pStyle w:val="BodyCopy"/>
              <w:spacing w:before="40" w:after="40"/>
              <w:rPr>
                <w:sz w:val="20"/>
                <w:szCs w:val="20"/>
              </w:rPr>
            </w:pPr>
            <w:r w:rsidRPr="00BD61D2">
              <w:rPr>
                <w:sz w:val="20"/>
                <w:szCs w:val="20"/>
              </w:rPr>
              <w:t xml:space="preserve"> 2,415 </w:t>
            </w:r>
          </w:p>
        </w:tc>
        <w:tc>
          <w:tcPr>
            <w:tcW w:w="1132" w:type="dxa"/>
            <w:hideMark/>
          </w:tcPr>
          <w:p w14:paraId="26CABD6F" w14:textId="77777777" w:rsidR="007C26C4" w:rsidRPr="00C4270B" w:rsidRDefault="007C26C4" w:rsidP="007C26C4">
            <w:pPr>
              <w:pStyle w:val="BodyCopy"/>
              <w:spacing w:before="40" w:after="40"/>
              <w:rPr>
                <w:sz w:val="20"/>
                <w:szCs w:val="20"/>
              </w:rPr>
            </w:pPr>
            <w:r w:rsidRPr="00C4270B">
              <w:rPr>
                <w:sz w:val="20"/>
                <w:szCs w:val="20"/>
              </w:rPr>
              <w:t> </w:t>
            </w:r>
          </w:p>
        </w:tc>
      </w:tr>
      <w:tr w:rsidR="007C26C4" w:rsidRPr="00C82209" w14:paraId="291133EA" w14:textId="77777777" w:rsidTr="00C82209">
        <w:trPr>
          <w:trHeight w:val="300"/>
        </w:trPr>
        <w:tc>
          <w:tcPr>
            <w:tcW w:w="4420" w:type="dxa"/>
            <w:hideMark/>
          </w:tcPr>
          <w:p w14:paraId="7830ED39" w14:textId="77777777" w:rsidR="007C26C4" w:rsidRPr="00C4270B" w:rsidRDefault="007C26C4" w:rsidP="007C26C4">
            <w:pPr>
              <w:pStyle w:val="BodyCopy"/>
              <w:spacing w:before="40" w:after="40"/>
              <w:rPr>
                <w:sz w:val="20"/>
                <w:szCs w:val="20"/>
              </w:rPr>
            </w:pPr>
            <w:r w:rsidRPr="00C4270B">
              <w:rPr>
                <w:sz w:val="20"/>
                <w:szCs w:val="20"/>
              </w:rPr>
              <w:t xml:space="preserve"> Articulated bus </w:t>
            </w:r>
          </w:p>
        </w:tc>
        <w:tc>
          <w:tcPr>
            <w:tcW w:w="1132" w:type="dxa"/>
            <w:hideMark/>
          </w:tcPr>
          <w:p w14:paraId="0809A350" w14:textId="4A2594F6" w:rsidR="007C26C4" w:rsidRPr="00876657" w:rsidRDefault="007C26C4" w:rsidP="007C26C4">
            <w:pPr>
              <w:pStyle w:val="BodyCopy"/>
              <w:spacing w:before="40" w:after="40"/>
              <w:rPr>
                <w:sz w:val="20"/>
                <w:szCs w:val="20"/>
              </w:rPr>
            </w:pPr>
          </w:p>
        </w:tc>
        <w:tc>
          <w:tcPr>
            <w:tcW w:w="1211" w:type="dxa"/>
            <w:hideMark/>
          </w:tcPr>
          <w:p w14:paraId="74CAF46C" w14:textId="2C0F7278" w:rsidR="007C26C4" w:rsidRPr="00876657" w:rsidRDefault="007C26C4" w:rsidP="007C26C4">
            <w:pPr>
              <w:pStyle w:val="BodyCopy"/>
              <w:spacing w:before="40" w:after="40"/>
              <w:rPr>
                <w:sz w:val="20"/>
                <w:szCs w:val="20"/>
              </w:rPr>
            </w:pPr>
            <w:r w:rsidRPr="00BD61D2">
              <w:rPr>
                <w:sz w:val="20"/>
                <w:szCs w:val="20"/>
              </w:rPr>
              <w:t xml:space="preserve"> 330 </w:t>
            </w:r>
          </w:p>
        </w:tc>
        <w:tc>
          <w:tcPr>
            <w:tcW w:w="1132" w:type="dxa"/>
            <w:hideMark/>
          </w:tcPr>
          <w:p w14:paraId="290FD490" w14:textId="67A72E32" w:rsidR="007C26C4" w:rsidRPr="00876657" w:rsidRDefault="007C26C4" w:rsidP="007C26C4">
            <w:pPr>
              <w:pStyle w:val="BodyCopy"/>
              <w:spacing w:before="40" w:after="40"/>
              <w:rPr>
                <w:sz w:val="20"/>
                <w:szCs w:val="20"/>
              </w:rPr>
            </w:pPr>
            <w:r w:rsidRPr="00BD61D2">
              <w:rPr>
                <w:sz w:val="20"/>
                <w:szCs w:val="20"/>
              </w:rPr>
              <w:t xml:space="preserve"> 330 </w:t>
            </w:r>
          </w:p>
        </w:tc>
        <w:tc>
          <w:tcPr>
            <w:tcW w:w="1132" w:type="dxa"/>
            <w:hideMark/>
          </w:tcPr>
          <w:p w14:paraId="5F5A5F91" w14:textId="77777777" w:rsidR="007C26C4" w:rsidRPr="00C4270B" w:rsidRDefault="007C26C4" w:rsidP="007C26C4">
            <w:pPr>
              <w:pStyle w:val="BodyCopy"/>
              <w:spacing w:before="40" w:after="40"/>
              <w:rPr>
                <w:sz w:val="20"/>
                <w:szCs w:val="20"/>
              </w:rPr>
            </w:pPr>
            <w:r w:rsidRPr="00C4270B">
              <w:rPr>
                <w:sz w:val="20"/>
                <w:szCs w:val="20"/>
              </w:rPr>
              <w:t> </w:t>
            </w:r>
          </w:p>
        </w:tc>
      </w:tr>
      <w:tr w:rsidR="00C82209" w:rsidRPr="00C82209" w14:paraId="14573C14" w14:textId="77777777" w:rsidTr="00BE28BC">
        <w:trPr>
          <w:trHeight w:val="300"/>
        </w:trPr>
        <w:tc>
          <w:tcPr>
            <w:tcW w:w="9027" w:type="dxa"/>
            <w:gridSpan w:val="5"/>
            <w:vAlign w:val="center"/>
            <w:hideMark/>
          </w:tcPr>
          <w:p w14:paraId="1401639D" w14:textId="5BD60FA7" w:rsidR="00C82209" w:rsidRPr="00C4270B" w:rsidRDefault="00C82209" w:rsidP="00AF7B68">
            <w:pPr>
              <w:pStyle w:val="BodyCopy"/>
              <w:spacing w:before="40" w:after="40"/>
              <w:jc w:val="center"/>
              <w:rPr>
                <w:b/>
                <w:bCs/>
                <w:sz w:val="20"/>
                <w:szCs w:val="20"/>
              </w:rPr>
            </w:pPr>
            <w:r w:rsidRPr="00C4270B">
              <w:rPr>
                <w:b/>
                <w:bCs/>
                <w:sz w:val="20"/>
                <w:szCs w:val="20"/>
              </w:rPr>
              <w:t>DIVISION 4 – SPECIAL PURPOSE VEHICLES ($)</w:t>
            </w:r>
          </w:p>
        </w:tc>
      </w:tr>
      <w:tr w:rsidR="00C82209" w:rsidRPr="00C82209" w14:paraId="1E90B7E7" w14:textId="77777777" w:rsidTr="00C82209">
        <w:trPr>
          <w:trHeight w:val="300"/>
        </w:trPr>
        <w:tc>
          <w:tcPr>
            <w:tcW w:w="4420" w:type="dxa"/>
            <w:hideMark/>
          </w:tcPr>
          <w:p w14:paraId="71A88E06" w14:textId="77777777" w:rsidR="00C82209" w:rsidRPr="00C4270B" w:rsidRDefault="00C82209"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6A5D7650" w14:textId="77777777" w:rsidR="00C82209" w:rsidRPr="00C4270B" w:rsidRDefault="00C82209" w:rsidP="00AF7B68">
            <w:pPr>
              <w:pStyle w:val="BodyCopy"/>
              <w:spacing w:before="40" w:after="40"/>
              <w:rPr>
                <w:sz w:val="20"/>
                <w:szCs w:val="20"/>
              </w:rPr>
            </w:pPr>
            <w:r w:rsidRPr="00C4270B">
              <w:rPr>
                <w:sz w:val="20"/>
                <w:szCs w:val="20"/>
              </w:rPr>
              <w:t xml:space="preserve"> 0 </w:t>
            </w:r>
          </w:p>
        </w:tc>
      </w:tr>
      <w:tr w:rsidR="00C82209" w:rsidRPr="00C82209" w14:paraId="6EA6C438" w14:textId="77777777" w:rsidTr="00C82209">
        <w:trPr>
          <w:trHeight w:val="300"/>
        </w:trPr>
        <w:tc>
          <w:tcPr>
            <w:tcW w:w="4420" w:type="dxa"/>
            <w:hideMark/>
          </w:tcPr>
          <w:p w14:paraId="30EBCE6B" w14:textId="77777777" w:rsidR="00C82209" w:rsidRPr="00C4270B" w:rsidRDefault="00C82209"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615AACDF" w14:textId="13A434BE" w:rsidR="00C82209" w:rsidRPr="00C4270B" w:rsidRDefault="00C82209" w:rsidP="00AF7B68">
            <w:pPr>
              <w:pStyle w:val="BodyCopy"/>
              <w:spacing w:before="40" w:after="40"/>
              <w:rPr>
                <w:sz w:val="20"/>
                <w:szCs w:val="20"/>
              </w:rPr>
            </w:pPr>
            <w:r w:rsidRPr="00C4270B">
              <w:rPr>
                <w:sz w:val="20"/>
                <w:szCs w:val="20"/>
              </w:rPr>
              <w:t xml:space="preserve"> 31</w:t>
            </w:r>
            <w:r w:rsidR="007C26C4">
              <w:rPr>
                <w:sz w:val="20"/>
                <w:szCs w:val="20"/>
              </w:rPr>
              <w:t>5</w:t>
            </w:r>
            <w:r w:rsidRPr="00C4270B">
              <w:rPr>
                <w:sz w:val="20"/>
                <w:szCs w:val="20"/>
              </w:rPr>
              <w:t xml:space="preserve"> </w:t>
            </w:r>
          </w:p>
        </w:tc>
      </w:tr>
      <w:tr w:rsidR="00C82209" w:rsidRPr="00C82209" w14:paraId="063448DB" w14:textId="77777777" w:rsidTr="00C82209">
        <w:trPr>
          <w:trHeight w:val="300"/>
        </w:trPr>
        <w:tc>
          <w:tcPr>
            <w:tcW w:w="4420" w:type="dxa"/>
            <w:hideMark/>
          </w:tcPr>
          <w:p w14:paraId="0EC2970D" w14:textId="77777777" w:rsidR="00C82209" w:rsidRPr="00C4270B" w:rsidRDefault="00C82209"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5A298731" w14:textId="0BED2223" w:rsidR="00C82209" w:rsidRPr="00C4270B" w:rsidRDefault="00C82209" w:rsidP="00AF7B68">
            <w:pPr>
              <w:pStyle w:val="BodyCopy"/>
              <w:spacing w:before="40" w:after="40"/>
              <w:rPr>
                <w:sz w:val="20"/>
                <w:szCs w:val="20"/>
              </w:rPr>
            </w:pPr>
            <w:r w:rsidRPr="00C4270B">
              <w:rPr>
                <w:sz w:val="20"/>
                <w:szCs w:val="20"/>
              </w:rPr>
              <w:t>Calculated using the formula:</w:t>
            </w:r>
            <w:r w:rsidRPr="00C4270B">
              <w:rPr>
                <w:sz w:val="20"/>
                <w:szCs w:val="20"/>
              </w:rPr>
              <w:br/>
              <w:t>39</w:t>
            </w:r>
            <w:r w:rsidR="007C26C4">
              <w:rPr>
                <w:sz w:val="20"/>
                <w:szCs w:val="20"/>
              </w:rPr>
              <w:t>4</w:t>
            </w:r>
            <w:r w:rsidRPr="00C4270B">
              <w:rPr>
                <w:sz w:val="20"/>
                <w:szCs w:val="20"/>
              </w:rPr>
              <w:t xml:space="preserve"> + (39</w:t>
            </w:r>
            <w:r w:rsidR="007C26C4">
              <w:rPr>
                <w:sz w:val="20"/>
                <w:szCs w:val="20"/>
              </w:rPr>
              <w:t>4</w:t>
            </w:r>
            <w:r w:rsidRPr="00C4270B">
              <w:rPr>
                <w:sz w:val="20"/>
                <w:szCs w:val="20"/>
              </w:rPr>
              <w:t xml:space="preserve"> </w:t>
            </w:r>
            <w:r w:rsidR="006F7F4A" w:rsidRPr="00C4270B">
              <w:rPr>
                <w:sz w:val="20"/>
                <w:szCs w:val="20"/>
              </w:rPr>
              <w:t>×</w:t>
            </w:r>
            <w:r w:rsidRPr="00C4270B">
              <w:rPr>
                <w:sz w:val="20"/>
                <w:szCs w:val="20"/>
              </w:rPr>
              <w:t xml:space="preserve"> number of axles over 2) </w:t>
            </w:r>
          </w:p>
        </w:tc>
      </w:tr>
    </w:tbl>
    <w:p w14:paraId="00066CB6" w14:textId="1980B010" w:rsidR="00DA69F2" w:rsidRDefault="00DA69F2">
      <w:pPr>
        <w:pStyle w:val="BodyCopy"/>
      </w:pPr>
    </w:p>
    <w:p w14:paraId="78EF0337" w14:textId="1309E839" w:rsidR="007C2428" w:rsidRDefault="007C2428" w:rsidP="007C2428">
      <w:pPr>
        <w:pStyle w:val="Tabletitle"/>
      </w:pPr>
      <w:bookmarkStart w:id="2371" w:name="_Hlk63752519"/>
      <w:bookmarkStart w:id="2372" w:name="_Toc86158573"/>
      <w:r w:rsidRPr="007C2428">
        <w:lastRenderedPageBreak/>
        <w:t>Charging schedule for</w:t>
      </w:r>
      <w:r w:rsidR="000B1A52">
        <w:t xml:space="preserve"> the</w:t>
      </w:r>
      <w:r w:rsidRPr="007C2428">
        <w:t xml:space="preserve"> roads component of registration charges under</w:t>
      </w:r>
      <w:r w:rsidR="00BE4F05">
        <w:t xml:space="preserve"> </w:t>
      </w:r>
      <w:r w:rsidR="005D7B0D">
        <w:t xml:space="preserve">pathway </w:t>
      </w:r>
      <w:r w:rsidR="00BE4F05">
        <w:t>1 of the three-year fixed price implementation pathway</w:t>
      </w:r>
      <w:r w:rsidRPr="007C2428">
        <w:t>, 202</w:t>
      </w:r>
      <w:r>
        <w:t>3</w:t>
      </w:r>
      <w:r w:rsidR="00272BD6">
        <w:t>–2</w:t>
      </w:r>
      <w:r>
        <w:t>4</w:t>
      </w:r>
      <w:bookmarkEnd w:id="2371"/>
      <w:bookmarkEnd w:id="2372"/>
    </w:p>
    <w:tbl>
      <w:tblPr>
        <w:tblStyle w:val="NTCtable"/>
        <w:tblW w:w="0" w:type="auto"/>
        <w:tblLook w:val="04A0" w:firstRow="1" w:lastRow="0" w:firstColumn="1" w:lastColumn="0" w:noHBand="0" w:noVBand="1"/>
      </w:tblPr>
      <w:tblGrid>
        <w:gridCol w:w="4420"/>
        <w:gridCol w:w="1132"/>
        <w:gridCol w:w="1211"/>
        <w:gridCol w:w="1132"/>
        <w:gridCol w:w="1132"/>
      </w:tblGrid>
      <w:tr w:rsidR="007C2428" w:rsidRPr="007C2428" w14:paraId="168D3282" w14:textId="77777777" w:rsidTr="00AF7B68">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3A98E4C5" w14:textId="0A3B71E5" w:rsidR="007C2428" w:rsidRPr="00C4270B" w:rsidRDefault="007C2428" w:rsidP="00AF7B68">
            <w:pPr>
              <w:pStyle w:val="BodyCopy"/>
              <w:spacing w:before="40" w:after="40"/>
              <w:jc w:val="center"/>
              <w:rPr>
                <w:b/>
                <w:bCs/>
                <w:sz w:val="20"/>
                <w:szCs w:val="20"/>
              </w:rPr>
            </w:pPr>
            <w:r w:rsidRPr="00C4270B">
              <w:rPr>
                <w:b/>
                <w:bCs/>
                <w:sz w:val="20"/>
                <w:szCs w:val="20"/>
              </w:rPr>
              <w:t>1 July 2023 – 30 June 2024</w:t>
            </w:r>
          </w:p>
        </w:tc>
      </w:tr>
      <w:tr w:rsidR="007C2428" w:rsidRPr="007C2428" w14:paraId="00F0BAD9" w14:textId="77777777" w:rsidTr="00AF7B68">
        <w:trPr>
          <w:trHeight w:val="300"/>
        </w:trPr>
        <w:tc>
          <w:tcPr>
            <w:tcW w:w="9027" w:type="dxa"/>
            <w:gridSpan w:val="5"/>
            <w:vAlign w:val="center"/>
            <w:hideMark/>
          </w:tcPr>
          <w:p w14:paraId="41D77001" w14:textId="5BECE67A" w:rsidR="007C2428" w:rsidRPr="00C4270B" w:rsidRDefault="007C2428" w:rsidP="00AF7B68">
            <w:pPr>
              <w:pStyle w:val="BodyCopy"/>
              <w:spacing w:before="40" w:after="40"/>
              <w:jc w:val="center"/>
              <w:rPr>
                <w:b/>
                <w:bCs/>
                <w:sz w:val="20"/>
                <w:szCs w:val="20"/>
              </w:rPr>
            </w:pPr>
            <w:r w:rsidRPr="00C4270B">
              <w:rPr>
                <w:b/>
                <w:bCs/>
                <w:sz w:val="20"/>
                <w:szCs w:val="20"/>
              </w:rPr>
              <w:t>DIVISION 1 – LOAD CARRYING VEHICLES ($)</w:t>
            </w:r>
          </w:p>
        </w:tc>
      </w:tr>
      <w:tr w:rsidR="007C2428" w:rsidRPr="007C2428" w14:paraId="1623F584" w14:textId="77777777" w:rsidTr="007C2428">
        <w:trPr>
          <w:trHeight w:val="300"/>
        </w:trPr>
        <w:tc>
          <w:tcPr>
            <w:tcW w:w="4420" w:type="dxa"/>
            <w:hideMark/>
          </w:tcPr>
          <w:p w14:paraId="2E3CBA33" w14:textId="61628BBA" w:rsidR="007C2428" w:rsidRPr="00C4270B" w:rsidRDefault="007C2428" w:rsidP="00AF7B68">
            <w:pPr>
              <w:pStyle w:val="BodyCopy"/>
              <w:spacing w:before="40" w:after="40"/>
              <w:rPr>
                <w:b/>
                <w:bCs/>
                <w:sz w:val="20"/>
                <w:szCs w:val="20"/>
              </w:rPr>
            </w:pPr>
            <w:r w:rsidRPr="00C4270B">
              <w:rPr>
                <w:b/>
                <w:bCs/>
                <w:sz w:val="20"/>
                <w:szCs w:val="20"/>
              </w:rPr>
              <w:t xml:space="preserve"> Vehicle </w:t>
            </w:r>
            <w:r w:rsidR="006F7F4A" w:rsidRPr="00C4270B">
              <w:rPr>
                <w:b/>
                <w:bCs/>
                <w:sz w:val="20"/>
                <w:szCs w:val="20"/>
              </w:rPr>
              <w:t>t</w:t>
            </w:r>
            <w:r w:rsidRPr="00C4270B">
              <w:rPr>
                <w:b/>
                <w:bCs/>
                <w:sz w:val="20"/>
                <w:szCs w:val="20"/>
              </w:rPr>
              <w:t xml:space="preserve">ype </w:t>
            </w:r>
          </w:p>
        </w:tc>
        <w:tc>
          <w:tcPr>
            <w:tcW w:w="1132" w:type="dxa"/>
            <w:hideMark/>
          </w:tcPr>
          <w:p w14:paraId="6AC0062D" w14:textId="1C9736FD"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63B9D4E9" w14:textId="70254845"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6B29C7A8" w14:textId="61528064"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3CDD7024" w14:textId="351469F3" w:rsidR="007C2428" w:rsidRPr="00C4270B" w:rsidRDefault="007C2428"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7C2428" w:rsidRPr="007C2428" w14:paraId="2C4014E2" w14:textId="77777777" w:rsidTr="007C2428">
        <w:trPr>
          <w:trHeight w:val="300"/>
        </w:trPr>
        <w:tc>
          <w:tcPr>
            <w:tcW w:w="4420" w:type="dxa"/>
            <w:hideMark/>
          </w:tcPr>
          <w:p w14:paraId="7C8E73A9" w14:textId="77777777" w:rsidR="007C2428" w:rsidRPr="00C4270B" w:rsidRDefault="007C2428" w:rsidP="00AF7B68">
            <w:pPr>
              <w:pStyle w:val="BodyCopy"/>
              <w:spacing w:before="40" w:after="40"/>
              <w:rPr>
                <w:b/>
                <w:bCs/>
                <w:sz w:val="20"/>
                <w:szCs w:val="20"/>
              </w:rPr>
            </w:pPr>
            <w:r w:rsidRPr="00C4270B">
              <w:rPr>
                <w:b/>
                <w:bCs/>
                <w:sz w:val="20"/>
                <w:szCs w:val="20"/>
              </w:rPr>
              <w:t xml:space="preserve"> Trucks </w:t>
            </w:r>
          </w:p>
        </w:tc>
        <w:tc>
          <w:tcPr>
            <w:tcW w:w="1132" w:type="dxa"/>
            <w:hideMark/>
          </w:tcPr>
          <w:p w14:paraId="7FF808C3"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6975101B"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4AF7D1F8"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203F0218" w14:textId="77777777" w:rsidR="007C2428" w:rsidRPr="00C4270B" w:rsidRDefault="007C2428" w:rsidP="00AF7B68">
            <w:pPr>
              <w:pStyle w:val="BodyCopy"/>
              <w:spacing w:before="40" w:after="40"/>
              <w:rPr>
                <w:sz w:val="20"/>
                <w:szCs w:val="20"/>
              </w:rPr>
            </w:pPr>
            <w:r w:rsidRPr="00C4270B">
              <w:rPr>
                <w:sz w:val="20"/>
                <w:szCs w:val="20"/>
              </w:rPr>
              <w:t> </w:t>
            </w:r>
          </w:p>
        </w:tc>
      </w:tr>
      <w:tr w:rsidR="007C26C4" w:rsidRPr="007C2428" w14:paraId="4EF96167" w14:textId="77777777" w:rsidTr="007C2428">
        <w:trPr>
          <w:trHeight w:val="300"/>
        </w:trPr>
        <w:tc>
          <w:tcPr>
            <w:tcW w:w="4420" w:type="dxa"/>
            <w:hideMark/>
          </w:tcPr>
          <w:p w14:paraId="316DE47D" w14:textId="77777777" w:rsidR="007C26C4" w:rsidRPr="00C4270B" w:rsidRDefault="007C26C4" w:rsidP="007C26C4">
            <w:pPr>
              <w:pStyle w:val="BodyCopy"/>
              <w:spacing w:before="40" w:after="40"/>
              <w:rPr>
                <w:sz w:val="20"/>
                <w:szCs w:val="20"/>
              </w:rPr>
            </w:pPr>
            <w:r w:rsidRPr="00C4270B">
              <w:rPr>
                <w:sz w:val="20"/>
                <w:szCs w:val="20"/>
              </w:rPr>
              <w:t xml:space="preserve"> Truck (type 1) </w:t>
            </w:r>
          </w:p>
        </w:tc>
        <w:tc>
          <w:tcPr>
            <w:tcW w:w="1132" w:type="dxa"/>
            <w:hideMark/>
          </w:tcPr>
          <w:p w14:paraId="5FE366B3" w14:textId="66591648" w:rsidR="007C26C4" w:rsidRPr="00876657" w:rsidRDefault="007C26C4" w:rsidP="007C26C4">
            <w:pPr>
              <w:pStyle w:val="BodyCopy"/>
              <w:spacing w:before="40" w:after="40"/>
              <w:rPr>
                <w:sz w:val="20"/>
                <w:szCs w:val="20"/>
              </w:rPr>
            </w:pPr>
            <w:r w:rsidRPr="00BD61D2">
              <w:rPr>
                <w:sz w:val="20"/>
                <w:szCs w:val="20"/>
              </w:rPr>
              <w:t xml:space="preserve"> 445 </w:t>
            </w:r>
          </w:p>
        </w:tc>
        <w:tc>
          <w:tcPr>
            <w:tcW w:w="1211" w:type="dxa"/>
            <w:hideMark/>
          </w:tcPr>
          <w:p w14:paraId="31E7D252" w14:textId="02B8C690" w:rsidR="007C26C4" w:rsidRPr="00876657" w:rsidRDefault="007C26C4" w:rsidP="007C26C4">
            <w:pPr>
              <w:pStyle w:val="BodyCopy"/>
              <w:spacing w:before="40" w:after="40"/>
              <w:rPr>
                <w:sz w:val="20"/>
                <w:szCs w:val="20"/>
              </w:rPr>
            </w:pPr>
            <w:r w:rsidRPr="00BD61D2">
              <w:rPr>
                <w:sz w:val="20"/>
                <w:szCs w:val="20"/>
              </w:rPr>
              <w:t xml:space="preserve"> 804 </w:t>
            </w:r>
          </w:p>
        </w:tc>
        <w:tc>
          <w:tcPr>
            <w:tcW w:w="1132" w:type="dxa"/>
            <w:hideMark/>
          </w:tcPr>
          <w:p w14:paraId="257C5FD8" w14:textId="05A64634" w:rsidR="007C26C4" w:rsidRPr="00876657" w:rsidRDefault="007C26C4" w:rsidP="007C26C4">
            <w:pPr>
              <w:pStyle w:val="BodyCopy"/>
              <w:spacing w:before="40" w:after="40"/>
              <w:rPr>
                <w:sz w:val="20"/>
                <w:szCs w:val="20"/>
              </w:rPr>
            </w:pPr>
            <w:r w:rsidRPr="00BD61D2">
              <w:rPr>
                <w:sz w:val="20"/>
                <w:szCs w:val="20"/>
              </w:rPr>
              <w:t xml:space="preserve"> 804 </w:t>
            </w:r>
          </w:p>
        </w:tc>
        <w:tc>
          <w:tcPr>
            <w:tcW w:w="1132" w:type="dxa"/>
            <w:hideMark/>
          </w:tcPr>
          <w:p w14:paraId="2F75A2F5" w14:textId="56DFDBBC" w:rsidR="007C26C4" w:rsidRPr="00876657" w:rsidRDefault="007C26C4" w:rsidP="007C26C4">
            <w:pPr>
              <w:pStyle w:val="BodyCopy"/>
              <w:spacing w:before="40" w:after="40"/>
              <w:rPr>
                <w:sz w:val="20"/>
                <w:szCs w:val="20"/>
              </w:rPr>
            </w:pPr>
            <w:r w:rsidRPr="00BD61D2">
              <w:rPr>
                <w:sz w:val="20"/>
                <w:szCs w:val="20"/>
              </w:rPr>
              <w:t xml:space="preserve"> 804 </w:t>
            </w:r>
          </w:p>
        </w:tc>
      </w:tr>
      <w:tr w:rsidR="007C26C4" w:rsidRPr="007C2428" w14:paraId="16FF63E1" w14:textId="77777777" w:rsidTr="007C2428">
        <w:trPr>
          <w:trHeight w:val="300"/>
        </w:trPr>
        <w:tc>
          <w:tcPr>
            <w:tcW w:w="4420" w:type="dxa"/>
            <w:hideMark/>
          </w:tcPr>
          <w:p w14:paraId="501A826F" w14:textId="77777777" w:rsidR="007C26C4" w:rsidRPr="00C4270B" w:rsidRDefault="007C26C4" w:rsidP="007C26C4">
            <w:pPr>
              <w:pStyle w:val="BodyCopy"/>
              <w:spacing w:before="40" w:after="40"/>
              <w:rPr>
                <w:sz w:val="20"/>
                <w:szCs w:val="20"/>
              </w:rPr>
            </w:pPr>
            <w:r w:rsidRPr="00C4270B">
              <w:rPr>
                <w:sz w:val="20"/>
                <w:szCs w:val="20"/>
              </w:rPr>
              <w:t xml:space="preserve"> Truck (type 2) </w:t>
            </w:r>
          </w:p>
        </w:tc>
        <w:tc>
          <w:tcPr>
            <w:tcW w:w="1132" w:type="dxa"/>
            <w:hideMark/>
          </w:tcPr>
          <w:p w14:paraId="240ACA3F" w14:textId="64FD9786" w:rsidR="007C26C4" w:rsidRPr="00876657" w:rsidRDefault="007C26C4" w:rsidP="007C26C4">
            <w:pPr>
              <w:pStyle w:val="BodyCopy"/>
              <w:spacing w:before="40" w:after="40"/>
              <w:rPr>
                <w:sz w:val="20"/>
                <w:szCs w:val="20"/>
              </w:rPr>
            </w:pPr>
            <w:r w:rsidRPr="00BD61D2">
              <w:rPr>
                <w:sz w:val="20"/>
                <w:szCs w:val="20"/>
              </w:rPr>
              <w:t xml:space="preserve"> 804 </w:t>
            </w:r>
          </w:p>
        </w:tc>
        <w:tc>
          <w:tcPr>
            <w:tcW w:w="1211" w:type="dxa"/>
            <w:hideMark/>
          </w:tcPr>
          <w:p w14:paraId="4CFD9845" w14:textId="6FAAD13C" w:rsidR="007C26C4" w:rsidRPr="00876657" w:rsidRDefault="007C26C4" w:rsidP="007C26C4">
            <w:pPr>
              <w:pStyle w:val="BodyCopy"/>
              <w:spacing w:before="40" w:after="40"/>
              <w:rPr>
                <w:sz w:val="20"/>
                <w:szCs w:val="20"/>
              </w:rPr>
            </w:pPr>
            <w:r w:rsidRPr="00BD61D2">
              <w:rPr>
                <w:sz w:val="20"/>
                <w:szCs w:val="20"/>
              </w:rPr>
              <w:t xml:space="preserve"> 912 </w:t>
            </w:r>
          </w:p>
        </w:tc>
        <w:tc>
          <w:tcPr>
            <w:tcW w:w="1132" w:type="dxa"/>
            <w:hideMark/>
          </w:tcPr>
          <w:p w14:paraId="37C7708D" w14:textId="0729D7AC" w:rsidR="007C26C4" w:rsidRPr="00876657" w:rsidRDefault="007C26C4" w:rsidP="007C26C4">
            <w:pPr>
              <w:pStyle w:val="BodyCopy"/>
              <w:spacing w:before="40" w:after="40"/>
              <w:rPr>
                <w:sz w:val="20"/>
                <w:szCs w:val="20"/>
              </w:rPr>
            </w:pPr>
            <w:r w:rsidRPr="00BD61D2">
              <w:rPr>
                <w:sz w:val="20"/>
                <w:szCs w:val="20"/>
              </w:rPr>
              <w:t xml:space="preserve"> 912 </w:t>
            </w:r>
          </w:p>
        </w:tc>
        <w:tc>
          <w:tcPr>
            <w:tcW w:w="1132" w:type="dxa"/>
            <w:hideMark/>
          </w:tcPr>
          <w:p w14:paraId="793590C2" w14:textId="6B43921C" w:rsidR="007C26C4" w:rsidRPr="00876657" w:rsidRDefault="007C26C4" w:rsidP="007C26C4">
            <w:pPr>
              <w:pStyle w:val="BodyCopy"/>
              <w:spacing w:before="40" w:after="40"/>
              <w:rPr>
                <w:sz w:val="20"/>
                <w:szCs w:val="20"/>
              </w:rPr>
            </w:pPr>
            <w:r w:rsidRPr="00BD61D2">
              <w:rPr>
                <w:sz w:val="20"/>
                <w:szCs w:val="20"/>
              </w:rPr>
              <w:t xml:space="preserve"> 912 </w:t>
            </w:r>
          </w:p>
        </w:tc>
      </w:tr>
      <w:tr w:rsidR="007C26C4" w:rsidRPr="007C2428" w14:paraId="5109509D" w14:textId="77777777" w:rsidTr="007C2428">
        <w:trPr>
          <w:trHeight w:val="300"/>
        </w:trPr>
        <w:tc>
          <w:tcPr>
            <w:tcW w:w="4420" w:type="dxa"/>
            <w:hideMark/>
          </w:tcPr>
          <w:p w14:paraId="5EA77CE3" w14:textId="77777777" w:rsidR="007C26C4" w:rsidRPr="00C4270B" w:rsidRDefault="007C26C4" w:rsidP="007C26C4">
            <w:pPr>
              <w:pStyle w:val="BodyCopy"/>
              <w:spacing w:before="40" w:after="40"/>
              <w:rPr>
                <w:sz w:val="20"/>
                <w:szCs w:val="20"/>
              </w:rPr>
            </w:pPr>
            <w:r w:rsidRPr="00C4270B">
              <w:rPr>
                <w:sz w:val="20"/>
                <w:szCs w:val="20"/>
              </w:rPr>
              <w:t xml:space="preserve"> Short combination truck </w:t>
            </w:r>
          </w:p>
        </w:tc>
        <w:tc>
          <w:tcPr>
            <w:tcW w:w="1132" w:type="dxa"/>
            <w:hideMark/>
          </w:tcPr>
          <w:p w14:paraId="5A6EFB9C" w14:textId="1A4937F5" w:rsidR="007C26C4" w:rsidRPr="00876657" w:rsidRDefault="007C26C4" w:rsidP="007C26C4">
            <w:pPr>
              <w:pStyle w:val="BodyCopy"/>
              <w:spacing w:before="40" w:after="40"/>
              <w:rPr>
                <w:sz w:val="20"/>
                <w:szCs w:val="20"/>
              </w:rPr>
            </w:pPr>
            <w:r w:rsidRPr="00BD61D2">
              <w:rPr>
                <w:sz w:val="20"/>
                <w:szCs w:val="20"/>
              </w:rPr>
              <w:t xml:space="preserve"> 804 </w:t>
            </w:r>
          </w:p>
        </w:tc>
        <w:tc>
          <w:tcPr>
            <w:tcW w:w="1211" w:type="dxa"/>
            <w:hideMark/>
          </w:tcPr>
          <w:p w14:paraId="6EB78622" w14:textId="05F4682E" w:rsidR="007C26C4" w:rsidRPr="00876657" w:rsidRDefault="007C26C4" w:rsidP="007C26C4">
            <w:pPr>
              <w:pStyle w:val="BodyCopy"/>
              <w:spacing w:before="40" w:after="40"/>
              <w:rPr>
                <w:sz w:val="20"/>
                <w:szCs w:val="20"/>
              </w:rPr>
            </w:pPr>
            <w:r w:rsidRPr="00BD61D2">
              <w:rPr>
                <w:sz w:val="20"/>
                <w:szCs w:val="20"/>
              </w:rPr>
              <w:t xml:space="preserve"> 912 </w:t>
            </w:r>
          </w:p>
        </w:tc>
        <w:tc>
          <w:tcPr>
            <w:tcW w:w="1132" w:type="dxa"/>
            <w:hideMark/>
          </w:tcPr>
          <w:p w14:paraId="11A1A6DD" w14:textId="0C4D6CB4" w:rsidR="007C26C4" w:rsidRPr="00876657" w:rsidRDefault="007C26C4" w:rsidP="007C26C4">
            <w:pPr>
              <w:pStyle w:val="BodyCopy"/>
              <w:spacing w:before="40" w:after="40"/>
              <w:rPr>
                <w:sz w:val="20"/>
                <w:szCs w:val="20"/>
              </w:rPr>
            </w:pPr>
            <w:r w:rsidRPr="00BD61D2">
              <w:rPr>
                <w:sz w:val="20"/>
                <w:szCs w:val="20"/>
              </w:rPr>
              <w:t xml:space="preserve"> 1,833 </w:t>
            </w:r>
          </w:p>
        </w:tc>
        <w:tc>
          <w:tcPr>
            <w:tcW w:w="1132" w:type="dxa"/>
            <w:hideMark/>
          </w:tcPr>
          <w:p w14:paraId="018B1DF7" w14:textId="114FED84" w:rsidR="007C26C4" w:rsidRPr="00876657" w:rsidRDefault="007C26C4" w:rsidP="007C26C4">
            <w:pPr>
              <w:pStyle w:val="BodyCopy"/>
              <w:spacing w:before="40" w:after="40"/>
              <w:rPr>
                <w:sz w:val="20"/>
                <w:szCs w:val="20"/>
              </w:rPr>
            </w:pPr>
            <w:r w:rsidRPr="00BD61D2">
              <w:rPr>
                <w:sz w:val="20"/>
                <w:szCs w:val="20"/>
              </w:rPr>
              <w:t xml:space="preserve"> 1,833 </w:t>
            </w:r>
          </w:p>
        </w:tc>
      </w:tr>
      <w:tr w:rsidR="007C26C4" w:rsidRPr="007C2428" w14:paraId="759BC6E7" w14:textId="77777777" w:rsidTr="007C2428">
        <w:trPr>
          <w:trHeight w:val="300"/>
        </w:trPr>
        <w:tc>
          <w:tcPr>
            <w:tcW w:w="4420" w:type="dxa"/>
            <w:hideMark/>
          </w:tcPr>
          <w:p w14:paraId="6D66869A" w14:textId="77777777" w:rsidR="007C26C4" w:rsidRPr="00C4270B" w:rsidRDefault="007C26C4" w:rsidP="007C26C4">
            <w:pPr>
              <w:pStyle w:val="BodyCopy"/>
              <w:spacing w:before="40" w:after="40"/>
              <w:rPr>
                <w:sz w:val="20"/>
                <w:szCs w:val="20"/>
              </w:rPr>
            </w:pPr>
            <w:r w:rsidRPr="00C4270B">
              <w:rPr>
                <w:sz w:val="20"/>
                <w:szCs w:val="20"/>
              </w:rPr>
              <w:t xml:space="preserve"> Medium combination truck </w:t>
            </w:r>
          </w:p>
        </w:tc>
        <w:tc>
          <w:tcPr>
            <w:tcW w:w="1132" w:type="dxa"/>
            <w:hideMark/>
          </w:tcPr>
          <w:p w14:paraId="1146B902" w14:textId="4257964D" w:rsidR="007C26C4" w:rsidRPr="00876657" w:rsidRDefault="007C26C4" w:rsidP="007C26C4">
            <w:pPr>
              <w:pStyle w:val="BodyCopy"/>
              <w:spacing w:before="40" w:after="40"/>
              <w:rPr>
                <w:sz w:val="20"/>
                <w:szCs w:val="20"/>
              </w:rPr>
            </w:pPr>
            <w:r w:rsidRPr="00BD61D2">
              <w:rPr>
                <w:sz w:val="20"/>
                <w:szCs w:val="20"/>
              </w:rPr>
              <w:t xml:space="preserve"> 9,629 </w:t>
            </w:r>
          </w:p>
        </w:tc>
        <w:tc>
          <w:tcPr>
            <w:tcW w:w="1211" w:type="dxa"/>
            <w:hideMark/>
          </w:tcPr>
          <w:p w14:paraId="61344D54" w14:textId="352DEE67" w:rsidR="007C26C4" w:rsidRPr="00876657" w:rsidRDefault="007C26C4" w:rsidP="007C26C4">
            <w:pPr>
              <w:pStyle w:val="BodyCopy"/>
              <w:spacing w:before="40" w:after="40"/>
              <w:rPr>
                <w:sz w:val="20"/>
                <w:szCs w:val="20"/>
              </w:rPr>
            </w:pPr>
            <w:r w:rsidRPr="00BD61D2">
              <w:rPr>
                <w:sz w:val="20"/>
                <w:szCs w:val="20"/>
              </w:rPr>
              <w:t xml:space="preserve"> 9,629 </w:t>
            </w:r>
          </w:p>
        </w:tc>
        <w:tc>
          <w:tcPr>
            <w:tcW w:w="1132" w:type="dxa"/>
            <w:hideMark/>
          </w:tcPr>
          <w:p w14:paraId="2E8773EC" w14:textId="3E1FA482" w:rsidR="007C26C4" w:rsidRPr="00876657" w:rsidRDefault="007C26C4" w:rsidP="007C26C4">
            <w:pPr>
              <w:pStyle w:val="BodyCopy"/>
              <w:spacing w:before="40" w:after="40"/>
              <w:rPr>
                <w:sz w:val="20"/>
                <w:szCs w:val="20"/>
              </w:rPr>
            </w:pPr>
            <w:r w:rsidRPr="00BD61D2">
              <w:rPr>
                <w:sz w:val="20"/>
                <w:szCs w:val="20"/>
              </w:rPr>
              <w:t xml:space="preserve"> 10,400 </w:t>
            </w:r>
          </w:p>
        </w:tc>
        <w:tc>
          <w:tcPr>
            <w:tcW w:w="1132" w:type="dxa"/>
            <w:hideMark/>
          </w:tcPr>
          <w:p w14:paraId="1D76E77F" w14:textId="5EF6E6D1" w:rsidR="007C26C4" w:rsidRPr="00876657" w:rsidRDefault="007C26C4" w:rsidP="007C26C4">
            <w:pPr>
              <w:pStyle w:val="BodyCopy"/>
              <w:spacing w:before="40" w:after="40"/>
              <w:rPr>
                <w:sz w:val="20"/>
                <w:szCs w:val="20"/>
              </w:rPr>
            </w:pPr>
            <w:r w:rsidRPr="00BD61D2">
              <w:rPr>
                <w:sz w:val="20"/>
                <w:szCs w:val="20"/>
              </w:rPr>
              <w:t xml:space="preserve"> 10,400 </w:t>
            </w:r>
          </w:p>
        </w:tc>
      </w:tr>
      <w:tr w:rsidR="007C26C4" w:rsidRPr="007C2428" w14:paraId="0CD387B9" w14:textId="77777777" w:rsidTr="007C2428">
        <w:trPr>
          <w:trHeight w:val="300"/>
        </w:trPr>
        <w:tc>
          <w:tcPr>
            <w:tcW w:w="4420" w:type="dxa"/>
            <w:hideMark/>
          </w:tcPr>
          <w:p w14:paraId="742A8EF7" w14:textId="77777777" w:rsidR="007C26C4" w:rsidRPr="00C4270B" w:rsidRDefault="007C26C4" w:rsidP="007C26C4">
            <w:pPr>
              <w:pStyle w:val="BodyCopy"/>
              <w:spacing w:before="40" w:after="40"/>
              <w:rPr>
                <w:sz w:val="20"/>
                <w:szCs w:val="20"/>
              </w:rPr>
            </w:pPr>
            <w:r w:rsidRPr="00C4270B">
              <w:rPr>
                <w:sz w:val="20"/>
                <w:szCs w:val="20"/>
              </w:rPr>
              <w:t xml:space="preserve"> Long combination truck </w:t>
            </w:r>
          </w:p>
        </w:tc>
        <w:tc>
          <w:tcPr>
            <w:tcW w:w="1132" w:type="dxa"/>
            <w:hideMark/>
          </w:tcPr>
          <w:p w14:paraId="1FBB8E19" w14:textId="4101C6BA" w:rsidR="007C26C4" w:rsidRPr="00876657" w:rsidRDefault="007C26C4" w:rsidP="007C26C4">
            <w:pPr>
              <w:pStyle w:val="BodyCopy"/>
              <w:spacing w:before="40" w:after="40"/>
              <w:rPr>
                <w:sz w:val="20"/>
                <w:szCs w:val="20"/>
              </w:rPr>
            </w:pPr>
            <w:r w:rsidRPr="00BD61D2">
              <w:rPr>
                <w:sz w:val="20"/>
                <w:szCs w:val="20"/>
              </w:rPr>
              <w:t xml:space="preserve"> 13,311 </w:t>
            </w:r>
          </w:p>
        </w:tc>
        <w:tc>
          <w:tcPr>
            <w:tcW w:w="1211" w:type="dxa"/>
            <w:hideMark/>
          </w:tcPr>
          <w:p w14:paraId="79470C00" w14:textId="7C31AF80" w:rsidR="007C26C4" w:rsidRPr="00876657" w:rsidRDefault="007C26C4" w:rsidP="007C26C4">
            <w:pPr>
              <w:pStyle w:val="BodyCopy"/>
              <w:spacing w:before="40" w:after="40"/>
              <w:rPr>
                <w:sz w:val="20"/>
                <w:szCs w:val="20"/>
              </w:rPr>
            </w:pPr>
            <w:r w:rsidRPr="00BD61D2">
              <w:rPr>
                <w:sz w:val="20"/>
                <w:szCs w:val="20"/>
              </w:rPr>
              <w:t xml:space="preserve"> 13,311 </w:t>
            </w:r>
          </w:p>
        </w:tc>
        <w:tc>
          <w:tcPr>
            <w:tcW w:w="1132" w:type="dxa"/>
            <w:hideMark/>
          </w:tcPr>
          <w:p w14:paraId="35A461AC" w14:textId="1926AADA" w:rsidR="007C26C4" w:rsidRPr="00876657" w:rsidRDefault="007C26C4" w:rsidP="007C26C4">
            <w:pPr>
              <w:pStyle w:val="BodyCopy"/>
              <w:spacing w:before="40" w:after="40"/>
              <w:rPr>
                <w:sz w:val="20"/>
                <w:szCs w:val="20"/>
              </w:rPr>
            </w:pPr>
            <w:r w:rsidRPr="00BD61D2">
              <w:rPr>
                <w:sz w:val="20"/>
                <w:szCs w:val="20"/>
              </w:rPr>
              <w:t xml:space="preserve"> 13,311 </w:t>
            </w:r>
          </w:p>
        </w:tc>
        <w:tc>
          <w:tcPr>
            <w:tcW w:w="1132" w:type="dxa"/>
            <w:hideMark/>
          </w:tcPr>
          <w:p w14:paraId="7E43DF1E" w14:textId="7B752FA7" w:rsidR="007C26C4" w:rsidRPr="00876657" w:rsidRDefault="007C26C4" w:rsidP="007C26C4">
            <w:pPr>
              <w:pStyle w:val="BodyCopy"/>
              <w:spacing w:before="40" w:after="40"/>
              <w:rPr>
                <w:sz w:val="20"/>
                <w:szCs w:val="20"/>
              </w:rPr>
            </w:pPr>
            <w:r w:rsidRPr="00BD61D2">
              <w:rPr>
                <w:sz w:val="20"/>
                <w:szCs w:val="20"/>
              </w:rPr>
              <w:t xml:space="preserve"> 13,311 </w:t>
            </w:r>
          </w:p>
        </w:tc>
      </w:tr>
      <w:tr w:rsidR="007C26C4" w:rsidRPr="007C2428" w14:paraId="23D91813" w14:textId="77777777" w:rsidTr="007C2428">
        <w:trPr>
          <w:trHeight w:val="300"/>
        </w:trPr>
        <w:tc>
          <w:tcPr>
            <w:tcW w:w="4420" w:type="dxa"/>
            <w:hideMark/>
          </w:tcPr>
          <w:p w14:paraId="2A0A8792" w14:textId="6B315F26" w:rsidR="007C26C4" w:rsidRPr="00C4270B" w:rsidRDefault="007C26C4" w:rsidP="007C26C4">
            <w:pPr>
              <w:pStyle w:val="BodyCopy"/>
              <w:spacing w:before="40" w:after="40"/>
              <w:rPr>
                <w:b/>
                <w:bCs/>
                <w:sz w:val="20"/>
                <w:szCs w:val="20"/>
              </w:rPr>
            </w:pPr>
            <w:r w:rsidRPr="00C4270B">
              <w:rPr>
                <w:b/>
                <w:bCs/>
                <w:sz w:val="20"/>
                <w:szCs w:val="20"/>
              </w:rPr>
              <w:t xml:space="preserve"> Prime movers </w:t>
            </w:r>
          </w:p>
        </w:tc>
        <w:tc>
          <w:tcPr>
            <w:tcW w:w="1132" w:type="dxa"/>
            <w:hideMark/>
          </w:tcPr>
          <w:p w14:paraId="70FFAAD4" w14:textId="74D4859B" w:rsidR="007C26C4" w:rsidRPr="00876657" w:rsidRDefault="007C26C4" w:rsidP="007C26C4">
            <w:pPr>
              <w:pStyle w:val="BodyCopy"/>
              <w:spacing w:before="40" w:after="40"/>
              <w:rPr>
                <w:sz w:val="20"/>
                <w:szCs w:val="20"/>
              </w:rPr>
            </w:pPr>
          </w:p>
        </w:tc>
        <w:tc>
          <w:tcPr>
            <w:tcW w:w="1211" w:type="dxa"/>
            <w:hideMark/>
          </w:tcPr>
          <w:p w14:paraId="1B496919" w14:textId="18166FF1" w:rsidR="007C26C4" w:rsidRPr="00876657" w:rsidRDefault="007C26C4" w:rsidP="007C26C4">
            <w:pPr>
              <w:pStyle w:val="BodyCopy"/>
              <w:spacing w:before="40" w:after="40"/>
              <w:rPr>
                <w:sz w:val="20"/>
                <w:szCs w:val="20"/>
              </w:rPr>
            </w:pPr>
          </w:p>
        </w:tc>
        <w:tc>
          <w:tcPr>
            <w:tcW w:w="1132" w:type="dxa"/>
            <w:hideMark/>
          </w:tcPr>
          <w:p w14:paraId="6A51B514" w14:textId="2FD121EE" w:rsidR="007C26C4" w:rsidRPr="00876657" w:rsidRDefault="007C26C4" w:rsidP="007C26C4">
            <w:pPr>
              <w:pStyle w:val="BodyCopy"/>
              <w:spacing w:before="40" w:after="40"/>
              <w:rPr>
                <w:sz w:val="20"/>
                <w:szCs w:val="20"/>
              </w:rPr>
            </w:pPr>
          </w:p>
        </w:tc>
        <w:tc>
          <w:tcPr>
            <w:tcW w:w="1132" w:type="dxa"/>
            <w:hideMark/>
          </w:tcPr>
          <w:p w14:paraId="5B9CA7AA" w14:textId="050F75D7" w:rsidR="007C26C4" w:rsidRPr="00876657" w:rsidRDefault="007C26C4" w:rsidP="007C26C4">
            <w:pPr>
              <w:pStyle w:val="BodyCopy"/>
              <w:spacing w:before="40" w:after="40"/>
              <w:rPr>
                <w:sz w:val="20"/>
                <w:szCs w:val="20"/>
              </w:rPr>
            </w:pPr>
          </w:p>
        </w:tc>
      </w:tr>
      <w:tr w:rsidR="007C26C4" w:rsidRPr="007C2428" w14:paraId="23EF49A6" w14:textId="77777777" w:rsidTr="007C2428">
        <w:trPr>
          <w:trHeight w:val="300"/>
        </w:trPr>
        <w:tc>
          <w:tcPr>
            <w:tcW w:w="4420" w:type="dxa"/>
            <w:hideMark/>
          </w:tcPr>
          <w:p w14:paraId="5A7D5948" w14:textId="77777777" w:rsidR="007C26C4" w:rsidRPr="00C4270B" w:rsidRDefault="007C26C4" w:rsidP="007C26C4">
            <w:pPr>
              <w:pStyle w:val="BodyCopy"/>
              <w:spacing w:before="40" w:after="40"/>
              <w:rPr>
                <w:sz w:val="20"/>
                <w:szCs w:val="20"/>
              </w:rPr>
            </w:pPr>
            <w:r w:rsidRPr="00C4270B">
              <w:rPr>
                <w:sz w:val="20"/>
                <w:szCs w:val="20"/>
              </w:rPr>
              <w:t xml:space="preserve"> Short combination prime mover </w:t>
            </w:r>
          </w:p>
        </w:tc>
        <w:tc>
          <w:tcPr>
            <w:tcW w:w="1132" w:type="dxa"/>
            <w:hideMark/>
          </w:tcPr>
          <w:p w14:paraId="15D70AD5" w14:textId="59B21E4A" w:rsidR="007C26C4" w:rsidRPr="00876657" w:rsidRDefault="007C26C4" w:rsidP="007C26C4">
            <w:pPr>
              <w:pStyle w:val="BodyCopy"/>
              <w:spacing w:before="40" w:after="40"/>
              <w:rPr>
                <w:sz w:val="20"/>
                <w:szCs w:val="20"/>
              </w:rPr>
            </w:pPr>
            <w:r w:rsidRPr="00BD61D2">
              <w:rPr>
                <w:sz w:val="20"/>
                <w:szCs w:val="20"/>
              </w:rPr>
              <w:t xml:space="preserve"> 778 </w:t>
            </w:r>
          </w:p>
        </w:tc>
        <w:tc>
          <w:tcPr>
            <w:tcW w:w="1211" w:type="dxa"/>
            <w:hideMark/>
          </w:tcPr>
          <w:p w14:paraId="75C74187" w14:textId="2140EA35" w:rsidR="007C26C4" w:rsidRPr="00876657" w:rsidRDefault="007C26C4" w:rsidP="007C26C4">
            <w:pPr>
              <w:pStyle w:val="BodyCopy"/>
              <w:spacing w:before="40" w:after="40"/>
              <w:rPr>
                <w:sz w:val="20"/>
                <w:szCs w:val="20"/>
              </w:rPr>
            </w:pPr>
            <w:r w:rsidRPr="00BD61D2">
              <w:rPr>
                <w:sz w:val="20"/>
                <w:szCs w:val="20"/>
              </w:rPr>
              <w:t xml:space="preserve"> 4,441 </w:t>
            </w:r>
          </w:p>
        </w:tc>
        <w:tc>
          <w:tcPr>
            <w:tcW w:w="1132" w:type="dxa"/>
            <w:hideMark/>
          </w:tcPr>
          <w:p w14:paraId="7829C210" w14:textId="5265A741" w:rsidR="007C26C4" w:rsidRPr="00876657" w:rsidRDefault="007C26C4" w:rsidP="007C26C4">
            <w:pPr>
              <w:pStyle w:val="BodyCopy"/>
              <w:spacing w:before="40" w:after="40"/>
              <w:rPr>
                <w:sz w:val="20"/>
                <w:szCs w:val="20"/>
              </w:rPr>
            </w:pPr>
            <w:r w:rsidRPr="00BD61D2">
              <w:rPr>
                <w:sz w:val="20"/>
                <w:szCs w:val="20"/>
              </w:rPr>
              <w:t xml:space="preserve"> 4,774 </w:t>
            </w:r>
          </w:p>
        </w:tc>
        <w:tc>
          <w:tcPr>
            <w:tcW w:w="1132" w:type="dxa"/>
            <w:hideMark/>
          </w:tcPr>
          <w:p w14:paraId="7506E0E9" w14:textId="20CE44B4" w:rsidR="007C26C4" w:rsidRPr="00876657" w:rsidRDefault="007C26C4" w:rsidP="007C26C4">
            <w:pPr>
              <w:pStyle w:val="BodyCopy"/>
              <w:spacing w:before="40" w:after="40"/>
              <w:rPr>
                <w:sz w:val="20"/>
                <w:szCs w:val="20"/>
              </w:rPr>
            </w:pPr>
            <w:r w:rsidRPr="00BD61D2">
              <w:rPr>
                <w:sz w:val="20"/>
                <w:szCs w:val="20"/>
              </w:rPr>
              <w:t xml:space="preserve"> 4,774 </w:t>
            </w:r>
          </w:p>
        </w:tc>
      </w:tr>
      <w:tr w:rsidR="007C26C4" w:rsidRPr="007C2428" w14:paraId="00D8E7F4" w14:textId="77777777" w:rsidTr="007C2428">
        <w:trPr>
          <w:trHeight w:val="300"/>
        </w:trPr>
        <w:tc>
          <w:tcPr>
            <w:tcW w:w="4420" w:type="dxa"/>
            <w:hideMark/>
          </w:tcPr>
          <w:p w14:paraId="2DE93AA6" w14:textId="77777777" w:rsidR="007C26C4" w:rsidRPr="00C4270B" w:rsidRDefault="007C26C4" w:rsidP="007C26C4">
            <w:pPr>
              <w:pStyle w:val="BodyCopy"/>
              <w:spacing w:before="40" w:after="40"/>
              <w:rPr>
                <w:sz w:val="20"/>
                <w:szCs w:val="20"/>
              </w:rPr>
            </w:pPr>
            <w:r w:rsidRPr="00C4270B">
              <w:rPr>
                <w:sz w:val="20"/>
                <w:szCs w:val="20"/>
              </w:rPr>
              <w:t xml:space="preserve"> Multi-combination prime mover </w:t>
            </w:r>
          </w:p>
        </w:tc>
        <w:tc>
          <w:tcPr>
            <w:tcW w:w="1132" w:type="dxa"/>
            <w:hideMark/>
          </w:tcPr>
          <w:p w14:paraId="677BC7DF" w14:textId="242E69EF" w:rsidR="007C26C4" w:rsidRPr="00876657" w:rsidRDefault="007C26C4" w:rsidP="007C26C4">
            <w:pPr>
              <w:pStyle w:val="BodyCopy"/>
              <w:spacing w:before="40" w:after="40"/>
              <w:rPr>
                <w:sz w:val="20"/>
                <w:szCs w:val="20"/>
              </w:rPr>
            </w:pPr>
            <w:r w:rsidRPr="00BD61D2">
              <w:rPr>
                <w:sz w:val="20"/>
                <w:szCs w:val="20"/>
              </w:rPr>
              <w:t xml:space="preserve"> 11,267 </w:t>
            </w:r>
          </w:p>
        </w:tc>
        <w:tc>
          <w:tcPr>
            <w:tcW w:w="1211" w:type="dxa"/>
            <w:hideMark/>
          </w:tcPr>
          <w:p w14:paraId="12AFA07D" w14:textId="23A2C6AD" w:rsidR="007C26C4" w:rsidRPr="00876657" w:rsidRDefault="007C26C4" w:rsidP="007C26C4">
            <w:pPr>
              <w:pStyle w:val="BodyCopy"/>
              <w:spacing w:before="40" w:after="40"/>
              <w:rPr>
                <w:sz w:val="20"/>
                <w:szCs w:val="20"/>
              </w:rPr>
            </w:pPr>
            <w:r w:rsidRPr="00BD61D2">
              <w:rPr>
                <w:sz w:val="20"/>
                <w:szCs w:val="20"/>
              </w:rPr>
              <w:t xml:space="preserve"> 11,267 </w:t>
            </w:r>
          </w:p>
        </w:tc>
        <w:tc>
          <w:tcPr>
            <w:tcW w:w="1132" w:type="dxa"/>
            <w:hideMark/>
          </w:tcPr>
          <w:p w14:paraId="76AC9327" w14:textId="36AC8DF3" w:rsidR="007C26C4" w:rsidRPr="00876657" w:rsidRDefault="007C26C4" w:rsidP="007C26C4">
            <w:pPr>
              <w:pStyle w:val="BodyCopy"/>
              <w:spacing w:before="40" w:after="40"/>
              <w:rPr>
                <w:sz w:val="20"/>
                <w:szCs w:val="20"/>
              </w:rPr>
            </w:pPr>
            <w:r w:rsidRPr="00BD61D2">
              <w:rPr>
                <w:sz w:val="20"/>
                <w:szCs w:val="20"/>
              </w:rPr>
              <w:t xml:space="preserve"> 12,393 </w:t>
            </w:r>
          </w:p>
        </w:tc>
        <w:tc>
          <w:tcPr>
            <w:tcW w:w="1132" w:type="dxa"/>
            <w:hideMark/>
          </w:tcPr>
          <w:p w14:paraId="559644C4" w14:textId="14CE7879" w:rsidR="007C26C4" w:rsidRPr="00876657" w:rsidRDefault="007C26C4" w:rsidP="007C26C4">
            <w:pPr>
              <w:pStyle w:val="BodyCopy"/>
              <w:spacing w:before="40" w:after="40"/>
              <w:rPr>
                <w:sz w:val="20"/>
                <w:szCs w:val="20"/>
              </w:rPr>
            </w:pPr>
            <w:r w:rsidRPr="00BD61D2">
              <w:rPr>
                <w:sz w:val="20"/>
                <w:szCs w:val="20"/>
              </w:rPr>
              <w:t xml:space="preserve"> 12,393 </w:t>
            </w:r>
          </w:p>
        </w:tc>
      </w:tr>
      <w:tr w:rsidR="007C2428" w:rsidRPr="007C2428" w14:paraId="6EA8A8F2" w14:textId="77777777" w:rsidTr="00AF7B68">
        <w:trPr>
          <w:trHeight w:val="300"/>
        </w:trPr>
        <w:tc>
          <w:tcPr>
            <w:tcW w:w="9027" w:type="dxa"/>
            <w:gridSpan w:val="5"/>
            <w:vAlign w:val="center"/>
            <w:hideMark/>
          </w:tcPr>
          <w:p w14:paraId="1C471977" w14:textId="55316D44" w:rsidR="007C2428" w:rsidRPr="00C4270B" w:rsidRDefault="007C2428" w:rsidP="00AF7B68">
            <w:pPr>
              <w:pStyle w:val="BodyCopy"/>
              <w:spacing w:before="40" w:after="40"/>
              <w:jc w:val="center"/>
              <w:rPr>
                <w:b/>
                <w:bCs/>
                <w:sz w:val="20"/>
                <w:szCs w:val="20"/>
              </w:rPr>
            </w:pPr>
            <w:r w:rsidRPr="00C4270B">
              <w:rPr>
                <w:b/>
                <w:bCs/>
                <w:sz w:val="20"/>
                <w:szCs w:val="20"/>
              </w:rPr>
              <w:t>DIVISION 2 – LOAD CARRYING TRAILERS ($)</w:t>
            </w:r>
          </w:p>
        </w:tc>
      </w:tr>
      <w:tr w:rsidR="007C2428" w:rsidRPr="007C2428" w14:paraId="30409FEA" w14:textId="77777777" w:rsidTr="007C2428">
        <w:trPr>
          <w:trHeight w:val="900"/>
        </w:trPr>
        <w:tc>
          <w:tcPr>
            <w:tcW w:w="4420" w:type="dxa"/>
            <w:hideMark/>
          </w:tcPr>
          <w:p w14:paraId="57663287" w14:textId="77777777" w:rsidR="007C2428" w:rsidRPr="00C4270B" w:rsidRDefault="007C2428"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06AD48C7" w14:textId="22F97880" w:rsidR="007C2428" w:rsidRPr="00C4270B" w:rsidRDefault="007C2428"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40CDA4B4" w14:textId="76DF2E5D" w:rsidR="007C2428" w:rsidRPr="00C4270B" w:rsidRDefault="007C2428"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2C345FE3" w14:textId="775B9D65" w:rsidR="007C2428" w:rsidRPr="00C4270B" w:rsidRDefault="007C2428"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704F60C7" w14:textId="5C8D3E86" w:rsidR="007C2428" w:rsidRPr="00C4270B" w:rsidRDefault="007C2428"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7C2428" w:rsidRPr="007C2428" w14:paraId="6F72C33F" w14:textId="77777777" w:rsidTr="007C2428">
        <w:trPr>
          <w:trHeight w:val="300"/>
        </w:trPr>
        <w:tc>
          <w:tcPr>
            <w:tcW w:w="4420" w:type="dxa"/>
            <w:hideMark/>
          </w:tcPr>
          <w:p w14:paraId="3A43A3F5" w14:textId="601C26C5" w:rsidR="007C2428" w:rsidRPr="00C4270B" w:rsidRDefault="007C2428" w:rsidP="00AF7B68">
            <w:pPr>
              <w:pStyle w:val="BodyCopy"/>
              <w:spacing w:before="40" w:after="40"/>
              <w:rPr>
                <w:b/>
                <w:bCs/>
                <w:sz w:val="20"/>
                <w:szCs w:val="20"/>
              </w:rPr>
            </w:pPr>
            <w:r w:rsidRPr="00C4270B">
              <w:rPr>
                <w:b/>
                <w:bCs/>
                <w:sz w:val="20"/>
                <w:szCs w:val="20"/>
              </w:rPr>
              <w:t xml:space="preserve"> Trailer </w:t>
            </w:r>
            <w:r w:rsidR="006F7F4A" w:rsidRPr="00C4270B">
              <w:rPr>
                <w:b/>
                <w:bCs/>
                <w:sz w:val="20"/>
                <w:szCs w:val="20"/>
              </w:rPr>
              <w:t>t</w:t>
            </w:r>
            <w:r w:rsidRPr="00C4270B">
              <w:rPr>
                <w:b/>
                <w:bCs/>
                <w:sz w:val="20"/>
                <w:szCs w:val="20"/>
              </w:rPr>
              <w:t xml:space="preserve">ype </w:t>
            </w:r>
          </w:p>
        </w:tc>
        <w:tc>
          <w:tcPr>
            <w:tcW w:w="1132" w:type="dxa"/>
            <w:hideMark/>
          </w:tcPr>
          <w:p w14:paraId="4FF5C093"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21E9A7B0"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1BD2CE13"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01387F28" w14:textId="77777777" w:rsidR="007C2428" w:rsidRPr="00C4270B" w:rsidRDefault="007C2428" w:rsidP="00AF7B68">
            <w:pPr>
              <w:pStyle w:val="BodyCopy"/>
              <w:spacing w:before="40" w:after="40"/>
              <w:rPr>
                <w:sz w:val="20"/>
                <w:szCs w:val="20"/>
              </w:rPr>
            </w:pPr>
            <w:r w:rsidRPr="00C4270B">
              <w:rPr>
                <w:sz w:val="20"/>
                <w:szCs w:val="20"/>
              </w:rPr>
              <w:t> </w:t>
            </w:r>
          </w:p>
        </w:tc>
      </w:tr>
      <w:tr w:rsidR="007C26C4" w:rsidRPr="007C2428" w14:paraId="0ADECAD0" w14:textId="77777777" w:rsidTr="007C2428">
        <w:trPr>
          <w:trHeight w:val="300"/>
        </w:trPr>
        <w:tc>
          <w:tcPr>
            <w:tcW w:w="4420" w:type="dxa"/>
            <w:hideMark/>
          </w:tcPr>
          <w:p w14:paraId="20B93E0D" w14:textId="3308380C" w:rsidR="007C26C4" w:rsidRPr="00C4270B" w:rsidRDefault="007C26C4" w:rsidP="007C26C4">
            <w:pPr>
              <w:pStyle w:val="BodyCopy"/>
              <w:spacing w:before="40" w:after="40"/>
              <w:rPr>
                <w:sz w:val="20"/>
                <w:szCs w:val="20"/>
              </w:rPr>
            </w:pPr>
            <w:r w:rsidRPr="00C4270B">
              <w:rPr>
                <w:sz w:val="20"/>
                <w:szCs w:val="20"/>
              </w:rPr>
              <w:t xml:space="preserve"> Pig trailer </w:t>
            </w:r>
          </w:p>
        </w:tc>
        <w:tc>
          <w:tcPr>
            <w:tcW w:w="1132" w:type="dxa"/>
            <w:hideMark/>
          </w:tcPr>
          <w:p w14:paraId="7D8E48F8" w14:textId="4FF08196" w:rsidR="007C26C4" w:rsidRPr="00876657" w:rsidRDefault="007C26C4" w:rsidP="007C26C4">
            <w:pPr>
              <w:pStyle w:val="BodyCopy"/>
              <w:spacing w:before="40" w:after="40"/>
              <w:rPr>
                <w:sz w:val="20"/>
                <w:szCs w:val="20"/>
              </w:rPr>
            </w:pPr>
            <w:r w:rsidRPr="00BD61D2">
              <w:rPr>
                <w:sz w:val="20"/>
                <w:szCs w:val="20"/>
              </w:rPr>
              <w:t xml:space="preserve"> 662 </w:t>
            </w:r>
          </w:p>
        </w:tc>
        <w:tc>
          <w:tcPr>
            <w:tcW w:w="1211" w:type="dxa"/>
            <w:hideMark/>
          </w:tcPr>
          <w:p w14:paraId="56924089" w14:textId="58A84A35" w:rsidR="007C26C4" w:rsidRPr="00876657" w:rsidRDefault="007C26C4" w:rsidP="007C26C4">
            <w:pPr>
              <w:pStyle w:val="BodyCopy"/>
              <w:spacing w:before="40" w:after="40"/>
              <w:rPr>
                <w:sz w:val="20"/>
                <w:szCs w:val="20"/>
              </w:rPr>
            </w:pPr>
            <w:r w:rsidRPr="00BD61D2">
              <w:rPr>
                <w:sz w:val="20"/>
                <w:szCs w:val="20"/>
              </w:rPr>
              <w:t xml:space="preserve"> 662 </w:t>
            </w:r>
          </w:p>
        </w:tc>
        <w:tc>
          <w:tcPr>
            <w:tcW w:w="1132" w:type="dxa"/>
            <w:hideMark/>
          </w:tcPr>
          <w:p w14:paraId="43C2BE15" w14:textId="4B33B09D" w:rsidR="007C26C4" w:rsidRPr="00876657" w:rsidRDefault="007C26C4" w:rsidP="007C26C4">
            <w:pPr>
              <w:pStyle w:val="BodyCopy"/>
              <w:spacing w:before="40" w:after="40"/>
              <w:rPr>
                <w:sz w:val="20"/>
                <w:szCs w:val="20"/>
              </w:rPr>
            </w:pPr>
            <w:r w:rsidRPr="00BD61D2">
              <w:rPr>
                <w:sz w:val="20"/>
                <w:szCs w:val="20"/>
              </w:rPr>
              <w:t xml:space="preserve"> 662 </w:t>
            </w:r>
          </w:p>
        </w:tc>
        <w:tc>
          <w:tcPr>
            <w:tcW w:w="1132" w:type="dxa"/>
            <w:hideMark/>
          </w:tcPr>
          <w:p w14:paraId="2102FE34" w14:textId="190B5D51" w:rsidR="007C26C4" w:rsidRPr="00876657" w:rsidRDefault="007C26C4" w:rsidP="007C26C4">
            <w:pPr>
              <w:pStyle w:val="BodyCopy"/>
              <w:spacing w:before="40" w:after="40"/>
              <w:rPr>
                <w:sz w:val="20"/>
                <w:szCs w:val="20"/>
              </w:rPr>
            </w:pPr>
            <w:r w:rsidRPr="00BD61D2">
              <w:rPr>
                <w:sz w:val="20"/>
                <w:szCs w:val="20"/>
              </w:rPr>
              <w:t xml:space="preserve"> 662 </w:t>
            </w:r>
          </w:p>
        </w:tc>
      </w:tr>
      <w:tr w:rsidR="007C26C4" w:rsidRPr="007C2428" w14:paraId="00F20295" w14:textId="77777777" w:rsidTr="007C2428">
        <w:trPr>
          <w:trHeight w:val="300"/>
        </w:trPr>
        <w:tc>
          <w:tcPr>
            <w:tcW w:w="4420" w:type="dxa"/>
            <w:hideMark/>
          </w:tcPr>
          <w:p w14:paraId="201750B3" w14:textId="5D5AEE16" w:rsidR="007C26C4" w:rsidRPr="00C4270B" w:rsidRDefault="007C26C4" w:rsidP="007C26C4">
            <w:pPr>
              <w:pStyle w:val="BodyCopy"/>
              <w:spacing w:before="40" w:after="40"/>
              <w:rPr>
                <w:sz w:val="20"/>
                <w:szCs w:val="20"/>
              </w:rPr>
            </w:pPr>
            <w:r w:rsidRPr="00C4270B">
              <w:rPr>
                <w:sz w:val="20"/>
                <w:szCs w:val="20"/>
              </w:rPr>
              <w:t xml:space="preserve"> Dog trailer </w:t>
            </w:r>
          </w:p>
        </w:tc>
        <w:tc>
          <w:tcPr>
            <w:tcW w:w="1132" w:type="dxa"/>
            <w:hideMark/>
          </w:tcPr>
          <w:p w14:paraId="397FB347" w14:textId="64079D94" w:rsidR="007C26C4" w:rsidRPr="00876657" w:rsidRDefault="007C26C4" w:rsidP="007C26C4">
            <w:pPr>
              <w:pStyle w:val="BodyCopy"/>
              <w:spacing w:before="40" w:after="40"/>
              <w:rPr>
                <w:sz w:val="20"/>
                <w:szCs w:val="20"/>
              </w:rPr>
            </w:pPr>
            <w:r w:rsidRPr="00BD61D2">
              <w:rPr>
                <w:sz w:val="20"/>
                <w:szCs w:val="20"/>
              </w:rPr>
              <w:t xml:space="preserve"> 662 </w:t>
            </w:r>
          </w:p>
        </w:tc>
        <w:tc>
          <w:tcPr>
            <w:tcW w:w="1211" w:type="dxa"/>
            <w:hideMark/>
          </w:tcPr>
          <w:p w14:paraId="730D72DF" w14:textId="1335169A" w:rsidR="007C26C4" w:rsidRPr="00876657" w:rsidRDefault="007C26C4" w:rsidP="007C26C4">
            <w:pPr>
              <w:pStyle w:val="BodyCopy"/>
              <w:spacing w:before="40" w:after="40"/>
              <w:rPr>
                <w:sz w:val="20"/>
                <w:szCs w:val="20"/>
              </w:rPr>
            </w:pPr>
            <w:r w:rsidRPr="00BD61D2">
              <w:rPr>
                <w:sz w:val="20"/>
                <w:szCs w:val="20"/>
              </w:rPr>
              <w:t xml:space="preserve"> 662 </w:t>
            </w:r>
          </w:p>
        </w:tc>
        <w:tc>
          <w:tcPr>
            <w:tcW w:w="1132" w:type="dxa"/>
            <w:hideMark/>
          </w:tcPr>
          <w:p w14:paraId="65FCCB2C" w14:textId="76B0D1A2" w:rsidR="007C26C4" w:rsidRPr="00876657" w:rsidRDefault="007C26C4" w:rsidP="007C26C4">
            <w:pPr>
              <w:pStyle w:val="BodyCopy"/>
              <w:spacing w:before="40" w:after="40"/>
              <w:rPr>
                <w:sz w:val="20"/>
                <w:szCs w:val="20"/>
              </w:rPr>
            </w:pPr>
            <w:r w:rsidRPr="00BD61D2">
              <w:rPr>
                <w:sz w:val="20"/>
                <w:szCs w:val="20"/>
              </w:rPr>
              <w:t xml:space="preserve"> 662 </w:t>
            </w:r>
          </w:p>
        </w:tc>
        <w:tc>
          <w:tcPr>
            <w:tcW w:w="1132" w:type="dxa"/>
            <w:hideMark/>
          </w:tcPr>
          <w:p w14:paraId="2E0B420F" w14:textId="78671CD3" w:rsidR="007C26C4" w:rsidRPr="00876657" w:rsidRDefault="007C26C4" w:rsidP="007C26C4">
            <w:pPr>
              <w:pStyle w:val="BodyCopy"/>
              <w:spacing w:before="40" w:after="40"/>
              <w:rPr>
                <w:sz w:val="20"/>
                <w:szCs w:val="20"/>
              </w:rPr>
            </w:pPr>
            <w:r w:rsidRPr="00BD61D2">
              <w:rPr>
                <w:sz w:val="20"/>
                <w:szCs w:val="20"/>
              </w:rPr>
              <w:t xml:space="preserve"> 662 </w:t>
            </w:r>
          </w:p>
        </w:tc>
      </w:tr>
      <w:tr w:rsidR="007C26C4" w:rsidRPr="007C2428" w14:paraId="322076EC" w14:textId="77777777" w:rsidTr="007C2428">
        <w:trPr>
          <w:trHeight w:val="300"/>
        </w:trPr>
        <w:tc>
          <w:tcPr>
            <w:tcW w:w="4420" w:type="dxa"/>
            <w:hideMark/>
          </w:tcPr>
          <w:p w14:paraId="5F59CC65" w14:textId="046CB802" w:rsidR="007C26C4" w:rsidRPr="00C4270B" w:rsidRDefault="007C26C4" w:rsidP="007C26C4">
            <w:pPr>
              <w:pStyle w:val="BodyCopy"/>
              <w:spacing w:before="40" w:after="40"/>
              <w:rPr>
                <w:sz w:val="20"/>
                <w:szCs w:val="20"/>
              </w:rPr>
            </w:pPr>
            <w:r w:rsidRPr="00C4270B">
              <w:rPr>
                <w:sz w:val="20"/>
                <w:szCs w:val="20"/>
              </w:rPr>
              <w:t xml:space="preserve"> Semitrailer </w:t>
            </w:r>
          </w:p>
        </w:tc>
        <w:tc>
          <w:tcPr>
            <w:tcW w:w="1132" w:type="dxa"/>
            <w:hideMark/>
          </w:tcPr>
          <w:p w14:paraId="1303165D" w14:textId="26C9B6ED" w:rsidR="007C26C4" w:rsidRPr="00876657" w:rsidRDefault="007C26C4" w:rsidP="007C26C4">
            <w:pPr>
              <w:pStyle w:val="BodyCopy"/>
              <w:spacing w:before="40" w:after="40"/>
              <w:rPr>
                <w:sz w:val="20"/>
                <w:szCs w:val="20"/>
              </w:rPr>
            </w:pPr>
            <w:r w:rsidRPr="00BD61D2">
              <w:rPr>
                <w:sz w:val="20"/>
                <w:szCs w:val="20"/>
              </w:rPr>
              <w:t xml:space="preserve"> 662 </w:t>
            </w:r>
          </w:p>
        </w:tc>
        <w:tc>
          <w:tcPr>
            <w:tcW w:w="1211" w:type="dxa"/>
            <w:hideMark/>
          </w:tcPr>
          <w:p w14:paraId="787D9A4A" w14:textId="237B67B5" w:rsidR="007C26C4" w:rsidRPr="00876657" w:rsidRDefault="007C26C4" w:rsidP="007C26C4">
            <w:pPr>
              <w:pStyle w:val="BodyCopy"/>
              <w:spacing w:before="40" w:after="40"/>
              <w:rPr>
                <w:sz w:val="20"/>
                <w:szCs w:val="20"/>
              </w:rPr>
            </w:pPr>
            <w:r w:rsidRPr="00BD61D2">
              <w:rPr>
                <w:sz w:val="20"/>
                <w:szCs w:val="20"/>
              </w:rPr>
              <w:t xml:space="preserve"> 841 </w:t>
            </w:r>
          </w:p>
        </w:tc>
        <w:tc>
          <w:tcPr>
            <w:tcW w:w="1132" w:type="dxa"/>
            <w:hideMark/>
          </w:tcPr>
          <w:p w14:paraId="0595050B" w14:textId="50465AC7" w:rsidR="007C26C4" w:rsidRPr="00876657" w:rsidRDefault="007C26C4" w:rsidP="007C26C4">
            <w:pPr>
              <w:pStyle w:val="BodyCopy"/>
              <w:spacing w:before="40" w:after="40"/>
              <w:rPr>
                <w:sz w:val="20"/>
                <w:szCs w:val="20"/>
              </w:rPr>
            </w:pPr>
            <w:r w:rsidRPr="00BD61D2">
              <w:rPr>
                <w:sz w:val="20"/>
                <w:szCs w:val="20"/>
              </w:rPr>
              <w:t xml:space="preserve"> 598 </w:t>
            </w:r>
          </w:p>
        </w:tc>
        <w:tc>
          <w:tcPr>
            <w:tcW w:w="1132" w:type="dxa"/>
            <w:hideMark/>
          </w:tcPr>
          <w:p w14:paraId="40EF29B9" w14:textId="36155DD5" w:rsidR="007C26C4" w:rsidRPr="00876657" w:rsidRDefault="007C26C4" w:rsidP="007C26C4">
            <w:pPr>
              <w:pStyle w:val="BodyCopy"/>
              <w:spacing w:before="40" w:after="40"/>
              <w:rPr>
                <w:sz w:val="20"/>
                <w:szCs w:val="20"/>
              </w:rPr>
            </w:pPr>
            <w:r w:rsidRPr="00BD61D2">
              <w:rPr>
                <w:sz w:val="20"/>
                <w:szCs w:val="20"/>
              </w:rPr>
              <w:t xml:space="preserve"> 449 </w:t>
            </w:r>
          </w:p>
        </w:tc>
      </w:tr>
      <w:tr w:rsidR="007C26C4" w:rsidRPr="007C2428" w14:paraId="2C47EB30" w14:textId="77777777" w:rsidTr="007C2428">
        <w:trPr>
          <w:trHeight w:val="300"/>
        </w:trPr>
        <w:tc>
          <w:tcPr>
            <w:tcW w:w="4420" w:type="dxa"/>
            <w:hideMark/>
          </w:tcPr>
          <w:p w14:paraId="227F17F9" w14:textId="77777777" w:rsidR="007C26C4" w:rsidRPr="00C4270B" w:rsidRDefault="007C26C4" w:rsidP="007C26C4">
            <w:pPr>
              <w:pStyle w:val="BodyCopy"/>
              <w:spacing w:before="40" w:after="40"/>
              <w:rPr>
                <w:sz w:val="20"/>
                <w:szCs w:val="20"/>
              </w:rPr>
            </w:pPr>
            <w:r w:rsidRPr="00C4270B">
              <w:rPr>
                <w:sz w:val="20"/>
                <w:szCs w:val="20"/>
              </w:rPr>
              <w:t xml:space="preserve"> B-double lead trailer and B-triple lead and middle trailers </w:t>
            </w:r>
          </w:p>
        </w:tc>
        <w:tc>
          <w:tcPr>
            <w:tcW w:w="1132" w:type="dxa"/>
            <w:hideMark/>
          </w:tcPr>
          <w:p w14:paraId="00C775F1" w14:textId="6CBD908A" w:rsidR="007C26C4" w:rsidRPr="00876657" w:rsidRDefault="007C26C4" w:rsidP="007C26C4">
            <w:pPr>
              <w:pStyle w:val="BodyCopy"/>
              <w:spacing w:before="40" w:after="40"/>
              <w:rPr>
                <w:sz w:val="20"/>
                <w:szCs w:val="20"/>
              </w:rPr>
            </w:pPr>
            <w:r w:rsidRPr="00BD61D2">
              <w:rPr>
                <w:sz w:val="20"/>
                <w:szCs w:val="20"/>
              </w:rPr>
              <w:t xml:space="preserve"> 662 </w:t>
            </w:r>
          </w:p>
        </w:tc>
        <w:tc>
          <w:tcPr>
            <w:tcW w:w="1211" w:type="dxa"/>
            <w:hideMark/>
          </w:tcPr>
          <w:p w14:paraId="7F0440CA" w14:textId="3F5EE802" w:rsidR="007C26C4" w:rsidRPr="00876657" w:rsidRDefault="007C26C4" w:rsidP="007C26C4">
            <w:pPr>
              <w:pStyle w:val="BodyCopy"/>
              <w:spacing w:before="40" w:after="40"/>
              <w:rPr>
                <w:sz w:val="20"/>
                <w:szCs w:val="20"/>
              </w:rPr>
            </w:pPr>
            <w:r w:rsidRPr="00BD61D2">
              <w:rPr>
                <w:sz w:val="20"/>
                <w:szCs w:val="20"/>
              </w:rPr>
              <w:t xml:space="preserve"> 841 </w:t>
            </w:r>
          </w:p>
        </w:tc>
        <w:tc>
          <w:tcPr>
            <w:tcW w:w="1132" w:type="dxa"/>
            <w:hideMark/>
          </w:tcPr>
          <w:p w14:paraId="613685F6" w14:textId="36F76187" w:rsidR="007C26C4" w:rsidRPr="00876657" w:rsidRDefault="007C26C4" w:rsidP="007C26C4">
            <w:pPr>
              <w:pStyle w:val="BodyCopy"/>
              <w:spacing w:before="40" w:after="40"/>
              <w:rPr>
                <w:sz w:val="20"/>
                <w:szCs w:val="20"/>
              </w:rPr>
            </w:pPr>
            <w:r w:rsidRPr="00BD61D2">
              <w:rPr>
                <w:sz w:val="20"/>
                <w:szCs w:val="20"/>
              </w:rPr>
              <w:t xml:space="preserve"> 598 </w:t>
            </w:r>
          </w:p>
        </w:tc>
        <w:tc>
          <w:tcPr>
            <w:tcW w:w="1132" w:type="dxa"/>
            <w:hideMark/>
          </w:tcPr>
          <w:p w14:paraId="03BE080F" w14:textId="4B6558DA" w:rsidR="007C26C4" w:rsidRPr="00876657" w:rsidRDefault="007C26C4" w:rsidP="007C26C4">
            <w:pPr>
              <w:pStyle w:val="BodyCopy"/>
              <w:spacing w:before="40" w:after="40"/>
              <w:rPr>
                <w:sz w:val="20"/>
                <w:szCs w:val="20"/>
              </w:rPr>
            </w:pPr>
            <w:r w:rsidRPr="00BD61D2">
              <w:rPr>
                <w:sz w:val="20"/>
                <w:szCs w:val="20"/>
              </w:rPr>
              <w:t xml:space="preserve"> 449 </w:t>
            </w:r>
          </w:p>
        </w:tc>
      </w:tr>
      <w:tr w:rsidR="007C26C4" w:rsidRPr="007C2428" w14:paraId="4E6FDAE8" w14:textId="77777777" w:rsidTr="007C2428">
        <w:trPr>
          <w:trHeight w:val="300"/>
        </w:trPr>
        <w:tc>
          <w:tcPr>
            <w:tcW w:w="4420" w:type="dxa"/>
            <w:hideMark/>
          </w:tcPr>
          <w:p w14:paraId="5E164BB4" w14:textId="77777777" w:rsidR="007C26C4" w:rsidRPr="00C4270B" w:rsidRDefault="007C26C4" w:rsidP="007C26C4">
            <w:pPr>
              <w:pStyle w:val="BodyCopy"/>
              <w:spacing w:before="40" w:after="40"/>
              <w:rPr>
                <w:sz w:val="20"/>
                <w:szCs w:val="20"/>
              </w:rPr>
            </w:pPr>
            <w:r w:rsidRPr="00C4270B">
              <w:rPr>
                <w:sz w:val="20"/>
                <w:szCs w:val="20"/>
              </w:rPr>
              <w:t xml:space="preserve"> Converter dolly or low loader dolly </w:t>
            </w:r>
          </w:p>
        </w:tc>
        <w:tc>
          <w:tcPr>
            <w:tcW w:w="1132" w:type="dxa"/>
            <w:hideMark/>
          </w:tcPr>
          <w:p w14:paraId="18632C3C" w14:textId="0A0E70C0" w:rsidR="007C26C4" w:rsidRPr="00876657" w:rsidRDefault="007C26C4" w:rsidP="007C26C4">
            <w:pPr>
              <w:pStyle w:val="BodyCopy"/>
              <w:spacing w:before="40" w:after="40"/>
              <w:rPr>
                <w:sz w:val="20"/>
                <w:szCs w:val="20"/>
              </w:rPr>
            </w:pPr>
            <w:r w:rsidRPr="00BD61D2">
              <w:rPr>
                <w:sz w:val="20"/>
                <w:szCs w:val="20"/>
              </w:rPr>
              <w:t xml:space="preserve"> 0 </w:t>
            </w:r>
          </w:p>
        </w:tc>
        <w:tc>
          <w:tcPr>
            <w:tcW w:w="1211" w:type="dxa"/>
            <w:hideMark/>
          </w:tcPr>
          <w:p w14:paraId="2FA4A63B" w14:textId="67082926" w:rsidR="007C26C4" w:rsidRPr="00876657" w:rsidRDefault="007C26C4" w:rsidP="007C26C4">
            <w:pPr>
              <w:pStyle w:val="BodyCopy"/>
              <w:spacing w:before="40" w:after="40"/>
              <w:rPr>
                <w:sz w:val="20"/>
                <w:szCs w:val="20"/>
              </w:rPr>
            </w:pPr>
            <w:r w:rsidRPr="00BD61D2">
              <w:rPr>
                <w:sz w:val="20"/>
                <w:szCs w:val="20"/>
              </w:rPr>
              <w:t xml:space="preserve"> 0 </w:t>
            </w:r>
          </w:p>
        </w:tc>
        <w:tc>
          <w:tcPr>
            <w:tcW w:w="1132" w:type="dxa"/>
            <w:hideMark/>
          </w:tcPr>
          <w:p w14:paraId="5A89F442" w14:textId="3F1F87DF" w:rsidR="007C26C4" w:rsidRPr="00876657" w:rsidRDefault="007C26C4" w:rsidP="007C26C4">
            <w:pPr>
              <w:pStyle w:val="BodyCopy"/>
              <w:spacing w:before="40" w:after="40"/>
              <w:rPr>
                <w:sz w:val="20"/>
                <w:szCs w:val="20"/>
              </w:rPr>
            </w:pPr>
            <w:r w:rsidRPr="00BD61D2">
              <w:rPr>
                <w:sz w:val="20"/>
                <w:szCs w:val="20"/>
              </w:rPr>
              <w:t xml:space="preserve"> 0 </w:t>
            </w:r>
          </w:p>
        </w:tc>
        <w:tc>
          <w:tcPr>
            <w:tcW w:w="1132" w:type="dxa"/>
            <w:hideMark/>
          </w:tcPr>
          <w:p w14:paraId="796C651C" w14:textId="37AC5386" w:rsidR="007C26C4" w:rsidRPr="00876657" w:rsidRDefault="007C26C4" w:rsidP="007C26C4">
            <w:pPr>
              <w:pStyle w:val="BodyCopy"/>
              <w:spacing w:before="40" w:after="40"/>
              <w:rPr>
                <w:sz w:val="20"/>
                <w:szCs w:val="20"/>
              </w:rPr>
            </w:pPr>
            <w:r w:rsidRPr="00BD61D2">
              <w:rPr>
                <w:sz w:val="20"/>
                <w:szCs w:val="20"/>
              </w:rPr>
              <w:t xml:space="preserve"> 0 </w:t>
            </w:r>
          </w:p>
        </w:tc>
      </w:tr>
      <w:tr w:rsidR="007C2428" w:rsidRPr="007C2428" w14:paraId="5E1CF558" w14:textId="77777777" w:rsidTr="00AF7B68">
        <w:trPr>
          <w:trHeight w:val="300"/>
        </w:trPr>
        <w:tc>
          <w:tcPr>
            <w:tcW w:w="9027" w:type="dxa"/>
            <w:gridSpan w:val="5"/>
            <w:vAlign w:val="center"/>
            <w:hideMark/>
          </w:tcPr>
          <w:p w14:paraId="342DDA50" w14:textId="762145C9" w:rsidR="007C2428" w:rsidRPr="00C4270B" w:rsidRDefault="007C2428" w:rsidP="00AF7B68">
            <w:pPr>
              <w:pStyle w:val="BodyCopy"/>
              <w:spacing w:before="40" w:after="40"/>
              <w:jc w:val="center"/>
              <w:rPr>
                <w:b/>
                <w:bCs/>
                <w:sz w:val="20"/>
                <w:szCs w:val="20"/>
              </w:rPr>
            </w:pPr>
            <w:r w:rsidRPr="00C4270B">
              <w:rPr>
                <w:b/>
                <w:bCs/>
                <w:sz w:val="20"/>
                <w:szCs w:val="20"/>
              </w:rPr>
              <w:t>DIVISION 3 – BUSES ($)</w:t>
            </w:r>
          </w:p>
        </w:tc>
      </w:tr>
      <w:tr w:rsidR="007C2428" w:rsidRPr="007C2428" w14:paraId="2BBFAE7E" w14:textId="77777777" w:rsidTr="007C2428">
        <w:trPr>
          <w:trHeight w:val="300"/>
        </w:trPr>
        <w:tc>
          <w:tcPr>
            <w:tcW w:w="4420" w:type="dxa"/>
            <w:hideMark/>
          </w:tcPr>
          <w:p w14:paraId="17FD1959" w14:textId="59DBDB6C" w:rsidR="007C2428" w:rsidRPr="00C4270B" w:rsidRDefault="007C2428" w:rsidP="00AF7B68">
            <w:pPr>
              <w:pStyle w:val="BodyCopy"/>
              <w:spacing w:before="40" w:after="40"/>
              <w:rPr>
                <w:b/>
                <w:bCs/>
                <w:sz w:val="20"/>
                <w:szCs w:val="20"/>
              </w:rPr>
            </w:pPr>
            <w:r w:rsidRPr="00C4270B">
              <w:rPr>
                <w:b/>
                <w:bCs/>
                <w:sz w:val="20"/>
                <w:szCs w:val="20"/>
              </w:rPr>
              <w:t xml:space="preserve"> Bus </w:t>
            </w:r>
            <w:r w:rsidR="006F7F4A" w:rsidRPr="00C4270B">
              <w:rPr>
                <w:b/>
                <w:bCs/>
                <w:sz w:val="20"/>
                <w:szCs w:val="20"/>
              </w:rPr>
              <w:t>t</w:t>
            </w:r>
            <w:r w:rsidRPr="00C4270B">
              <w:rPr>
                <w:b/>
                <w:bCs/>
                <w:sz w:val="20"/>
                <w:szCs w:val="20"/>
              </w:rPr>
              <w:t xml:space="preserve">ype </w:t>
            </w:r>
          </w:p>
        </w:tc>
        <w:tc>
          <w:tcPr>
            <w:tcW w:w="1132" w:type="dxa"/>
            <w:hideMark/>
          </w:tcPr>
          <w:p w14:paraId="63C21FC8" w14:textId="627DAF00"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294A1B31" w14:textId="0AAF7B01"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1B01F0FB" w14:textId="090E8D57"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3486A048" w14:textId="77777777" w:rsidR="007C2428" w:rsidRPr="00C4270B" w:rsidRDefault="007C2428" w:rsidP="00AF7B68">
            <w:pPr>
              <w:pStyle w:val="BodyCopy"/>
              <w:spacing w:before="40" w:after="40"/>
              <w:rPr>
                <w:b/>
                <w:bCs/>
                <w:sz w:val="20"/>
                <w:szCs w:val="20"/>
              </w:rPr>
            </w:pPr>
            <w:r w:rsidRPr="00C4270B">
              <w:rPr>
                <w:b/>
                <w:bCs/>
                <w:sz w:val="20"/>
                <w:szCs w:val="20"/>
              </w:rPr>
              <w:t> </w:t>
            </w:r>
          </w:p>
        </w:tc>
      </w:tr>
      <w:tr w:rsidR="007C26C4" w:rsidRPr="007C2428" w14:paraId="529C904C" w14:textId="77777777" w:rsidTr="007C2428">
        <w:trPr>
          <w:trHeight w:val="300"/>
        </w:trPr>
        <w:tc>
          <w:tcPr>
            <w:tcW w:w="4420" w:type="dxa"/>
            <w:hideMark/>
          </w:tcPr>
          <w:p w14:paraId="7395E46C" w14:textId="77777777" w:rsidR="007C26C4" w:rsidRPr="00C4270B" w:rsidRDefault="007C26C4" w:rsidP="007C26C4">
            <w:pPr>
              <w:pStyle w:val="BodyCopy"/>
              <w:spacing w:before="40" w:after="40"/>
              <w:rPr>
                <w:sz w:val="20"/>
                <w:szCs w:val="20"/>
              </w:rPr>
            </w:pPr>
            <w:r w:rsidRPr="00C4270B">
              <w:rPr>
                <w:sz w:val="20"/>
                <w:szCs w:val="20"/>
              </w:rPr>
              <w:t xml:space="preserve"> Bus (type 1) </w:t>
            </w:r>
          </w:p>
        </w:tc>
        <w:tc>
          <w:tcPr>
            <w:tcW w:w="1132" w:type="dxa"/>
            <w:hideMark/>
          </w:tcPr>
          <w:p w14:paraId="5868FC78" w14:textId="690D0987" w:rsidR="007C26C4" w:rsidRPr="00876657" w:rsidRDefault="007C26C4" w:rsidP="007C26C4">
            <w:pPr>
              <w:pStyle w:val="BodyCopy"/>
              <w:spacing w:before="40" w:after="40"/>
              <w:rPr>
                <w:sz w:val="20"/>
                <w:szCs w:val="20"/>
              </w:rPr>
            </w:pPr>
            <w:r w:rsidRPr="00BD61D2">
              <w:rPr>
                <w:sz w:val="20"/>
                <w:szCs w:val="20"/>
              </w:rPr>
              <w:t xml:space="preserve"> 334 </w:t>
            </w:r>
          </w:p>
        </w:tc>
        <w:tc>
          <w:tcPr>
            <w:tcW w:w="1211" w:type="dxa"/>
            <w:hideMark/>
          </w:tcPr>
          <w:p w14:paraId="4EAA5D89" w14:textId="642E9825" w:rsidR="007C26C4" w:rsidRPr="00876657" w:rsidRDefault="007C26C4" w:rsidP="007C26C4">
            <w:pPr>
              <w:pStyle w:val="BodyCopy"/>
              <w:spacing w:before="40" w:after="40"/>
              <w:rPr>
                <w:sz w:val="20"/>
                <w:szCs w:val="20"/>
              </w:rPr>
            </w:pPr>
          </w:p>
        </w:tc>
        <w:tc>
          <w:tcPr>
            <w:tcW w:w="1132" w:type="dxa"/>
            <w:hideMark/>
          </w:tcPr>
          <w:p w14:paraId="78D337B8" w14:textId="6A8FB927" w:rsidR="007C26C4" w:rsidRPr="00876657" w:rsidRDefault="007C26C4" w:rsidP="007C26C4">
            <w:pPr>
              <w:pStyle w:val="BodyCopy"/>
              <w:spacing w:before="40" w:after="40"/>
              <w:rPr>
                <w:sz w:val="20"/>
                <w:szCs w:val="20"/>
              </w:rPr>
            </w:pPr>
          </w:p>
        </w:tc>
        <w:tc>
          <w:tcPr>
            <w:tcW w:w="1132" w:type="dxa"/>
            <w:hideMark/>
          </w:tcPr>
          <w:p w14:paraId="5A0D7DB6" w14:textId="77777777" w:rsidR="007C26C4" w:rsidRPr="00C4270B" w:rsidRDefault="007C26C4" w:rsidP="007C26C4">
            <w:pPr>
              <w:pStyle w:val="BodyCopy"/>
              <w:spacing w:before="40" w:after="40"/>
              <w:rPr>
                <w:sz w:val="20"/>
                <w:szCs w:val="20"/>
              </w:rPr>
            </w:pPr>
            <w:r w:rsidRPr="00C4270B">
              <w:rPr>
                <w:sz w:val="20"/>
                <w:szCs w:val="20"/>
              </w:rPr>
              <w:t> </w:t>
            </w:r>
          </w:p>
        </w:tc>
      </w:tr>
      <w:tr w:rsidR="007C26C4" w:rsidRPr="007C2428" w14:paraId="4A2ADB17" w14:textId="77777777" w:rsidTr="007C2428">
        <w:trPr>
          <w:trHeight w:val="300"/>
        </w:trPr>
        <w:tc>
          <w:tcPr>
            <w:tcW w:w="4420" w:type="dxa"/>
            <w:hideMark/>
          </w:tcPr>
          <w:p w14:paraId="5B58A400" w14:textId="77777777" w:rsidR="007C26C4" w:rsidRPr="00C4270B" w:rsidRDefault="007C26C4" w:rsidP="007C26C4">
            <w:pPr>
              <w:pStyle w:val="BodyCopy"/>
              <w:spacing w:before="40" w:after="40"/>
              <w:rPr>
                <w:sz w:val="20"/>
                <w:szCs w:val="20"/>
              </w:rPr>
            </w:pPr>
            <w:r w:rsidRPr="00C4270B">
              <w:rPr>
                <w:sz w:val="20"/>
                <w:szCs w:val="20"/>
              </w:rPr>
              <w:t xml:space="preserve"> Bus (type 2) </w:t>
            </w:r>
          </w:p>
        </w:tc>
        <w:tc>
          <w:tcPr>
            <w:tcW w:w="1132" w:type="dxa"/>
            <w:hideMark/>
          </w:tcPr>
          <w:p w14:paraId="72987F85" w14:textId="343375AE" w:rsidR="007C26C4" w:rsidRPr="00876657" w:rsidRDefault="007C26C4" w:rsidP="007C26C4">
            <w:pPr>
              <w:pStyle w:val="BodyCopy"/>
              <w:spacing w:before="40" w:after="40"/>
              <w:rPr>
                <w:sz w:val="20"/>
                <w:szCs w:val="20"/>
              </w:rPr>
            </w:pPr>
            <w:r w:rsidRPr="00BD61D2">
              <w:rPr>
                <w:sz w:val="20"/>
                <w:szCs w:val="20"/>
              </w:rPr>
              <w:t xml:space="preserve"> 345 </w:t>
            </w:r>
          </w:p>
        </w:tc>
        <w:tc>
          <w:tcPr>
            <w:tcW w:w="1211" w:type="dxa"/>
            <w:hideMark/>
          </w:tcPr>
          <w:p w14:paraId="5F610441" w14:textId="353674CB" w:rsidR="007C26C4" w:rsidRPr="00876657" w:rsidRDefault="007C26C4" w:rsidP="007C26C4">
            <w:pPr>
              <w:pStyle w:val="BodyCopy"/>
              <w:spacing w:before="40" w:after="40"/>
              <w:rPr>
                <w:sz w:val="20"/>
                <w:szCs w:val="20"/>
              </w:rPr>
            </w:pPr>
            <w:r w:rsidRPr="00BD61D2">
              <w:rPr>
                <w:sz w:val="20"/>
                <w:szCs w:val="20"/>
              </w:rPr>
              <w:t xml:space="preserve"> 2,524 </w:t>
            </w:r>
          </w:p>
        </w:tc>
        <w:tc>
          <w:tcPr>
            <w:tcW w:w="1132" w:type="dxa"/>
            <w:hideMark/>
          </w:tcPr>
          <w:p w14:paraId="27ED2408" w14:textId="052B6EC2" w:rsidR="007C26C4" w:rsidRPr="00876657" w:rsidRDefault="007C26C4" w:rsidP="007C26C4">
            <w:pPr>
              <w:pStyle w:val="BodyCopy"/>
              <w:spacing w:before="40" w:after="40"/>
              <w:rPr>
                <w:sz w:val="20"/>
                <w:szCs w:val="20"/>
              </w:rPr>
            </w:pPr>
            <w:r w:rsidRPr="00BD61D2">
              <w:rPr>
                <w:sz w:val="20"/>
                <w:szCs w:val="20"/>
              </w:rPr>
              <w:t xml:space="preserve"> 2,524 </w:t>
            </w:r>
          </w:p>
        </w:tc>
        <w:tc>
          <w:tcPr>
            <w:tcW w:w="1132" w:type="dxa"/>
            <w:hideMark/>
          </w:tcPr>
          <w:p w14:paraId="4F8C0865" w14:textId="77777777" w:rsidR="007C26C4" w:rsidRPr="00C4270B" w:rsidRDefault="007C26C4" w:rsidP="007C26C4">
            <w:pPr>
              <w:pStyle w:val="BodyCopy"/>
              <w:spacing w:before="40" w:after="40"/>
              <w:rPr>
                <w:sz w:val="20"/>
                <w:szCs w:val="20"/>
              </w:rPr>
            </w:pPr>
            <w:r w:rsidRPr="00C4270B">
              <w:rPr>
                <w:sz w:val="20"/>
                <w:szCs w:val="20"/>
              </w:rPr>
              <w:t> </w:t>
            </w:r>
          </w:p>
        </w:tc>
      </w:tr>
      <w:tr w:rsidR="007C26C4" w:rsidRPr="007C2428" w14:paraId="4A234611" w14:textId="77777777" w:rsidTr="007C2428">
        <w:trPr>
          <w:trHeight w:val="300"/>
        </w:trPr>
        <w:tc>
          <w:tcPr>
            <w:tcW w:w="4420" w:type="dxa"/>
            <w:hideMark/>
          </w:tcPr>
          <w:p w14:paraId="6923D75F" w14:textId="77777777" w:rsidR="007C26C4" w:rsidRPr="00C4270B" w:rsidRDefault="007C26C4" w:rsidP="007C26C4">
            <w:pPr>
              <w:pStyle w:val="BodyCopy"/>
              <w:spacing w:before="40" w:after="40"/>
              <w:rPr>
                <w:sz w:val="20"/>
                <w:szCs w:val="20"/>
              </w:rPr>
            </w:pPr>
            <w:r w:rsidRPr="00C4270B">
              <w:rPr>
                <w:sz w:val="20"/>
                <w:szCs w:val="20"/>
              </w:rPr>
              <w:t xml:space="preserve"> Articulated bus </w:t>
            </w:r>
          </w:p>
        </w:tc>
        <w:tc>
          <w:tcPr>
            <w:tcW w:w="1132" w:type="dxa"/>
            <w:hideMark/>
          </w:tcPr>
          <w:p w14:paraId="1F0A456F" w14:textId="1694A3C0" w:rsidR="007C26C4" w:rsidRPr="00876657" w:rsidRDefault="007C26C4" w:rsidP="007C26C4">
            <w:pPr>
              <w:pStyle w:val="BodyCopy"/>
              <w:spacing w:before="40" w:after="40"/>
              <w:rPr>
                <w:sz w:val="20"/>
                <w:szCs w:val="20"/>
              </w:rPr>
            </w:pPr>
          </w:p>
        </w:tc>
        <w:tc>
          <w:tcPr>
            <w:tcW w:w="1211" w:type="dxa"/>
            <w:hideMark/>
          </w:tcPr>
          <w:p w14:paraId="681678B5" w14:textId="6E44C83D" w:rsidR="007C26C4" w:rsidRPr="00876657" w:rsidRDefault="007C26C4" w:rsidP="007C26C4">
            <w:pPr>
              <w:pStyle w:val="BodyCopy"/>
              <w:spacing w:before="40" w:after="40"/>
              <w:rPr>
                <w:sz w:val="20"/>
                <w:szCs w:val="20"/>
              </w:rPr>
            </w:pPr>
            <w:r w:rsidRPr="00BD61D2">
              <w:rPr>
                <w:sz w:val="20"/>
                <w:szCs w:val="20"/>
              </w:rPr>
              <w:t xml:space="preserve"> 345 </w:t>
            </w:r>
          </w:p>
        </w:tc>
        <w:tc>
          <w:tcPr>
            <w:tcW w:w="1132" w:type="dxa"/>
            <w:hideMark/>
          </w:tcPr>
          <w:p w14:paraId="4121993C" w14:textId="5FC2BC1A" w:rsidR="007C26C4" w:rsidRPr="00876657" w:rsidRDefault="007C26C4" w:rsidP="007C26C4">
            <w:pPr>
              <w:pStyle w:val="BodyCopy"/>
              <w:spacing w:before="40" w:after="40"/>
              <w:rPr>
                <w:sz w:val="20"/>
                <w:szCs w:val="20"/>
              </w:rPr>
            </w:pPr>
            <w:r w:rsidRPr="00BD61D2">
              <w:rPr>
                <w:sz w:val="20"/>
                <w:szCs w:val="20"/>
              </w:rPr>
              <w:t xml:space="preserve"> 345 </w:t>
            </w:r>
          </w:p>
        </w:tc>
        <w:tc>
          <w:tcPr>
            <w:tcW w:w="1132" w:type="dxa"/>
            <w:hideMark/>
          </w:tcPr>
          <w:p w14:paraId="410078B3" w14:textId="77777777" w:rsidR="007C26C4" w:rsidRPr="00C4270B" w:rsidRDefault="007C26C4" w:rsidP="007C26C4">
            <w:pPr>
              <w:pStyle w:val="BodyCopy"/>
              <w:spacing w:before="40" w:after="40"/>
              <w:rPr>
                <w:sz w:val="20"/>
                <w:szCs w:val="20"/>
              </w:rPr>
            </w:pPr>
            <w:r w:rsidRPr="00C4270B">
              <w:rPr>
                <w:sz w:val="20"/>
                <w:szCs w:val="20"/>
              </w:rPr>
              <w:t> </w:t>
            </w:r>
          </w:p>
        </w:tc>
      </w:tr>
      <w:tr w:rsidR="007C2428" w:rsidRPr="007C2428" w14:paraId="3166236E" w14:textId="77777777" w:rsidTr="00AF7B68">
        <w:trPr>
          <w:trHeight w:val="300"/>
        </w:trPr>
        <w:tc>
          <w:tcPr>
            <w:tcW w:w="9027" w:type="dxa"/>
            <w:gridSpan w:val="5"/>
            <w:vAlign w:val="center"/>
            <w:hideMark/>
          </w:tcPr>
          <w:p w14:paraId="4643C840" w14:textId="507B9E1E" w:rsidR="007C2428" w:rsidRPr="00C4270B" w:rsidRDefault="007C2428" w:rsidP="00AF7B68">
            <w:pPr>
              <w:pStyle w:val="BodyCopy"/>
              <w:spacing w:before="40" w:after="40"/>
              <w:jc w:val="center"/>
              <w:rPr>
                <w:b/>
                <w:bCs/>
                <w:sz w:val="20"/>
                <w:szCs w:val="20"/>
              </w:rPr>
            </w:pPr>
            <w:r w:rsidRPr="00C4270B">
              <w:rPr>
                <w:b/>
                <w:bCs/>
                <w:sz w:val="20"/>
                <w:szCs w:val="20"/>
              </w:rPr>
              <w:t>DIVISION 4 – SPECIAL PURPOSE VEHICLES ($)</w:t>
            </w:r>
          </w:p>
        </w:tc>
      </w:tr>
      <w:tr w:rsidR="007C2428" w:rsidRPr="007C2428" w14:paraId="19DDED09" w14:textId="77777777" w:rsidTr="00AF7B68">
        <w:trPr>
          <w:trHeight w:val="300"/>
        </w:trPr>
        <w:tc>
          <w:tcPr>
            <w:tcW w:w="4420" w:type="dxa"/>
            <w:hideMark/>
          </w:tcPr>
          <w:p w14:paraId="366A072E"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1CA24FD9" w14:textId="77777777" w:rsidR="007C2428" w:rsidRPr="00C4270B" w:rsidRDefault="007C2428" w:rsidP="00AF7B68">
            <w:pPr>
              <w:pStyle w:val="BodyCopy"/>
              <w:spacing w:before="40" w:after="40"/>
              <w:rPr>
                <w:sz w:val="20"/>
                <w:szCs w:val="20"/>
              </w:rPr>
            </w:pPr>
            <w:r w:rsidRPr="00C4270B">
              <w:rPr>
                <w:sz w:val="20"/>
                <w:szCs w:val="20"/>
              </w:rPr>
              <w:t xml:space="preserve"> 0 </w:t>
            </w:r>
          </w:p>
        </w:tc>
      </w:tr>
      <w:tr w:rsidR="007C2428" w:rsidRPr="007C2428" w14:paraId="2950C0CF" w14:textId="77777777" w:rsidTr="00AF7B68">
        <w:trPr>
          <w:trHeight w:val="300"/>
        </w:trPr>
        <w:tc>
          <w:tcPr>
            <w:tcW w:w="4420" w:type="dxa"/>
            <w:hideMark/>
          </w:tcPr>
          <w:p w14:paraId="71DB2465"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7F102462" w14:textId="4CB719AC" w:rsidR="007C2428" w:rsidRPr="00C4270B" w:rsidRDefault="007C2428" w:rsidP="00AF7B68">
            <w:pPr>
              <w:pStyle w:val="BodyCopy"/>
              <w:spacing w:before="40" w:after="40"/>
              <w:rPr>
                <w:sz w:val="20"/>
                <w:szCs w:val="20"/>
              </w:rPr>
            </w:pPr>
            <w:r w:rsidRPr="00C4270B">
              <w:rPr>
                <w:sz w:val="20"/>
                <w:szCs w:val="20"/>
              </w:rPr>
              <w:t xml:space="preserve"> 32</w:t>
            </w:r>
            <w:r w:rsidR="007C26C4">
              <w:rPr>
                <w:sz w:val="20"/>
                <w:szCs w:val="20"/>
              </w:rPr>
              <w:t>4</w:t>
            </w:r>
            <w:r w:rsidRPr="00C4270B">
              <w:rPr>
                <w:sz w:val="20"/>
                <w:szCs w:val="20"/>
              </w:rPr>
              <w:t xml:space="preserve"> </w:t>
            </w:r>
          </w:p>
        </w:tc>
      </w:tr>
      <w:tr w:rsidR="007C2428" w:rsidRPr="007C2428" w14:paraId="32DDE068" w14:textId="77777777" w:rsidTr="00AF7B68">
        <w:trPr>
          <w:trHeight w:val="300"/>
        </w:trPr>
        <w:tc>
          <w:tcPr>
            <w:tcW w:w="4420" w:type="dxa"/>
            <w:hideMark/>
          </w:tcPr>
          <w:p w14:paraId="1A018CC2"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4881B3DC" w14:textId="4227B933" w:rsidR="007C2428" w:rsidRPr="00C4270B" w:rsidRDefault="007C2428" w:rsidP="00AF7B68">
            <w:pPr>
              <w:pStyle w:val="BodyCopy"/>
              <w:spacing w:before="40" w:after="40"/>
              <w:rPr>
                <w:sz w:val="20"/>
                <w:szCs w:val="20"/>
              </w:rPr>
            </w:pPr>
            <w:r w:rsidRPr="00C4270B">
              <w:rPr>
                <w:sz w:val="20"/>
                <w:szCs w:val="20"/>
              </w:rPr>
              <w:t>Calculated using the formula:</w:t>
            </w:r>
            <w:r w:rsidRPr="00C4270B">
              <w:rPr>
                <w:sz w:val="20"/>
                <w:szCs w:val="20"/>
              </w:rPr>
              <w:br/>
              <w:t>40</w:t>
            </w:r>
            <w:r w:rsidR="007C26C4">
              <w:rPr>
                <w:sz w:val="20"/>
                <w:szCs w:val="20"/>
              </w:rPr>
              <w:t>5</w:t>
            </w:r>
            <w:r w:rsidRPr="00C4270B">
              <w:rPr>
                <w:sz w:val="20"/>
                <w:szCs w:val="20"/>
              </w:rPr>
              <w:t xml:space="preserve"> + (40</w:t>
            </w:r>
            <w:r w:rsidR="007C26C4">
              <w:rPr>
                <w:sz w:val="20"/>
                <w:szCs w:val="20"/>
              </w:rPr>
              <w:t>5</w:t>
            </w:r>
            <w:r w:rsidRPr="00C4270B">
              <w:rPr>
                <w:sz w:val="20"/>
                <w:szCs w:val="20"/>
              </w:rPr>
              <w:t xml:space="preserve"> </w:t>
            </w:r>
            <w:r w:rsidR="006F7F4A" w:rsidRPr="00C4270B">
              <w:rPr>
                <w:sz w:val="20"/>
                <w:szCs w:val="20"/>
              </w:rPr>
              <w:t xml:space="preserve">× </w:t>
            </w:r>
            <w:r w:rsidRPr="00C4270B">
              <w:rPr>
                <w:sz w:val="20"/>
                <w:szCs w:val="20"/>
              </w:rPr>
              <w:t>number of axles over 2)</w:t>
            </w:r>
            <w:r w:rsidR="00830D17" w:rsidRPr="00C4270B">
              <w:rPr>
                <w:sz w:val="20"/>
                <w:szCs w:val="20"/>
              </w:rPr>
              <w:t xml:space="preserve"> </w:t>
            </w:r>
          </w:p>
        </w:tc>
      </w:tr>
    </w:tbl>
    <w:p w14:paraId="50E3210C" w14:textId="52974FF4" w:rsidR="007C2428" w:rsidRDefault="007C2428" w:rsidP="007C2428">
      <w:pPr>
        <w:pStyle w:val="BodyCopy"/>
      </w:pPr>
    </w:p>
    <w:p w14:paraId="11E32979" w14:textId="2AA0E491" w:rsidR="007C2428" w:rsidRDefault="007C2428" w:rsidP="007C2428">
      <w:pPr>
        <w:pStyle w:val="Tabletitle"/>
      </w:pPr>
      <w:bookmarkStart w:id="2373" w:name="_Toc86158574"/>
      <w:r w:rsidRPr="007C2428">
        <w:lastRenderedPageBreak/>
        <w:t>Charging schedule for</w:t>
      </w:r>
      <w:r w:rsidR="000B1A52">
        <w:t xml:space="preserve"> the</w:t>
      </w:r>
      <w:r w:rsidRPr="007C2428">
        <w:t xml:space="preserve"> roads component of registration charges under</w:t>
      </w:r>
      <w:r w:rsidR="00BE4F05">
        <w:t xml:space="preserve"> </w:t>
      </w:r>
      <w:r w:rsidR="005D7B0D">
        <w:t xml:space="preserve">pathway </w:t>
      </w:r>
      <w:r w:rsidR="00BE4F05">
        <w:t>1 of the three-year fixed price implementation pathway</w:t>
      </w:r>
      <w:r w:rsidRPr="007C2428">
        <w:t>, 202</w:t>
      </w:r>
      <w:r>
        <w:t>4</w:t>
      </w:r>
      <w:r w:rsidR="00272BD6">
        <w:t>–2</w:t>
      </w:r>
      <w:r>
        <w:t>5</w:t>
      </w:r>
      <w:bookmarkEnd w:id="2373"/>
    </w:p>
    <w:tbl>
      <w:tblPr>
        <w:tblStyle w:val="NTCtable"/>
        <w:tblW w:w="0" w:type="auto"/>
        <w:tblLook w:val="04A0" w:firstRow="1" w:lastRow="0" w:firstColumn="1" w:lastColumn="0" w:noHBand="0" w:noVBand="1"/>
      </w:tblPr>
      <w:tblGrid>
        <w:gridCol w:w="4420"/>
        <w:gridCol w:w="1132"/>
        <w:gridCol w:w="1211"/>
        <w:gridCol w:w="1132"/>
        <w:gridCol w:w="1132"/>
      </w:tblGrid>
      <w:tr w:rsidR="007C2428" w:rsidRPr="007C2428" w14:paraId="18AAB61A" w14:textId="77777777" w:rsidTr="00AF7B68">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1DC138BF" w14:textId="0DD8BECF" w:rsidR="007C2428" w:rsidRPr="00C4270B" w:rsidRDefault="007C2428" w:rsidP="00AF7B68">
            <w:pPr>
              <w:pStyle w:val="BodyCopy"/>
              <w:spacing w:before="40" w:after="40"/>
              <w:jc w:val="center"/>
              <w:rPr>
                <w:b/>
                <w:bCs/>
                <w:sz w:val="20"/>
                <w:szCs w:val="20"/>
              </w:rPr>
            </w:pPr>
            <w:r w:rsidRPr="00C4270B">
              <w:rPr>
                <w:b/>
                <w:bCs/>
                <w:sz w:val="20"/>
                <w:szCs w:val="20"/>
              </w:rPr>
              <w:t>1 July 2024 – 30 June 2025</w:t>
            </w:r>
          </w:p>
        </w:tc>
      </w:tr>
      <w:tr w:rsidR="007C2428" w:rsidRPr="007C2428" w14:paraId="1639F867" w14:textId="77777777" w:rsidTr="00AF7B68">
        <w:trPr>
          <w:trHeight w:val="300"/>
        </w:trPr>
        <w:tc>
          <w:tcPr>
            <w:tcW w:w="9027" w:type="dxa"/>
            <w:gridSpan w:val="5"/>
            <w:vAlign w:val="center"/>
            <w:hideMark/>
          </w:tcPr>
          <w:p w14:paraId="6818B08D" w14:textId="68A988A1" w:rsidR="007C2428" w:rsidRPr="00C4270B" w:rsidRDefault="007C2428" w:rsidP="00AF7B68">
            <w:pPr>
              <w:pStyle w:val="BodyCopy"/>
              <w:spacing w:before="40" w:after="40"/>
              <w:jc w:val="center"/>
              <w:rPr>
                <w:b/>
                <w:bCs/>
                <w:sz w:val="20"/>
                <w:szCs w:val="20"/>
              </w:rPr>
            </w:pPr>
            <w:r w:rsidRPr="00C4270B">
              <w:rPr>
                <w:b/>
                <w:bCs/>
                <w:sz w:val="20"/>
                <w:szCs w:val="20"/>
              </w:rPr>
              <w:t>DIVISION 1 – LOAD CARRYING VEHICLES ($)</w:t>
            </w:r>
          </w:p>
        </w:tc>
      </w:tr>
      <w:tr w:rsidR="007C2428" w:rsidRPr="007C2428" w14:paraId="5A35984D" w14:textId="77777777" w:rsidTr="007C2428">
        <w:trPr>
          <w:trHeight w:val="300"/>
        </w:trPr>
        <w:tc>
          <w:tcPr>
            <w:tcW w:w="4420" w:type="dxa"/>
            <w:hideMark/>
          </w:tcPr>
          <w:p w14:paraId="48FB3F77" w14:textId="7D68366F" w:rsidR="007C2428" w:rsidRPr="00C4270B" w:rsidRDefault="007C2428" w:rsidP="00AF7B68">
            <w:pPr>
              <w:pStyle w:val="BodyCopy"/>
              <w:spacing w:before="40" w:after="40"/>
              <w:rPr>
                <w:b/>
                <w:bCs/>
                <w:sz w:val="20"/>
                <w:szCs w:val="20"/>
              </w:rPr>
            </w:pPr>
            <w:r w:rsidRPr="00C4270B">
              <w:rPr>
                <w:b/>
                <w:bCs/>
                <w:sz w:val="20"/>
                <w:szCs w:val="20"/>
              </w:rPr>
              <w:t xml:space="preserve"> Vehicle </w:t>
            </w:r>
            <w:r w:rsidR="006F7F4A" w:rsidRPr="00C4270B">
              <w:rPr>
                <w:b/>
                <w:bCs/>
                <w:sz w:val="20"/>
                <w:szCs w:val="20"/>
              </w:rPr>
              <w:t>t</w:t>
            </w:r>
            <w:r w:rsidRPr="00C4270B">
              <w:rPr>
                <w:b/>
                <w:bCs/>
                <w:sz w:val="20"/>
                <w:szCs w:val="20"/>
              </w:rPr>
              <w:t xml:space="preserve">ype </w:t>
            </w:r>
          </w:p>
        </w:tc>
        <w:tc>
          <w:tcPr>
            <w:tcW w:w="1132" w:type="dxa"/>
            <w:hideMark/>
          </w:tcPr>
          <w:p w14:paraId="69BE8CF9" w14:textId="21FD2A03"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4E331701" w14:textId="084183B1"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19066672" w14:textId="5465E588"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2594D82A" w14:textId="64237024" w:rsidR="007C2428" w:rsidRPr="00C4270B" w:rsidRDefault="007C2428"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7C2428" w:rsidRPr="007C2428" w14:paraId="4F80A5CD" w14:textId="77777777" w:rsidTr="007C2428">
        <w:trPr>
          <w:trHeight w:val="300"/>
        </w:trPr>
        <w:tc>
          <w:tcPr>
            <w:tcW w:w="4420" w:type="dxa"/>
            <w:hideMark/>
          </w:tcPr>
          <w:p w14:paraId="5520A208" w14:textId="77777777" w:rsidR="007C2428" w:rsidRPr="00C4270B" w:rsidRDefault="007C2428" w:rsidP="00AF7B68">
            <w:pPr>
              <w:pStyle w:val="BodyCopy"/>
              <w:spacing w:before="40" w:after="40"/>
              <w:rPr>
                <w:b/>
                <w:bCs/>
                <w:sz w:val="20"/>
                <w:szCs w:val="20"/>
              </w:rPr>
            </w:pPr>
            <w:r w:rsidRPr="00C4270B">
              <w:rPr>
                <w:b/>
                <w:bCs/>
                <w:sz w:val="20"/>
                <w:szCs w:val="20"/>
              </w:rPr>
              <w:t xml:space="preserve"> Trucks </w:t>
            </w:r>
          </w:p>
        </w:tc>
        <w:tc>
          <w:tcPr>
            <w:tcW w:w="1132" w:type="dxa"/>
            <w:hideMark/>
          </w:tcPr>
          <w:p w14:paraId="5FF4E180"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507BC81C"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37B8C77E"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46CA0723" w14:textId="77777777" w:rsidR="007C2428" w:rsidRPr="00C4270B" w:rsidRDefault="007C2428" w:rsidP="00AF7B68">
            <w:pPr>
              <w:pStyle w:val="BodyCopy"/>
              <w:spacing w:before="40" w:after="40"/>
              <w:rPr>
                <w:sz w:val="20"/>
                <w:szCs w:val="20"/>
              </w:rPr>
            </w:pPr>
            <w:r w:rsidRPr="00C4270B">
              <w:rPr>
                <w:sz w:val="20"/>
                <w:szCs w:val="20"/>
              </w:rPr>
              <w:t> </w:t>
            </w:r>
          </w:p>
        </w:tc>
      </w:tr>
      <w:tr w:rsidR="00AA039A" w:rsidRPr="007C2428" w14:paraId="5E07B987" w14:textId="77777777" w:rsidTr="007C2428">
        <w:trPr>
          <w:trHeight w:val="300"/>
        </w:trPr>
        <w:tc>
          <w:tcPr>
            <w:tcW w:w="4420" w:type="dxa"/>
            <w:hideMark/>
          </w:tcPr>
          <w:p w14:paraId="15658C62" w14:textId="77777777" w:rsidR="00AA039A" w:rsidRPr="00C4270B" w:rsidRDefault="00AA039A" w:rsidP="00AA039A">
            <w:pPr>
              <w:pStyle w:val="BodyCopy"/>
              <w:spacing w:before="40" w:after="40"/>
              <w:rPr>
                <w:sz w:val="20"/>
                <w:szCs w:val="20"/>
              </w:rPr>
            </w:pPr>
            <w:r w:rsidRPr="00C4270B">
              <w:rPr>
                <w:sz w:val="20"/>
                <w:szCs w:val="20"/>
              </w:rPr>
              <w:t xml:space="preserve"> Truck (type 1) </w:t>
            </w:r>
          </w:p>
        </w:tc>
        <w:tc>
          <w:tcPr>
            <w:tcW w:w="1132" w:type="dxa"/>
            <w:hideMark/>
          </w:tcPr>
          <w:p w14:paraId="73C73615" w14:textId="45906B25" w:rsidR="00AA039A" w:rsidRPr="00876657" w:rsidRDefault="00AA039A" w:rsidP="00AA039A">
            <w:pPr>
              <w:pStyle w:val="BodyCopy"/>
              <w:spacing w:before="40" w:after="40"/>
              <w:rPr>
                <w:sz w:val="20"/>
                <w:szCs w:val="20"/>
              </w:rPr>
            </w:pPr>
            <w:r w:rsidRPr="00BD61D2">
              <w:rPr>
                <w:sz w:val="20"/>
                <w:szCs w:val="20"/>
              </w:rPr>
              <w:t xml:space="preserve"> 460 </w:t>
            </w:r>
          </w:p>
        </w:tc>
        <w:tc>
          <w:tcPr>
            <w:tcW w:w="1211" w:type="dxa"/>
            <w:hideMark/>
          </w:tcPr>
          <w:p w14:paraId="3C72C375" w14:textId="506B319F" w:rsidR="00AA039A" w:rsidRPr="00876657" w:rsidRDefault="00AA039A" w:rsidP="00AA039A">
            <w:pPr>
              <w:pStyle w:val="BodyCopy"/>
              <w:spacing w:before="40" w:after="40"/>
              <w:rPr>
                <w:sz w:val="20"/>
                <w:szCs w:val="20"/>
              </w:rPr>
            </w:pPr>
            <w:r w:rsidRPr="00BD61D2">
              <w:rPr>
                <w:sz w:val="20"/>
                <w:szCs w:val="20"/>
              </w:rPr>
              <w:t xml:space="preserve"> 844 </w:t>
            </w:r>
          </w:p>
        </w:tc>
        <w:tc>
          <w:tcPr>
            <w:tcW w:w="1132" w:type="dxa"/>
            <w:hideMark/>
          </w:tcPr>
          <w:p w14:paraId="19C134DA" w14:textId="3B5B9008" w:rsidR="00AA039A" w:rsidRPr="00876657" w:rsidRDefault="00AA039A" w:rsidP="00AA039A">
            <w:pPr>
              <w:pStyle w:val="BodyCopy"/>
              <w:spacing w:before="40" w:after="40"/>
              <w:rPr>
                <w:sz w:val="20"/>
                <w:szCs w:val="20"/>
              </w:rPr>
            </w:pPr>
            <w:r w:rsidRPr="00BD61D2">
              <w:rPr>
                <w:sz w:val="20"/>
                <w:szCs w:val="20"/>
              </w:rPr>
              <w:t xml:space="preserve"> 844 </w:t>
            </w:r>
          </w:p>
        </w:tc>
        <w:tc>
          <w:tcPr>
            <w:tcW w:w="1132" w:type="dxa"/>
            <w:hideMark/>
          </w:tcPr>
          <w:p w14:paraId="24153E67" w14:textId="42B152A1" w:rsidR="00AA039A" w:rsidRPr="00876657" w:rsidRDefault="00AA039A" w:rsidP="00AA039A">
            <w:pPr>
              <w:pStyle w:val="BodyCopy"/>
              <w:spacing w:before="40" w:after="40"/>
              <w:rPr>
                <w:sz w:val="20"/>
                <w:szCs w:val="20"/>
              </w:rPr>
            </w:pPr>
            <w:r w:rsidRPr="00BD61D2">
              <w:rPr>
                <w:sz w:val="20"/>
                <w:szCs w:val="20"/>
              </w:rPr>
              <w:t xml:space="preserve"> 844 </w:t>
            </w:r>
          </w:p>
        </w:tc>
      </w:tr>
      <w:tr w:rsidR="00AA039A" w:rsidRPr="007C2428" w14:paraId="6753EC8C" w14:textId="77777777" w:rsidTr="007C2428">
        <w:trPr>
          <w:trHeight w:val="300"/>
        </w:trPr>
        <w:tc>
          <w:tcPr>
            <w:tcW w:w="4420" w:type="dxa"/>
            <w:hideMark/>
          </w:tcPr>
          <w:p w14:paraId="69654E27" w14:textId="77777777" w:rsidR="00AA039A" w:rsidRPr="00C4270B" w:rsidRDefault="00AA039A" w:rsidP="00AA039A">
            <w:pPr>
              <w:pStyle w:val="BodyCopy"/>
              <w:spacing w:before="40" w:after="40"/>
              <w:rPr>
                <w:sz w:val="20"/>
                <w:szCs w:val="20"/>
              </w:rPr>
            </w:pPr>
            <w:r w:rsidRPr="00C4270B">
              <w:rPr>
                <w:sz w:val="20"/>
                <w:szCs w:val="20"/>
              </w:rPr>
              <w:t xml:space="preserve"> Truck (type 2) </w:t>
            </w:r>
          </w:p>
        </w:tc>
        <w:tc>
          <w:tcPr>
            <w:tcW w:w="1132" w:type="dxa"/>
            <w:hideMark/>
          </w:tcPr>
          <w:p w14:paraId="6E740D66" w14:textId="27BBCE85" w:rsidR="00AA039A" w:rsidRPr="00876657" w:rsidRDefault="00AA039A" w:rsidP="00AA039A">
            <w:pPr>
              <w:pStyle w:val="BodyCopy"/>
              <w:spacing w:before="40" w:after="40"/>
              <w:rPr>
                <w:sz w:val="20"/>
                <w:szCs w:val="20"/>
              </w:rPr>
            </w:pPr>
            <w:r w:rsidRPr="00BD61D2">
              <w:rPr>
                <w:sz w:val="20"/>
                <w:szCs w:val="20"/>
              </w:rPr>
              <w:t xml:space="preserve"> 844 </w:t>
            </w:r>
          </w:p>
        </w:tc>
        <w:tc>
          <w:tcPr>
            <w:tcW w:w="1211" w:type="dxa"/>
            <w:hideMark/>
          </w:tcPr>
          <w:p w14:paraId="7532FD16" w14:textId="6AEE8A99" w:rsidR="00AA039A" w:rsidRPr="00876657" w:rsidRDefault="00AA039A" w:rsidP="00AA039A">
            <w:pPr>
              <w:pStyle w:val="BodyCopy"/>
              <w:spacing w:before="40" w:after="40"/>
              <w:rPr>
                <w:sz w:val="20"/>
                <w:szCs w:val="20"/>
              </w:rPr>
            </w:pPr>
            <w:r w:rsidRPr="00BD61D2">
              <w:rPr>
                <w:sz w:val="20"/>
                <w:szCs w:val="20"/>
              </w:rPr>
              <w:t xml:space="preserve"> 958 </w:t>
            </w:r>
          </w:p>
        </w:tc>
        <w:tc>
          <w:tcPr>
            <w:tcW w:w="1132" w:type="dxa"/>
            <w:hideMark/>
          </w:tcPr>
          <w:p w14:paraId="402418B9" w14:textId="5C47F7F5" w:rsidR="00AA039A" w:rsidRPr="00876657" w:rsidRDefault="00AA039A" w:rsidP="00AA039A">
            <w:pPr>
              <w:pStyle w:val="BodyCopy"/>
              <w:spacing w:before="40" w:after="40"/>
              <w:rPr>
                <w:sz w:val="20"/>
                <w:szCs w:val="20"/>
              </w:rPr>
            </w:pPr>
            <w:r w:rsidRPr="00BD61D2">
              <w:rPr>
                <w:sz w:val="20"/>
                <w:szCs w:val="20"/>
              </w:rPr>
              <w:t xml:space="preserve"> 958 </w:t>
            </w:r>
          </w:p>
        </w:tc>
        <w:tc>
          <w:tcPr>
            <w:tcW w:w="1132" w:type="dxa"/>
            <w:hideMark/>
          </w:tcPr>
          <w:p w14:paraId="43D5420E" w14:textId="50004CE4" w:rsidR="00AA039A" w:rsidRPr="00876657" w:rsidRDefault="00AA039A" w:rsidP="00AA039A">
            <w:pPr>
              <w:pStyle w:val="BodyCopy"/>
              <w:spacing w:before="40" w:after="40"/>
              <w:rPr>
                <w:sz w:val="20"/>
                <w:szCs w:val="20"/>
              </w:rPr>
            </w:pPr>
            <w:r w:rsidRPr="00BD61D2">
              <w:rPr>
                <w:sz w:val="20"/>
                <w:szCs w:val="20"/>
              </w:rPr>
              <w:t xml:space="preserve"> 958 </w:t>
            </w:r>
          </w:p>
        </w:tc>
      </w:tr>
      <w:tr w:rsidR="00AA039A" w:rsidRPr="007C2428" w14:paraId="7F3EFAB0" w14:textId="77777777" w:rsidTr="007C2428">
        <w:trPr>
          <w:trHeight w:val="300"/>
        </w:trPr>
        <w:tc>
          <w:tcPr>
            <w:tcW w:w="4420" w:type="dxa"/>
            <w:hideMark/>
          </w:tcPr>
          <w:p w14:paraId="19A6B26B" w14:textId="77777777" w:rsidR="00AA039A" w:rsidRPr="00C4270B" w:rsidRDefault="00AA039A" w:rsidP="00AA039A">
            <w:pPr>
              <w:pStyle w:val="BodyCopy"/>
              <w:spacing w:before="40" w:after="40"/>
              <w:rPr>
                <w:sz w:val="20"/>
                <w:szCs w:val="20"/>
              </w:rPr>
            </w:pPr>
            <w:r w:rsidRPr="00C4270B">
              <w:rPr>
                <w:sz w:val="20"/>
                <w:szCs w:val="20"/>
              </w:rPr>
              <w:t xml:space="preserve"> Short combination truck </w:t>
            </w:r>
          </w:p>
        </w:tc>
        <w:tc>
          <w:tcPr>
            <w:tcW w:w="1132" w:type="dxa"/>
            <w:hideMark/>
          </w:tcPr>
          <w:p w14:paraId="2B177A81" w14:textId="3692AD55" w:rsidR="00AA039A" w:rsidRPr="00876657" w:rsidRDefault="00AA039A" w:rsidP="00AA039A">
            <w:pPr>
              <w:pStyle w:val="BodyCopy"/>
              <w:spacing w:before="40" w:after="40"/>
              <w:rPr>
                <w:sz w:val="20"/>
                <w:szCs w:val="20"/>
              </w:rPr>
            </w:pPr>
            <w:r w:rsidRPr="00BD61D2">
              <w:rPr>
                <w:sz w:val="20"/>
                <w:szCs w:val="20"/>
              </w:rPr>
              <w:t xml:space="preserve"> 844 </w:t>
            </w:r>
          </w:p>
        </w:tc>
        <w:tc>
          <w:tcPr>
            <w:tcW w:w="1211" w:type="dxa"/>
            <w:hideMark/>
          </w:tcPr>
          <w:p w14:paraId="3EC37337" w14:textId="34105BF0" w:rsidR="00AA039A" w:rsidRPr="00876657" w:rsidRDefault="00AA039A" w:rsidP="00AA039A">
            <w:pPr>
              <w:pStyle w:val="BodyCopy"/>
              <w:spacing w:before="40" w:after="40"/>
              <w:rPr>
                <w:sz w:val="20"/>
                <w:szCs w:val="20"/>
              </w:rPr>
            </w:pPr>
            <w:r w:rsidRPr="00BD61D2">
              <w:rPr>
                <w:sz w:val="20"/>
                <w:szCs w:val="20"/>
              </w:rPr>
              <w:t xml:space="preserve"> 958 </w:t>
            </w:r>
          </w:p>
        </w:tc>
        <w:tc>
          <w:tcPr>
            <w:tcW w:w="1132" w:type="dxa"/>
            <w:hideMark/>
          </w:tcPr>
          <w:p w14:paraId="6B27E257" w14:textId="72A3D9A8" w:rsidR="00AA039A" w:rsidRPr="00876657" w:rsidRDefault="00AA039A" w:rsidP="00AA039A">
            <w:pPr>
              <w:pStyle w:val="BodyCopy"/>
              <w:spacing w:before="40" w:after="40"/>
              <w:rPr>
                <w:sz w:val="20"/>
                <w:szCs w:val="20"/>
              </w:rPr>
            </w:pPr>
            <w:r w:rsidRPr="00BD61D2">
              <w:rPr>
                <w:sz w:val="20"/>
                <w:szCs w:val="20"/>
              </w:rPr>
              <w:t xml:space="preserve"> 1,893 </w:t>
            </w:r>
          </w:p>
        </w:tc>
        <w:tc>
          <w:tcPr>
            <w:tcW w:w="1132" w:type="dxa"/>
            <w:hideMark/>
          </w:tcPr>
          <w:p w14:paraId="742309E1" w14:textId="12E1E936" w:rsidR="00AA039A" w:rsidRPr="00876657" w:rsidRDefault="00AA039A" w:rsidP="00AA039A">
            <w:pPr>
              <w:pStyle w:val="BodyCopy"/>
              <w:spacing w:before="40" w:after="40"/>
              <w:rPr>
                <w:sz w:val="20"/>
                <w:szCs w:val="20"/>
              </w:rPr>
            </w:pPr>
            <w:r w:rsidRPr="00BD61D2">
              <w:rPr>
                <w:sz w:val="20"/>
                <w:szCs w:val="20"/>
              </w:rPr>
              <w:t xml:space="preserve"> 1,893 </w:t>
            </w:r>
          </w:p>
        </w:tc>
      </w:tr>
      <w:tr w:rsidR="00AA039A" w:rsidRPr="007C2428" w14:paraId="1E4B216D" w14:textId="77777777" w:rsidTr="007C2428">
        <w:trPr>
          <w:trHeight w:val="300"/>
        </w:trPr>
        <w:tc>
          <w:tcPr>
            <w:tcW w:w="4420" w:type="dxa"/>
            <w:hideMark/>
          </w:tcPr>
          <w:p w14:paraId="2E243F2E" w14:textId="77777777" w:rsidR="00AA039A" w:rsidRPr="00C4270B" w:rsidRDefault="00AA039A" w:rsidP="00AA039A">
            <w:pPr>
              <w:pStyle w:val="BodyCopy"/>
              <w:spacing w:before="40" w:after="40"/>
              <w:rPr>
                <w:sz w:val="20"/>
                <w:szCs w:val="20"/>
              </w:rPr>
            </w:pPr>
            <w:r w:rsidRPr="00C4270B">
              <w:rPr>
                <w:sz w:val="20"/>
                <w:szCs w:val="20"/>
              </w:rPr>
              <w:t xml:space="preserve"> Medium combination truck </w:t>
            </w:r>
          </w:p>
        </w:tc>
        <w:tc>
          <w:tcPr>
            <w:tcW w:w="1132" w:type="dxa"/>
            <w:hideMark/>
          </w:tcPr>
          <w:p w14:paraId="3F988A53" w14:textId="7FBC74BC" w:rsidR="00AA039A" w:rsidRPr="00876657" w:rsidRDefault="00AA039A" w:rsidP="00AA039A">
            <w:pPr>
              <w:pStyle w:val="BodyCopy"/>
              <w:spacing w:before="40" w:after="40"/>
              <w:rPr>
                <w:sz w:val="20"/>
                <w:szCs w:val="20"/>
              </w:rPr>
            </w:pPr>
            <w:r w:rsidRPr="00BD61D2">
              <w:rPr>
                <w:sz w:val="20"/>
                <w:szCs w:val="20"/>
              </w:rPr>
              <w:t xml:space="preserve"> 9,949 </w:t>
            </w:r>
          </w:p>
        </w:tc>
        <w:tc>
          <w:tcPr>
            <w:tcW w:w="1211" w:type="dxa"/>
            <w:hideMark/>
          </w:tcPr>
          <w:p w14:paraId="59FF57FC" w14:textId="7BD7525E" w:rsidR="00AA039A" w:rsidRPr="00876657" w:rsidRDefault="00AA039A" w:rsidP="00AA039A">
            <w:pPr>
              <w:pStyle w:val="BodyCopy"/>
              <w:spacing w:before="40" w:after="40"/>
              <w:rPr>
                <w:sz w:val="20"/>
                <w:szCs w:val="20"/>
              </w:rPr>
            </w:pPr>
            <w:r w:rsidRPr="00BD61D2">
              <w:rPr>
                <w:sz w:val="20"/>
                <w:szCs w:val="20"/>
              </w:rPr>
              <w:t xml:space="preserve"> 9,949 </w:t>
            </w:r>
          </w:p>
        </w:tc>
        <w:tc>
          <w:tcPr>
            <w:tcW w:w="1132" w:type="dxa"/>
            <w:hideMark/>
          </w:tcPr>
          <w:p w14:paraId="33DF437A" w14:textId="0E7FECF1" w:rsidR="00AA039A" w:rsidRPr="00876657" w:rsidRDefault="00AA039A" w:rsidP="00AA039A">
            <w:pPr>
              <w:pStyle w:val="BodyCopy"/>
              <w:spacing w:before="40" w:after="40"/>
              <w:rPr>
                <w:sz w:val="20"/>
                <w:szCs w:val="20"/>
              </w:rPr>
            </w:pPr>
            <w:r w:rsidRPr="00BD61D2">
              <w:rPr>
                <w:sz w:val="20"/>
                <w:szCs w:val="20"/>
              </w:rPr>
              <w:t xml:space="preserve"> 10,745 </w:t>
            </w:r>
          </w:p>
        </w:tc>
        <w:tc>
          <w:tcPr>
            <w:tcW w:w="1132" w:type="dxa"/>
            <w:hideMark/>
          </w:tcPr>
          <w:p w14:paraId="172C6C80" w14:textId="5CB198B7" w:rsidR="00AA039A" w:rsidRPr="00876657" w:rsidRDefault="00AA039A" w:rsidP="00AA039A">
            <w:pPr>
              <w:pStyle w:val="BodyCopy"/>
              <w:spacing w:before="40" w:after="40"/>
              <w:rPr>
                <w:sz w:val="20"/>
                <w:szCs w:val="20"/>
              </w:rPr>
            </w:pPr>
            <w:r w:rsidRPr="00BD61D2">
              <w:rPr>
                <w:sz w:val="20"/>
                <w:szCs w:val="20"/>
              </w:rPr>
              <w:t xml:space="preserve"> 10,745 </w:t>
            </w:r>
          </w:p>
        </w:tc>
      </w:tr>
      <w:tr w:rsidR="00AA039A" w:rsidRPr="007C2428" w14:paraId="12209CC5" w14:textId="77777777" w:rsidTr="007C2428">
        <w:trPr>
          <w:trHeight w:val="300"/>
        </w:trPr>
        <w:tc>
          <w:tcPr>
            <w:tcW w:w="4420" w:type="dxa"/>
            <w:hideMark/>
          </w:tcPr>
          <w:p w14:paraId="434E0B8B" w14:textId="77777777" w:rsidR="00AA039A" w:rsidRPr="00C4270B" w:rsidRDefault="00AA039A" w:rsidP="00AA039A">
            <w:pPr>
              <w:pStyle w:val="BodyCopy"/>
              <w:spacing w:before="40" w:after="40"/>
              <w:rPr>
                <w:sz w:val="20"/>
                <w:szCs w:val="20"/>
              </w:rPr>
            </w:pPr>
            <w:r w:rsidRPr="00C4270B">
              <w:rPr>
                <w:sz w:val="20"/>
                <w:szCs w:val="20"/>
              </w:rPr>
              <w:t xml:space="preserve"> Long combination truck </w:t>
            </w:r>
          </w:p>
        </w:tc>
        <w:tc>
          <w:tcPr>
            <w:tcW w:w="1132" w:type="dxa"/>
            <w:hideMark/>
          </w:tcPr>
          <w:p w14:paraId="241DAF23" w14:textId="243C830B" w:rsidR="00AA039A" w:rsidRPr="00876657" w:rsidRDefault="00AA039A" w:rsidP="00AA039A">
            <w:pPr>
              <w:pStyle w:val="BodyCopy"/>
              <w:spacing w:before="40" w:after="40"/>
              <w:rPr>
                <w:sz w:val="20"/>
                <w:szCs w:val="20"/>
              </w:rPr>
            </w:pPr>
            <w:r w:rsidRPr="00BD61D2">
              <w:rPr>
                <w:sz w:val="20"/>
                <w:szCs w:val="20"/>
              </w:rPr>
              <w:t xml:space="preserve"> 13,754 </w:t>
            </w:r>
          </w:p>
        </w:tc>
        <w:tc>
          <w:tcPr>
            <w:tcW w:w="1211" w:type="dxa"/>
            <w:hideMark/>
          </w:tcPr>
          <w:p w14:paraId="21D48AD0" w14:textId="407BF950" w:rsidR="00AA039A" w:rsidRPr="00876657" w:rsidRDefault="00AA039A" w:rsidP="00AA039A">
            <w:pPr>
              <w:pStyle w:val="BodyCopy"/>
              <w:spacing w:before="40" w:after="40"/>
              <w:rPr>
                <w:sz w:val="20"/>
                <w:szCs w:val="20"/>
              </w:rPr>
            </w:pPr>
            <w:r w:rsidRPr="00BD61D2">
              <w:rPr>
                <w:sz w:val="20"/>
                <w:szCs w:val="20"/>
              </w:rPr>
              <w:t xml:space="preserve"> 13,754 </w:t>
            </w:r>
          </w:p>
        </w:tc>
        <w:tc>
          <w:tcPr>
            <w:tcW w:w="1132" w:type="dxa"/>
            <w:hideMark/>
          </w:tcPr>
          <w:p w14:paraId="71DE10C5" w14:textId="6F18545E" w:rsidR="00AA039A" w:rsidRPr="00876657" w:rsidRDefault="00AA039A" w:rsidP="00AA039A">
            <w:pPr>
              <w:pStyle w:val="BodyCopy"/>
              <w:spacing w:before="40" w:after="40"/>
              <w:rPr>
                <w:sz w:val="20"/>
                <w:szCs w:val="20"/>
              </w:rPr>
            </w:pPr>
            <w:r w:rsidRPr="00BD61D2">
              <w:rPr>
                <w:sz w:val="20"/>
                <w:szCs w:val="20"/>
              </w:rPr>
              <w:t xml:space="preserve"> 13,754 </w:t>
            </w:r>
          </w:p>
        </w:tc>
        <w:tc>
          <w:tcPr>
            <w:tcW w:w="1132" w:type="dxa"/>
            <w:hideMark/>
          </w:tcPr>
          <w:p w14:paraId="6F365325" w14:textId="13697FFB" w:rsidR="00AA039A" w:rsidRPr="00876657" w:rsidRDefault="00AA039A" w:rsidP="00AA039A">
            <w:pPr>
              <w:pStyle w:val="BodyCopy"/>
              <w:spacing w:before="40" w:after="40"/>
              <w:rPr>
                <w:sz w:val="20"/>
                <w:szCs w:val="20"/>
              </w:rPr>
            </w:pPr>
            <w:r w:rsidRPr="00BD61D2">
              <w:rPr>
                <w:sz w:val="20"/>
                <w:szCs w:val="20"/>
              </w:rPr>
              <w:t xml:space="preserve"> 13,754 </w:t>
            </w:r>
          </w:p>
        </w:tc>
      </w:tr>
      <w:tr w:rsidR="00AA039A" w:rsidRPr="007C2428" w14:paraId="20E50A0F" w14:textId="77777777" w:rsidTr="007C2428">
        <w:trPr>
          <w:trHeight w:val="300"/>
        </w:trPr>
        <w:tc>
          <w:tcPr>
            <w:tcW w:w="4420" w:type="dxa"/>
            <w:hideMark/>
          </w:tcPr>
          <w:p w14:paraId="082ADB74" w14:textId="3E91F7D6" w:rsidR="00AA039A" w:rsidRPr="00C4270B" w:rsidRDefault="00AA039A" w:rsidP="00AA039A">
            <w:pPr>
              <w:pStyle w:val="BodyCopy"/>
              <w:spacing w:before="40" w:after="40"/>
              <w:rPr>
                <w:b/>
                <w:bCs/>
                <w:sz w:val="20"/>
                <w:szCs w:val="20"/>
              </w:rPr>
            </w:pPr>
            <w:r w:rsidRPr="00C4270B">
              <w:rPr>
                <w:b/>
                <w:bCs/>
                <w:sz w:val="20"/>
                <w:szCs w:val="20"/>
              </w:rPr>
              <w:t xml:space="preserve"> Prime movers </w:t>
            </w:r>
          </w:p>
        </w:tc>
        <w:tc>
          <w:tcPr>
            <w:tcW w:w="1132" w:type="dxa"/>
            <w:hideMark/>
          </w:tcPr>
          <w:p w14:paraId="6F31B938" w14:textId="3575564A" w:rsidR="00AA039A" w:rsidRPr="00876657" w:rsidRDefault="00AA039A" w:rsidP="00AA039A">
            <w:pPr>
              <w:pStyle w:val="BodyCopy"/>
              <w:spacing w:before="40" w:after="40"/>
              <w:rPr>
                <w:sz w:val="20"/>
                <w:szCs w:val="20"/>
              </w:rPr>
            </w:pPr>
          </w:p>
        </w:tc>
        <w:tc>
          <w:tcPr>
            <w:tcW w:w="1211" w:type="dxa"/>
            <w:hideMark/>
          </w:tcPr>
          <w:p w14:paraId="619B8F81" w14:textId="717C261A" w:rsidR="00AA039A" w:rsidRPr="00876657" w:rsidRDefault="00AA039A" w:rsidP="00AA039A">
            <w:pPr>
              <w:pStyle w:val="BodyCopy"/>
              <w:spacing w:before="40" w:after="40"/>
              <w:rPr>
                <w:sz w:val="20"/>
                <w:szCs w:val="20"/>
              </w:rPr>
            </w:pPr>
          </w:p>
        </w:tc>
        <w:tc>
          <w:tcPr>
            <w:tcW w:w="1132" w:type="dxa"/>
            <w:hideMark/>
          </w:tcPr>
          <w:p w14:paraId="27DD32F0" w14:textId="42CEAFC0" w:rsidR="00AA039A" w:rsidRPr="00876657" w:rsidRDefault="00AA039A" w:rsidP="00AA039A">
            <w:pPr>
              <w:pStyle w:val="BodyCopy"/>
              <w:spacing w:before="40" w:after="40"/>
              <w:rPr>
                <w:sz w:val="20"/>
                <w:szCs w:val="20"/>
              </w:rPr>
            </w:pPr>
          </w:p>
        </w:tc>
        <w:tc>
          <w:tcPr>
            <w:tcW w:w="1132" w:type="dxa"/>
            <w:hideMark/>
          </w:tcPr>
          <w:p w14:paraId="6BF7EA51" w14:textId="0E393FC8" w:rsidR="00AA039A" w:rsidRPr="00876657" w:rsidRDefault="00AA039A" w:rsidP="00AA039A">
            <w:pPr>
              <w:pStyle w:val="BodyCopy"/>
              <w:spacing w:before="40" w:after="40"/>
              <w:rPr>
                <w:sz w:val="20"/>
                <w:szCs w:val="20"/>
              </w:rPr>
            </w:pPr>
          </w:p>
        </w:tc>
      </w:tr>
      <w:tr w:rsidR="00AA039A" w:rsidRPr="007C2428" w14:paraId="43FD8F09" w14:textId="77777777" w:rsidTr="007C2428">
        <w:trPr>
          <w:trHeight w:val="300"/>
        </w:trPr>
        <w:tc>
          <w:tcPr>
            <w:tcW w:w="4420" w:type="dxa"/>
            <w:hideMark/>
          </w:tcPr>
          <w:p w14:paraId="0DBF92D5" w14:textId="77777777" w:rsidR="00AA039A" w:rsidRPr="00C4270B" w:rsidRDefault="00AA039A" w:rsidP="00AA039A">
            <w:pPr>
              <w:pStyle w:val="BodyCopy"/>
              <w:spacing w:before="40" w:after="40"/>
              <w:rPr>
                <w:sz w:val="20"/>
                <w:szCs w:val="20"/>
              </w:rPr>
            </w:pPr>
            <w:r w:rsidRPr="00C4270B">
              <w:rPr>
                <w:sz w:val="20"/>
                <w:szCs w:val="20"/>
              </w:rPr>
              <w:t xml:space="preserve"> Short combination prime mover </w:t>
            </w:r>
          </w:p>
        </w:tc>
        <w:tc>
          <w:tcPr>
            <w:tcW w:w="1132" w:type="dxa"/>
            <w:hideMark/>
          </w:tcPr>
          <w:p w14:paraId="09709D65" w14:textId="515F6DF7" w:rsidR="00AA039A" w:rsidRPr="00876657" w:rsidRDefault="00AA039A" w:rsidP="00AA039A">
            <w:pPr>
              <w:pStyle w:val="BodyCopy"/>
              <w:spacing w:before="40" w:after="40"/>
              <w:rPr>
                <w:sz w:val="20"/>
                <w:szCs w:val="20"/>
              </w:rPr>
            </w:pPr>
            <w:r w:rsidRPr="00BD61D2">
              <w:rPr>
                <w:sz w:val="20"/>
                <w:szCs w:val="20"/>
              </w:rPr>
              <w:t xml:space="preserve"> 804 </w:t>
            </w:r>
          </w:p>
        </w:tc>
        <w:tc>
          <w:tcPr>
            <w:tcW w:w="1211" w:type="dxa"/>
            <w:hideMark/>
          </w:tcPr>
          <w:p w14:paraId="4052DF05" w14:textId="550A75E5" w:rsidR="00AA039A" w:rsidRPr="00876657" w:rsidRDefault="00AA039A" w:rsidP="00AA039A">
            <w:pPr>
              <w:pStyle w:val="BodyCopy"/>
              <w:spacing w:before="40" w:after="40"/>
              <w:rPr>
                <w:sz w:val="20"/>
                <w:szCs w:val="20"/>
              </w:rPr>
            </w:pPr>
            <w:r w:rsidRPr="00BD61D2">
              <w:rPr>
                <w:sz w:val="20"/>
                <w:szCs w:val="20"/>
              </w:rPr>
              <w:t xml:space="preserve"> 4,589 </w:t>
            </w:r>
          </w:p>
        </w:tc>
        <w:tc>
          <w:tcPr>
            <w:tcW w:w="1132" w:type="dxa"/>
            <w:hideMark/>
          </w:tcPr>
          <w:p w14:paraId="4642868D" w14:textId="0D59B1E1" w:rsidR="00AA039A" w:rsidRPr="00876657" w:rsidRDefault="00AA039A" w:rsidP="00AA039A">
            <w:pPr>
              <w:pStyle w:val="BodyCopy"/>
              <w:spacing w:before="40" w:after="40"/>
              <w:rPr>
                <w:sz w:val="20"/>
                <w:szCs w:val="20"/>
              </w:rPr>
            </w:pPr>
            <w:r w:rsidRPr="00BD61D2">
              <w:rPr>
                <w:sz w:val="20"/>
                <w:szCs w:val="20"/>
              </w:rPr>
              <w:t xml:space="preserve"> 4,933 </w:t>
            </w:r>
          </w:p>
        </w:tc>
        <w:tc>
          <w:tcPr>
            <w:tcW w:w="1132" w:type="dxa"/>
            <w:hideMark/>
          </w:tcPr>
          <w:p w14:paraId="0130B0DC" w14:textId="4509B67E" w:rsidR="00AA039A" w:rsidRPr="00876657" w:rsidRDefault="00AA039A" w:rsidP="00AA039A">
            <w:pPr>
              <w:pStyle w:val="BodyCopy"/>
              <w:spacing w:before="40" w:after="40"/>
              <w:rPr>
                <w:sz w:val="20"/>
                <w:szCs w:val="20"/>
              </w:rPr>
            </w:pPr>
            <w:r w:rsidRPr="00BD61D2">
              <w:rPr>
                <w:sz w:val="20"/>
                <w:szCs w:val="20"/>
              </w:rPr>
              <w:t xml:space="preserve"> 4,933 </w:t>
            </w:r>
          </w:p>
        </w:tc>
      </w:tr>
      <w:tr w:rsidR="00AA039A" w:rsidRPr="007C2428" w14:paraId="06E54375" w14:textId="77777777" w:rsidTr="007C2428">
        <w:trPr>
          <w:trHeight w:val="300"/>
        </w:trPr>
        <w:tc>
          <w:tcPr>
            <w:tcW w:w="4420" w:type="dxa"/>
            <w:hideMark/>
          </w:tcPr>
          <w:p w14:paraId="71651F10" w14:textId="77777777" w:rsidR="00AA039A" w:rsidRPr="00C4270B" w:rsidRDefault="00AA039A" w:rsidP="00AA039A">
            <w:pPr>
              <w:pStyle w:val="BodyCopy"/>
              <w:spacing w:before="40" w:after="40"/>
              <w:rPr>
                <w:sz w:val="20"/>
                <w:szCs w:val="20"/>
              </w:rPr>
            </w:pPr>
            <w:r w:rsidRPr="00C4270B">
              <w:rPr>
                <w:sz w:val="20"/>
                <w:szCs w:val="20"/>
              </w:rPr>
              <w:t xml:space="preserve"> Multi-combination prime mover </w:t>
            </w:r>
          </w:p>
        </w:tc>
        <w:tc>
          <w:tcPr>
            <w:tcW w:w="1132" w:type="dxa"/>
            <w:hideMark/>
          </w:tcPr>
          <w:p w14:paraId="4F65A977" w14:textId="20AACAA1" w:rsidR="00AA039A" w:rsidRPr="00876657" w:rsidRDefault="00AA039A" w:rsidP="00AA039A">
            <w:pPr>
              <w:pStyle w:val="BodyCopy"/>
              <w:spacing w:before="40" w:after="40"/>
              <w:rPr>
                <w:sz w:val="20"/>
                <w:szCs w:val="20"/>
              </w:rPr>
            </w:pPr>
            <w:r w:rsidRPr="00BD61D2">
              <w:rPr>
                <w:sz w:val="20"/>
                <w:szCs w:val="20"/>
              </w:rPr>
              <w:t xml:space="preserve"> 11,641 </w:t>
            </w:r>
          </w:p>
        </w:tc>
        <w:tc>
          <w:tcPr>
            <w:tcW w:w="1211" w:type="dxa"/>
            <w:hideMark/>
          </w:tcPr>
          <w:p w14:paraId="0A230F6D" w14:textId="532C4792" w:rsidR="00AA039A" w:rsidRPr="00876657" w:rsidRDefault="00AA039A" w:rsidP="00AA039A">
            <w:pPr>
              <w:pStyle w:val="BodyCopy"/>
              <w:spacing w:before="40" w:after="40"/>
              <w:rPr>
                <w:sz w:val="20"/>
                <w:szCs w:val="20"/>
              </w:rPr>
            </w:pPr>
            <w:r w:rsidRPr="00BD61D2">
              <w:rPr>
                <w:sz w:val="20"/>
                <w:szCs w:val="20"/>
              </w:rPr>
              <w:t xml:space="preserve"> 11,641 </w:t>
            </w:r>
          </w:p>
        </w:tc>
        <w:tc>
          <w:tcPr>
            <w:tcW w:w="1132" w:type="dxa"/>
            <w:hideMark/>
          </w:tcPr>
          <w:p w14:paraId="7E13903A" w14:textId="64C29802" w:rsidR="00AA039A" w:rsidRPr="00876657" w:rsidRDefault="00AA039A" w:rsidP="00AA039A">
            <w:pPr>
              <w:pStyle w:val="BodyCopy"/>
              <w:spacing w:before="40" w:after="40"/>
              <w:rPr>
                <w:sz w:val="20"/>
                <w:szCs w:val="20"/>
              </w:rPr>
            </w:pPr>
            <w:r w:rsidRPr="00BD61D2">
              <w:rPr>
                <w:sz w:val="20"/>
                <w:szCs w:val="20"/>
              </w:rPr>
              <w:t xml:space="preserve"> 12,805 </w:t>
            </w:r>
          </w:p>
        </w:tc>
        <w:tc>
          <w:tcPr>
            <w:tcW w:w="1132" w:type="dxa"/>
            <w:hideMark/>
          </w:tcPr>
          <w:p w14:paraId="4F90F3C9" w14:textId="184E7B1E" w:rsidR="00AA039A" w:rsidRPr="00876657" w:rsidRDefault="00AA039A" w:rsidP="00AA039A">
            <w:pPr>
              <w:pStyle w:val="BodyCopy"/>
              <w:spacing w:before="40" w:after="40"/>
              <w:rPr>
                <w:sz w:val="20"/>
                <w:szCs w:val="20"/>
              </w:rPr>
            </w:pPr>
            <w:r w:rsidRPr="00BD61D2">
              <w:rPr>
                <w:sz w:val="20"/>
                <w:szCs w:val="20"/>
              </w:rPr>
              <w:t xml:space="preserve"> 12,805 </w:t>
            </w:r>
          </w:p>
        </w:tc>
      </w:tr>
      <w:tr w:rsidR="007C2428" w:rsidRPr="007C2428" w14:paraId="1E50F75D" w14:textId="77777777" w:rsidTr="00AF7B68">
        <w:trPr>
          <w:trHeight w:val="300"/>
        </w:trPr>
        <w:tc>
          <w:tcPr>
            <w:tcW w:w="9027" w:type="dxa"/>
            <w:gridSpan w:val="5"/>
            <w:vAlign w:val="center"/>
            <w:hideMark/>
          </w:tcPr>
          <w:p w14:paraId="2459A663" w14:textId="13DDD009" w:rsidR="007C2428" w:rsidRPr="00C4270B" w:rsidRDefault="007C2428" w:rsidP="00AF7B68">
            <w:pPr>
              <w:pStyle w:val="BodyCopy"/>
              <w:spacing w:before="40" w:after="40"/>
              <w:jc w:val="center"/>
              <w:rPr>
                <w:b/>
                <w:bCs/>
                <w:sz w:val="20"/>
                <w:szCs w:val="20"/>
              </w:rPr>
            </w:pPr>
            <w:r w:rsidRPr="00C4270B">
              <w:rPr>
                <w:b/>
                <w:bCs/>
                <w:sz w:val="20"/>
                <w:szCs w:val="20"/>
              </w:rPr>
              <w:t>DIVISION 2 – LOAD CARRYING TRAILERS ($)</w:t>
            </w:r>
          </w:p>
        </w:tc>
      </w:tr>
      <w:tr w:rsidR="007C2428" w:rsidRPr="007C2428" w14:paraId="1B0383F4" w14:textId="77777777" w:rsidTr="007C2428">
        <w:trPr>
          <w:trHeight w:val="900"/>
        </w:trPr>
        <w:tc>
          <w:tcPr>
            <w:tcW w:w="4420" w:type="dxa"/>
            <w:hideMark/>
          </w:tcPr>
          <w:p w14:paraId="232E64A2" w14:textId="77777777" w:rsidR="007C2428" w:rsidRPr="00C4270B" w:rsidRDefault="007C2428"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45D75705" w14:textId="7C75EFF1" w:rsidR="007C2428" w:rsidRPr="00C4270B" w:rsidRDefault="007C2428"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71322F2F" w14:textId="75E189EF" w:rsidR="007C2428" w:rsidRPr="00C4270B" w:rsidRDefault="007C2428"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2D490C25" w14:textId="45833714" w:rsidR="007C2428" w:rsidRPr="00C4270B" w:rsidRDefault="007C2428"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6663BAD6" w14:textId="5DB1D805" w:rsidR="007C2428" w:rsidRPr="00C4270B" w:rsidRDefault="007C2428"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7C2428" w:rsidRPr="007C2428" w14:paraId="0418C956" w14:textId="77777777" w:rsidTr="007C2428">
        <w:trPr>
          <w:trHeight w:val="300"/>
        </w:trPr>
        <w:tc>
          <w:tcPr>
            <w:tcW w:w="4420" w:type="dxa"/>
            <w:hideMark/>
          </w:tcPr>
          <w:p w14:paraId="70E9E3CE" w14:textId="00DD8FA8" w:rsidR="007C2428" w:rsidRPr="00C4270B" w:rsidRDefault="007C2428" w:rsidP="00AF7B68">
            <w:pPr>
              <w:pStyle w:val="BodyCopy"/>
              <w:spacing w:before="40" w:after="40"/>
              <w:rPr>
                <w:b/>
                <w:bCs/>
                <w:sz w:val="20"/>
                <w:szCs w:val="20"/>
              </w:rPr>
            </w:pPr>
            <w:r w:rsidRPr="00C4270B">
              <w:rPr>
                <w:b/>
                <w:bCs/>
                <w:sz w:val="20"/>
                <w:szCs w:val="20"/>
              </w:rPr>
              <w:t xml:space="preserve"> Trailer </w:t>
            </w:r>
            <w:r w:rsidR="006F7F4A" w:rsidRPr="00C4270B">
              <w:rPr>
                <w:b/>
                <w:bCs/>
                <w:sz w:val="20"/>
                <w:szCs w:val="20"/>
              </w:rPr>
              <w:t>t</w:t>
            </w:r>
            <w:r w:rsidRPr="00C4270B">
              <w:rPr>
                <w:b/>
                <w:bCs/>
                <w:sz w:val="20"/>
                <w:szCs w:val="20"/>
              </w:rPr>
              <w:t xml:space="preserve">ype </w:t>
            </w:r>
          </w:p>
        </w:tc>
        <w:tc>
          <w:tcPr>
            <w:tcW w:w="1132" w:type="dxa"/>
            <w:hideMark/>
          </w:tcPr>
          <w:p w14:paraId="57D55091"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2D80B8E6"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3E420A73"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0697AEC7" w14:textId="77777777" w:rsidR="007C2428" w:rsidRPr="00C4270B" w:rsidRDefault="007C2428" w:rsidP="00AF7B68">
            <w:pPr>
              <w:pStyle w:val="BodyCopy"/>
              <w:spacing w:before="40" w:after="40"/>
              <w:rPr>
                <w:sz w:val="20"/>
                <w:szCs w:val="20"/>
              </w:rPr>
            </w:pPr>
            <w:r w:rsidRPr="00C4270B">
              <w:rPr>
                <w:sz w:val="20"/>
                <w:szCs w:val="20"/>
              </w:rPr>
              <w:t> </w:t>
            </w:r>
          </w:p>
        </w:tc>
      </w:tr>
      <w:tr w:rsidR="00AA039A" w:rsidRPr="007C2428" w14:paraId="39D24A84" w14:textId="77777777" w:rsidTr="007C2428">
        <w:trPr>
          <w:trHeight w:val="300"/>
        </w:trPr>
        <w:tc>
          <w:tcPr>
            <w:tcW w:w="4420" w:type="dxa"/>
            <w:hideMark/>
          </w:tcPr>
          <w:p w14:paraId="45F08ED5" w14:textId="4EDCDB60" w:rsidR="00AA039A" w:rsidRPr="00C4270B" w:rsidRDefault="00AA039A" w:rsidP="00AA039A">
            <w:pPr>
              <w:pStyle w:val="BodyCopy"/>
              <w:spacing w:before="40" w:after="40"/>
              <w:rPr>
                <w:sz w:val="20"/>
                <w:szCs w:val="20"/>
              </w:rPr>
            </w:pPr>
            <w:r w:rsidRPr="00C4270B">
              <w:rPr>
                <w:sz w:val="20"/>
                <w:szCs w:val="20"/>
              </w:rPr>
              <w:t xml:space="preserve"> Pig trailer </w:t>
            </w:r>
          </w:p>
        </w:tc>
        <w:tc>
          <w:tcPr>
            <w:tcW w:w="1132" w:type="dxa"/>
            <w:hideMark/>
          </w:tcPr>
          <w:p w14:paraId="38A449C3" w14:textId="15D5E114" w:rsidR="00AA039A" w:rsidRPr="00876657" w:rsidRDefault="00AA039A" w:rsidP="00AA039A">
            <w:pPr>
              <w:pStyle w:val="BodyCopy"/>
              <w:spacing w:before="40" w:after="40"/>
              <w:rPr>
                <w:sz w:val="20"/>
                <w:szCs w:val="20"/>
              </w:rPr>
            </w:pPr>
            <w:r w:rsidRPr="00BD61D2">
              <w:rPr>
                <w:sz w:val="20"/>
                <w:szCs w:val="20"/>
              </w:rPr>
              <w:t xml:space="preserve"> 684 </w:t>
            </w:r>
          </w:p>
        </w:tc>
        <w:tc>
          <w:tcPr>
            <w:tcW w:w="1211" w:type="dxa"/>
            <w:hideMark/>
          </w:tcPr>
          <w:p w14:paraId="11AE8327" w14:textId="49287210" w:rsidR="00AA039A" w:rsidRPr="00876657" w:rsidRDefault="00AA039A" w:rsidP="00AA039A">
            <w:pPr>
              <w:pStyle w:val="BodyCopy"/>
              <w:spacing w:before="40" w:after="40"/>
              <w:rPr>
                <w:sz w:val="20"/>
                <w:szCs w:val="20"/>
              </w:rPr>
            </w:pPr>
            <w:r w:rsidRPr="00BD61D2">
              <w:rPr>
                <w:sz w:val="20"/>
                <w:szCs w:val="20"/>
              </w:rPr>
              <w:t xml:space="preserve"> 684 </w:t>
            </w:r>
          </w:p>
        </w:tc>
        <w:tc>
          <w:tcPr>
            <w:tcW w:w="1132" w:type="dxa"/>
            <w:hideMark/>
          </w:tcPr>
          <w:p w14:paraId="6EEA2351" w14:textId="2FACB9B0" w:rsidR="00AA039A" w:rsidRPr="00876657" w:rsidRDefault="00AA039A" w:rsidP="00AA039A">
            <w:pPr>
              <w:pStyle w:val="BodyCopy"/>
              <w:spacing w:before="40" w:after="40"/>
              <w:rPr>
                <w:sz w:val="20"/>
                <w:szCs w:val="20"/>
              </w:rPr>
            </w:pPr>
            <w:r w:rsidRPr="00BD61D2">
              <w:rPr>
                <w:sz w:val="20"/>
                <w:szCs w:val="20"/>
              </w:rPr>
              <w:t xml:space="preserve"> 684 </w:t>
            </w:r>
          </w:p>
        </w:tc>
        <w:tc>
          <w:tcPr>
            <w:tcW w:w="1132" w:type="dxa"/>
            <w:hideMark/>
          </w:tcPr>
          <w:p w14:paraId="2759C473" w14:textId="105C61AB" w:rsidR="00AA039A" w:rsidRPr="00876657" w:rsidRDefault="00AA039A" w:rsidP="00AA039A">
            <w:pPr>
              <w:pStyle w:val="BodyCopy"/>
              <w:spacing w:before="40" w:after="40"/>
              <w:rPr>
                <w:sz w:val="20"/>
                <w:szCs w:val="20"/>
              </w:rPr>
            </w:pPr>
            <w:r w:rsidRPr="00BD61D2">
              <w:rPr>
                <w:sz w:val="20"/>
                <w:szCs w:val="20"/>
              </w:rPr>
              <w:t xml:space="preserve"> 684 </w:t>
            </w:r>
          </w:p>
        </w:tc>
      </w:tr>
      <w:tr w:rsidR="00AA039A" w:rsidRPr="007C2428" w14:paraId="193E7A67" w14:textId="77777777" w:rsidTr="007C2428">
        <w:trPr>
          <w:trHeight w:val="300"/>
        </w:trPr>
        <w:tc>
          <w:tcPr>
            <w:tcW w:w="4420" w:type="dxa"/>
            <w:hideMark/>
          </w:tcPr>
          <w:p w14:paraId="53818284" w14:textId="09D8C653" w:rsidR="00AA039A" w:rsidRPr="00C4270B" w:rsidRDefault="00AA039A" w:rsidP="00AA039A">
            <w:pPr>
              <w:pStyle w:val="BodyCopy"/>
              <w:spacing w:before="40" w:after="40"/>
              <w:rPr>
                <w:sz w:val="20"/>
                <w:szCs w:val="20"/>
              </w:rPr>
            </w:pPr>
            <w:r w:rsidRPr="00C4270B">
              <w:rPr>
                <w:sz w:val="20"/>
                <w:szCs w:val="20"/>
              </w:rPr>
              <w:t xml:space="preserve"> Dog trailer </w:t>
            </w:r>
          </w:p>
        </w:tc>
        <w:tc>
          <w:tcPr>
            <w:tcW w:w="1132" w:type="dxa"/>
            <w:hideMark/>
          </w:tcPr>
          <w:p w14:paraId="2A78F69E" w14:textId="431B9099" w:rsidR="00AA039A" w:rsidRPr="00876657" w:rsidRDefault="00AA039A" w:rsidP="00AA039A">
            <w:pPr>
              <w:pStyle w:val="BodyCopy"/>
              <w:spacing w:before="40" w:after="40"/>
              <w:rPr>
                <w:sz w:val="20"/>
                <w:szCs w:val="20"/>
              </w:rPr>
            </w:pPr>
            <w:r w:rsidRPr="00BD61D2">
              <w:rPr>
                <w:sz w:val="20"/>
                <w:szCs w:val="20"/>
              </w:rPr>
              <w:t xml:space="preserve"> 684 </w:t>
            </w:r>
          </w:p>
        </w:tc>
        <w:tc>
          <w:tcPr>
            <w:tcW w:w="1211" w:type="dxa"/>
            <w:hideMark/>
          </w:tcPr>
          <w:p w14:paraId="7D99DE1E" w14:textId="13870F42" w:rsidR="00AA039A" w:rsidRPr="00876657" w:rsidRDefault="00AA039A" w:rsidP="00AA039A">
            <w:pPr>
              <w:pStyle w:val="BodyCopy"/>
              <w:spacing w:before="40" w:after="40"/>
              <w:rPr>
                <w:sz w:val="20"/>
                <w:szCs w:val="20"/>
              </w:rPr>
            </w:pPr>
            <w:r w:rsidRPr="00BD61D2">
              <w:rPr>
                <w:sz w:val="20"/>
                <w:szCs w:val="20"/>
              </w:rPr>
              <w:t xml:space="preserve"> 684 </w:t>
            </w:r>
          </w:p>
        </w:tc>
        <w:tc>
          <w:tcPr>
            <w:tcW w:w="1132" w:type="dxa"/>
            <w:hideMark/>
          </w:tcPr>
          <w:p w14:paraId="12EB131F" w14:textId="3F610A01" w:rsidR="00AA039A" w:rsidRPr="00876657" w:rsidRDefault="00AA039A" w:rsidP="00AA039A">
            <w:pPr>
              <w:pStyle w:val="BodyCopy"/>
              <w:spacing w:before="40" w:after="40"/>
              <w:rPr>
                <w:sz w:val="20"/>
                <w:szCs w:val="20"/>
              </w:rPr>
            </w:pPr>
            <w:r w:rsidRPr="00BD61D2">
              <w:rPr>
                <w:sz w:val="20"/>
                <w:szCs w:val="20"/>
              </w:rPr>
              <w:t xml:space="preserve"> 684 </w:t>
            </w:r>
          </w:p>
        </w:tc>
        <w:tc>
          <w:tcPr>
            <w:tcW w:w="1132" w:type="dxa"/>
            <w:hideMark/>
          </w:tcPr>
          <w:p w14:paraId="5F49473B" w14:textId="08C99698" w:rsidR="00AA039A" w:rsidRPr="00876657" w:rsidRDefault="00AA039A" w:rsidP="00AA039A">
            <w:pPr>
              <w:pStyle w:val="BodyCopy"/>
              <w:spacing w:before="40" w:after="40"/>
              <w:rPr>
                <w:sz w:val="20"/>
                <w:szCs w:val="20"/>
              </w:rPr>
            </w:pPr>
            <w:r w:rsidRPr="00BD61D2">
              <w:rPr>
                <w:sz w:val="20"/>
                <w:szCs w:val="20"/>
              </w:rPr>
              <w:t xml:space="preserve"> 684 </w:t>
            </w:r>
          </w:p>
        </w:tc>
      </w:tr>
      <w:tr w:rsidR="00AA039A" w:rsidRPr="007C2428" w14:paraId="3B3D474C" w14:textId="77777777" w:rsidTr="007C2428">
        <w:trPr>
          <w:trHeight w:val="300"/>
        </w:trPr>
        <w:tc>
          <w:tcPr>
            <w:tcW w:w="4420" w:type="dxa"/>
            <w:hideMark/>
          </w:tcPr>
          <w:p w14:paraId="0CEA7E57" w14:textId="5C3D11ED" w:rsidR="00AA039A" w:rsidRPr="00C4270B" w:rsidRDefault="00AA039A" w:rsidP="00AA039A">
            <w:pPr>
              <w:pStyle w:val="BodyCopy"/>
              <w:spacing w:before="40" w:after="40"/>
              <w:rPr>
                <w:sz w:val="20"/>
                <w:szCs w:val="20"/>
              </w:rPr>
            </w:pPr>
            <w:r w:rsidRPr="00C4270B">
              <w:rPr>
                <w:sz w:val="20"/>
                <w:szCs w:val="20"/>
              </w:rPr>
              <w:t xml:space="preserve"> Semitrailer </w:t>
            </w:r>
          </w:p>
        </w:tc>
        <w:tc>
          <w:tcPr>
            <w:tcW w:w="1132" w:type="dxa"/>
            <w:hideMark/>
          </w:tcPr>
          <w:p w14:paraId="1AFD7692" w14:textId="38A2EA9C" w:rsidR="00AA039A" w:rsidRPr="00876657" w:rsidRDefault="00AA039A" w:rsidP="00AA039A">
            <w:pPr>
              <w:pStyle w:val="BodyCopy"/>
              <w:spacing w:before="40" w:after="40"/>
              <w:rPr>
                <w:sz w:val="20"/>
                <w:szCs w:val="20"/>
              </w:rPr>
            </w:pPr>
            <w:r w:rsidRPr="00BD61D2">
              <w:rPr>
                <w:sz w:val="20"/>
                <w:szCs w:val="20"/>
              </w:rPr>
              <w:t xml:space="preserve"> 684 </w:t>
            </w:r>
          </w:p>
        </w:tc>
        <w:tc>
          <w:tcPr>
            <w:tcW w:w="1211" w:type="dxa"/>
            <w:hideMark/>
          </w:tcPr>
          <w:p w14:paraId="08BA83E7" w14:textId="5D0F2EA6" w:rsidR="00AA039A" w:rsidRPr="00876657" w:rsidRDefault="00AA039A" w:rsidP="00AA039A">
            <w:pPr>
              <w:pStyle w:val="BodyCopy"/>
              <w:spacing w:before="40" w:after="40"/>
              <w:rPr>
                <w:sz w:val="20"/>
                <w:szCs w:val="20"/>
              </w:rPr>
            </w:pPr>
            <w:r w:rsidRPr="00BD61D2">
              <w:rPr>
                <w:sz w:val="20"/>
                <w:szCs w:val="20"/>
              </w:rPr>
              <w:t xml:space="preserve"> 869 </w:t>
            </w:r>
          </w:p>
        </w:tc>
        <w:tc>
          <w:tcPr>
            <w:tcW w:w="1132" w:type="dxa"/>
            <w:hideMark/>
          </w:tcPr>
          <w:p w14:paraId="7662E59E" w14:textId="2A7D7730" w:rsidR="00AA039A" w:rsidRPr="00876657" w:rsidRDefault="00AA039A" w:rsidP="00AA039A">
            <w:pPr>
              <w:pStyle w:val="BodyCopy"/>
              <w:spacing w:before="40" w:after="40"/>
              <w:rPr>
                <w:sz w:val="20"/>
                <w:szCs w:val="20"/>
              </w:rPr>
            </w:pPr>
            <w:r w:rsidRPr="00BD61D2">
              <w:rPr>
                <w:sz w:val="20"/>
                <w:szCs w:val="20"/>
              </w:rPr>
              <w:t xml:space="preserve"> 618 </w:t>
            </w:r>
          </w:p>
        </w:tc>
        <w:tc>
          <w:tcPr>
            <w:tcW w:w="1132" w:type="dxa"/>
            <w:hideMark/>
          </w:tcPr>
          <w:p w14:paraId="4B0FE126" w14:textId="2A5240F5" w:rsidR="00AA039A" w:rsidRPr="00876657" w:rsidRDefault="00AA039A" w:rsidP="00AA039A">
            <w:pPr>
              <w:pStyle w:val="BodyCopy"/>
              <w:spacing w:before="40" w:after="40"/>
              <w:rPr>
                <w:sz w:val="20"/>
                <w:szCs w:val="20"/>
              </w:rPr>
            </w:pPr>
            <w:r w:rsidRPr="00BD61D2">
              <w:rPr>
                <w:sz w:val="20"/>
                <w:szCs w:val="20"/>
              </w:rPr>
              <w:t xml:space="preserve"> 464 </w:t>
            </w:r>
          </w:p>
        </w:tc>
      </w:tr>
      <w:tr w:rsidR="00AA039A" w:rsidRPr="007C2428" w14:paraId="5218AD94" w14:textId="77777777" w:rsidTr="007C2428">
        <w:trPr>
          <w:trHeight w:val="300"/>
        </w:trPr>
        <w:tc>
          <w:tcPr>
            <w:tcW w:w="4420" w:type="dxa"/>
            <w:hideMark/>
          </w:tcPr>
          <w:p w14:paraId="38E4F5F1" w14:textId="77777777" w:rsidR="00AA039A" w:rsidRPr="00C4270B" w:rsidRDefault="00AA039A" w:rsidP="00AA039A">
            <w:pPr>
              <w:pStyle w:val="BodyCopy"/>
              <w:spacing w:before="40" w:after="40"/>
              <w:rPr>
                <w:sz w:val="20"/>
                <w:szCs w:val="20"/>
              </w:rPr>
            </w:pPr>
            <w:r w:rsidRPr="00C4270B">
              <w:rPr>
                <w:sz w:val="20"/>
                <w:szCs w:val="20"/>
              </w:rPr>
              <w:t xml:space="preserve"> B-double lead trailer and B-triple lead and middle trailers </w:t>
            </w:r>
          </w:p>
        </w:tc>
        <w:tc>
          <w:tcPr>
            <w:tcW w:w="1132" w:type="dxa"/>
            <w:hideMark/>
          </w:tcPr>
          <w:p w14:paraId="42BBF565" w14:textId="3092CCA6" w:rsidR="00AA039A" w:rsidRPr="00876657" w:rsidRDefault="00AA039A" w:rsidP="00AA039A">
            <w:pPr>
              <w:pStyle w:val="BodyCopy"/>
              <w:spacing w:before="40" w:after="40"/>
              <w:rPr>
                <w:sz w:val="20"/>
                <w:szCs w:val="20"/>
              </w:rPr>
            </w:pPr>
            <w:r w:rsidRPr="00BD61D2">
              <w:rPr>
                <w:sz w:val="20"/>
                <w:szCs w:val="20"/>
              </w:rPr>
              <w:t xml:space="preserve"> 684 </w:t>
            </w:r>
          </w:p>
        </w:tc>
        <w:tc>
          <w:tcPr>
            <w:tcW w:w="1211" w:type="dxa"/>
            <w:hideMark/>
          </w:tcPr>
          <w:p w14:paraId="3FC1EB2C" w14:textId="0AC1C763" w:rsidR="00AA039A" w:rsidRPr="00876657" w:rsidRDefault="00AA039A" w:rsidP="00AA039A">
            <w:pPr>
              <w:pStyle w:val="BodyCopy"/>
              <w:spacing w:before="40" w:after="40"/>
              <w:rPr>
                <w:sz w:val="20"/>
                <w:szCs w:val="20"/>
              </w:rPr>
            </w:pPr>
            <w:r w:rsidRPr="00BD61D2">
              <w:rPr>
                <w:sz w:val="20"/>
                <w:szCs w:val="20"/>
              </w:rPr>
              <w:t xml:space="preserve"> 869 </w:t>
            </w:r>
          </w:p>
        </w:tc>
        <w:tc>
          <w:tcPr>
            <w:tcW w:w="1132" w:type="dxa"/>
            <w:hideMark/>
          </w:tcPr>
          <w:p w14:paraId="0D67DBC4" w14:textId="470AD497" w:rsidR="00AA039A" w:rsidRPr="00876657" w:rsidRDefault="00AA039A" w:rsidP="00AA039A">
            <w:pPr>
              <w:pStyle w:val="BodyCopy"/>
              <w:spacing w:before="40" w:after="40"/>
              <w:rPr>
                <w:sz w:val="20"/>
                <w:szCs w:val="20"/>
              </w:rPr>
            </w:pPr>
            <w:r w:rsidRPr="00BD61D2">
              <w:rPr>
                <w:sz w:val="20"/>
                <w:szCs w:val="20"/>
              </w:rPr>
              <w:t xml:space="preserve"> 618 </w:t>
            </w:r>
          </w:p>
        </w:tc>
        <w:tc>
          <w:tcPr>
            <w:tcW w:w="1132" w:type="dxa"/>
            <w:hideMark/>
          </w:tcPr>
          <w:p w14:paraId="6466AD71" w14:textId="058A8478" w:rsidR="00AA039A" w:rsidRPr="00876657" w:rsidRDefault="00AA039A" w:rsidP="00AA039A">
            <w:pPr>
              <w:pStyle w:val="BodyCopy"/>
              <w:spacing w:before="40" w:after="40"/>
              <w:rPr>
                <w:sz w:val="20"/>
                <w:szCs w:val="20"/>
              </w:rPr>
            </w:pPr>
            <w:r w:rsidRPr="00BD61D2">
              <w:rPr>
                <w:sz w:val="20"/>
                <w:szCs w:val="20"/>
              </w:rPr>
              <w:t xml:space="preserve"> 464 </w:t>
            </w:r>
          </w:p>
        </w:tc>
      </w:tr>
      <w:tr w:rsidR="00AA039A" w:rsidRPr="007C2428" w14:paraId="7FDD2F9A" w14:textId="77777777" w:rsidTr="007C2428">
        <w:trPr>
          <w:trHeight w:val="300"/>
        </w:trPr>
        <w:tc>
          <w:tcPr>
            <w:tcW w:w="4420" w:type="dxa"/>
            <w:hideMark/>
          </w:tcPr>
          <w:p w14:paraId="17C7E554" w14:textId="77777777" w:rsidR="00AA039A" w:rsidRPr="00C4270B" w:rsidRDefault="00AA039A" w:rsidP="00AA039A">
            <w:pPr>
              <w:pStyle w:val="BodyCopy"/>
              <w:spacing w:before="40" w:after="40"/>
              <w:rPr>
                <w:sz w:val="20"/>
                <w:szCs w:val="20"/>
              </w:rPr>
            </w:pPr>
            <w:r w:rsidRPr="00C4270B">
              <w:rPr>
                <w:sz w:val="20"/>
                <w:szCs w:val="20"/>
              </w:rPr>
              <w:t xml:space="preserve"> Converter dolly or low loader dolly </w:t>
            </w:r>
          </w:p>
        </w:tc>
        <w:tc>
          <w:tcPr>
            <w:tcW w:w="1132" w:type="dxa"/>
            <w:hideMark/>
          </w:tcPr>
          <w:p w14:paraId="6AB583D5" w14:textId="2E089A61" w:rsidR="00AA039A" w:rsidRPr="00876657" w:rsidRDefault="00AA039A" w:rsidP="00AA039A">
            <w:pPr>
              <w:pStyle w:val="BodyCopy"/>
              <w:spacing w:before="40" w:after="40"/>
              <w:rPr>
                <w:sz w:val="20"/>
                <w:szCs w:val="20"/>
              </w:rPr>
            </w:pPr>
            <w:r w:rsidRPr="00BD61D2">
              <w:rPr>
                <w:sz w:val="20"/>
                <w:szCs w:val="20"/>
              </w:rPr>
              <w:t xml:space="preserve"> 0 </w:t>
            </w:r>
          </w:p>
        </w:tc>
        <w:tc>
          <w:tcPr>
            <w:tcW w:w="1211" w:type="dxa"/>
            <w:hideMark/>
          </w:tcPr>
          <w:p w14:paraId="508F64AF" w14:textId="1B174A37" w:rsidR="00AA039A" w:rsidRPr="00876657" w:rsidRDefault="00AA039A" w:rsidP="00AA039A">
            <w:pPr>
              <w:pStyle w:val="BodyCopy"/>
              <w:spacing w:before="40" w:after="40"/>
              <w:rPr>
                <w:sz w:val="20"/>
                <w:szCs w:val="20"/>
              </w:rPr>
            </w:pPr>
            <w:r w:rsidRPr="00BD61D2">
              <w:rPr>
                <w:sz w:val="20"/>
                <w:szCs w:val="20"/>
              </w:rPr>
              <w:t xml:space="preserve"> 0 </w:t>
            </w:r>
          </w:p>
        </w:tc>
        <w:tc>
          <w:tcPr>
            <w:tcW w:w="1132" w:type="dxa"/>
            <w:hideMark/>
          </w:tcPr>
          <w:p w14:paraId="28167367" w14:textId="6786E4B0" w:rsidR="00AA039A" w:rsidRPr="00876657" w:rsidRDefault="00AA039A" w:rsidP="00AA039A">
            <w:pPr>
              <w:pStyle w:val="BodyCopy"/>
              <w:spacing w:before="40" w:after="40"/>
              <w:rPr>
                <w:sz w:val="20"/>
                <w:szCs w:val="20"/>
              </w:rPr>
            </w:pPr>
            <w:r w:rsidRPr="00BD61D2">
              <w:rPr>
                <w:sz w:val="20"/>
                <w:szCs w:val="20"/>
              </w:rPr>
              <w:t xml:space="preserve"> 0 </w:t>
            </w:r>
          </w:p>
        </w:tc>
        <w:tc>
          <w:tcPr>
            <w:tcW w:w="1132" w:type="dxa"/>
            <w:hideMark/>
          </w:tcPr>
          <w:p w14:paraId="00560A7E" w14:textId="3D00236E" w:rsidR="00AA039A" w:rsidRPr="00876657" w:rsidRDefault="00AA039A" w:rsidP="00AA039A">
            <w:pPr>
              <w:pStyle w:val="BodyCopy"/>
              <w:spacing w:before="40" w:after="40"/>
              <w:rPr>
                <w:sz w:val="20"/>
                <w:szCs w:val="20"/>
              </w:rPr>
            </w:pPr>
            <w:r w:rsidRPr="00BD61D2">
              <w:rPr>
                <w:sz w:val="20"/>
                <w:szCs w:val="20"/>
              </w:rPr>
              <w:t xml:space="preserve"> 0 </w:t>
            </w:r>
          </w:p>
        </w:tc>
      </w:tr>
      <w:tr w:rsidR="007C2428" w:rsidRPr="007C2428" w14:paraId="15010BAA" w14:textId="77777777" w:rsidTr="00AF7B68">
        <w:trPr>
          <w:trHeight w:val="300"/>
        </w:trPr>
        <w:tc>
          <w:tcPr>
            <w:tcW w:w="9027" w:type="dxa"/>
            <w:gridSpan w:val="5"/>
            <w:vAlign w:val="center"/>
            <w:hideMark/>
          </w:tcPr>
          <w:p w14:paraId="6378311D" w14:textId="697CFCBD" w:rsidR="007C2428" w:rsidRPr="00C4270B" w:rsidRDefault="007C2428" w:rsidP="00AF7B68">
            <w:pPr>
              <w:pStyle w:val="BodyCopy"/>
              <w:spacing w:before="40" w:after="40"/>
              <w:jc w:val="center"/>
              <w:rPr>
                <w:b/>
                <w:bCs/>
                <w:sz w:val="20"/>
                <w:szCs w:val="20"/>
              </w:rPr>
            </w:pPr>
            <w:r w:rsidRPr="00C4270B">
              <w:rPr>
                <w:b/>
                <w:bCs/>
                <w:sz w:val="20"/>
                <w:szCs w:val="20"/>
              </w:rPr>
              <w:t>DIVISION 3 – BUSES ($)</w:t>
            </w:r>
          </w:p>
        </w:tc>
      </w:tr>
      <w:tr w:rsidR="007C2428" w:rsidRPr="007C2428" w14:paraId="0E9511F4" w14:textId="77777777" w:rsidTr="007C2428">
        <w:trPr>
          <w:trHeight w:val="300"/>
        </w:trPr>
        <w:tc>
          <w:tcPr>
            <w:tcW w:w="4420" w:type="dxa"/>
            <w:hideMark/>
          </w:tcPr>
          <w:p w14:paraId="64294256" w14:textId="2DE59EA5" w:rsidR="007C2428" w:rsidRPr="00C4270B" w:rsidRDefault="007C2428" w:rsidP="00AF7B68">
            <w:pPr>
              <w:pStyle w:val="BodyCopy"/>
              <w:spacing w:before="40" w:after="40"/>
              <w:rPr>
                <w:b/>
                <w:bCs/>
                <w:sz w:val="20"/>
                <w:szCs w:val="20"/>
              </w:rPr>
            </w:pPr>
            <w:r w:rsidRPr="00C4270B">
              <w:rPr>
                <w:b/>
                <w:bCs/>
                <w:sz w:val="20"/>
                <w:szCs w:val="20"/>
              </w:rPr>
              <w:t xml:space="preserve"> Bus </w:t>
            </w:r>
            <w:r w:rsidR="006F7F4A" w:rsidRPr="00C4270B">
              <w:rPr>
                <w:b/>
                <w:bCs/>
                <w:sz w:val="20"/>
                <w:szCs w:val="20"/>
              </w:rPr>
              <w:t>t</w:t>
            </w:r>
            <w:r w:rsidRPr="00C4270B">
              <w:rPr>
                <w:b/>
                <w:bCs/>
                <w:sz w:val="20"/>
                <w:szCs w:val="20"/>
              </w:rPr>
              <w:t xml:space="preserve">ype </w:t>
            </w:r>
          </w:p>
        </w:tc>
        <w:tc>
          <w:tcPr>
            <w:tcW w:w="1132" w:type="dxa"/>
            <w:hideMark/>
          </w:tcPr>
          <w:p w14:paraId="1DE2C552" w14:textId="5D03E8D8"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1FB899BB" w14:textId="7A089C8D"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07EE6498" w14:textId="376AD79E"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5F95BD89" w14:textId="77777777" w:rsidR="007C2428" w:rsidRPr="00C4270B" w:rsidRDefault="007C2428" w:rsidP="00AF7B68">
            <w:pPr>
              <w:pStyle w:val="BodyCopy"/>
              <w:spacing w:before="40" w:after="40"/>
              <w:rPr>
                <w:b/>
                <w:bCs/>
                <w:sz w:val="20"/>
                <w:szCs w:val="20"/>
              </w:rPr>
            </w:pPr>
            <w:r w:rsidRPr="00C4270B">
              <w:rPr>
                <w:b/>
                <w:bCs/>
                <w:sz w:val="20"/>
                <w:szCs w:val="20"/>
              </w:rPr>
              <w:t> </w:t>
            </w:r>
          </w:p>
        </w:tc>
      </w:tr>
      <w:tr w:rsidR="00AA039A" w:rsidRPr="007C2428" w14:paraId="7E8A3465" w14:textId="77777777" w:rsidTr="007C2428">
        <w:trPr>
          <w:trHeight w:val="300"/>
        </w:trPr>
        <w:tc>
          <w:tcPr>
            <w:tcW w:w="4420" w:type="dxa"/>
            <w:hideMark/>
          </w:tcPr>
          <w:p w14:paraId="07DE87AC" w14:textId="77777777" w:rsidR="00AA039A" w:rsidRPr="00C4270B" w:rsidRDefault="00AA039A" w:rsidP="00AA039A">
            <w:pPr>
              <w:pStyle w:val="BodyCopy"/>
              <w:spacing w:before="40" w:after="40"/>
              <w:rPr>
                <w:sz w:val="20"/>
                <w:szCs w:val="20"/>
              </w:rPr>
            </w:pPr>
            <w:r w:rsidRPr="00C4270B">
              <w:rPr>
                <w:sz w:val="20"/>
                <w:szCs w:val="20"/>
              </w:rPr>
              <w:t xml:space="preserve"> Bus (type 1) </w:t>
            </w:r>
          </w:p>
        </w:tc>
        <w:tc>
          <w:tcPr>
            <w:tcW w:w="1132" w:type="dxa"/>
            <w:hideMark/>
          </w:tcPr>
          <w:p w14:paraId="7F0796A4" w14:textId="495C1797" w:rsidR="00AA039A" w:rsidRPr="007B54F5" w:rsidRDefault="00AA039A" w:rsidP="00AA039A">
            <w:pPr>
              <w:pStyle w:val="BodyCopy"/>
              <w:spacing w:before="40" w:after="40"/>
              <w:rPr>
                <w:sz w:val="20"/>
                <w:szCs w:val="20"/>
              </w:rPr>
            </w:pPr>
            <w:r w:rsidRPr="00BD61D2">
              <w:rPr>
                <w:sz w:val="20"/>
                <w:szCs w:val="20"/>
              </w:rPr>
              <w:t xml:space="preserve"> 345 </w:t>
            </w:r>
          </w:p>
        </w:tc>
        <w:tc>
          <w:tcPr>
            <w:tcW w:w="1211" w:type="dxa"/>
            <w:hideMark/>
          </w:tcPr>
          <w:p w14:paraId="612B0484" w14:textId="7C042FC4" w:rsidR="00AA039A" w:rsidRPr="007B54F5" w:rsidRDefault="00AA039A" w:rsidP="00AA039A">
            <w:pPr>
              <w:pStyle w:val="BodyCopy"/>
              <w:spacing w:before="40" w:after="40"/>
              <w:rPr>
                <w:sz w:val="20"/>
                <w:szCs w:val="20"/>
              </w:rPr>
            </w:pPr>
          </w:p>
        </w:tc>
        <w:tc>
          <w:tcPr>
            <w:tcW w:w="1132" w:type="dxa"/>
            <w:hideMark/>
          </w:tcPr>
          <w:p w14:paraId="4A592E5E" w14:textId="47A96239" w:rsidR="00AA039A" w:rsidRPr="007B54F5" w:rsidRDefault="00AA039A" w:rsidP="00AA039A">
            <w:pPr>
              <w:pStyle w:val="BodyCopy"/>
              <w:spacing w:before="40" w:after="40"/>
              <w:rPr>
                <w:sz w:val="20"/>
                <w:szCs w:val="20"/>
              </w:rPr>
            </w:pPr>
          </w:p>
        </w:tc>
        <w:tc>
          <w:tcPr>
            <w:tcW w:w="1132" w:type="dxa"/>
            <w:hideMark/>
          </w:tcPr>
          <w:p w14:paraId="5A54B3FF" w14:textId="77777777" w:rsidR="00AA039A" w:rsidRPr="00C4270B" w:rsidRDefault="00AA039A" w:rsidP="00AA039A">
            <w:pPr>
              <w:pStyle w:val="BodyCopy"/>
              <w:spacing w:before="40" w:after="40"/>
              <w:rPr>
                <w:sz w:val="20"/>
                <w:szCs w:val="20"/>
              </w:rPr>
            </w:pPr>
            <w:r w:rsidRPr="00C4270B">
              <w:rPr>
                <w:sz w:val="20"/>
                <w:szCs w:val="20"/>
              </w:rPr>
              <w:t> </w:t>
            </w:r>
          </w:p>
        </w:tc>
      </w:tr>
      <w:tr w:rsidR="00AA039A" w:rsidRPr="007C2428" w14:paraId="3A0E2EC8" w14:textId="77777777" w:rsidTr="007C2428">
        <w:trPr>
          <w:trHeight w:val="300"/>
        </w:trPr>
        <w:tc>
          <w:tcPr>
            <w:tcW w:w="4420" w:type="dxa"/>
            <w:hideMark/>
          </w:tcPr>
          <w:p w14:paraId="17090313" w14:textId="77777777" w:rsidR="00AA039A" w:rsidRPr="00C4270B" w:rsidRDefault="00AA039A" w:rsidP="00AA039A">
            <w:pPr>
              <w:pStyle w:val="BodyCopy"/>
              <w:spacing w:before="40" w:after="40"/>
              <w:rPr>
                <w:sz w:val="20"/>
                <w:szCs w:val="20"/>
              </w:rPr>
            </w:pPr>
            <w:r w:rsidRPr="00C4270B">
              <w:rPr>
                <w:sz w:val="20"/>
                <w:szCs w:val="20"/>
              </w:rPr>
              <w:t xml:space="preserve"> Bus (type 2) </w:t>
            </w:r>
          </w:p>
        </w:tc>
        <w:tc>
          <w:tcPr>
            <w:tcW w:w="1132" w:type="dxa"/>
            <w:hideMark/>
          </w:tcPr>
          <w:p w14:paraId="4FC7B775" w14:textId="6D01D385" w:rsidR="00AA039A" w:rsidRPr="007B54F5" w:rsidRDefault="00AA039A" w:rsidP="00AA039A">
            <w:pPr>
              <w:pStyle w:val="BodyCopy"/>
              <w:spacing w:before="40" w:after="40"/>
              <w:rPr>
                <w:sz w:val="20"/>
                <w:szCs w:val="20"/>
              </w:rPr>
            </w:pPr>
            <w:r w:rsidRPr="00BD61D2">
              <w:rPr>
                <w:sz w:val="20"/>
                <w:szCs w:val="20"/>
              </w:rPr>
              <w:t xml:space="preserve"> 362 </w:t>
            </w:r>
          </w:p>
        </w:tc>
        <w:tc>
          <w:tcPr>
            <w:tcW w:w="1211" w:type="dxa"/>
            <w:hideMark/>
          </w:tcPr>
          <w:p w14:paraId="3BD5EF40" w14:textId="7A1C8315" w:rsidR="00AA039A" w:rsidRPr="007B54F5" w:rsidRDefault="00AA039A" w:rsidP="00AA039A">
            <w:pPr>
              <w:pStyle w:val="BodyCopy"/>
              <w:spacing w:before="40" w:after="40"/>
              <w:rPr>
                <w:sz w:val="20"/>
                <w:szCs w:val="20"/>
              </w:rPr>
            </w:pPr>
            <w:r w:rsidRPr="00BD61D2">
              <w:rPr>
                <w:sz w:val="20"/>
                <w:szCs w:val="20"/>
              </w:rPr>
              <w:t xml:space="preserve"> 2,650 </w:t>
            </w:r>
          </w:p>
        </w:tc>
        <w:tc>
          <w:tcPr>
            <w:tcW w:w="1132" w:type="dxa"/>
            <w:hideMark/>
          </w:tcPr>
          <w:p w14:paraId="19484BBC" w14:textId="32DDC0E1" w:rsidR="00AA039A" w:rsidRPr="007B54F5" w:rsidRDefault="00AA039A" w:rsidP="00AA039A">
            <w:pPr>
              <w:pStyle w:val="BodyCopy"/>
              <w:spacing w:before="40" w:after="40"/>
              <w:rPr>
                <w:sz w:val="20"/>
                <w:szCs w:val="20"/>
              </w:rPr>
            </w:pPr>
            <w:r w:rsidRPr="00BD61D2">
              <w:rPr>
                <w:sz w:val="20"/>
                <w:szCs w:val="20"/>
              </w:rPr>
              <w:t xml:space="preserve"> 2,650 </w:t>
            </w:r>
          </w:p>
        </w:tc>
        <w:tc>
          <w:tcPr>
            <w:tcW w:w="1132" w:type="dxa"/>
            <w:hideMark/>
          </w:tcPr>
          <w:p w14:paraId="058E2AD7" w14:textId="77777777" w:rsidR="00AA039A" w:rsidRPr="00C4270B" w:rsidRDefault="00AA039A" w:rsidP="00AA039A">
            <w:pPr>
              <w:pStyle w:val="BodyCopy"/>
              <w:spacing w:before="40" w:after="40"/>
              <w:rPr>
                <w:sz w:val="20"/>
                <w:szCs w:val="20"/>
              </w:rPr>
            </w:pPr>
            <w:r w:rsidRPr="00C4270B">
              <w:rPr>
                <w:sz w:val="20"/>
                <w:szCs w:val="20"/>
              </w:rPr>
              <w:t> </w:t>
            </w:r>
          </w:p>
        </w:tc>
      </w:tr>
      <w:tr w:rsidR="00AA039A" w:rsidRPr="007C2428" w14:paraId="77F38E44" w14:textId="77777777" w:rsidTr="007C2428">
        <w:trPr>
          <w:trHeight w:val="300"/>
        </w:trPr>
        <w:tc>
          <w:tcPr>
            <w:tcW w:w="4420" w:type="dxa"/>
            <w:hideMark/>
          </w:tcPr>
          <w:p w14:paraId="4D257CBB" w14:textId="77777777" w:rsidR="00AA039A" w:rsidRPr="00C4270B" w:rsidRDefault="00AA039A" w:rsidP="00AA039A">
            <w:pPr>
              <w:pStyle w:val="BodyCopy"/>
              <w:spacing w:before="40" w:after="40"/>
              <w:rPr>
                <w:sz w:val="20"/>
                <w:szCs w:val="20"/>
              </w:rPr>
            </w:pPr>
            <w:r w:rsidRPr="00C4270B">
              <w:rPr>
                <w:sz w:val="20"/>
                <w:szCs w:val="20"/>
              </w:rPr>
              <w:t xml:space="preserve"> Articulated bus </w:t>
            </w:r>
          </w:p>
        </w:tc>
        <w:tc>
          <w:tcPr>
            <w:tcW w:w="1132" w:type="dxa"/>
            <w:hideMark/>
          </w:tcPr>
          <w:p w14:paraId="322EF61D" w14:textId="7B49261A" w:rsidR="00AA039A" w:rsidRPr="007B54F5" w:rsidRDefault="00AA039A" w:rsidP="00AA039A">
            <w:pPr>
              <w:pStyle w:val="BodyCopy"/>
              <w:spacing w:before="40" w:after="40"/>
              <w:rPr>
                <w:sz w:val="20"/>
                <w:szCs w:val="20"/>
              </w:rPr>
            </w:pPr>
          </w:p>
        </w:tc>
        <w:tc>
          <w:tcPr>
            <w:tcW w:w="1211" w:type="dxa"/>
            <w:hideMark/>
          </w:tcPr>
          <w:p w14:paraId="4EA48AC1" w14:textId="003D4225" w:rsidR="00AA039A" w:rsidRPr="007B54F5" w:rsidRDefault="00AA039A" w:rsidP="00AA039A">
            <w:pPr>
              <w:pStyle w:val="BodyCopy"/>
              <w:spacing w:before="40" w:after="40"/>
              <w:rPr>
                <w:sz w:val="20"/>
                <w:szCs w:val="20"/>
              </w:rPr>
            </w:pPr>
            <w:r w:rsidRPr="00BD61D2">
              <w:rPr>
                <w:sz w:val="20"/>
                <w:szCs w:val="20"/>
              </w:rPr>
              <w:t xml:space="preserve"> 362 </w:t>
            </w:r>
          </w:p>
        </w:tc>
        <w:tc>
          <w:tcPr>
            <w:tcW w:w="1132" w:type="dxa"/>
            <w:hideMark/>
          </w:tcPr>
          <w:p w14:paraId="196BEE40" w14:textId="491F4714" w:rsidR="00AA039A" w:rsidRPr="007B54F5" w:rsidRDefault="00AA039A" w:rsidP="00AA039A">
            <w:pPr>
              <w:pStyle w:val="BodyCopy"/>
              <w:spacing w:before="40" w:after="40"/>
              <w:rPr>
                <w:sz w:val="20"/>
                <w:szCs w:val="20"/>
              </w:rPr>
            </w:pPr>
            <w:r w:rsidRPr="00BD61D2">
              <w:rPr>
                <w:sz w:val="20"/>
                <w:szCs w:val="20"/>
              </w:rPr>
              <w:t xml:space="preserve"> 362 </w:t>
            </w:r>
          </w:p>
        </w:tc>
        <w:tc>
          <w:tcPr>
            <w:tcW w:w="1132" w:type="dxa"/>
            <w:hideMark/>
          </w:tcPr>
          <w:p w14:paraId="5C9FC273" w14:textId="77777777" w:rsidR="00AA039A" w:rsidRPr="00C4270B" w:rsidRDefault="00AA039A" w:rsidP="00AA039A">
            <w:pPr>
              <w:pStyle w:val="BodyCopy"/>
              <w:spacing w:before="40" w:after="40"/>
              <w:rPr>
                <w:sz w:val="20"/>
                <w:szCs w:val="20"/>
              </w:rPr>
            </w:pPr>
            <w:r w:rsidRPr="00C4270B">
              <w:rPr>
                <w:sz w:val="20"/>
                <w:szCs w:val="20"/>
              </w:rPr>
              <w:t> </w:t>
            </w:r>
          </w:p>
        </w:tc>
      </w:tr>
      <w:tr w:rsidR="007C2428" w:rsidRPr="007C2428" w14:paraId="510683E5" w14:textId="77777777" w:rsidTr="00AF7B68">
        <w:trPr>
          <w:trHeight w:val="300"/>
        </w:trPr>
        <w:tc>
          <w:tcPr>
            <w:tcW w:w="9027" w:type="dxa"/>
            <w:gridSpan w:val="5"/>
            <w:vAlign w:val="center"/>
            <w:hideMark/>
          </w:tcPr>
          <w:p w14:paraId="55A5B466" w14:textId="77687D3C" w:rsidR="007C2428" w:rsidRPr="00C4270B" w:rsidRDefault="007C2428" w:rsidP="00AF7B68">
            <w:pPr>
              <w:pStyle w:val="BodyCopy"/>
              <w:spacing w:before="40" w:after="40"/>
              <w:jc w:val="center"/>
              <w:rPr>
                <w:b/>
                <w:bCs/>
                <w:sz w:val="20"/>
                <w:szCs w:val="20"/>
              </w:rPr>
            </w:pPr>
            <w:r w:rsidRPr="00C4270B">
              <w:rPr>
                <w:b/>
                <w:bCs/>
                <w:sz w:val="20"/>
                <w:szCs w:val="20"/>
              </w:rPr>
              <w:t>DIVISION 4 – SPECIAL PURPOSE VEHICLES ($)</w:t>
            </w:r>
          </w:p>
        </w:tc>
      </w:tr>
      <w:tr w:rsidR="007C2428" w:rsidRPr="007C2428" w14:paraId="6B833DF6" w14:textId="77777777" w:rsidTr="00AF7B68">
        <w:trPr>
          <w:trHeight w:val="300"/>
        </w:trPr>
        <w:tc>
          <w:tcPr>
            <w:tcW w:w="4420" w:type="dxa"/>
            <w:hideMark/>
          </w:tcPr>
          <w:p w14:paraId="01FED60A"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2865FC0D" w14:textId="77777777" w:rsidR="007C2428" w:rsidRPr="00C4270B" w:rsidRDefault="007C2428" w:rsidP="00AF7B68">
            <w:pPr>
              <w:pStyle w:val="BodyCopy"/>
              <w:spacing w:before="40" w:after="40"/>
              <w:rPr>
                <w:sz w:val="20"/>
                <w:szCs w:val="20"/>
              </w:rPr>
            </w:pPr>
            <w:r w:rsidRPr="00C4270B">
              <w:rPr>
                <w:sz w:val="20"/>
                <w:szCs w:val="20"/>
              </w:rPr>
              <w:t xml:space="preserve"> 0 </w:t>
            </w:r>
          </w:p>
        </w:tc>
      </w:tr>
      <w:tr w:rsidR="007C2428" w:rsidRPr="007C2428" w14:paraId="7741FA9A" w14:textId="77777777" w:rsidTr="00AF7B68">
        <w:trPr>
          <w:trHeight w:val="300"/>
        </w:trPr>
        <w:tc>
          <w:tcPr>
            <w:tcW w:w="4420" w:type="dxa"/>
            <w:hideMark/>
          </w:tcPr>
          <w:p w14:paraId="24ED02E6"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33950733" w14:textId="4FF6A89A" w:rsidR="007C2428" w:rsidRPr="00C4270B" w:rsidRDefault="007C2428" w:rsidP="00AF7B68">
            <w:pPr>
              <w:pStyle w:val="BodyCopy"/>
              <w:spacing w:before="40" w:after="40"/>
              <w:rPr>
                <w:sz w:val="20"/>
                <w:szCs w:val="20"/>
              </w:rPr>
            </w:pPr>
            <w:r w:rsidRPr="00C4270B">
              <w:rPr>
                <w:sz w:val="20"/>
                <w:szCs w:val="20"/>
              </w:rPr>
              <w:t xml:space="preserve"> 33</w:t>
            </w:r>
            <w:r w:rsidR="00AA039A">
              <w:rPr>
                <w:sz w:val="20"/>
                <w:szCs w:val="20"/>
              </w:rPr>
              <w:t>5</w:t>
            </w:r>
            <w:r w:rsidRPr="00C4270B">
              <w:rPr>
                <w:sz w:val="20"/>
                <w:szCs w:val="20"/>
              </w:rPr>
              <w:t xml:space="preserve"> </w:t>
            </w:r>
          </w:p>
        </w:tc>
      </w:tr>
      <w:tr w:rsidR="007C2428" w:rsidRPr="007C2428" w14:paraId="588C025C" w14:textId="77777777" w:rsidTr="00AF7B68">
        <w:trPr>
          <w:trHeight w:val="300"/>
        </w:trPr>
        <w:tc>
          <w:tcPr>
            <w:tcW w:w="4420" w:type="dxa"/>
            <w:hideMark/>
          </w:tcPr>
          <w:p w14:paraId="3937E64C"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308AD14B" w14:textId="07710DB0" w:rsidR="007C2428" w:rsidRPr="00C4270B" w:rsidRDefault="007C2428" w:rsidP="00AF7B68">
            <w:pPr>
              <w:pStyle w:val="BodyCopy"/>
              <w:spacing w:before="40" w:after="40"/>
              <w:rPr>
                <w:sz w:val="20"/>
                <w:szCs w:val="20"/>
              </w:rPr>
            </w:pPr>
            <w:r w:rsidRPr="00C4270B">
              <w:rPr>
                <w:sz w:val="20"/>
                <w:szCs w:val="20"/>
              </w:rPr>
              <w:t>Calculated using the formula:</w:t>
            </w:r>
            <w:r w:rsidRPr="00C4270B">
              <w:rPr>
                <w:sz w:val="20"/>
                <w:szCs w:val="20"/>
              </w:rPr>
              <w:br/>
              <w:t>4</w:t>
            </w:r>
            <w:r w:rsidR="00AA039A">
              <w:rPr>
                <w:sz w:val="20"/>
                <w:szCs w:val="20"/>
              </w:rPr>
              <w:t>19</w:t>
            </w:r>
            <w:r w:rsidRPr="00C4270B">
              <w:rPr>
                <w:sz w:val="20"/>
                <w:szCs w:val="20"/>
              </w:rPr>
              <w:t xml:space="preserve"> + (4</w:t>
            </w:r>
            <w:r w:rsidR="00AA039A">
              <w:rPr>
                <w:sz w:val="20"/>
                <w:szCs w:val="20"/>
              </w:rPr>
              <w:t>19</w:t>
            </w:r>
            <w:r w:rsidRPr="00C4270B">
              <w:rPr>
                <w:sz w:val="20"/>
                <w:szCs w:val="20"/>
              </w:rPr>
              <w:t xml:space="preserve"> </w:t>
            </w:r>
            <w:r w:rsidR="006F7F4A" w:rsidRPr="00C4270B">
              <w:rPr>
                <w:sz w:val="20"/>
                <w:szCs w:val="20"/>
              </w:rPr>
              <w:t>×</w:t>
            </w:r>
            <w:r w:rsidRPr="00C4270B">
              <w:rPr>
                <w:sz w:val="20"/>
                <w:szCs w:val="20"/>
              </w:rPr>
              <w:t xml:space="preserve"> number of axles over 2)</w:t>
            </w:r>
          </w:p>
        </w:tc>
      </w:tr>
    </w:tbl>
    <w:p w14:paraId="20E3C365" w14:textId="77777777" w:rsidR="007C2428" w:rsidRPr="007C2428" w:rsidRDefault="007C2428" w:rsidP="00AF7B68">
      <w:pPr>
        <w:pStyle w:val="BodyCopy"/>
      </w:pPr>
    </w:p>
    <w:p w14:paraId="0F206A8C" w14:textId="43785D6C" w:rsidR="00DA69F2" w:rsidRDefault="00DA69F2" w:rsidP="00DA69F2">
      <w:pPr>
        <w:pStyle w:val="Tabletitle"/>
      </w:pPr>
      <w:bookmarkStart w:id="2374" w:name="_Toc86158575"/>
      <w:r>
        <w:lastRenderedPageBreak/>
        <w:t>Charging schedule for</w:t>
      </w:r>
      <w:r w:rsidR="000B1A52">
        <w:t xml:space="preserve"> the</w:t>
      </w:r>
      <w:r>
        <w:t xml:space="preserve"> roads component of registration charges under </w:t>
      </w:r>
      <w:r w:rsidR="005D7B0D">
        <w:t xml:space="preserve">pathway </w:t>
      </w:r>
      <w:r w:rsidR="00BE4F05">
        <w:t xml:space="preserve">2 of the three-year fixed price </w:t>
      </w:r>
      <w:r w:rsidR="006F7F4A">
        <w:t>i</w:t>
      </w:r>
      <w:r>
        <w:t>mplementation</w:t>
      </w:r>
      <w:r w:rsidR="00BE4F05">
        <w:t xml:space="preserve"> pathway</w:t>
      </w:r>
      <w:r w:rsidR="007C2428">
        <w:t xml:space="preserve">, </w:t>
      </w:r>
      <w:r w:rsidR="007C2428" w:rsidRPr="007C2428">
        <w:t>2022</w:t>
      </w:r>
      <w:r w:rsidR="00272BD6">
        <w:t>–2</w:t>
      </w:r>
      <w:r w:rsidR="007C2428" w:rsidRPr="007C2428">
        <w:t>3</w:t>
      </w:r>
      <w:bookmarkEnd w:id="2374"/>
    </w:p>
    <w:tbl>
      <w:tblPr>
        <w:tblStyle w:val="NTCtable"/>
        <w:tblW w:w="0" w:type="auto"/>
        <w:tblLook w:val="04A0" w:firstRow="1" w:lastRow="0" w:firstColumn="1" w:lastColumn="0" w:noHBand="0" w:noVBand="1"/>
      </w:tblPr>
      <w:tblGrid>
        <w:gridCol w:w="4420"/>
        <w:gridCol w:w="1132"/>
        <w:gridCol w:w="1211"/>
        <w:gridCol w:w="1132"/>
        <w:gridCol w:w="1132"/>
      </w:tblGrid>
      <w:tr w:rsidR="00DA69F2" w:rsidRPr="00DA69F2" w14:paraId="0A29C633" w14:textId="77777777" w:rsidTr="00AF7B68">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5EC6C2BD" w14:textId="63A6FF02" w:rsidR="00DA69F2" w:rsidRPr="00C4270B" w:rsidRDefault="00DA69F2" w:rsidP="00AF7B68">
            <w:pPr>
              <w:pStyle w:val="BodyCopy"/>
              <w:spacing w:before="40" w:after="40"/>
              <w:jc w:val="center"/>
              <w:rPr>
                <w:b/>
                <w:bCs/>
                <w:sz w:val="20"/>
                <w:szCs w:val="20"/>
              </w:rPr>
            </w:pPr>
            <w:r w:rsidRPr="00C4270B">
              <w:rPr>
                <w:b/>
                <w:bCs/>
                <w:sz w:val="20"/>
                <w:szCs w:val="20"/>
              </w:rPr>
              <w:t>1 July 2022 – 30 June 2023</w:t>
            </w:r>
          </w:p>
        </w:tc>
      </w:tr>
      <w:tr w:rsidR="00DA69F2" w:rsidRPr="00DA69F2" w14:paraId="004DBF21" w14:textId="77777777" w:rsidTr="00AF7B68">
        <w:trPr>
          <w:trHeight w:val="300"/>
        </w:trPr>
        <w:tc>
          <w:tcPr>
            <w:tcW w:w="9027" w:type="dxa"/>
            <w:gridSpan w:val="5"/>
            <w:vAlign w:val="center"/>
            <w:hideMark/>
          </w:tcPr>
          <w:p w14:paraId="7FA53777" w14:textId="40FC0608" w:rsidR="00DA69F2" w:rsidRPr="00C4270B" w:rsidRDefault="00DA69F2" w:rsidP="00AF7B68">
            <w:pPr>
              <w:pStyle w:val="BodyCopy"/>
              <w:spacing w:before="40" w:after="40"/>
              <w:jc w:val="center"/>
              <w:rPr>
                <w:b/>
                <w:bCs/>
                <w:sz w:val="20"/>
                <w:szCs w:val="20"/>
              </w:rPr>
            </w:pPr>
            <w:r w:rsidRPr="00C4270B">
              <w:rPr>
                <w:b/>
                <w:bCs/>
                <w:sz w:val="20"/>
                <w:szCs w:val="20"/>
              </w:rPr>
              <w:t>DIVISION 1 – LOAD CARRYING VEHICLES ($)</w:t>
            </w:r>
          </w:p>
        </w:tc>
      </w:tr>
      <w:tr w:rsidR="00DA69F2" w:rsidRPr="00DA69F2" w14:paraId="13F45657" w14:textId="77777777" w:rsidTr="00DA69F2">
        <w:trPr>
          <w:trHeight w:val="300"/>
        </w:trPr>
        <w:tc>
          <w:tcPr>
            <w:tcW w:w="4420" w:type="dxa"/>
            <w:hideMark/>
          </w:tcPr>
          <w:p w14:paraId="41AA01DF" w14:textId="6422918F" w:rsidR="00DA69F2" w:rsidRPr="00C4270B" w:rsidRDefault="00DA69F2" w:rsidP="00AF7B68">
            <w:pPr>
              <w:pStyle w:val="BodyCopy"/>
              <w:spacing w:before="40" w:after="40"/>
              <w:rPr>
                <w:b/>
                <w:bCs/>
                <w:sz w:val="20"/>
                <w:szCs w:val="20"/>
              </w:rPr>
            </w:pPr>
            <w:r w:rsidRPr="00C4270B">
              <w:rPr>
                <w:b/>
                <w:bCs/>
                <w:sz w:val="20"/>
                <w:szCs w:val="20"/>
              </w:rPr>
              <w:t xml:space="preserve"> Vehicle </w:t>
            </w:r>
            <w:r w:rsidR="006F7F4A" w:rsidRPr="00C4270B">
              <w:rPr>
                <w:b/>
                <w:bCs/>
                <w:sz w:val="20"/>
                <w:szCs w:val="20"/>
              </w:rPr>
              <w:t>t</w:t>
            </w:r>
            <w:r w:rsidRPr="00C4270B">
              <w:rPr>
                <w:b/>
                <w:bCs/>
                <w:sz w:val="20"/>
                <w:szCs w:val="20"/>
              </w:rPr>
              <w:t xml:space="preserve">ype </w:t>
            </w:r>
          </w:p>
        </w:tc>
        <w:tc>
          <w:tcPr>
            <w:tcW w:w="1132" w:type="dxa"/>
            <w:hideMark/>
          </w:tcPr>
          <w:p w14:paraId="32169A49" w14:textId="1D36FFE1" w:rsidR="00DA69F2" w:rsidRPr="00C4270B" w:rsidRDefault="00DA69F2"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2829B551" w14:textId="620327EA" w:rsidR="00DA69F2" w:rsidRPr="00C4270B" w:rsidRDefault="00DA69F2"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631DB340" w14:textId="2E1F194C" w:rsidR="00DA69F2" w:rsidRPr="00C4270B" w:rsidRDefault="00DA69F2"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05727B64" w14:textId="7A1A318D" w:rsidR="00DA69F2" w:rsidRPr="00C4270B" w:rsidRDefault="00DA69F2"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DA69F2" w:rsidRPr="00DA69F2" w14:paraId="2EDE22AC" w14:textId="77777777" w:rsidTr="00DA69F2">
        <w:trPr>
          <w:trHeight w:val="300"/>
        </w:trPr>
        <w:tc>
          <w:tcPr>
            <w:tcW w:w="4420" w:type="dxa"/>
            <w:hideMark/>
          </w:tcPr>
          <w:p w14:paraId="1FA10520" w14:textId="77777777" w:rsidR="00DA69F2" w:rsidRPr="00C4270B" w:rsidRDefault="00DA69F2" w:rsidP="00AF7B68">
            <w:pPr>
              <w:pStyle w:val="BodyCopy"/>
              <w:spacing w:before="40" w:after="40"/>
              <w:rPr>
                <w:b/>
                <w:bCs/>
                <w:sz w:val="20"/>
                <w:szCs w:val="20"/>
              </w:rPr>
            </w:pPr>
            <w:r w:rsidRPr="00C4270B">
              <w:rPr>
                <w:b/>
                <w:bCs/>
                <w:sz w:val="20"/>
                <w:szCs w:val="20"/>
              </w:rPr>
              <w:t xml:space="preserve"> Trucks </w:t>
            </w:r>
          </w:p>
        </w:tc>
        <w:tc>
          <w:tcPr>
            <w:tcW w:w="1132" w:type="dxa"/>
            <w:hideMark/>
          </w:tcPr>
          <w:p w14:paraId="7F4E54F8" w14:textId="77777777" w:rsidR="00DA69F2" w:rsidRPr="00C4270B" w:rsidRDefault="00DA69F2" w:rsidP="00AF7B68">
            <w:pPr>
              <w:pStyle w:val="BodyCopy"/>
              <w:spacing w:before="40" w:after="40"/>
              <w:rPr>
                <w:sz w:val="20"/>
                <w:szCs w:val="20"/>
              </w:rPr>
            </w:pPr>
            <w:r w:rsidRPr="00C4270B">
              <w:rPr>
                <w:sz w:val="20"/>
                <w:szCs w:val="20"/>
              </w:rPr>
              <w:t> </w:t>
            </w:r>
          </w:p>
        </w:tc>
        <w:tc>
          <w:tcPr>
            <w:tcW w:w="1211" w:type="dxa"/>
            <w:hideMark/>
          </w:tcPr>
          <w:p w14:paraId="7B1E9EB5" w14:textId="77777777" w:rsidR="00DA69F2" w:rsidRPr="00C4270B" w:rsidRDefault="00DA69F2" w:rsidP="00AF7B68">
            <w:pPr>
              <w:pStyle w:val="BodyCopy"/>
              <w:spacing w:before="40" w:after="40"/>
              <w:rPr>
                <w:sz w:val="20"/>
                <w:szCs w:val="20"/>
              </w:rPr>
            </w:pPr>
            <w:r w:rsidRPr="00C4270B">
              <w:rPr>
                <w:sz w:val="20"/>
                <w:szCs w:val="20"/>
              </w:rPr>
              <w:t> </w:t>
            </w:r>
          </w:p>
        </w:tc>
        <w:tc>
          <w:tcPr>
            <w:tcW w:w="1132" w:type="dxa"/>
            <w:hideMark/>
          </w:tcPr>
          <w:p w14:paraId="60BB8641" w14:textId="77777777" w:rsidR="00DA69F2" w:rsidRPr="00C4270B" w:rsidRDefault="00DA69F2" w:rsidP="00AF7B68">
            <w:pPr>
              <w:pStyle w:val="BodyCopy"/>
              <w:spacing w:before="40" w:after="40"/>
              <w:rPr>
                <w:sz w:val="20"/>
                <w:szCs w:val="20"/>
              </w:rPr>
            </w:pPr>
            <w:r w:rsidRPr="00C4270B">
              <w:rPr>
                <w:sz w:val="20"/>
                <w:szCs w:val="20"/>
              </w:rPr>
              <w:t> </w:t>
            </w:r>
          </w:p>
        </w:tc>
        <w:tc>
          <w:tcPr>
            <w:tcW w:w="1132" w:type="dxa"/>
            <w:hideMark/>
          </w:tcPr>
          <w:p w14:paraId="151A593C" w14:textId="77777777" w:rsidR="00DA69F2" w:rsidRPr="00C4270B" w:rsidRDefault="00DA69F2" w:rsidP="00AF7B68">
            <w:pPr>
              <w:pStyle w:val="BodyCopy"/>
              <w:spacing w:before="40" w:after="40"/>
              <w:rPr>
                <w:sz w:val="20"/>
                <w:szCs w:val="20"/>
              </w:rPr>
            </w:pPr>
            <w:r w:rsidRPr="00C4270B">
              <w:rPr>
                <w:sz w:val="20"/>
                <w:szCs w:val="20"/>
              </w:rPr>
              <w:t> </w:t>
            </w:r>
          </w:p>
        </w:tc>
      </w:tr>
      <w:tr w:rsidR="0072286B" w:rsidRPr="00DA69F2" w14:paraId="66B0FF9E" w14:textId="77777777" w:rsidTr="00BD61D2">
        <w:trPr>
          <w:trHeight w:val="300"/>
        </w:trPr>
        <w:tc>
          <w:tcPr>
            <w:tcW w:w="0" w:type="dxa"/>
            <w:hideMark/>
          </w:tcPr>
          <w:p w14:paraId="1AE4EC17" w14:textId="77777777" w:rsidR="0072286B" w:rsidRPr="00C4270B" w:rsidRDefault="0072286B" w:rsidP="0072286B">
            <w:pPr>
              <w:pStyle w:val="BodyCopy"/>
              <w:spacing w:before="40" w:after="40"/>
              <w:rPr>
                <w:sz w:val="20"/>
                <w:szCs w:val="20"/>
              </w:rPr>
            </w:pPr>
            <w:r w:rsidRPr="00C4270B">
              <w:rPr>
                <w:sz w:val="20"/>
                <w:szCs w:val="20"/>
              </w:rPr>
              <w:t xml:space="preserve"> Truck (type 1) </w:t>
            </w:r>
          </w:p>
        </w:tc>
        <w:tc>
          <w:tcPr>
            <w:tcW w:w="0" w:type="dxa"/>
          </w:tcPr>
          <w:p w14:paraId="5B41EC65" w14:textId="4485C6D0" w:rsidR="0072286B" w:rsidRPr="003A5A55" w:rsidRDefault="0072286B" w:rsidP="0072286B">
            <w:pPr>
              <w:pStyle w:val="BodyCopy"/>
              <w:spacing w:before="40" w:after="40"/>
              <w:rPr>
                <w:sz w:val="20"/>
                <w:szCs w:val="20"/>
              </w:rPr>
            </w:pPr>
            <w:r w:rsidRPr="00BD61D2">
              <w:rPr>
                <w:sz w:val="20"/>
                <w:szCs w:val="20"/>
              </w:rPr>
              <w:t xml:space="preserve"> 447 </w:t>
            </w:r>
          </w:p>
        </w:tc>
        <w:tc>
          <w:tcPr>
            <w:tcW w:w="0" w:type="dxa"/>
          </w:tcPr>
          <w:p w14:paraId="0B16C7D2" w14:textId="5B28EB3C" w:rsidR="0072286B" w:rsidRPr="003A5A55" w:rsidRDefault="0072286B" w:rsidP="0072286B">
            <w:pPr>
              <w:pStyle w:val="BodyCopy"/>
              <w:spacing w:before="40" w:after="40"/>
              <w:rPr>
                <w:sz w:val="20"/>
                <w:szCs w:val="20"/>
              </w:rPr>
            </w:pPr>
            <w:r w:rsidRPr="00BD61D2">
              <w:rPr>
                <w:sz w:val="20"/>
                <w:szCs w:val="20"/>
              </w:rPr>
              <w:t xml:space="preserve"> 793 </w:t>
            </w:r>
          </w:p>
        </w:tc>
        <w:tc>
          <w:tcPr>
            <w:tcW w:w="0" w:type="dxa"/>
          </w:tcPr>
          <w:p w14:paraId="03FC70B3" w14:textId="4BD53630" w:rsidR="0072286B" w:rsidRPr="003A5A55" w:rsidRDefault="0072286B" w:rsidP="0072286B">
            <w:pPr>
              <w:pStyle w:val="BodyCopy"/>
              <w:spacing w:before="40" w:after="40"/>
              <w:rPr>
                <w:sz w:val="20"/>
                <w:szCs w:val="20"/>
              </w:rPr>
            </w:pPr>
            <w:r w:rsidRPr="00BD61D2">
              <w:rPr>
                <w:sz w:val="20"/>
                <w:szCs w:val="20"/>
              </w:rPr>
              <w:t xml:space="preserve"> 793 </w:t>
            </w:r>
          </w:p>
        </w:tc>
        <w:tc>
          <w:tcPr>
            <w:tcW w:w="0" w:type="dxa"/>
          </w:tcPr>
          <w:p w14:paraId="067C395B" w14:textId="4D8C9DAA" w:rsidR="0072286B" w:rsidRPr="003A5A55" w:rsidRDefault="0072286B" w:rsidP="0072286B">
            <w:pPr>
              <w:pStyle w:val="BodyCopy"/>
              <w:spacing w:before="40" w:after="40"/>
              <w:rPr>
                <w:sz w:val="20"/>
                <w:szCs w:val="20"/>
              </w:rPr>
            </w:pPr>
            <w:r w:rsidRPr="00BD61D2">
              <w:rPr>
                <w:sz w:val="20"/>
                <w:szCs w:val="20"/>
              </w:rPr>
              <w:t xml:space="preserve"> 793 </w:t>
            </w:r>
          </w:p>
        </w:tc>
      </w:tr>
      <w:tr w:rsidR="0072286B" w:rsidRPr="00DA69F2" w14:paraId="330C89F5" w14:textId="77777777" w:rsidTr="00BD61D2">
        <w:trPr>
          <w:trHeight w:val="300"/>
        </w:trPr>
        <w:tc>
          <w:tcPr>
            <w:tcW w:w="0" w:type="dxa"/>
            <w:hideMark/>
          </w:tcPr>
          <w:p w14:paraId="2F4B4D01" w14:textId="77777777" w:rsidR="0072286B" w:rsidRPr="00C4270B" w:rsidRDefault="0072286B" w:rsidP="0072286B">
            <w:pPr>
              <w:pStyle w:val="BodyCopy"/>
              <w:spacing w:before="40" w:after="40"/>
              <w:rPr>
                <w:sz w:val="20"/>
                <w:szCs w:val="20"/>
              </w:rPr>
            </w:pPr>
            <w:r w:rsidRPr="00C4270B">
              <w:rPr>
                <w:sz w:val="20"/>
                <w:szCs w:val="20"/>
              </w:rPr>
              <w:t xml:space="preserve"> Truck (type 2) </w:t>
            </w:r>
          </w:p>
        </w:tc>
        <w:tc>
          <w:tcPr>
            <w:tcW w:w="0" w:type="dxa"/>
          </w:tcPr>
          <w:p w14:paraId="76D5FBD2" w14:textId="26894E83" w:rsidR="0072286B" w:rsidRPr="003A5A55" w:rsidRDefault="0072286B" w:rsidP="0072286B">
            <w:pPr>
              <w:pStyle w:val="BodyCopy"/>
              <w:spacing w:before="40" w:after="40"/>
              <w:rPr>
                <w:sz w:val="20"/>
                <w:szCs w:val="20"/>
              </w:rPr>
            </w:pPr>
            <w:r w:rsidRPr="00BD61D2">
              <w:rPr>
                <w:sz w:val="20"/>
                <w:szCs w:val="20"/>
              </w:rPr>
              <w:t xml:space="preserve"> 793 </w:t>
            </w:r>
          </w:p>
        </w:tc>
        <w:tc>
          <w:tcPr>
            <w:tcW w:w="0" w:type="dxa"/>
          </w:tcPr>
          <w:p w14:paraId="0A2AAD0A" w14:textId="7C95C390" w:rsidR="0072286B" w:rsidRPr="003A5A55" w:rsidRDefault="0072286B" w:rsidP="0072286B">
            <w:pPr>
              <w:pStyle w:val="BodyCopy"/>
              <w:spacing w:before="40" w:after="40"/>
              <w:rPr>
                <w:sz w:val="20"/>
                <w:szCs w:val="20"/>
              </w:rPr>
            </w:pPr>
            <w:r w:rsidRPr="00BD61D2">
              <w:rPr>
                <w:sz w:val="20"/>
                <w:szCs w:val="20"/>
              </w:rPr>
              <w:t xml:space="preserve"> 900 </w:t>
            </w:r>
          </w:p>
        </w:tc>
        <w:tc>
          <w:tcPr>
            <w:tcW w:w="0" w:type="dxa"/>
          </w:tcPr>
          <w:p w14:paraId="223D14F4" w14:textId="187C7290" w:rsidR="0072286B" w:rsidRPr="003A5A55" w:rsidRDefault="0072286B" w:rsidP="0072286B">
            <w:pPr>
              <w:pStyle w:val="BodyCopy"/>
              <w:spacing w:before="40" w:after="40"/>
              <w:rPr>
                <w:sz w:val="20"/>
                <w:szCs w:val="20"/>
              </w:rPr>
            </w:pPr>
            <w:r w:rsidRPr="00BD61D2">
              <w:rPr>
                <w:sz w:val="20"/>
                <w:szCs w:val="20"/>
              </w:rPr>
              <w:t xml:space="preserve"> 900 </w:t>
            </w:r>
          </w:p>
        </w:tc>
        <w:tc>
          <w:tcPr>
            <w:tcW w:w="0" w:type="dxa"/>
          </w:tcPr>
          <w:p w14:paraId="1C599096" w14:textId="7943AC8A" w:rsidR="0072286B" w:rsidRPr="003A5A55" w:rsidRDefault="0072286B" w:rsidP="0072286B">
            <w:pPr>
              <w:pStyle w:val="BodyCopy"/>
              <w:spacing w:before="40" w:after="40"/>
              <w:rPr>
                <w:sz w:val="20"/>
                <w:szCs w:val="20"/>
              </w:rPr>
            </w:pPr>
            <w:r w:rsidRPr="00BD61D2">
              <w:rPr>
                <w:sz w:val="20"/>
                <w:szCs w:val="20"/>
              </w:rPr>
              <w:t xml:space="preserve"> 900 </w:t>
            </w:r>
          </w:p>
        </w:tc>
      </w:tr>
      <w:tr w:rsidR="0072286B" w:rsidRPr="00DA69F2" w14:paraId="0BA5EAB1" w14:textId="77777777" w:rsidTr="00BD61D2">
        <w:trPr>
          <w:trHeight w:val="300"/>
        </w:trPr>
        <w:tc>
          <w:tcPr>
            <w:tcW w:w="0" w:type="dxa"/>
            <w:hideMark/>
          </w:tcPr>
          <w:p w14:paraId="03155014" w14:textId="77777777" w:rsidR="0072286B" w:rsidRPr="00C4270B" w:rsidRDefault="0072286B" w:rsidP="0072286B">
            <w:pPr>
              <w:pStyle w:val="BodyCopy"/>
              <w:spacing w:before="40" w:after="40"/>
              <w:rPr>
                <w:sz w:val="20"/>
                <w:szCs w:val="20"/>
              </w:rPr>
            </w:pPr>
            <w:r w:rsidRPr="00C4270B">
              <w:rPr>
                <w:sz w:val="20"/>
                <w:szCs w:val="20"/>
              </w:rPr>
              <w:t xml:space="preserve"> Short combination truck </w:t>
            </w:r>
          </w:p>
        </w:tc>
        <w:tc>
          <w:tcPr>
            <w:tcW w:w="0" w:type="dxa"/>
          </w:tcPr>
          <w:p w14:paraId="63ADBB19" w14:textId="343F2D1C" w:rsidR="0072286B" w:rsidRPr="003A5A55" w:rsidRDefault="0072286B" w:rsidP="0072286B">
            <w:pPr>
              <w:pStyle w:val="BodyCopy"/>
              <w:spacing w:before="40" w:after="40"/>
              <w:rPr>
                <w:sz w:val="20"/>
                <w:szCs w:val="20"/>
              </w:rPr>
            </w:pPr>
            <w:r w:rsidRPr="00BD61D2">
              <w:rPr>
                <w:sz w:val="20"/>
                <w:szCs w:val="20"/>
              </w:rPr>
              <w:t xml:space="preserve"> 793 </w:t>
            </w:r>
          </w:p>
        </w:tc>
        <w:tc>
          <w:tcPr>
            <w:tcW w:w="0" w:type="dxa"/>
          </w:tcPr>
          <w:p w14:paraId="1AEF91E4" w14:textId="76B25220" w:rsidR="0072286B" w:rsidRPr="003A5A55" w:rsidRDefault="0072286B" w:rsidP="0072286B">
            <w:pPr>
              <w:pStyle w:val="BodyCopy"/>
              <w:spacing w:before="40" w:after="40"/>
              <w:rPr>
                <w:sz w:val="20"/>
                <w:szCs w:val="20"/>
              </w:rPr>
            </w:pPr>
            <w:r w:rsidRPr="00BD61D2">
              <w:rPr>
                <w:sz w:val="20"/>
                <w:szCs w:val="20"/>
              </w:rPr>
              <w:t xml:space="preserve"> 900 </w:t>
            </w:r>
          </w:p>
        </w:tc>
        <w:tc>
          <w:tcPr>
            <w:tcW w:w="0" w:type="dxa"/>
          </w:tcPr>
          <w:p w14:paraId="73BCA035" w14:textId="3205965A" w:rsidR="0072286B" w:rsidRPr="003A5A55" w:rsidRDefault="0072286B" w:rsidP="0072286B">
            <w:pPr>
              <w:pStyle w:val="BodyCopy"/>
              <w:spacing w:before="40" w:after="40"/>
              <w:rPr>
                <w:sz w:val="20"/>
                <w:szCs w:val="20"/>
              </w:rPr>
            </w:pPr>
            <w:r w:rsidRPr="00BD61D2">
              <w:rPr>
                <w:sz w:val="20"/>
                <w:szCs w:val="20"/>
              </w:rPr>
              <w:t xml:space="preserve"> 1,839 </w:t>
            </w:r>
          </w:p>
        </w:tc>
        <w:tc>
          <w:tcPr>
            <w:tcW w:w="0" w:type="dxa"/>
          </w:tcPr>
          <w:p w14:paraId="265AFCEE" w14:textId="1B65D6EF" w:rsidR="0072286B" w:rsidRPr="003A5A55" w:rsidRDefault="0072286B" w:rsidP="0072286B">
            <w:pPr>
              <w:pStyle w:val="BodyCopy"/>
              <w:spacing w:before="40" w:after="40"/>
              <w:rPr>
                <w:sz w:val="20"/>
                <w:szCs w:val="20"/>
              </w:rPr>
            </w:pPr>
            <w:r w:rsidRPr="00BD61D2">
              <w:rPr>
                <w:sz w:val="20"/>
                <w:szCs w:val="20"/>
              </w:rPr>
              <w:t xml:space="preserve"> 1,839 </w:t>
            </w:r>
          </w:p>
        </w:tc>
      </w:tr>
      <w:tr w:rsidR="0072286B" w:rsidRPr="00DA69F2" w14:paraId="3A9D7EA5" w14:textId="77777777" w:rsidTr="00BD61D2">
        <w:trPr>
          <w:trHeight w:val="300"/>
        </w:trPr>
        <w:tc>
          <w:tcPr>
            <w:tcW w:w="0" w:type="dxa"/>
            <w:hideMark/>
          </w:tcPr>
          <w:p w14:paraId="77292C90" w14:textId="77777777" w:rsidR="0072286B" w:rsidRPr="00C4270B" w:rsidRDefault="0072286B" w:rsidP="0072286B">
            <w:pPr>
              <w:pStyle w:val="BodyCopy"/>
              <w:spacing w:before="40" w:after="40"/>
              <w:rPr>
                <w:sz w:val="20"/>
                <w:szCs w:val="20"/>
              </w:rPr>
            </w:pPr>
            <w:r w:rsidRPr="00C4270B">
              <w:rPr>
                <w:sz w:val="20"/>
                <w:szCs w:val="20"/>
              </w:rPr>
              <w:t xml:space="preserve"> Medium combination truck </w:t>
            </w:r>
          </w:p>
        </w:tc>
        <w:tc>
          <w:tcPr>
            <w:tcW w:w="0" w:type="dxa"/>
          </w:tcPr>
          <w:p w14:paraId="019F8D39" w14:textId="2CF3594E" w:rsidR="0072286B" w:rsidRPr="003A5A55" w:rsidRDefault="0072286B" w:rsidP="0072286B">
            <w:pPr>
              <w:pStyle w:val="BodyCopy"/>
              <w:spacing w:before="40" w:after="40"/>
              <w:rPr>
                <w:sz w:val="20"/>
                <w:szCs w:val="20"/>
              </w:rPr>
            </w:pPr>
            <w:r w:rsidRPr="00BD61D2">
              <w:rPr>
                <w:sz w:val="20"/>
                <w:szCs w:val="20"/>
              </w:rPr>
              <w:t xml:space="preserve"> 9,661 </w:t>
            </w:r>
          </w:p>
        </w:tc>
        <w:tc>
          <w:tcPr>
            <w:tcW w:w="0" w:type="dxa"/>
          </w:tcPr>
          <w:p w14:paraId="60F96F63" w14:textId="0EB5CDF2" w:rsidR="0072286B" w:rsidRPr="003A5A55" w:rsidRDefault="0072286B" w:rsidP="0072286B">
            <w:pPr>
              <w:pStyle w:val="BodyCopy"/>
              <w:spacing w:before="40" w:after="40"/>
              <w:rPr>
                <w:sz w:val="20"/>
                <w:szCs w:val="20"/>
              </w:rPr>
            </w:pPr>
            <w:r w:rsidRPr="00BD61D2">
              <w:rPr>
                <w:sz w:val="20"/>
                <w:szCs w:val="20"/>
              </w:rPr>
              <w:t xml:space="preserve"> 9,661 </w:t>
            </w:r>
          </w:p>
        </w:tc>
        <w:tc>
          <w:tcPr>
            <w:tcW w:w="0" w:type="dxa"/>
          </w:tcPr>
          <w:p w14:paraId="5C332532" w14:textId="6FAA70C3" w:rsidR="0072286B" w:rsidRPr="003A5A55" w:rsidRDefault="0072286B" w:rsidP="0072286B">
            <w:pPr>
              <w:pStyle w:val="BodyCopy"/>
              <w:spacing w:before="40" w:after="40"/>
              <w:rPr>
                <w:sz w:val="20"/>
                <w:szCs w:val="20"/>
              </w:rPr>
            </w:pPr>
            <w:r w:rsidRPr="00BD61D2">
              <w:rPr>
                <w:sz w:val="20"/>
                <w:szCs w:val="20"/>
              </w:rPr>
              <w:t xml:space="preserve"> 10,434 </w:t>
            </w:r>
          </w:p>
        </w:tc>
        <w:tc>
          <w:tcPr>
            <w:tcW w:w="0" w:type="dxa"/>
          </w:tcPr>
          <w:p w14:paraId="3126DA9D" w14:textId="78B4DD5A" w:rsidR="0072286B" w:rsidRPr="003A5A55" w:rsidRDefault="0072286B" w:rsidP="0072286B">
            <w:pPr>
              <w:pStyle w:val="BodyCopy"/>
              <w:spacing w:before="40" w:after="40"/>
              <w:rPr>
                <w:sz w:val="20"/>
                <w:szCs w:val="20"/>
              </w:rPr>
            </w:pPr>
            <w:r w:rsidRPr="00BD61D2">
              <w:rPr>
                <w:sz w:val="20"/>
                <w:szCs w:val="20"/>
              </w:rPr>
              <w:t xml:space="preserve"> 10,434 </w:t>
            </w:r>
          </w:p>
        </w:tc>
      </w:tr>
      <w:tr w:rsidR="0072286B" w:rsidRPr="00DA69F2" w14:paraId="6B09B66A" w14:textId="77777777" w:rsidTr="00BD61D2">
        <w:trPr>
          <w:trHeight w:val="300"/>
        </w:trPr>
        <w:tc>
          <w:tcPr>
            <w:tcW w:w="0" w:type="dxa"/>
            <w:hideMark/>
          </w:tcPr>
          <w:p w14:paraId="47104FF7" w14:textId="77777777" w:rsidR="0072286B" w:rsidRPr="00C4270B" w:rsidRDefault="0072286B" w:rsidP="0072286B">
            <w:pPr>
              <w:pStyle w:val="BodyCopy"/>
              <w:spacing w:before="40" w:after="40"/>
              <w:rPr>
                <w:sz w:val="20"/>
                <w:szCs w:val="20"/>
              </w:rPr>
            </w:pPr>
            <w:r w:rsidRPr="00C4270B">
              <w:rPr>
                <w:sz w:val="20"/>
                <w:szCs w:val="20"/>
              </w:rPr>
              <w:t xml:space="preserve"> Long combination truck </w:t>
            </w:r>
          </w:p>
        </w:tc>
        <w:tc>
          <w:tcPr>
            <w:tcW w:w="0" w:type="dxa"/>
          </w:tcPr>
          <w:p w14:paraId="57D89045" w14:textId="4D9CB0EB" w:rsidR="0072286B" w:rsidRPr="003A5A55" w:rsidRDefault="0072286B" w:rsidP="0072286B">
            <w:pPr>
              <w:pStyle w:val="BodyCopy"/>
              <w:spacing w:before="40" w:after="40"/>
              <w:rPr>
                <w:sz w:val="20"/>
                <w:szCs w:val="20"/>
              </w:rPr>
            </w:pPr>
            <w:r w:rsidRPr="00BD61D2">
              <w:rPr>
                <w:sz w:val="20"/>
                <w:szCs w:val="20"/>
              </w:rPr>
              <w:t xml:space="preserve"> 13,355 </w:t>
            </w:r>
          </w:p>
        </w:tc>
        <w:tc>
          <w:tcPr>
            <w:tcW w:w="0" w:type="dxa"/>
          </w:tcPr>
          <w:p w14:paraId="2A23833B" w14:textId="0F3BFE84" w:rsidR="0072286B" w:rsidRPr="003A5A55" w:rsidRDefault="0072286B" w:rsidP="0072286B">
            <w:pPr>
              <w:pStyle w:val="BodyCopy"/>
              <w:spacing w:before="40" w:after="40"/>
              <w:rPr>
                <w:sz w:val="20"/>
                <w:szCs w:val="20"/>
              </w:rPr>
            </w:pPr>
            <w:r w:rsidRPr="00BD61D2">
              <w:rPr>
                <w:sz w:val="20"/>
                <w:szCs w:val="20"/>
              </w:rPr>
              <w:t xml:space="preserve"> 13,355 </w:t>
            </w:r>
          </w:p>
        </w:tc>
        <w:tc>
          <w:tcPr>
            <w:tcW w:w="0" w:type="dxa"/>
          </w:tcPr>
          <w:p w14:paraId="2F6E31F2" w14:textId="0B9FCAF3" w:rsidR="0072286B" w:rsidRPr="003A5A55" w:rsidRDefault="0072286B" w:rsidP="0072286B">
            <w:pPr>
              <w:pStyle w:val="BodyCopy"/>
              <w:spacing w:before="40" w:after="40"/>
              <w:rPr>
                <w:sz w:val="20"/>
                <w:szCs w:val="20"/>
              </w:rPr>
            </w:pPr>
            <w:r w:rsidRPr="00BD61D2">
              <w:rPr>
                <w:sz w:val="20"/>
                <w:szCs w:val="20"/>
              </w:rPr>
              <w:t xml:space="preserve"> 13,355 </w:t>
            </w:r>
          </w:p>
        </w:tc>
        <w:tc>
          <w:tcPr>
            <w:tcW w:w="0" w:type="dxa"/>
          </w:tcPr>
          <w:p w14:paraId="317EDDA4" w14:textId="0C397A36" w:rsidR="0072286B" w:rsidRPr="003A5A55" w:rsidRDefault="0072286B" w:rsidP="0072286B">
            <w:pPr>
              <w:pStyle w:val="BodyCopy"/>
              <w:spacing w:before="40" w:after="40"/>
              <w:rPr>
                <w:sz w:val="20"/>
                <w:szCs w:val="20"/>
              </w:rPr>
            </w:pPr>
            <w:r w:rsidRPr="00BD61D2">
              <w:rPr>
                <w:sz w:val="20"/>
                <w:szCs w:val="20"/>
              </w:rPr>
              <w:t xml:space="preserve"> 13,355 </w:t>
            </w:r>
          </w:p>
        </w:tc>
      </w:tr>
      <w:tr w:rsidR="0072286B" w:rsidRPr="00DA69F2" w14:paraId="1E21C7A3" w14:textId="77777777" w:rsidTr="00BD61D2">
        <w:trPr>
          <w:trHeight w:val="300"/>
        </w:trPr>
        <w:tc>
          <w:tcPr>
            <w:tcW w:w="0" w:type="dxa"/>
            <w:hideMark/>
          </w:tcPr>
          <w:p w14:paraId="6EA7F88A" w14:textId="59EBF039" w:rsidR="0072286B" w:rsidRPr="00C4270B" w:rsidRDefault="0072286B" w:rsidP="0072286B">
            <w:pPr>
              <w:pStyle w:val="BodyCopy"/>
              <w:spacing w:before="40" w:after="40"/>
              <w:rPr>
                <w:b/>
                <w:bCs/>
                <w:sz w:val="20"/>
                <w:szCs w:val="20"/>
              </w:rPr>
            </w:pPr>
            <w:r w:rsidRPr="00C4270B">
              <w:rPr>
                <w:b/>
                <w:bCs/>
                <w:sz w:val="20"/>
                <w:szCs w:val="20"/>
              </w:rPr>
              <w:t xml:space="preserve"> Prime movers </w:t>
            </w:r>
          </w:p>
        </w:tc>
        <w:tc>
          <w:tcPr>
            <w:tcW w:w="0" w:type="dxa"/>
          </w:tcPr>
          <w:p w14:paraId="3CF6C609" w14:textId="285E604D" w:rsidR="0072286B" w:rsidRPr="003A5A55" w:rsidRDefault="0072286B" w:rsidP="0072286B">
            <w:pPr>
              <w:pStyle w:val="BodyCopy"/>
              <w:spacing w:before="40" w:after="40"/>
              <w:rPr>
                <w:sz w:val="20"/>
                <w:szCs w:val="20"/>
              </w:rPr>
            </w:pPr>
          </w:p>
        </w:tc>
        <w:tc>
          <w:tcPr>
            <w:tcW w:w="0" w:type="dxa"/>
          </w:tcPr>
          <w:p w14:paraId="62182381" w14:textId="47A12730" w:rsidR="0072286B" w:rsidRPr="003A5A55" w:rsidRDefault="0072286B" w:rsidP="0072286B">
            <w:pPr>
              <w:pStyle w:val="BodyCopy"/>
              <w:spacing w:before="40" w:after="40"/>
              <w:rPr>
                <w:sz w:val="20"/>
                <w:szCs w:val="20"/>
              </w:rPr>
            </w:pPr>
          </w:p>
        </w:tc>
        <w:tc>
          <w:tcPr>
            <w:tcW w:w="0" w:type="dxa"/>
          </w:tcPr>
          <w:p w14:paraId="5316FCB4" w14:textId="0C6945A4" w:rsidR="0072286B" w:rsidRPr="003A5A55" w:rsidRDefault="0072286B" w:rsidP="0072286B">
            <w:pPr>
              <w:pStyle w:val="BodyCopy"/>
              <w:spacing w:before="40" w:after="40"/>
              <w:rPr>
                <w:sz w:val="20"/>
                <w:szCs w:val="20"/>
              </w:rPr>
            </w:pPr>
          </w:p>
        </w:tc>
        <w:tc>
          <w:tcPr>
            <w:tcW w:w="0" w:type="dxa"/>
          </w:tcPr>
          <w:p w14:paraId="33E9745C" w14:textId="3DA158F4" w:rsidR="0072286B" w:rsidRPr="003A5A55" w:rsidRDefault="0072286B" w:rsidP="0072286B">
            <w:pPr>
              <w:pStyle w:val="BodyCopy"/>
              <w:spacing w:before="40" w:after="40"/>
              <w:rPr>
                <w:sz w:val="20"/>
                <w:szCs w:val="20"/>
              </w:rPr>
            </w:pPr>
          </w:p>
        </w:tc>
      </w:tr>
      <w:tr w:rsidR="0072286B" w:rsidRPr="00DA69F2" w14:paraId="603CAE8F" w14:textId="77777777" w:rsidTr="00BD61D2">
        <w:trPr>
          <w:trHeight w:val="300"/>
        </w:trPr>
        <w:tc>
          <w:tcPr>
            <w:tcW w:w="0" w:type="dxa"/>
            <w:hideMark/>
          </w:tcPr>
          <w:p w14:paraId="10F4865E" w14:textId="77777777" w:rsidR="0072286B" w:rsidRPr="00C4270B" w:rsidRDefault="0072286B" w:rsidP="0072286B">
            <w:pPr>
              <w:pStyle w:val="BodyCopy"/>
              <w:spacing w:before="40" w:after="40"/>
              <w:rPr>
                <w:sz w:val="20"/>
                <w:szCs w:val="20"/>
              </w:rPr>
            </w:pPr>
            <w:r w:rsidRPr="00C4270B">
              <w:rPr>
                <w:sz w:val="20"/>
                <w:szCs w:val="20"/>
              </w:rPr>
              <w:t xml:space="preserve"> Short combination prime mover </w:t>
            </w:r>
          </w:p>
        </w:tc>
        <w:tc>
          <w:tcPr>
            <w:tcW w:w="0" w:type="dxa"/>
          </w:tcPr>
          <w:p w14:paraId="0FD388F0" w14:textId="14122A5C" w:rsidR="0072286B" w:rsidRPr="003A5A55" w:rsidRDefault="0072286B" w:rsidP="0072286B">
            <w:pPr>
              <w:pStyle w:val="BodyCopy"/>
              <w:spacing w:before="40" w:after="40"/>
              <w:rPr>
                <w:sz w:val="20"/>
                <w:szCs w:val="20"/>
              </w:rPr>
            </w:pPr>
            <w:r w:rsidRPr="00BD61D2">
              <w:rPr>
                <w:sz w:val="20"/>
                <w:szCs w:val="20"/>
              </w:rPr>
              <w:t xml:space="preserve"> 781 </w:t>
            </w:r>
          </w:p>
        </w:tc>
        <w:tc>
          <w:tcPr>
            <w:tcW w:w="0" w:type="dxa"/>
          </w:tcPr>
          <w:p w14:paraId="413908EC" w14:textId="17EFBC81" w:rsidR="0072286B" w:rsidRPr="003A5A55" w:rsidRDefault="0072286B" w:rsidP="0072286B">
            <w:pPr>
              <w:pStyle w:val="BodyCopy"/>
              <w:spacing w:before="40" w:after="40"/>
              <w:rPr>
                <w:sz w:val="20"/>
                <w:szCs w:val="20"/>
              </w:rPr>
            </w:pPr>
            <w:r w:rsidRPr="00BD61D2">
              <w:rPr>
                <w:sz w:val="20"/>
                <w:szCs w:val="20"/>
              </w:rPr>
              <w:t xml:space="preserve"> 4,456 </w:t>
            </w:r>
          </w:p>
        </w:tc>
        <w:tc>
          <w:tcPr>
            <w:tcW w:w="0" w:type="dxa"/>
          </w:tcPr>
          <w:p w14:paraId="4418263E" w14:textId="631F535D" w:rsidR="0072286B" w:rsidRPr="003A5A55" w:rsidRDefault="0072286B" w:rsidP="0072286B">
            <w:pPr>
              <w:pStyle w:val="BodyCopy"/>
              <w:spacing w:before="40" w:after="40"/>
              <w:rPr>
                <w:sz w:val="20"/>
                <w:szCs w:val="20"/>
              </w:rPr>
            </w:pPr>
            <w:r w:rsidRPr="00BD61D2">
              <w:rPr>
                <w:sz w:val="20"/>
                <w:szCs w:val="20"/>
              </w:rPr>
              <w:t xml:space="preserve"> 4,790 </w:t>
            </w:r>
          </w:p>
        </w:tc>
        <w:tc>
          <w:tcPr>
            <w:tcW w:w="0" w:type="dxa"/>
          </w:tcPr>
          <w:p w14:paraId="6D7FF090" w14:textId="43CE00F5" w:rsidR="0072286B" w:rsidRPr="003A5A55" w:rsidRDefault="0072286B" w:rsidP="0072286B">
            <w:pPr>
              <w:pStyle w:val="BodyCopy"/>
              <w:spacing w:before="40" w:after="40"/>
              <w:rPr>
                <w:sz w:val="20"/>
                <w:szCs w:val="20"/>
              </w:rPr>
            </w:pPr>
            <w:r w:rsidRPr="00BD61D2">
              <w:rPr>
                <w:sz w:val="20"/>
                <w:szCs w:val="20"/>
              </w:rPr>
              <w:t xml:space="preserve"> 4,790 </w:t>
            </w:r>
          </w:p>
        </w:tc>
      </w:tr>
      <w:tr w:rsidR="0072286B" w:rsidRPr="00DA69F2" w14:paraId="6C0E11B1" w14:textId="77777777" w:rsidTr="00BD61D2">
        <w:trPr>
          <w:trHeight w:val="300"/>
        </w:trPr>
        <w:tc>
          <w:tcPr>
            <w:tcW w:w="0" w:type="dxa"/>
            <w:hideMark/>
          </w:tcPr>
          <w:p w14:paraId="130193AC" w14:textId="77777777" w:rsidR="0072286B" w:rsidRPr="00C4270B" w:rsidRDefault="0072286B" w:rsidP="0072286B">
            <w:pPr>
              <w:pStyle w:val="BodyCopy"/>
              <w:spacing w:before="40" w:after="40"/>
              <w:rPr>
                <w:sz w:val="20"/>
                <w:szCs w:val="20"/>
              </w:rPr>
            </w:pPr>
            <w:r w:rsidRPr="00C4270B">
              <w:rPr>
                <w:sz w:val="20"/>
                <w:szCs w:val="20"/>
              </w:rPr>
              <w:t xml:space="preserve"> Multi-combination prime mover </w:t>
            </w:r>
          </w:p>
        </w:tc>
        <w:tc>
          <w:tcPr>
            <w:tcW w:w="0" w:type="dxa"/>
          </w:tcPr>
          <w:p w14:paraId="3E8ADA4B" w14:textId="51079F9A" w:rsidR="0072286B" w:rsidRPr="003A5A55" w:rsidRDefault="0072286B" w:rsidP="0072286B">
            <w:pPr>
              <w:pStyle w:val="BodyCopy"/>
              <w:spacing w:before="40" w:after="40"/>
              <w:rPr>
                <w:sz w:val="20"/>
                <w:szCs w:val="20"/>
              </w:rPr>
            </w:pPr>
            <w:r w:rsidRPr="00BD61D2">
              <w:rPr>
                <w:sz w:val="20"/>
                <w:szCs w:val="20"/>
              </w:rPr>
              <w:t xml:space="preserve"> 11,304 </w:t>
            </w:r>
          </w:p>
        </w:tc>
        <w:tc>
          <w:tcPr>
            <w:tcW w:w="0" w:type="dxa"/>
          </w:tcPr>
          <w:p w14:paraId="6FE53A8C" w14:textId="2C82C6AA" w:rsidR="0072286B" w:rsidRPr="003A5A55" w:rsidRDefault="0072286B" w:rsidP="0072286B">
            <w:pPr>
              <w:pStyle w:val="BodyCopy"/>
              <w:spacing w:before="40" w:after="40"/>
              <w:rPr>
                <w:sz w:val="20"/>
                <w:szCs w:val="20"/>
              </w:rPr>
            </w:pPr>
            <w:r w:rsidRPr="00BD61D2">
              <w:rPr>
                <w:sz w:val="20"/>
                <w:szCs w:val="20"/>
              </w:rPr>
              <w:t xml:space="preserve"> 11,304 </w:t>
            </w:r>
          </w:p>
        </w:tc>
        <w:tc>
          <w:tcPr>
            <w:tcW w:w="0" w:type="dxa"/>
          </w:tcPr>
          <w:p w14:paraId="4803FBC1" w14:textId="300C3AEE" w:rsidR="0072286B" w:rsidRPr="003A5A55" w:rsidRDefault="0072286B" w:rsidP="0072286B">
            <w:pPr>
              <w:pStyle w:val="BodyCopy"/>
              <w:spacing w:before="40" w:after="40"/>
              <w:rPr>
                <w:sz w:val="20"/>
                <w:szCs w:val="20"/>
              </w:rPr>
            </w:pPr>
            <w:r w:rsidRPr="00BD61D2">
              <w:rPr>
                <w:sz w:val="20"/>
                <w:szCs w:val="20"/>
              </w:rPr>
              <w:t xml:space="preserve"> 12,435 </w:t>
            </w:r>
          </w:p>
        </w:tc>
        <w:tc>
          <w:tcPr>
            <w:tcW w:w="0" w:type="dxa"/>
          </w:tcPr>
          <w:p w14:paraId="5BDDEE5B" w14:textId="603D87C3" w:rsidR="0072286B" w:rsidRPr="003A5A55" w:rsidRDefault="0072286B" w:rsidP="0072286B">
            <w:pPr>
              <w:pStyle w:val="BodyCopy"/>
              <w:spacing w:before="40" w:after="40"/>
              <w:rPr>
                <w:sz w:val="20"/>
                <w:szCs w:val="20"/>
              </w:rPr>
            </w:pPr>
            <w:r w:rsidRPr="00BD61D2">
              <w:rPr>
                <w:sz w:val="20"/>
                <w:szCs w:val="20"/>
              </w:rPr>
              <w:t xml:space="preserve"> 12,435 </w:t>
            </w:r>
          </w:p>
        </w:tc>
      </w:tr>
      <w:tr w:rsidR="00DA69F2" w:rsidRPr="00DA69F2" w14:paraId="3BC21299" w14:textId="77777777" w:rsidTr="00AF7B68">
        <w:trPr>
          <w:trHeight w:val="300"/>
        </w:trPr>
        <w:tc>
          <w:tcPr>
            <w:tcW w:w="9027" w:type="dxa"/>
            <w:gridSpan w:val="5"/>
            <w:vAlign w:val="center"/>
            <w:hideMark/>
          </w:tcPr>
          <w:p w14:paraId="72C99E12" w14:textId="186108CC" w:rsidR="00DA69F2" w:rsidRPr="00C4270B" w:rsidRDefault="00DA69F2" w:rsidP="00AF7B68">
            <w:pPr>
              <w:pStyle w:val="BodyCopy"/>
              <w:spacing w:before="40" w:after="40"/>
              <w:jc w:val="center"/>
              <w:rPr>
                <w:b/>
                <w:bCs/>
                <w:sz w:val="20"/>
                <w:szCs w:val="20"/>
              </w:rPr>
            </w:pPr>
            <w:r w:rsidRPr="00C4270B">
              <w:rPr>
                <w:b/>
                <w:bCs/>
                <w:sz w:val="20"/>
                <w:szCs w:val="20"/>
              </w:rPr>
              <w:t>DIVISION 2 – LOAD CARRYING TRAILERS ($)</w:t>
            </w:r>
          </w:p>
        </w:tc>
      </w:tr>
      <w:tr w:rsidR="00DA69F2" w:rsidRPr="00DA69F2" w14:paraId="5458890A" w14:textId="77777777" w:rsidTr="00DA69F2">
        <w:trPr>
          <w:trHeight w:val="900"/>
        </w:trPr>
        <w:tc>
          <w:tcPr>
            <w:tcW w:w="4420" w:type="dxa"/>
            <w:hideMark/>
          </w:tcPr>
          <w:p w14:paraId="1F504D61" w14:textId="77777777" w:rsidR="00DA69F2" w:rsidRPr="00C4270B" w:rsidRDefault="00DA69F2"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66B534E3" w14:textId="2724DB3E" w:rsidR="00DA69F2" w:rsidRPr="00C4270B" w:rsidRDefault="00DA69F2"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50BAE093" w14:textId="554C7968" w:rsidR="00DA69F2" w:rsidRPr="00C4270B" w:rsidRDefault="00DA69F2"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2C4647C3" w14:textId="59E0F9AB" w:rsidR="00DA69F2" w:rsidRPr="00C4270B" w:rsidRDefault="00DA69F2"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1F3BCDF2" w14:textId="11C3AC78" w:rsidR="00DA69F2" w:rsidRPr="00C4270B" w:rsidRDefault="00DA69F2"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DA69F2" w:rsidRPr="00DA69F2" w14:paraId="056634D5" w14:textId="77777777" w:rsidTr="00DA69F2">
        <w:trPr>
          <w:trHeight w:val="300"/>
        </w:trPr>
        <w:tc>
          <w:tcPr>
            <w:tcW w:w="4420" w:type="dxa"/>
            <w:hideMark/>
          </w:tcPr>
          <w:p w14:paraId="638E3373" w14:textId="4B6B9A3D" w:rsidR="00DA69F2" w:rsidRPr="00C4270B" w:rsidRDefault="00DA69F2" w:rsidP="00AF7B68">
            <w:pPr>
              <w:pStyle w:val="BodyCopy"/>
              <w:spacing w:before="40" w:after="40"/>
              <w:rPr>
                <w:b/>
                <w:bCs/>
                <w:sz w:val="20"/>
                <w:szCs w:val="20"/>
              </w:rPr>
            </w:pPr>
            <w:r w:rsidRPr="00C4270B">
              <w:rPr>
                <w:b/>
                <w:bCs/>
                <w:sz w:val="20"/>
                <w:szCs w:val="20"/>
              </w:rPr>
              <w:t xml:space="preserve"> Trailer </w:t>
            </w:r>
            <w:r w:rsidR="006F7F4A" w:rsidRPr="00C4270B">
              <w:rPr>
                <w:b/>
                <w:bCs/>
                <w:sz w:val="20"/>
                <w:szCs w:val="20"/>
              </w:rPr>
              <w:t>t</w:t>
            </w:r>
            <w:r w:rsidRPr="00C4270B">
              <w:rPr>
                <w:b/>
                <w:bCs/>
                <w:sz w:val="20"/>
                <w:szCs w:val="20"/>
              </w:rPr>
              <w:t xml:space="preserve">ype </w:t>
            </w:r>
          </w:p>
        </w:tc>
        <w:tc>
          <w:tcPr>
            <w:tcW w:w="1132" w:type="dxa"/>
            <w:hideMark/>
          </w:tcPr>
          <w:p w14:paraId="6158B56A" w14:textId="77777777" w:rsidR="00DA69F2" w:rsidRPr="00C4270B" w:rsidRDefault="00DA69F2" w:rsidP="00AF7B68">
            <w:pPr>
              <w:pStyle w:val="BodyCopy"/>
              <w:spacing w:before="40" w:after="40"/>
              <w:rPr>
                <w:sz w:val="20"/>
                <w:szCs w:val="20"/>
              </w:rPr>
            </w:pPr>
            <w:r w:rsidRPr="00C4270B">
              <w:rPr>
                <w:sz w:val="20"/>
                <w:szCs w:val="20"/>
              </w:rPr>
              <w:t> </w:t>
            </w:r>
          </w:p>
        </w:tc>
        <w:tc>
          <w:tcPr>
            <w:tcW w:w="1211" w:type="dxa"/>
            <w:hideMark/>
          </w:tcPr>
          <w:p w14:paraId="2334A044" w14:textId="77777777" w:rsidR="00DA69F2" w:rsidRPr="00C4270B" w:rsidRDefault="00DA69F2" w:rsidP="00AF7B68">
            <w:pPr>
              <w:pStyle w:val="BodyCopy"/>
              <w:spacing w:before="40" w:after="40"/>
              <w:rPr>
                <w:sz w:val="20"/>
                <w:szCs w:val="20"/>
              </w:rPr>
            </w:pPr>
            <w:r w:rsidRPr="00C4270B">
              <w:rPr>
                <w:sz w:val="20"/>
                <w:szCs w:val="20"/>
              </w:rPr>
              <w:t> </w:t>
            </w:r>
          </w:p>
        </w:tc>
        <w:tc>
          <w:tcPr>
            <w:tcW w:w="1132" w:type="dxa"/>
            <w:hideMark/>
          </w:tcPr>
          <w:p w14:paraId="34F514BD" w14:textId="77777777" w:rsidR="00DA69F2" w:rsidRPr="00C4270B" w:rsidRDefault="00DA69F2" w:rsidP="00AF7B68">
            <w:pPr>
              <w:pStyle w:val="BodyCopy"/>
              <w:spacing w:before="40" w:after="40"/>
              <w:rPr>
                <w:sz w:val="20"/>
                <w:szCs w:val="20"/>
              </w:rPr>
            </w:pPr>
            <w:r w:rsidRPr="00C4270B">
              <w:rPr>
                <w:sz w:val="20"/>
                <w:szCs w:val="20"/>
              </w:rPr>
              <w:t> </w:t>
            </w:r>
          </w:p>
        </w:tc>
        <w:tc>
          <w:tcPr>
            <w:tcW w:w="1132" w:type="dxa"/>
            <w:hideMark/>
          </w:tcPr>
          <w:p w14:paraId="39296DCD" w14:textId="77777777" w:rsidR="00DA69F2" w:rsidRPr="00C4270B" w:rsidRDefault="00DA69F2" w:rsidP="00AF7B68">
            <w:pPr>
              <w:pStyle w:val="BodyCopy"/>
              <w:spacing w:before="40" w:after="40"/>
              <w:rPr>
                <w:sz w:val="20"/>
                <w:szCs w:val="20"/>
              </w:rPr>
            </w:pPr>
            <w:r w:rsidRPr="00C4270B">
              <w:rPr>
                <w:sz w:val="20"/>
                <w:szCs w:val="20"/>
              </w:rPr>
              <w:t> </w:t>
            </w:r>
          </w:p>
        </w:tc>
      </w:tr>
      <w:tr w:rsidR="0072286B" w:rsidRPr="00DA69F2" w14:paraId="05D996C1" w14:textId="77777777" w:rsidTr="00BD61D2">
        <w:trPr>
          <w:trHeight w:val="300"/>
        </w:trPr>
        <w:tc>
          <w:tcPr>
            <w:tcW w:w="0" w:type="dxa"/>
            <w:hideMark/>
          </w:tcPr>
          <w:p w14:paraId="3D057D4F" w14:textId="7A0906B3" w:rsidR="0072286B" w:rsidRPr="00C4270B" w:rsidRDefault="0072286B" w:rsidP="0072286B">
            <w:pPr>
              <w:pStyle w:val="BodyCopy"/>
              <w:spacing w:before="40" w:after="40"/>
              <w:rPr>
                <w:sz w:val="20"/>
                <w:szCs w:val="20"/>
              </w:rPr>
            </w:pPr>
            <w:r w:rsidRPr="00C4270B">
              <w:rPr>
                <w:sz w:val="20"/>
                <w:szCs w:val="20"/>
              </w:rPr>
              <w:t xml:space="preserve"> Pig trailer </w:t>
            </w:r>
          </w:p>
        </w:tc>
        <w:tc>
          <w:tcPr>
            <w:tcW w:w="0" w:type="dxa"/>
          </w:tcPr>
          <w:p w14:paraId="16A526CE" w14:textId="338E32BC"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58CE5DEA" w14:textId="713D298A"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7FF5B2DF" w14:textId="526F8BC4"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0FDBFF30" w14:textId="1C51C921" w:rsidR="0072286B" w:rsidRPr="003A5A55" w:rsidRDefault="0072286B" w:rsidP="0072286B">
            <w:pPr>
              <w:pStyle w:val="BodyCopy"/>
              <w:spacing w:before="40" w:after="40"/>
              <w:rPr>
                <w:sz w:val="20"/>
                <w:szCs w:val="20"/>
              </w:rPr>
            </w:pPr>
            <w:r w:rsidRPr="00BD61D2">
              <w:rPr>
                <w:sz w:val="20"/>
                <w:szCs w:val="20"/>
              </w:rPr>
              <w:t xml:space="preserve"> 664 </w:t>
            </w:r>
          </w:p>
        </w:tc>
      </w:tr>
      <w:tr w:rsidR="0072286B" w:rsidRPr="00DA69F2" w14:paraId="4320ECA0" w14:textId="77777777" w:rsidTr="00BD61D2">
        <w:trPr>
          <w:trHeight w:val="300"/>
        </w:trPr>
        <w:tc>
          <w:tcPr>
            <w:tcW w:w="0" w:type="dxa"/>
            <w:hideMark/>
          </w:tcPr>
          <w:p w14:paraId="07791414" w14:textId="4752FA7C" w:rsidR="0072286B" w:rsidRPr="00C4270B" w:rsidRDefault="0072286B" w:rsidP="0072286B">
            <w:pPr>
              <w:pStyle w:val="BodyCopy"/>
              <w:spacing w:before="40" w:after="40"/>
              <w:rPr>
                <w:sz w:val="20"/>
                <w:szCs w:val="20"/>
              </w:rPr>
            </w:pPr>
            <w:r w:rsidRPr="00C4270B">
              <w:rPr>
                <w:sz w:val="20"/>
                <w:szCs w:val="20"/>
              </w:rPr>
              <w:t xml:space="preserve"> Dog trailer </w:t>
            </w:r>
          </w:p>
        </w:tc>
        <w:tc>
          <w:tcPr>
            <w:tcW w:w="0" w:type="dxa"/>
          </w:tcPr>
          <w:p w14:paraId="4B03EBF4" w14:textId="089DB22F"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707FBB51" w14:textId="24C97B95"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6F41FDCC" w14:textId="6096DA0B"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51B26030" w14:textId="1637CCD0" w:rsidR="0072286B" w:rsidRPr="003A5A55" w:rsidRDefault="0072286B" w:rsidP="0072286B">
            <w:pPr>
              <w:pStyle w:val="BodyCopy"/>
              <w:spacing w:before="40" w:after="40"/>
              <w:rPr>
                <w:sz w:val="20"/>
                <w:szCs w:val="20"/>
              </w:rPr>
            </w:pPr>
            <w:r w:rsidRPr="00BD61D2">
              <w:rPr>
                <w:sz w:val="20"/>
                <w:szCs w:val="20"/>
              </w:rPr>
              <w:t xml:space="preserve"> 664 </w:t>
            </w:r>
          </w:p>
        </w:tc>
      </w:tr>
      <w:tr w:rsidR="0072286B" w:rsidRPr="00DA69F2" w14:paraId="708C34F5" w14:textId="77777777" w:rsidTr="00BD61D2">
        <w:trPr>
          <w:trHeight w:val="300"/>
        </w:trPr>
        <w:tc>
          <w:tcPr>
            <w:tcW w:w="0" w:type="dxa"/>
            <w:hideMark/>
          </w:tcPr>
          <w:p w14:paraId="61229223" w14:textId="556051D2" w:rsidR="0072286B" w:rsidRPr="00C4270B" w:rsidRDefault="0072286B" w:rsidP="0072286B">
            <w:pPr>
              <w:pStyle w:val="BodyCopy"/>
              <w:spacing w:before="40" w:after="40"/>
              <w:rPr>
                <w:sz w:val="20"/>
                <w:szCs w:val="20"/>
              </w:rPr>
            </w:pPr>
            <w:r w:rsidRPr="00C4270B">
              <w:rPr>
                <w:sz w:val="20"/>
                <w:szCs w:val="20"/>
              </w:rPr>
              <w:t xml:space="preserve"> Semitrailer </w:t>
            </w:r>
          </w:p>
        </w:tc>
        <w:tc>
          <w:tcPr>
            <w:tcW w:w="0" w:type="dxa"/>
          </w:tcPr>
          <w:p w14:paraId="064D24A8" w14:textId="75B901DB"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5883EFA3" w14:textId="55891489" w:rsidR="0072286B" w:rsidRPr="003A5A55" w:rsidRDefault="0072286B" w:rsidP="0072286B">
            <w:pPr>
              <w:pStyle w:val="BodyCopy"/>
              <w:spacing w:before="40" w:after="40"/>
              <w:rPr>
                <w:sz w:val="20"/>
                <w:szCs w:val="20"/>
              </w:rPr>
            </w:pPr>
            <w:r w:rsidRPr="00BD61D2">
              <w:rPr>
                <w:sz w:val="20"/>
                <w:szCs w:val="20"/>
              </w:rPr>
              <w:t xml:space="preserve"> 844 </w:t>
            </w:r>
          </w:p>
        </w:tc>
        <w:tc>
          <w:tcPr>
            <w:tcW w:w="0" w:type="dxa"/>
          </w:tcPr>
          <w:p w14:paraId="588D194E" w14:textId="06E5ADDB" w:rsidR="0072286B" w:rsidRPr="003A5A55" w:rsidRDefault="0072286B" w:rsidP="0072286B">
            <w:pPr>
              <w:pStyle w:val="BodyCopy"/>
              <w:spacing w:before="40" w:after="40"/>
              <w:rPr>
                <w:sz w:val="20"/>
                <w:szCs w:val="20"/>
              </w:rPr>
            </w:pPr>
            <w:r w:rsidRPr="00BD61D2">
              <w:rPr>
                <w:sz w:val="20"/>
                <w:szCs w:val="20"/>
              </w:rPr>
              <w:t xml:space="preserve"> 600 </w:t>
            </w:r>
          </w:p>
        </w:tc>
        <w:tc>
          <w:tcPr>
            <w:tcW w:w="0" w:type="dxa"/>
          </w:tcPr>
          <w:p w14:paraId="38109E0D" w14:textId="344B551E" w:rsidR="0072286B" w:rsidRPr="003A5A55" w:rsidRDefault="0072286B" w:rsidP="0072286B">
            <w:pPr>
              <w:pStyle w:val="BodyCopy"/>
              <w:spacing w:before="40" w:after="40"/>
              <w:rPr>
                <w:sz w:val="20"/>
                <w:szCs w:val="20"/>
              </w:rPr>
            </w:pPr>
            <w:r w:rsidRPr="00BD61D2">
              <w:rPr>
                <w:sz w:val="20"/>
                <w:szCs w:val="20"/>
              </w:rPr>
              <w:t xml:space="preserve"> 450 </w:t>
            </w:r>
          </w:p>
        </w:tc>
      </w:tr>
      <w:tr w:rsidR="0072286B" w:rsidRPr="00DA69F2" w14:paraId="0742ABFE" w14:textId="77777777" w:rsidTr="00BD61D2">
        <w:trPr>
          <w:trHeight w:val="300"/>
        </w:trPr>
        <w:tc>
          <w:tcPr>
            <w:tcW w:w="0" w:type="dxa"/>
            <w:hideMark/>
          </w:tcPr>
          <w:p w14:paraId="4DD88BD8" w14:textId="77777777" w:rsidR="0072286B" w:rsidRPr="00C4270B" w:rsidRDefault="0072286B" w:rsidP="0072286B">
            <w:pPr>
              <w:pStyle w:val="BodyCopy"/>
              <w:spacing w:before="40" w:after="40"/>
              <w:rPr>
                <w:sz w:val="20"/>
                <w:szCs w:val="20"/>
              </w:rPr>
            </w:pPr>
            <w:r w:rsidRPr="00C4270B">
              <w:rPr>
                <w:sz w:val="20"/>
                <w:szCs w:val="20"/>
              </w:rPr>
              <w:t xml:space="preserve"> B-double lead trailer and B-triple lead and middle trailers </w:t>
            </w:r>
          </w:p>
        </w:tc>
        <w:tc>
          <w:tcPr>
            <w:tcW w:w="0" w:type="dxa"/>
          </w:tcPr>
          <w:p w14:paraId="0779CC97" w14:textId="490D4055" w:rsidR="0072286B" w:rsidRPr="003A5A55" w:rsidRDefault="0072286B" w:rsidP="0072286B">
            <w:pPr>
              <w:pStyle w:val="BodyCopy"/>
              <w:spacing w:before="40" w:after="40"/>
              <w:rPr>
                <w:sz w:val="20"/>
                <w:szCs w:val="20"/>
              </w:rPr>
            </w:pPr>
            <w:r w:rsidRPr="00BD61D2">
              <w:rPr>
                <w:sz w:val="20"/>
                <w:szCs w:val="20"/>
              </w:rPr>
              <w:t xml:space="preserve"> 664 </w:t>
            </w:r>
          </w:p>
        </w:tc>
        <w:tc>
          <w:tcPr>
            <w:tcW w:w="0" w:type="dxa"/>
          </w:tcPr>
          <w:p w14:paraId="66AA7EA4" w14:textId="1C69CDF4" w:rsidR="0072286B" w:rsidRPr="003A5A55" w:rsidRDefault="0072286B" w:rsidP="0072286B">
            <w:pPr>
              <w:pStyle w:val="BodyCopy"/>
              <w:spacing w:before="40" w:after="40"/>
              <w:rPr>
                <w:sz w:val="20"/>
                <w:szCs w:val="20"/>
              </w:rPr>
            </w:pPr>
            <w:r w:rsidRPr="00BD61D2">
              <w:rPr>
                <w:sz w:val="20"/>
                <w:szCs w:val="20"/>
              </w:rPr>
              <w:t xml:space="preserve"> 844 </w:t>
            </w:r>
          </w:p>
        </w:tc>
        <w:tc>
          <w:tcPr>
            <w:tcW w:w="0" w:type="dxa"/>
          </w:tcPr>
          <w:p w14:paraId="35C945DA" w14:textId="220ED1A6" w:rsidR="0072286B" w:rsidRPr="003A5A55" w:rsidRDefault="0072286B" w:rsidP="0072286B">
            <w:pPr>
              <w:pStyle w:val="BodyCopy"/>
              <w:spacing w:before="40" w:after="40"/>
              <w:rPr>
                <w:sz w:val="20"/>
                <w:szCs w:val="20"/>
              </w:rPr>
            </w:pPr>
            <w:r w:rsidRPr="00BD61D2">
              <w:rPr>
                <w:sz w:val="20"/>
                <w:szCs w:val="20"/>
              </w:rPr>
              <w:t xml:space="preserve"> 600 </w:t>
            </w:r>
          </w:p>
        </w:tc>
        <w:tc>
          <w:tcPr>
            <w:tcW w:w="0" w:type="dxa"/>
          </w:tcPr>
          <w:p w14:paraId="058981BC" w14:textId="2D8D9623" w:rsidR="0072286B" w:rsidRPr="003A5A55" w:rsidRDefault="0072286B" w:rsidP="0072286B">
            <w:pPr>
              <w:pStyle w:val="BodyCopy"/>
              <w:spacing w:before="40" w:after="40"/>
              <w:rPr>
                <w:sz w:val="20"/>
                <w:szCs w:val="20"/>
              </w:rPr>
            </w:pPr>
            <w:r w:rsidRPr="00BD61D2">
              <w:rPr>
                <w:sz w:val="20"/>
                <w:szCs w:val="20"/>
              </w:rPr>
              <w:t xml:space="preserve"> 450 </w:t>
            </w:r>
          </w:p>
        </w:tc>
      </w:tr>
      <w:tr w:rsidR="0072286B" w:rsidRPr="00DA69F2" w14:paraId="436E34FC" w14:textId="77777777" w:rsidTr="00BD61D2">
        <w:trPr>
          <w:trHeight w:val="300"/>
        </w:trPr>
        <w:tc>
          <w:tcPr>
            <w:tcW w:w="0" w:type="dxa"/>
            <w:hideMark/>
          </w:tcPr>
          <w:p w14:paraId="23CCE693" w14:textId="77777777" w:rsidR="0072286B" w:rsidRPr="00C4270B" w:rsidRDefault="0072286B" w:rsidP="0072286B">
            <w:pPr>
              <w:pStyle w:val="BodyCopy"/>
              <w:spacing w:before="40" w:after="40"/>
              <w:rPr>
                <w:sz w:val="20"/>
                <w:szCs w:val="20"/>
              </w:rPr>
            </w:pPr>
            <w:r w:rsidRPr="00C4270B">
              <w:rPr>
                <w:sz w:val="20"/>
                <w:szCs w:val="20"/>
              </w:rPr>
              <w:t xml:space="preserve"> Converter dolly or low loader dolly </w:t>
            </w:r>
          </w:p>
        </w:tc>
        <w:tc>
          <w:tcPr>
            <w:tcW w:w="0" w:type="dxa"/>
          </w:tcPr>
          <w:p w14:paraId="06B64AD4" w14:textId="2BC58579" w:rsidR="0072286B" w:rsidRPr="003A5A55" w:rsidRDefault="0072286B" w:rsidP="0072286B">
            <w:pPr>
              <w:pStyle w:val="BodyCopy"/>
              <w:spacing w:before="40" w:after="40"/>
              <w:rPr>
                <w:sz w:val="20"/>
                <w:szCs w:val="20"/>
              </w:rPr>
            </w:pPr>
            <w:r w:rsidRPr="00BD61D2">
              <w:rPr>
                <w:sz w:val="20"/>
                <w:szCs w:val="20"/>
              </w:rPr>
              <w:t xml:space="preserve"> 0 </w:t>
            </w:r>
          </w:p>
        </w:tc>
        <w:tc>
          <w:tcPr>
            <w:tcW w:w="0" w:type="dxa"/>
          </w:tcPr>
          <w:p w14:paraId="1A616E0D" w14:textId="539E34BE" w:rsidR="0072286B" w:rsidRPr="003A5A55" w:rsidRDefault="0072286B" w:rsidP="0072286B">
            <w:pPr>
              <w:pStyle w:val="BodyCopy"/>
              <w:spacing w:before="40" w:after="40"/>
              <w:rPr>
                <w:sz w:val="20"/>
                <w:szCs w:val="20"/>
              </w:rPr>
            </w:pPr>
            <w:r w:rsidRPr="00BD61D2">
              <w:rPr>
                <w:sz w:val="20"/>
                <w:szCs w:val="20"/>
              </w:rPr>
              <w:t xml:space="preserve"> 0 </w:t>
            </w:r>
          </w:p>
        </w:tc>
        <w:tc>
          <w:tcPr>
            <w:tcW w:w="0" w:type="dxa"/>
          </w:tcPr>
          <w:p w14:paraId="26C7A3B1" w14:textId="775A494B" w:rsidR="0072286B" w:rsidRPr="003A5A55" w:rsidRDefault="0072286B" w:rsidP="0072286B">
            <w:pPr>
              <w:pStyle w:val="BodyCopy"/>
              <w:spacing w:before="40" w:after="40"/>
              <w:rPr>
                <w:sz w:val="20"/>
                <w:szCs w:val="20"/>
              </w:rPr>
            </w:pPr>
            <w:r w:rsidRPr="00BD61D2">
              <w:rPr>
                <w:sz w:val="20"/>
                <w:szCs w:val="20"/>
              </w:rPr>
              <w:t xml:space="preserve"> 0 </w:t>
            </w:r>
          </w:p>
        </w:tc>
        <w:tc>
          <w:tcPr>
            <w:tcW w:w="0" w:type="dxa"/>
          </w:tcPr>
          <w:p w14:paraId="53DF9544" w14:textId="5DBAAE24" w:rsidR="0072286B" w:rsidRPr="003A5A55" w:rsidRDefault="0072286B" w:rsidP="0072286B">
            <w:pPr>
              <w:pStyle w:val="BodyCopy"/>
              <w:spacing w:before="40" w:after="40"/>
              <w:rPr>
                <w:sz w:val="20"/>
                <w:szCs w:val="20"/>
              </w:rPr>
            </w:pPr>
            <w:r w:rsidRPr="00BD61D2">
              <w:rPr>
                <w:sz w:val="20"/>
                <w:szCs w:val="20"/>
              </w:rPr>
              <w:t xml:space="preserve"> 0 </w:t>
            </w:r>
          </w:p>
        </w:tc>
      </w:tr>
      <w:tr w:rsidR="00DA69F2" w:rsidRPr="00DA69F2" w14:paraId="17D77A3D" w14:textId="77777777" w:rsidTr="00AF7B68">
        <w:trPr>
          <w:trHeight w:val="300"/>
        </w:trPr>
        <w:tc>
          <w:tcPr>
            <w:tcW w:w="9027" w:type="dxa"/>
            <w:gridSpan w:val="5"/>
            <w:vAlign w:val="center"/>
            <w:hideMark/>
          </w:tcPr>
          <w:p w14:paraId="75F374DF" w14:textId="0DB65397" w:rsidR="00DA69F2" w:rsidRPr="00C4270B" w:rsidRDefault="00DA69F2" w:rsidP="00AF7B68">
            <w:pPr>
              <w:pStyle w:val="BodyCopy"/>
              <w:spacing w:before="40" w:after="40"/>
              <w:jc w:val="center"/>
              <w:rPr>
                <w:b/>
                <w:bCs/>
                <w:sz w:val="20"/>
                <w:szCs w:val="20"/>
              </w:rPr>
            </w:pPr>
            <w:r w:rsidRPr="00C4270B">
              <w:rPr>
                <w:b/>
                <w:bCs/>
                <w:sz w:val="20"/>
                <w:szCs w:val="20"/>
              </w:rPr>
              <w:t>DIVISION 3 – BUSES ($)</w:t>
            </w:r>
          </w:p>
        </w:tc>
      </w:tr>
      <w:tr w:rsidR="00DA69F2" w:rsidRPr="00DA69F2" w14:paraId="0CF64493" w14:textId="77777777" w:rsidTr="00DA69F2">
        <w:trPr>
          <w:trHeight w:val="300"/>
        </w:trPr>
        <w:tc>
          <w:tcPr>
            <w:tcW w:w="4420" w:type="dxa"/>
            <w:hideMark/>
          </w:tcPr>
          <w:p w14:paraId="407926F0" w14:textId="6B2FB8E8" w:rsidR="00DA69F2" w:rsidRPr="00C4270B" w:rsidRDefault="00DA69F2" w:rsidP="00AF7B68">
            <w:pPr>
              <w:pStyle w:val="BodyCopy"/>
              <w:spacing w:before="40" w:after="40"/>
              <w:rPr>
                <w:b/>
                <w:bCs/>
                <w:sz w:val="20"/>
                <w:szCs w:val="20"/>
              </w:rPr>
            </w:pPr>
            <w:r w:rsidRPr="00C4270B">
              <w:rPr>
                <w:b/>
                <w:bCs/>
                <w:sz w:val="20"/>
                <w:szCs w:val="20"/>
              </w:rPr>
              <w:t xml:space="preserve"> Bus </w:t>
            </w:r>
            <w:r w:rsidR="006F7F4A" w:rsidRPr="00C4270B">
              <w:rPr>
                <w:b/>
                <w:bCs/>
                <w:sz w:val="20"/>
                <w:szCs w:val="20"/>
              </w:rPr>
              <w:t>t</w:t>
            </w:r>
            <w:r w:rsidRPr="00C4270B">
              <w:rPr>
                <w:b/>
                <w:bCs/>
                <w:sz w:val="20"/>
                <w:szCs w:val="20"/>
              </w:rPr>
              <w:t xml:space="preserve">ype </w:t>
            </w:r>
          </w:p>
        </w:tc>
        <w:tc>
          <w:tcPr>
            <w:tcW w:w="1132" w:type="dxa"/>
            <w:hideMark/>
          </w:tcPr>
          <w:p w14:paraId="02D7A88C" w14:textId="20D59165" w:rsidR="00DA69F2" w:rsidRPr="00C4270B" w:rsidRDefault="00DA69F2"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2669B0CB" w14:textId="3C37A5EF" w:rsidR="00DA69F2" w:rsidRPr="00C4270B" w:rsidRDefault="00DA69F2"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3FB01C7D" w14:textId="3DE59E49" w:rsidR="00DA69F2" w:rsidRPr="00C4270B" w:rsidRDefault="00DA69F2"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6241AF7D" w14:textId="77777777" w:rsidR="00DA69F2" w:rsidRPr="00C4270B" w:rsidRDefault="00DA69F2" w:rsidP="00AF7B68">
            <w:pPr>
              <w:pStyle w:val="BodyCopy"/>
              <w:spacing w:before="40" w:after="40"/>
              <w:rPr>
                <w:b/>
                <w:bCs/>
                <w:sz w:val="20"/>
                <w:szCs w:val="20"/>
              </w:rPr>
            </w:pPr>
            <w:r w:rsidRPr="00C4270B">
              <w:rPr>
                <w:b/>
                <w:bCs/>
                <w:sz w:val="20"/>
                <w:szCs w:val="20"/>
              </w:rPr>
              <w:t> </w:t>
            </w:r>
          </w:p>
        </w:tc>
      </w:tr>
      <w:tr w:rsidR="0072286B" w:rsidRPr="00DA69F2" w14:paraId="167790C1" w14:textId="77777777" w:rsidTr="00BD61D2">
        <w:trPr>
          <w:trHeight w:val="300"/>
        </w:trPr>
        <w:tc>
          <w:tcPr>
            <w:tcW w:w="0" w:type="dxa"/>
            <w:hideMark/>
          </w:tcPr>
          <w:p w14:paraId="5EB18009" w14:textId="77777777" w:rsidR="0072286B" w:rsidRPr="00C4270B" w:rsidRDefault="0072286B" w:rsidP="0072286B">
            <w:pPr>
              <w:pStyle w:val="BodyCopy"/>
              <w:spacing w:before="40" w:after="40"/>
              <w:rPr>
                <w:sz w:val="20"/>
                <w:szCs w:val="20"/>
              </w:rPr>
            </w:pPr>
            <w:r w:rsidRPr="00C4270B">
              <w:rPr>
                <w:sz w:val="20"/>
                <w:szCs w:val="20"/>
              </w:rPr>
              <w:t xml:space="preserve"> Bus (type 1) </w:t>
            </w:r>
          </w:p>
        </w:tc>
        <w:tc>
          <w:tcPr>
            <w:tcW w:w="0" w:type="dxa"/>
          </w:tcPr>
          <w:p w14:paraId="5A89C1CB" w14:textId="5DB78A7F" w:rsidR="0072286B" w:rsidRPr="003A5A55" w:rsidRDefault="0072286B" w:rsidP="0072286B">
            <w:pPr>
              <w:pStyle w:val="BodyCopy"/>
              <w:spacing w:before="40" w:after="40"/>
              <w:rPr>
                <w:sz w:val="20"/>
                <w:szCs w:val="20"/>
              </w:rPr>
            </w:pPr>
            <w:r w:rsidRPr="00BD61D2">
              <w:rPr>
                <w:sz w:val="20"/>
                <w:szCs w:val="20"/>
              </w:rPr>
              <w:t xml:space="preserve"> 335 </w:t>
            </w:r>
          </w:p>
        </w:tc>
        <w:tc>
          <w:tcPr>
            <w:tcW w:w="0" w:type="dxa"/>
          </w:tcPr>
          <w:p w14:paraId="71DC717E" w14:textId="0C900EAC" w:rsidR="0072286B" w:rsidRPr="003A5A55" w:rsidRDefault="0072286B" w:rsidP="0072286B">
            <w:pPr>
              <w:pStyle w:val="BodyCopy"/>
              <w:spacing w:before="40" w:after="40"/>
              <w:rPr>
                <w:sz w:val="20"/>
                <w:szCs w:val="20"/>
              </w:rPr>
            </w:pPr>
          </w:p>
        </w:tc>
        <w:tc>
          <w:tcPr>
            <w:tcW w:w="0" w:type="dxa"/>
          </w:tcPr>
          <w:p w14:paraId="30FAEC6E" w14:textId="0D8FA265" w:rsidR="0072286B" w:rsidRPr="003A5A55" w:rsidRDefault="0072286B" w:rsidP="0072286B">
            <w:pPr>
              <w:pStyle w:val="BodyCopy"/>
              <w:spacing w:before="40" w:after="40"/>
              <w:rPr>
                <w:sz w:val="20"/>
                <w:szCs w:val="20"/>
              </w:rPr>
            </w:pPr>
          </w:p>
        </w:tc>
        <w:tc>
          <w:tcPr>
            <w:tcW w:w="0" w:type="dxa"/>
            <w:hideMark/>
          </w:tcPr>
          <w:p w14:paraId="254D02F7" w14:textId="77777777" w:rsidR="0072286B" w:rsidRPr="00C4270B" w:rsidRDefault="0072286B" w:rsidP="0072286B">
            <w:pPr>
              <w:pStyle w:val="BodyCopy"/>
              <w:spacing w:before="40" w:after="40"/>
              <w:rPr>
                <w:sz w:val="20"/>
                <w:szCs w:val="20"/>
              </w:rPr>
            </w:pPr>
            <w:r w:rsidRPr="00C4270B">
              <w:rPr>
                <w:sz w:val="20"/>
                <w:szCs w:val="20"/>
              </w:rPr>
              <w:t> </w:t>
            </w:r>
          </w:p>
        </w:tc>
      </w:tr>
      <w:tr w:rsidR="0072286B" w:rsidRPr="00DA69F2" w14:paraId="60D8F3A9" w14:textId="77777777" w:rsidTr="00BD61D2">
        <w:trPr>
          <w:trHeight w:val="300"/>
        </w:trPr>
        <w:tc>
          <w:tcPr>
            <w:tcW w:w="0" w:type="dxa"/>
            <w:hideMark/>
          </w:tcPr>
          <w:p w14:paraId="03F8F97C" w14:textId="77777777" w:rsidR="0072286B" w:rsidRPr="00C4270B" w:rsidRDefault="0072286B" w:rsidP="0072286B">
            <w:pPr>
              <w:pStyle w:val="BodyCopy"/>
              <w:spacing w:before="40" w:after="40"/>
              <w:rPr>
                <w:sz w:val="20"/>
                <w:szCs w:val="20"/>
              </w:rPr>
            </w:pPr>
            <w:r w:rsidRPr="00C4270B">
              <w:rPr>
                <w:sz w:val="20"/>
                <w:szCs w:val="20"/>
              </w:rPr>
              <w:t xml:space="preserve"> Bus (type 2) </w:t>
            </w:r>
          </w:p>
        </w:tc>
        <w:tc>
          <w:tcPr>
            <w:tcW w:w="0" w:type="dxa"/>
          </w:tcPr>
          <w:p w14:paraId="0187B476" w14:textId="654907CC" w:rsidR="0072286B" w:rsidRPr="003A5A55" w:rsidRDefault="0072286B" w:rsidP="0072286B">
            <w:pPr>
              <w:pStyle w:val="BodyCopy"/>
              <w:spacing w:before="40" w:after="40"/>
              <w:rPr>
                <w:sz w:val="20"/>
                <w:szCs w:val="20"/>
              </w:rPr>
            </w:pPr>
            <w:r w:rsidRPr="00BD61D2">
              <w:rPr>
                <w:sz w:val="20"/>
                <w:szCs w:val="20"/>
              </w:rPr>
              <w:t xml:space="preserve"> 340 </w:t>
            </w:r>
          </w:p>
        </w:tc>
        <w:tc>
          <w:tcPr>
            <w:tcW w:w="0" w:type="dxa"/>
          </w:tcPr>
          <w:p w14:paraId="4E22BF00" w14:textId="3DBCF8E6" w:rsidR="0072286B" w:rsidRPr="003A5A55" w:rsidRDefault="0072286B" w:rsidP="0072286B">
            <w:pPr>
              <w:pStyle w:val="BodyCopy"/>
              <w:spacing w:before="40" w:after="40"/>
              <w:rPr>
                <w:sz w:val="20"/>
                <w:szCs w:val="20"/>
              </w:rPr>
            </w:pPr>
            <w:r w:rsidRPr="00BD61D2">
              <w:rPr>
                <w:sz w:val="20"/>
                <w:szCs w:val="20"/>
              </w:rPr>
              <w:t xml:space="preserve"> 2,490 </w:t>
            </w:r>
          </w:p>
        </w:tc>
        <w:tc>
          <w:tcPr>
            <w:tcW w:w="0" w:type="dxa"/>
          </w:tcPr>
          <w:p w14:paraId="26063C51" w14:textId="15A55697" w:rsidR="0072286B" w:rsidRPr="003A5A55" w:rsidRDefault="0072286B" w:rsidP="0072286B">
            <w:pPr>
              <w:pStyle w:val="BodyCopy"/>
              <w:spacing w:before="40" w:after="40"/>
              <w:rPr>
                <w:sz w:val="20"/>
                <w:szCs w:val="20"/>
              </w:rPr>
            </w:pPr>
            <w:r w:rsidRPr="00BD61D2">
              <w:rPr>
                <w:sz w:val="20"/>
                <w:szCs w:val="20"/>
              </w:rPr>
              <w:t xml:space="preserve"> 2,490 </w:t>
            </w:r>
          </w:p>
        </w:tc>
        <w:tc>
          <w:tcPr>
            <w:tcW w:w="0" w:type="dxa"/>
            <w:hideMark/>
          </w:tcPr>
          <w:p w14:paraId="5844C225" w14:textId="77777777" w:rsidR="0072286B" w:rsidRPr="00C4270B" w:rsidRDefault="0072286B" w:rsidP="0072286B">
            <w:pPr>
              <w:pStyle w:val="BodyCopy"/>
              <w:spacing w:before="40" w:after="40"/>
              <w:rPr>
                <w:sz w:val="20"/>
                <w:szCs w:val="20"/>
              </w:rPr>
            </w:pPr>
            <w:r w:rsidRPr="00C4270B">
              <w:rPr>
                <w:sz w:val="20"/>
                <w:szCs w:val="20"/>
              </w:rPr>
              <w:t> </w:t>
            </w:r>
          </w:p>
        </w:tc>
      </w:tr>
      <w:tr w:rsidR="0072286B" w:rsidRPr="00DA69F2" w14:paraId="002BD07F" w14:textId="77777777" w:rsidTr="00BD61D2">
        <w:trPr>
          <w:trHeight w:val="300"/>
        </w:trPr>
        <w:tc>
          <w:tcPr>
            <w:tcW w:w="0" w:type="dxa"/>
            <w:hideMark/>
          </w:tcPr>
          <w:p w14:paraId="7E087BA6" w14:textId="77777777" w:rsidR="0072286B" w:rsidRPr="00C4270B" w:rsidRDefault="0072286B" w:rsidP="0072286B">
            <w:pPr>
              <w:pStyle w:val="BodyCopy"/>
              <w:spacing w:before="40" w:after="40"/>
              <w:rPr>
                <w:sz w:val="20"/>
                <w:szCs w:val="20"/>
              </w:rPr>
            </w:pPr>
            <w:r w:rsidRPr="00C4270B">
              <w:rPr>
                <w:sz w:val="20"/>
                <w:szCs w:val="20"/>
              </w:rPr>
              <w:t xml:space="preserve"> Articulated bus </w:t>
            </w:r>
          </w:p>
        </w:tc>
        <w:tc>
          <w:tcPr>
            <w:tcW w:w="0" w:type="dxa"/>
          </w:tcPr>
          <w:p w14:paraId="267C86AB" w14:textId="5DC3C54E" w:rsidR="0072286B" w:rsidRPr="003A5A55" w:rsidRDefault="0072286B" w:rsidP="0072286B">
            <w:pPr>
              <w:pStyle w:val="BodyCopy"/>
              <w:spacing w:before="40" w:after="40"/>
              <w:rPr>
                <w:sz w:val="20"/>
                <w:szCs w:val="20"/>
              </w:rPr>
            </w:pPr>
          </w:p>
        </w:tc>
        <w:tc>
          <w:tcPr>
            <w:tcW w:w="0" w:type="dxa"/>
          </w:tcPr>
          <w:p w14:paraId="12470F3D" w14:textId="02F799D4" w:rsidR="0072286B" w:rsidRPr="003A5A55" w:rsidRDefault="0072286B" w:rsidP="0072286B">
            <w:pPr>
              <w:pStyle w:val="BodyCopy"/>
              <w:spacing w:before="40" w:after="40"/>
              <w:rPr>
                <w:sz w:val="20"/>
                <w:szCs w:val="20"/>
              </w:rPr>
            </w:pPr>
            <w:r w:rsidRPr="00BD61D2">
              <w:rPr>
                <w:sz w:val="20"/>
                <w:szCs w:val="20"/>
              </w:rPr>
              <w:t xml:space="preserve"> 340 </w:t>
            </w:r>
          </w:p>
        </w:tc>
        <w:tc>
          <w:tcPr>
            <w:tcW w:w="0" w:type="dxa"/>
          </w:tcPr>
          <w:p w14:paraId="4B2044B7" w14:textId="6FD50B9E" w:rsidR="0072286B" w:rsidRPr="003A5A55" w:rsidRDefault="0072286B" w:rsidP="0072286B">
            <w:pPr>
              <w:pStyle w:val="BodyCopy"/>
              <w:spacing w:before="40" w:after="40"/>
              <w:rPr>
                <w:sz w:val="20"/>
                <w:szCs w:val="20"/>
              </w:rPr>
            </w:pPr>
            <w:r w:rsidRPr="00BD61D2">
              <w:rPr>
                <w:sz w:val="20"/>
                <w:szCs w:val="20"/>
              </w:rPr>
              <w:t xml:space="preserve"> 340 </w:t>
            </w:r>
          </w:p>
        </w:tc>
        <w:tc>
          <w:tcPr>
            <w:tcW w:w="0" w:type="dxa"/>
            <w:hideMark/>
          </w:tcPr>
          <w:p w14:paraId="2FF90B1B" w14:textId="77777777" w:rsidR="0072286B" w:rsidRPr="00C4270B" w:rsidRDefault="0072286B" w:rsidP="0072286B">
            <w:pPr>
              <w:pStyle w:val="BodyCopy"/>
              <w:spacing w:before="40" w:after="40"/>
              <w:rPr>
                <w:sz w:val="20"/>
                <w:szCs w:val="20"/>
              </w:rPr>
            </w:pPr>
            <w:r w:rsidRPr="00C4270B">
              <w:rPr>
                <w:sz w:val="20"/>
                <w:szCs w:val="20"/>
              </w:rPr>
              <w:t> </w:t>
            </w:r>
          </w:p>
        </w:tc>
      </w:tr>
      <w:tr w:rsidR="00DA69F2" w:rsidRPr="00DA69F2" w14:paraId="55F65C9F" w14:textId="77777777" w:rsidTr="00AF7B68">
        <w:trPr>
          <w:trHeight w:val="300"/>
        </w:trPr>
        <w:tc>
          <w:tcPr>
            <w:tcW w:w="9027" w:type="dxa"/>
            <w:gridSpan w:val="5"/>
            <w:vAlign w:val="center"/>
            <w:hideMark/>
          </w:tcPr>
          <w:p w14:paraId="2BEA48C4" w14:textId="3A52C3BF" w:rsidR="00DA69F2" w:rsidRPr="00C4270B" w:rsidRDefault="00DA69F2" w:rsidP="00AF7B68">
            <w:pPr>
              <w:pStyle w:val="BodyCopy"/>
              <w:spacing w:before="40" w:after="40"/>
              <w:jc w:val="center"/>
              <w:rPr>
                <w:b/>
                <w:bCs/>
                <w:sz w:val="20"/>
                <w:szCs w:val="20"/>
              </w:rPr>
            </w:pPr>
            <w:r w:rsidRPr="00C4270B">
              <w:rPr>
                <w:b/>
                <w:bCs/>
                <w:sz w:val="20"/>
                <w:szCs w:val="20"/>
              </w:rPr>
              <w:t>DIVISION 4 – SPECIAL PURPOSE VEHICLES ($)</w:t>
            </w:r>
          </w:p>
        </w:tc>
      </w:tr>
      <w:tr w:rsidR="00DA69F2" w:rsidRPr="00DA69F2" w14:paraId="7217A7DB" w14:textId="77777777" w:rsidTr="00AF7B68">
        <w:trPr>
          <w:trHeight w:val="300"/>
        </w:trPr>
        <w:tc>
          <w:tcPr>
            <w:tcW w:w="4420" w:type="dxa"/>
            <w:hideMark/>
          </w:tcPr>
          <w:p w14:paraId="674C2AAF" w14:textId="77777777" w:rsidR="00DA69F2" w:rsidRPr="00C4270B" w:rsidRDefault="00DA69F2"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700E5D21" w14:textId="77777777" w:rsidR="00DA69F2" w:rsidRPr="00C4270B" w:rsidRDefault="00DA69F2" w:rsidP="00AF7B68">
            <w:pPr>
              <w:pStyle w:val="BodyCopy"/>
              <w:spacing w:before="40" w:after="40"/>
              <w:rPr>
                <w:sz w:val="20"/>
                <w:szCs w:val="20"/>
              </w:rPr>
            </w:pPr>
            <w:r w:rsidRPr="00C4270B">
              <w:rPr>
                <w:sz w:val="20"/>
                <w:szCs w:val="20"/>
              </w:rPr>
              <w:t xml:space="preserve"> 0 </w:t>
            </w:r>
          </w:p>
        </w:tc>
      </w:tr>
      <w:tr w:rsidR="00DA69F2" w:rsidRPr="00DA69F2" w14:paraId="4BA5A101" w14:textId="77777777" w:rsidTr="00AF7B68">
        <w:trPr>
          <w:trHeight w:val="300"/>
        </w:trPr>
        <w:tc>
          <w:tcPr>
            <w:tcW w:w="4420" w:type="dxa"/>
            <w:hideMark/>
          </w:tcPr>
          <w:p w14:paraId="108F79EB" w14:textId="77777777" w:rsidR="00DA69F2" w:rsidRPr="00C4270B" w:rsidRDefault="00DA69F2"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6B44DB80" w14:textId="77777777" w:rsidR="00DA69F2" w:rsidRPr="00C4270B" w:rsidRDefault="00DA69F2" w:rsidP="00AF7B68">
            <w:pPr>
              <w:pStyle w:val="BodyCopy"/>
              <w:spacing w:before="40" w:after="40"/>
              <w:rPr>
                <w:sz w:val="20"/>
                <w:szCs w:val="20"/>
              </w:rPr>
            </w:pPr>
            <w:r w:rsidRPr="00C4270B">
              <w:rPr>
                <w:sz w:val="20"/>
                <w:szCs w:val="20"/>
              </w:rPr>
              <w:t xml:space="preserve"> 325 </w:t>
            </w:r>
          </w:p>
        </w:tc>
      </w:tr>
      <w:tr w:rsidR="00DA69F2" w:rsidRPr="00DA69F2" w14:paraId="28CE9275" w14:textId="77777777" w:rsidTr="00AF7B68">
        <w:trPr>
          <w:trHeight w:val="300"/>
        </w:trPr>
        <w:tc>
          <w:tcPr>
            <w:tcW w:w="4420" w:type="dxa"/>
            <w:hideMark/>
          </w:tcPr>
          <w:p w14:paraId="2C1E8599" w14:textId="77777777" w:rsidR="00DA69F2" w:rsidRPr="00C4270B" w:rsidRDefault="00DA69F2"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29F7F714" w14:textId="3133EA8B" w:rsidR="00DA69F2" w:rsidRPr="00C4270B" w:rsidRDefault="00DA69F2" w:rsidP="00AF7B68">
            <w:pPr>
              <w:pStyle w:val="BodyCopy"/>
              <w:spacing w:before="40" w:after="40"/>
              <w:rPr>
                <w:sz w:val="20"/>
                <w:szCs w:val="20"/>
              </w:rPr>
            </w:pPr>
            <w:r w:rsidRPr="00C4270B">
              <w:rPr>
                <w:sz w:val="20"/>
                <w:szCs w:val="20"/>
              </w:rPr>
              <w:t>Calculated using the formula:</w:t>
            </w:r>
            <w:r w:rsidRPr="00C4270B">
              <w:rPr>
                <w:sz w:val="20"/>
                <w:szCs w:val="20"/>
              </w:rPr>
              <w:br/>
              <w:t>40</w:t>
            </w:r>
            <w:r w:rsidR="006B5E53">
              <w:rPr>
                <w:sz w:val="20"/>
                <w:szCs w:val="20"/>
              </w:rPr>
              <w:t>7</w:t>
            </w:r>
            <w:r w:rsidRPr="00C4270B">
              <w:rPr>
                <w:sz w:val="20"/>
                <w:szCs w:val="20"/>
              </w:rPr>
              <w:t xml:space="preserve"> + (40</w:t>
            </w:r>
            <w:r w:rsidR="006B5E53">
              <w:rPr>
                <w:sz w:val="20"/>
                <w:szCs w:val="20"/>
              </w:rPr>
              <w:t>7</w:t>
            </w:r>
            <w:r w:rsidRPr="00C4270B">
              <w:rPr>
                <w:sz w:val="20"/>
                <w:szCs w:val="20"/>
              </w:rPr>
              <w:t xml:space="preserve"> </w:t>
            </w:r>
            <w:r w:rsidR="006F7F4A" w:rsidRPr="00C4270B">
              <w:rPr>
                <w:sz w:val="20"/>
                <w:szCs w:val="20"/>
              </w:rPr>
              <w:t>×</w:t>
            </w:r>
            <w:r w:rsidRPr="00C4270B">
              <w:rPr>
                <w:sz w:val="20"/>
                <w:szCs w:val="20"/>
              </w:rPr>
              <w:t xml:space="preserve"> number of axles over 2)</w:t>
            </w:r>
            <w:r w:rsidR="00830D17" w:rsidRPr="00C4270B">
              <w:rPr>
                <w:sz w:val="20"/>
                <w:szCs w:val="20"/>
              </w:rPr>
              <w:t xml:space="preserve"> </w:t>
            </w:r>
          </w:p>
        </w:tc>
      </w:tr>
    </w:tbl>
    <w:p w14:paraId="3C96E54C" w14:textId="53D48D15" w:rsidR="00DA69F2" w:rsidRDefault="00DA69F2" w:rsidP="00DA69F2">
      <w:pPr>
        <w:pStyle w:val="BodyCopy"/>
      </w:pPr>
    </w:p>
    <w:p w14:paraId="1C3552C5" w14:textId="25D7078A" w:rsidR="007C2428" w:rsidRDefault="007C2428" w:rsidP="007C2428">
      <w:pPr>
        <w:pStyle w:val="Tabletitle"/>
      </w:pPr>
      <w:bookmarkStart w:id="2375" w:name="_Toc86158576"/>
      <w:r w:rsidRPr="007C2428">
        <w:lastRenderedPageBreak/>
        <w:t xml:space="preserve">Charging schedule for </w:t>
      </w:r>
      <w:r w:rsidR="000B1A52">
        <w:t xml:space="preserve">the </w:t>
      </w:r>
      <w:r w:rsidRPr="007C2428">
        <w:t xml:space="preserve">roads component of registration charges under </w:t>
      </w:r>
      <w:r w:rsidR="005D7B0D">
        <w:t xml:space="preserve">pathway </w:t>
      </w:r>
      <w:r w:rsidR="00BE4F05">
        <w:t xml:space="preserve">2 of the three-year fixed price </w:t>
      </w:r>
      <w:r w:rsidR="006F7F4A">
        <w:t>i</w:t>
      </w:r>
      <w:r w:rsidRPr="007C2428">
        <w:t>mplementation</w:t>
      </w:r>
      <w:r w:rsidR="00BE4F05">
        <w:t xml:space="preserve"> pathway</w:t>
      </w:r>
      <w:r w:rsidRPr="007C2428">
        <w:t>, 202</w:t>
      </w:r>
      <w:r>
        <w:t>3</w:t>
      </w:r>
      <w:r w:rsidR="00272BD6">
        <w:t>–2</w:t>
      </w:r>
      <w:r>
        <w:t>4</w:t>
      </w:r>
      <w:bookmarkEnd w:id="2375"/>
    </w:p>
    <w:tbl>
      <w:tblPr>
        <w:tblStyle w:val="NTCtable"/>
        <w:tblW w:w="0" w:type="auto"/>
        <w:tblLook w:val="04A0" w:firstRow="1" w:lastRow="0" w:firstColumn="1" w:lastColumn="0" w:noHBand="0" w:noVBand="1"/>
      </w:tblPr>
      <w:tblGrid>
        <w:gridCol w:w="4420"/>
        <w:gridCol w:w="1132"/>
        <w:gridCol w:w="1211"/>
        <w:gridCol w:w="1132"/>
        <w:gridCol w:w="1132"/>
      </w:tblGrid>
      <w:tr w:rsidR="007C2428" w:rsidRPr="007C2428" w14:paraId="0D002AEC" w14:textId="77777777" w:rsidTr="00AF7B68">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0A9B906C" w14:textId="58F5F3E4" w:rsidR="007C2428" w:rsidRPr="00C4270B" w:rsidRDefault="007C2428" w:rsidP="00AF7B68">
            <w:pPr>
              <w:pStyle w:val="BodyCopy"/>
              <w:spacing w:before="40" w:after="40"/>
              <w:jc w:val="center"/>
              <w:rPr>
                <w:b/>
                <w:bCs/>
                <w:sz w:val="20"/>
                <w:szCs w:val="20"/>
              </w:rPr>
            </w:pPr>
            <w:r w:rsidRPr="00C4270B">
              <w:rPr>
                <w:b/>
                <w:bCs/>
                <w:sz w:val="20"/>
                <w:szCs w:val="20"/>
              </w:rPr>
              <w:t>1 July 2023 – 30 June 2024</w:t>
            </w:r>
          </w:p>
        </w:tc>
      </w:tr>
      <w:tr w:rsidR="007C2428" w:rsidRPr="007C2428" w14:paraId="479BB725" w14:textId="77777777" w:rsidTr="00AF7B68">
        <w:trPr>
          <w:trHeight w:val="300"/>
        </w:trPr>
        <w:tc>
          <w:tcPr>
            <w:tcW w:w="9027" w:type="dxa"/>
            <w:gridSpan w:val="5"/>
            <w:vAlign w:val="center"/>
            <w:hideMark/>
          </w:tcPr>
          <w:p w14:paraId="5A7B4F3D" w14:textId="51FFB5FE" w:rsidR="007C2428" w:rsidRPr="00C4270B" w:rsidRDefault="007C2428" w:rsidP="00AF7B68">
            <w:pPr>
              <w:pStyle w:val="BodyCopy"/>
              <w:spacing w:before="40" w:after="40"/>
              <w:jc w:val="center"/>
              <w:rPr>
                <w:b/>
                <w:bCs/>
                <w:sz w:val="20"/>
                <w:szCs w:val="20"/>
              </w:rPr>
            </w:pPr>
            <w:r w:rsidRPr="00C4270B">
              <w:rPr>
                <w:b/>
                <w:bCs/>
                <w:sz w:val="20"/>
                <w:szCs w:val="20"/>
              </w:rPr>
              <w:t>DIVISION 1 – LOAD CARRYING VEHICLES ($)</w:t>
            </w:r>
          </w:p>
        </w:tc>
      </w:tr>
      <w:tr w:rsidR="007C2428" w:rsidRPr="007C2428" w14:paraId="0B7CDDEA" w14:textId="77777777" w:rsidTr="007C2428">
        <w:trPr>
          <w:trHeight w:val="300"/>
        </w:trPr>
        <w:tc>
          <w:tcPr>
            <w:tcW w:w="4420" w:type="dxa"/>
            <w:hideMark/>
          </w:tcPr>
          <w:p w14:paraId="3BCDD411" w14:textId="26C7EEFC" w:rsidR="007C2428" w:rsidRPr="00C4270B" w:rsidRDefault="007C2428" w:rsidP="00AF7B68">
            <w:pPr>
              <w:pStyle w:val="BodyCopy"/>
              <w:spacing w:before="40" w:after="40"/>
              <w:rPr>
                <w:b/>
                <w:bCs/>
                <w:sz w:val="20"/>
                <w:szCs w:val="20"/>
              </w:rPr>
            </w:pPr>
            <w:r w:rsidRPr="00C4270B">
              <w:rPr>
                <w:b/>
                <w:bCs/>
                <w:sz w:val="20"/>
                <w:szCs w:val="20"/>
              </w:rPr>
              <w:t xml:space="preserve"> Vehicle </w:t>
            </w:r>
            <w:r w:rsidR="006F7F4A" w:rsidRPr="00C4270B">
              <w:rPr>
                <w:b/>
                <w:bCs/>
                <w:sz w:val="20"/>
                <w:szCs w:val="20"/>
              </w:rPr>
              <w:t>t</w:t>
            </w:r>
            <w:r w:rsidRPr="00C4270B">
              <w:rPr>
                <w:b/>
                <w:bCs/>
                <w:sz w:val="20"/>
                <w:szCs w:val="20"/>
              </w:rPr>
              <w:t xml:space="preserve">ype </w:t>
            </w:r>
          </w:p>
        </w:tc>
        <w:tc>
          <w:tcPr>
            <w:tcW w:w="1132" w:type="dxa"/>
            <w:hideMark/>
          </w:tcPr>
          <w:p w14:paraId="624D70E8" w14:textId="5F280B24"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4FF1613A" w14:textId="1E405CDD"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7A2BCBF4" w14:textId="26375CA2"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7D3C4054" w14:textId="34E97E3B" w:rsidR="007C2428" w:rsidRPr="00C4270B" w:rsidRDefault="007C2428"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7C2428" w:rsidRPr="007C2428" w14:paraId="573FD1F3" w14:textId="77777777" w:rsidTr="007C2428">
        <w:trPr>
          <w:trHeight w:val="300"/>
        </w:trPr>
        <w:tc>
          <w:tcPr>
            <w:tcW w:w="4420" w:type="dxa"/>
            <w:hideMark/>
          </w:tcPr>
          <w:p w14:paraId="505A162D" w14:textId="77777777" w:rsidR="007C2428" w:rsidRPr="00C4270B" w:rsidRDefault="007C2428" w:rsidP="00AF7B68">
            <w:pPr>
              <w:pStyle w:val="BodyCopy"/>
              <w:spacing w:before="40" w:after="40"/>
              <w:rPr>
                <w:b/>
                <w:bCs/>
                <w:sz w:val="20"/>
                <w:szCs w:val="20"/>
              </w:rPr>
            </w:pPr>
            <w:r w:rsidRPr="00C4270B">
              <w:rPr>
                <w:b/>
                <w:bCs/>
                <w:sz w:val="20"/>
                <w:szCs w:val="20"/>
              </w:rPr>
              <w:t xml:space="preserve"> Trucks </w:t>
            </w:r>
          </w:p>
        </w:tc>
        <w:tc>
          <w:tcPr>
            <w:tcW w:w="1132" w:type="dxa"/>
            <w:hideMark/>
          </w:tcPr>
          <w:p w14:paraId="2B1190B8"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5BE9AA8C"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2E40B68B"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03A7CBBD" w14:textId="77777777" w:rsidR="007C2428" w:rsidRPr="00C4270B" w:rsidRDefault="007C2428" w:rsidP="00AF7B68">
            <w:pPr>
              <w:pStyle w:val="BodyCopy"/>
              <w:spacing w:before="40" w:after="40"/>
              <w:rPr>
                <w:sz w:val="20"/>
                <w:szCs w:val="20"/>
              </w:rPr>
            </w:pPr>
            <w:r w:rsidRPr="00C4270B">
              <w:rPr>
                <w:sz w:val="20"/>
                <w:szCs w:val="20"/>
              </w:rPr>
              <w:t> </w:t>
            </w:r>
          </w:p>
        </w:tc>
      </w:tr>
      <w:tr w:rsidR="006B5E53" w:rsidRPr="007C2428" w14:paraId="07451328" w14:textId="77777777" w:rsidTr="00BD61D2">
        <w:trPr>
          <w:trHeight w:val="300"/>
        </w:trPr>
        <w:tc>
          <w:tcPr>
            <w:tcW w:w="0" w:type="dxa"/>
            <w:hideMark/>
          </w:tcPr>
          <w:p w14:paraId="46662B46" w14:textId="77777777" w:rsidR="006B5E53" w:rsidRPr="00C4270B" w:rsidRDefault="006B5E53" w:rsidP="006B5E53">
            <w:pPr>
              <w:pStyle w:val="BodyCopy"/>
              <w:spacing w:before="40" w:after="40"/>
              <w:rPr>
                <w:sz w:val="20"/>
                <w:szCs w:val="20"/>
              </w:rPr>
            </w:pPr>
            <w:r w:rsidRPr="00C4270B">
              <w:rPr>
                <w:sz w:val="20"/>
                <w:szCs w:val="20"/>
              </w:rPr>
              <w:t xml:space="preserve"> Truck (type 1) </w:t>
            </w:r>
          </w:p>
        </w:tc>
        <w:tc>
          <w:tcPr>
            <w:tcW w:w="0" w:type="dxa"/>
          </w:tcPr>
          <w:p w14:paraId="5896E7A8" w14:textId="7D2DF8C5" w:rsidR="006B5E53" w:rsidRPr="003A5A55" w:rsidRDefault="006B5E53" w:rsidP="006B5E53">
            <w:pPr>
              <w:pStyle w:val="BodyCopy"/>
              <w:spacing w:before="40" w:after="40"/>
              <w:rPr>
                <w:sz w:val="20"/>
                <w:szCs w:val="20"/>
              </w:rPr>
            </w:pPr>
            <w:r w:rsidRPr="00BD61D2">
              <w:rPr>
                <w:sz w:val="20"/>
                <w:szCs w:val="20"/>
              </w:rPr>
              <w:t xml:space="preserve"> 473 </w:t>
            </w:r>
          </w:p>
        </w:tc>
        <w:tc>
          <w:tcPr>
            <w:tcW w:w="0" w:type="dxa"/>
          </w:tcPr>
          <w:p w14:paraId="3041FFF5" w14:textId="67ADA03D" w:rsidR="006B5E53" w:rsidRPr="003A5A55" w:rsidRDefault="006B5E53" w:rsidP="006B5E53">
            <w:pPr>
              <w:pStyle w:val="BodyCopy"/>
              <w:spacing w:before="40" w:after="40"/>
              <w:rPr>
                <w:sz w:val="20"/>
                <w:szCs w:val="20"/>
              </w:rPr>
            </w:pPr>
            <w:r w:rsidRPr="00BD61D2">
              <w:rPr>
                <w:sz w:val="20"/>
                <w:szCs w:val="20"/>
              </w:rPr>
              <w:t xml:space="preserve"> 853 </w:t>
            </w:r>
          </w:p>
        </w:tc>
        <w:tc>
          <w:tcPr>
            <w:tcW w:w="0" w:type="dxa"/>
          </w:tcPr>
          <w:p w14:paraId="6F05315E" w14:textId="0AE93BF9" w:rsidR="006B5E53" w:rsidRPr="003A5A55" w:rsidRDefault="006B5E53" w:rsidP="006B5E53">
            <w:pPr>
              <w:pStyle w:val="BodyCopy"/>
              <w:spacing w:before="40" w:after="40"/>
              <w:rPr>
                <w:sz w:val="20"/>
                <w:szCs w:val="20"/>
              </w:rPr>
            </w:pPr>
            <w:r w:rsidRPr="00BD61D2">
              <w:rPr>
                <w:sz w:val="20"/>
                <w:szCs w:val="20"/>
              </w:rPr>
              <w:t xml:space="preserve"> 853 </w:t>
            </w:r>
          </w:p>
        </w:tc>
        <w:tc>
          <w:tcPr>
            <w:tcW w:w="0" w:type="dxa"/>
          </w:tcPr>
          <w:p w14:paraId="3543DB69" w14:textId="30AE83F1" w:rsidR="006B5E53" w:rsidRPr="003A5A55" w:rsidRDefault="006B5E53" w:rsidP="006B5E53">
            <w:pPr>
              <w:pStyle w:val="BodyCopy"/>
              <w:spacing w:before="40" w:after="40"/>
              <w:rPr>
                <w:sz w:val="20"/>
                <w:szCs w:val="20"/>
              </w:rPr>
            </w:pPr>
            <w:r w:rsidRPr="00BD61D2">
              <w:rPr>
                <w:sz w:val="20"/>
                <w:szCs w:val="20"/>
              </w:rPr>
              <w:t xml:space="preserve"> 853 </w:t>
            </w:r>
          </w:p>
        </w:tc>
      </w:tr>
      <w:tr w:rsidR="006B5E53" w:rsidRPr="007C2428" w14:paraId="2C8E1060" w14:textId="77777777" w:rsidTr="00BD61D2">
        <w:trPr>
          <w:trHeight w:val="300"/>
        </w:trPr>
        <w:tc>
          <w:tcPr>
            <w:tcW w:w="0" w:type="dxa"/>
            <w:hideMark/>
          </w:tcPr>
          <w:p w14:paraId="7FFC87FF" w14:textId="77777777" w:rsidR="006B5E53" w:rsidRPr="00C4270B" w:rsidRDefault="006B5E53" w:rsidP="006B5E53">
            <w:pPr>
              <w:pStyle w:val="BodyCopy"/>
              <w:spacing w:before="40" w:after="40"/>
              <w:rPr>
                <w:sz w:val="20"/>
                <w:szCs w:val="20"/>
              </w:rPr>
            </w:pPr>
            <w:r w:rsidRPr="00C4270B">
              <w:rPr>
                <w:sz w:val="20"/>
                <w:szCs w:val="20"/>
              </w:rPr>
              <w:t xml:space="preserve"> Truck (type 2) </w:t>
            </w:r>
          </w:p>
        </w:tc>
        <w:tc>
          <w:tcPr>
            <w:tcW w:w="0" w:type="dxa"/>
          </w:tcPr>
          <w:p w14:paraId="15FA30C2" w14:textId="32088F24" w:rsidR="006B5E53" w:rsidRPr="003A5A55" w:rsidRDefault="006B5E53" w:rsidP="006B5E53">
            <w:pPr>
              <w:pStyle w:val="BodyCopy"/>
              <w:spacing w:before="40" w:after="40"/>
              <w:rPr>
                <w:sz w:val="20"/>
                <w:szCs w:val="20"/>
              </w:rPr>
            </w:pPr>
            <w:r w:rsidRPr="00BD61D2">
              <w:rPr>
                <w:sz w:val="20"/>
                <w:szCs w:val="20"/>
              </w:rPr>
              <w:t xml:space="preserve"> 853 </w:t>
            </w:r>
          </w:p>
        </w:tc>
        <w:tc>
          <w:tcPr>
            <w:tcW w:w="0" w:type="dxa"/>
          </w:tcPr>
          <w:p w14:paraId="3A2D4457" w14:textId="0D6822B6" w:rsidR="006B5E53" w:rsidRPr="003A5A55" w:rsidRDefault="006B5E53" w:rsidP="006B5E53">
            <w:pPr>
              <w:pStyle w:val="BodyCopy"/>
              <w:spacing w:before="40" w:after="40"/>
              <w:rPr>
                <w:sz w:val="20"/>
                <w:szCs w:val="20"/>
              </w:rPr>
            </w:pPr>
            <w:r w:rsidRPr="00BD61D2">
              <w:rPr>
                <w:sz w:val="20"/>
                <w:szCs w:val="20"/>
              </w:rPr>
              <w:t xml:space="preserve"> 968 </w:t>
            </w:r>
          </w:p>
        </w:tc>
        <w:tc>
          <w:tcPr>
            <w:tcW w:w="0" w:type="dxa"/>
          </w:tcPr>
          <w:p w14:paraId="75A38A7B" w14:textId="6F08504B" w:rsidR="006B5E53" w:rsidRPr="003A5A55" w:rsidRDefault="006B5E53" w:rsidP="006B5E53">
            <w:pPr>
              <w:pStyle w:val="BodyCopy"/>
              <w:spacing w:before="40" w:after="40"/>
              <w:rPr>
                <w:sz w:val="20"/>
                <w:szCs w:val="20"/>
              </w:rPr>
            </w:pPr>
            <w:r w:rsidRPr="00BD61D2">
              <w:rPr>
                <w:sz w:val="20"/>
                <w:szCs w:val="20"/>
              </w:rPr>
              <w:t xml:space="preserve"> 968 </w:t>
            </w:r>
          </w:p>
        </w:tc>
        <w:tc>
          <w:tcPr>
            <w:tcW w:w="0" w:type="dxa"/>
          </w:tcPr>
          <w:p w14:paraId="1E047876" w14:textId="2CFD4595" w:rsidR="006B5E53" w:rsidRPr="003A5A55" w:rsidRDefault="006B5E53" w:rsidP="006B5E53">
            <w:pPr>
              <w:pStyle w:val="BodyCopy"/>
              <w:spacing w:before="40" w:after="40"/>
              <w:rPr>
                <w:sz w:val="20"/>
                <w:szCs w:val="20"/>
              </w:rPr>
            </w:pPr>
            <w:r w:rsidRPr="00BD61D2">
              <w:rPr>
                <w:sz w:val="20"/>
                <w:szCs w:val="20"/>
              </w:rPr>
              <w:t xml:space="preserve"> 968 </w:t>
            </w:r>
          </w:p>
        </w:tc>
      </w:tr>
      <w:tr w:rsidR="006B5E53" w:rsidRPr="007C2428" w14:paraId="6AA4A83F" w14:textId="77777777" w:rsidTr="00BD61D2">
        <w:trPr>
          <w:trHeight w:val="300"/>
        </w:trPr>
        <w:tc>
          <w:tcPr>
            <w:tcW w:w="0" w:type="dxa"/>
            <w:hideMark/>
          </w:tcPr>
          <w:p w14:paraId="6116ED9E" w14:textId="77777777" w:rsidR="006B5E53" w:rsidRPr="00C4270B" w:rsidRDefault="006B5E53" w:rsidP="006B5E53">
            <w:pPr>
              <w:pStyle w:val="BodyCopy"/>
              <w:spacing w:before="40" w:after="40"/>
              <w:rPr>
                <w:sz w:val="20"/>
                <w:szCs w:val="20"/>
              </w:rPr>
            </w:pPr>
            <w:r w:rsidRPr="00C4270B">
              <w:rPr>
                <w:sz w:val="20"/>
                <w:szCs w:val="20"/>
              </w:rPr>
              <w:t xml:space="preserve"> Short combination truck </w:t>
            </w:r>
          </w:p>
        </w:tc>
        <w:tc>
          <w:tcPr>
            <w:tcW w:w="0" w:type="dxa"/>
          </w:tcPr>
          <w:p w14:paraId="47A6AFD3" w14:textId="0B63342F" w:rsidR="006B5E53" w:rsidRPr="003A5A55" w:rsidRDefault="006B5E53" w:rsidP="006B5E53">
            <w:pPr>
              <w:pStyle w:val="BodyCopy"/>
              <w:spacing w:before="40" w:after="40"/>
              <w:rPr>
                <w:sz w:val="20"/>
                <w:szCs w:val="20"/>
              </w:rPr>
            </w:pPr>
            <w:r w:rsidRPr="00BD61D2">
              <w:rPr>
                <w:sz w:val="20"/>
                <w:szCs w:val="20"/>
              </w:rPr>
              <w:t xml:space="preserve"> 853 </w:t>
            </w:r>
          </w:p>
        </w:tc>
        <w:tc>
          <w:tcPr>
            <w:tcW w:w="0" w:type="dxa"/>
          </w:tcPr>
          <w:p w14:paraId="60B3FAEE" w14:textId="77D59463" w:rsidR="006B5E53" w:rsidRPr="003A5A55" w:rsidRDefault="006B5E53" w:rsidP="006B5E53">
            <w:pPr>
              <w:pStyle w:val="BodyCopy"/>
              <w:spacing w:before="40" w:after="40"/>
              <w:rPr>
                <w:sz w:val="20"/>
                <w:szCs w:val="20"/>
              </w:rPr>
            </w:pPr>
            <w:r w:rsidRPr="00BD61D2">
              <w:rPr>
                <w:sz w:val="20"/>
                <w:szCs w:val="20"/>
              </w:rPr>
              <w:t xml:space="preserve"> 968 </w:t>
            </w:r>
          </w:p>
        </w:tc>
        <w:tc>
          <w:tcPr>
            <w:tcW w:w="0" w:type="dxa"/>
          </w:tcPr>
          <w:p w14:paraId="73AE6F06" w14:textId="57AA8556" w:rsidR="006B5E53" w:rsidRPr="003A5A55" w:rsidRDefault="006B5E53" w:rsidP="006B5E53">
            <w:pPr>
              <w:pStyle w:val="BodyCopy"/>
              <w:spacing w:before="40" w:after="40"/>
              <w:rPr>
                <w:sz w:val="20"/>
                <w:szCs w:val="20"/>
              </w:rPr>
            </w:pPr>
            <w:r w:rsidRPr="00BD61D2">
              <w:rPr>
                <w:sz w:val="20"/>
                <w:szCs w:val="20"/>
              </w:rPr>
              <w:t xml:space="preserve"> 1,946 </w:t>
            </w:r>
          </w:p>
        </w:tc>
        <w:tc>
          <w:tcPr>
            <w:tcW w:w="0" w:type="dxa"/>
          </w:tcPr>
          <w:p w14:paraId="05E62EF9" w14:textId="43CA1952" w:rsidR="006B5E53" w:rsidRPr="003A5A55" w:rsidRDefault="006B5E53" w:rsidP="006B5E53">
            <w:pPr>
              <w:pStyle w:val="BodyCopy"/>
              <w:spacing w:before="40" w:after="40"/>
              <w:rPr>
                <w:sz w:val="20"/>
                <w:szCs w:val="20"/>
              </w:rPr>
            </w:pPr>
            <w:r w:rsidRPr="00BD61D2">
              <w:rPr>
                <w:sz w:val="20"/>
                <w:szCs w:val="20"/>
              </w:rPr>
              <w:t xml:space="preserve"> 1,946 </w:t>
            </w:r>
          </w:p>
        </w:tc>
      </w:tr>
      <w:tr w:rsidR="006B5E53" w:rsidRPr="007C2428" w14:paraId="03053C4A" w14:textId="77777777" w:rsidTr="00BD61D2">
        <w:trPr>
          <w:trHeight w:val="300"/>
        </w:trPr>
        <w:tc>
          <w:tcPr>
            <w:tcW w:w="0" w:type="dxa"/>
            <w:hideMark/>
          </w:tcPr>
          <w:p w14:paraId="49D77604" w14:textId="77777777" w:rsidR="006B5E53" w:rsidRPr="00C4270B" w:rsidRDefault="006B5E53" w:rsidP="006B5E53">
            <w:pPr>
              <w:pStyle w:val="BodyCopy"/>
              <w:spacing w:before="40" w:after="40"/>
              <w:rPr>
                <w:sz w:val="20"/>
                <w:szCs w:val="20"/>
              </w:rPr>
            </w:pPr>
            <w:r w:rsidRPr="00C4270B">
              <w:rPr>
                <w:sz w:val="20"/>
                <w:szCs w:val="20"/>
              </w:rPr>
              <w:t xml:space="preserve"> Medium combination truck </w:t>
            </w:r>
          </w:p>
        </w:tc>
        <w:tc>
          <w:tcPr>
            <w:tcW w:w="0" w:type="dxa"/>
          </w:tcPr>
          <w:p w14:paraId="69D75E54" w14:textId="3B3A39E7" w:rsidR="006B5E53" w:rsidRPr="003A5A55" w:rsidRDefault="006B5E53" w:rsidP="006B5E53">
            <w:pPr>
              <w:pStyle w:val="BodyCopy"/>
              <w:spacing w:before="40" w:after="40"/>
              <w:rPr>
                <w:sz w:val="20"/>
                <w:szCs w:val="20"/>
              </w:rPr>
            </w:pPr>
            <w:r w:rsidRPr="00BD61D2">
              <w:rPr>
                <w:sz w:val="20"/>
                <w:szCs w:val="20"/>
              </w:rPr>
              <w:t xml:space="preserve"> 10,224 </w:t>
            </w:r>
          </w:p>
        </w:tc>
        <w:tc>
          <w:tcPr>
            <w:tcW w:w="0" w:type="dxa"/>
          </w:tcPr>
          <w:p w14:paraId="064AA56B" w14:textId="43CC27F6" w:rsidR="006B5E53" w:rsidRPr="003A5A55" w:rsidRDefault="006B5E53" w:rsidP="006B5E53">
            <w:pPr>
              <w:pStyle w:val="BodyCopy"/>
              <w:spacing w:before="40" w:after="40"/>
              <w:rPr>
                <w:sz w:val="20"/>
                <w:szCs w:val="20"/>
              </w:rPr>
            </w:pPr>
            <w:r w:rsidRPr="00BD61D2">
              <w:rPr>
                <w:sz w:val="20"/>
                <w:szCs w:val="20"/>
              </w:rPr>
              <w:t xml:space="preserve"> 10,224 </w:t>
            </w:r>
          </w:p>
        </w:tc>
        <w:tc>
          <w:tcPr>
            <w:tcW w:w="0" w:type="dxa"/>
          </w:tcPr>
          <w:p w14:paraId="78B8B8BC" w14:textId="0A25E86E" w:rsidR="006B5E53" w:rsidRPr="003A5A55" w:rsidRDefault="006B5E53" w:rsidP="006B5E53">
            <w:pPr>
              <w:pStyle w:val="BodyCopy"/>
              <w:spacing w:before="40" w:after="40"/>
              <w:rPr>
                <w:sz w:val="20"/>
                <w:szCs w:val="20"/>
              </w:rPr>
            </w:pPr>
            <w:r w:rsidRPr="00BD61D2">
              <w:rPr>
                <w:sz w:val="20"/>
                <w:szCs w:val="20"/>
              </w:rPr>
              <w:t xml:space="preserve"> 11,042 </w:t>
            </w:r>
          </w:p>
        </w:tc>
        <w:tc>
          <w:tcPr>
            <w:tcW w:w="0" w:type="dxa"/>
          </w:tcPr>
          <w:p w14:paraId="6193ED58" w14:textId="6B527230" w:rsidR="006B5E53" w:rsidRPr="003A5A55" w:rsidRDefault="006B5E53" w:rsidP="006B5E53">
            <w:pPr>
              <w:pStyle w:val="BodyCopy"/>
              <w:spacing w:before="40" w:after="40"/>
              <w:rPr>
                <w:sz w:val="20"/>
                <w:szCs w:val="20"/>
              </w:rPr>
            </w:pPr>
            <w:r w:rsidRPr="00BD61D2">
              <w:rPr>
                <w:sz w:val="20"/>
                <w:szCs w:val="20"/>
              </w:rPr>
              <w:t xml:space="preserve"> 11,042 </w:t>
            </w:r>
          </w:p>
        </w:tc>
      </w:tr>
      <w:tr w:rsidR="006B5E53" w:rsidRPr="007C2428" w14:paraId="07806B1F" w14:textId="77777777" w:rsidTr="00BD61D2">
        <w:trPr>
          <w:trHeight w:val="300"/>
        </w:trPr>
        <w:tc>
          <w:tcPr>
            <w:tcW w:w="0" w:type="dxa"/>
            <w:hideMark/>
          </w:tcPr>
          <w:p w14:paraId="7AE684E6" w14:textId="77777777" w:rsidR="006B5E53" w:rsidRPr="00C4270B" w:rsidRDefault="006B5E53" w:rsidP="006B5E53">
            <w:pPr>
              <w:pStyle w:val="BodyCopy"/>
              <w:spacing w:before="40" w:after="40"/>
              <w:rPr>
                <w:sz w:val="20"/>
                <w:szCs w:val="20"/>
              </w:rPr>
            </w:pPr>
            <w:r w:rsidRPr="00C4270B">
              <w:rPr>
                <w:sz w:val="20"/>
                <w:szCs w:val="20"/>
              </w:rPr>
              <w:t xml:space="preserve"> Long combination truck </w:t>
            </w:r>
          </w:p>
        </w:tc>
        <w:tc>
          <w:tcPr>
            <w:tcW w:w="0" w:type="dxa"/>
          </w:tcPr>
          <w:p w14:paraId="7885573A" w14:textId="54F39E69" w:rsidR="006B5E53" w:rsidRPr="003A5A55" w:rsidRDefault="006B5E53" w:rsidP="006B5E53">
            <w:pPr>
              <w:pStyle w:val="BodyCopy"/>
              <w:spacing w:before="40" w:after="40"/>
              <w:rPr>
                <w:sz w:val="20"/>
                <w:szCs w:val="20"/>
              </w:rPr>
            </w:pPr>
            <w:r w:rsidRPr="00BD61D2">
              <w:rPr>
                <w:sz w:val="20"/>
                <w:szCs w:val="20"/>
              </w:rPr>
              <w:t xml:space="preserve"> 14,134 </w:t>
            </w:r>
          </w:p>
        </w:tc>
        <w:tc>
          <w:tcPr>
            <w:tcW w:w="0" w:type="dxa"/>
          </w:tcPr>
          <w:p w14:paraId="2E703D97" w14:textId="21110F78" w:rsidR="006B5E53" w:rsidRPr="003A5A55" w:rsidRDefault="006B5E53" w:rsidP="006B5E53">
            <w:pPr>
              <w:pStyle w:val="BodyCopy"/>
              <w:spacing w:before="40" w:after="40"/>
              <w:rPr>
                <w:sz w:val="20"/>
                <w:szCs w:val="20"/>
              </w:rPr>
            </w:pPr>
            <w:r w:rsidRPr="00BD61D2">
              <w:rPr>
                <w:sz w:val="20"/>
                <w:szCs w:val="20"/>
              </w:rPr>
              <w:t xml:space="preserve"> 14,134 </w:t>
            </w:r>
          </w:p>
        </w:tc>
        <w:tc>
          <w:tcPr>
            <w:tcW w:w="0" w:type="dxa"/>
          </w:tcPr>
          <w:p w14:paraId="22F78487" w14:textId="268B2299" w:rsidR="006B5E53" w:rsidRPr="003A5A55" w:rsidRDefault="006B5E53" w:rsidP="006B5E53">
            <w:pPr>
              <w:pStyle w:val="BodyCopy"/>
              <w:spacing w:before="40" w:after="40"/>
              <w:rPr>
                <w:sz w:val="20"/>
                <w:szCs w:val="20"/>
              </w:rPr>
            </w:pPr>
            <w:r w:rsidRPr="00BD61D2">
              <w:rPr>
                <w:sz w:val="20"/>
                <w:szCs w:val="20"/>
              </w:rPr>
              <w:t xml:space="preserve"> 14,134 </w:t>
            </w:r>
          </w:p>
        </w:tc>
        <w:tc>
          <w:tcPr>
            <w:tcW w:w="0" w:type="dxa"/>
          </w:tcPr>
          <w:p w14:paraId="0CA3EB24" w14:textId="42BAFD4E" w:rsidR="006B5E53" w:rsidRPr="003A5A55" w:rsidRDefault="006B5E53" w:rsidP="006B5E53">
            <w:pPr>
              <w:pStyle w:val="BodyCopy"/>
              <w:spacing w:before="40" w:after="40"/>
              <w:rPr>
                <w:sz w:val="20"/>
                <w:szCs w:val="20"/>
              </w:rPr>
            </w:pPr>
            <w:r w:rsidRPr="00BD61D2">
              <w:rPr>
                <w:sz w:val="20"/>
                <w:szCs w:val="20"/>
              </w:rPr>
              <w:t xml:space="preserve"> 14,134 </w:t>
            </w:r>
          </w:p>
        </w:tc>
      </w:tr>
      <w:tr w:rsidR="006B5E53" w:rsidRPr="007C2428" w14:paraId="3DD37B79" w14:textId="77777777" w:rsidTr="00BD61D2">
        <w:trPr>
          <w:trHeight w:val="300"/>
        </w:trPr>
        <w:tc>
          <w:tcPr>
            <w:tcW w:w="0" w:type="dxa"/>
            <w:hideMark/>
          </w:tcPr>
          <w:p w14:paraId="649A29B9" w14:textId="7C9C6CEE" w:rsidR="006B5E53" w:rsidRPr="00C4270B" w:rsidRDefault="006B5E53" w:rsidP="006B5E53">
            <w:pPr>
              <w:pStyle w:val="BodyCopy"/>
              <w:spacing w:before="40" w:after="40"/>
              <w:rPr>
                <w:b/>
                <w:bCs/>
                <w:sz w:val="20"/>
                <w:szCs w:val="20"/>
              </w:rPr>
            </w:pPr>
            <w:r w:rsidRPr="00C4270B">
              <w:rPr>
                <w:b/>
                <w:bCs/>
                <w:sz w:val="20"/>
                <w:szCs w:val="20"/>
              </w:rPr>
              <w:t xml:space="preserve"> Prime movers </w:t>
            </w:r>
          </w:p>
        </w:tc>
        <w:tc>
          <w:tcPr>
            <w:tcW w:w="0" w:type="dxa"/>
          </w:tcPr>
          <w:p w14:paraId="093F9785" w14:textId="30C0BEEC" w:rsidR="006B5E53" w:rsidRPr="003A5A55" w:rsidRDefault="006B5E53" w:rsidP="006B5E53">
            <w:pPr>
              <w:pStyle w:val="BodyCopy"/>
              <w:spacing w:before="40" w:after="40"/>
              <w:rPr>
                <w:sz w:val="20"/>
                <w:szCs w:val="20"/>
              </w:rPr>
            </w:pPr>
          </w:p>
        </w:tc>
        <w:tc>
          <w:tcPr>
            <w:tcW w:w="0" w:type="dxa"/>
          </w:tcPr>
          <w:p w14:paraId="67A47FB6" w14:textId="6D69296A" w:rsidR="006B5E53" w:rsidRPr="003A5A55" w:rsidRDefault="006B5E53" w:rsidP="006B5E53">
            <w:pPr>
              <w:pStyle w:val="BodyCopy"/>
              <w:spacing w:before="40" w:after="40"/>
              <w:rPr>
                <w:sz w:val="20"/>
                <w:szCs w:val="20"/>
              </w:rPr>
            </w:pPr>
          </w:p>
        </w:tc>
        <w:tc>
          <w:tcPr>
            <w:tcW w:w="0" w:type="dxa"/>
          </w:tcPr>
          <w:p w14:paraId="2CC46460" w14:textId="7666C4DC" w:rsidR="006B5E53" w:rsidRPr="003A5A55" w:rsidRDefault="006B5E53" w:rsidP="006B5E53">
            <w:pPr>
              <w:pStyle w:val="BodyCopy"/>
              <w:spacing w:before="40" w:after="40"/>
              <w:rPr>
                <w:sz w:val="20"/>
                <w:szCs w:val="20"/>
              </w:rPr>
            </w:pPr>
          </w:p>
        </w:tc>
        <w:tc>
          <w:tcPr>
            <w:tcW w:w="0" w:type="dxa"/>
          </w:tcPr>
          <w:p w14:paraId="054B8900" w14:textId="5F9B27C7" w:rsidR="006B5E53" w:rsidRPr="003A5A55" w:rsidRDefault="006B5E53" w:rsidP="006B5E53">
            <w:pPr>
              <w:pStyle w:val="BodyCopy"/>
              <w:spacing w:before="40" w:after="40"/>
              <w:rPr>
                <w:sz w:val="20"/>
                <w:szCs w:val="20"/>
              </w:rPr>
            </w:pPr>
          </w:p>
        </w:tc>
      </w:tr>
      <w:tr w:rsidR="006B5E53" w:rsidRPr="007C2428" w14:paraId="17010EC2" w14:textId="77777777" w:rsidTr="00BD61D2">
        <w:trPr>
          <w:trHeight w:val="300"/>
        </w:trPr>
        <w:tc>
          <w:tcPr>
            <w:tcW w:w="0" w:type="dxa"/>
            <w:hideMark/>
          </w:tcPr>
          <w:p w14:paraId="7534ACD1" w14:textId="77777777" w:rsidR="006B5E53" w:rsidRPr="00C4270B" w:rsidRDefault="006B5E53" w:rsidP="006B5E53">
            <w:pPr>
              <w:pStyle w:val="BodyCopy"/>
              <w:spacing w:before="40" w:after="40"/>
              <w:rPr>
                <w:sz w:val="20"/>
                <w:szCs w:val="20"/>
              </w:rPr>
            </w:pPr>
            <w:r w:rsidRPr="00C4270B">
              <w:rPr>
                <w:sz w:val="20"/>
                <w:szCs w:val="20"/>
              </w:rPr>
              <w:t xml:space="preserve"> Short combination prime mover </w:t>
            </w:r>
          </w:p>
        </w:tc>
        <w:tc>
          <w:tcPr>
            <w:tcW w:w="0" w:type="dxa"/>
          </w:tcPr>
          <w:p w14:paraId="00D6C24B" w14:textId="1A947C3E" w:rsidR="006B5E53" w:rsidRPr="003A5A55" w:rsidRDefault="006B5E53" w:rsidP="006B5E53">
            <w:pPr>
              <w:pStyle w:val="BodyCopy"/>
              <w:spacing w:before="40" w:after="40"/>
              <w:rPr>
                <w:sz w:val="20"/>
                <w:szCs w:val="20"/>
              </w:rPr>
            </w:pPr>
            <w:r w:rsidRPr="00BD61D2">
              <w:rPr>
                <w:sz w:val="20"/>
                <w:szCs w:val="20"/>
              </w:rPr>
              <w:t xml:space="preserve"> 827 </w:t>
            </w:r>
          </w:p>
        </w:tc>
        <w:tc>
          <w:tcPr>
            <w:tcW w:w="0" w:type="dxa"/>
          </w:tcPr>
          <w:p w14:paraId="49E86E2B" w14:textId="4D6F275F" w:rsidR="006B5E53" w:rsidRPr="003A5A55" w:rsidRDefault="006B5E53" w:rsidP="006B5E53">
            <w:pPr>
              <w:pStyle w:val="BodyCopy"/>
              <w:spacing w:before="40" w:after="40"/>
              <w:rPr>
                <w:sz w:val="20"/>
                <w:szCs w:val="20"/>
              </w:rPr>
            </w:pPr>
            <w:r w:rsidRPr="00BD61D2">
              <w:rPr>
                <w:sz w:val="20"/>
                <w:szCs w:val="20"/>
              </w:rPr>
              <w:t xml:space="preserve"> 4,716 </w:t>
            </w:r>
          </w:p>
        </w:tc>
        <w:tc>
          <w:tcPr>
            <w:tcW w:w="0" w:type="dxa"/>
          </w:tcPr>
          <w:p w14:paraId="74D746EE" w14:textId="3C4640FA" w:rsidR="006B5E53" w:rsidRPr="003A5A55" w:rsidRDefault="006B5E53" w:rsidP="006B5E53">
            <w:pPr>
              <w:pStyle w:val="BodyCopy"/>
              <w:spacing w:before="40" w:after="40"/>
              <w:rPr>
                <w:sz w:val="20"/>
                <w:szCs w:val="20"/>
              </w:rPr>
            </w:pPr>
            <w:r w:rsidRPr="00BD61D2">
              <w:rPr>
                <w:sz w:val="20"/>
                <w:szCs w:val="20"/>
              </w:rPr>
              <w:t xml:space="preserve"> 5,069 </w:t>
            </w:r>
          </w:p>
        </w:tc>
        <w:tc>
          <w:tcPr>
            <w:tcW w:w="0" w:type="dxa"/>
          </w:tcPr>
          <w:p w14:paraId="01C8FF91" w14:textId="6E378C03" w:rsidR="006B5E53" w:rsidRPr="003A5A55" w:rsidRDefault="006B5E53" w:rsidP="006B5E53">
            <w:pPr>
              <w:pStyle w:val="BodyCopy"/>
              <w:spacing w:before="40" w:after="40"/>
              <w:rPr>
                <w:sz w:val="20"/>
                <w:szCs w:val="20"/>
              </w:rPr>
            </w:pPr>
            <w:r w:rsidRPr="00BD61D2">
              <w:rPr>
                <w:sz w:val="20"/>
                <w:szCs w:val="20"/>
              </w:rPr>
              <w:t xml:space="preserve"> 5,069 </w:t>
            </w:r>
          </w:p>
        </w:tc>
      </w:tr>
      <w:tr w:rsidR="006B5E53" w:rsidRPr="007C2428" w14:paraId="44B11049" w14:textId="77777777" w:rsidTr="00BD61D2">
        <w:trPr>
          <w:trHeight w:val="300"/>
        </w:trPr>
        <w:tc>
          <w:tcPr>
            <w:tcW w:w="0" w:type="dxa"/>
            <w:hideMark/>
          </w:tcPr>
          <w:p w14:paraId="1E9FDAFC" w14:textId="77777777" w:rsidR="006B5E53" w:rsidRPr="00C4270B" w:rsidRDefault="006B5E53" w:rsidP="006B5E53">
            <w:pPr>
              <w:pStyle w:val="BodyCopy"/>
              <w:spacing w:before="40" w:after="40"/>
              <w:rPr>
                <w:sz w:val="20"/>
                <w:szCs w:val="20"/>
              </w:rPr>
            </w:pPr>
            <w:r w:rsidRPr="00C4270B">
              <w:rPr>
                <w:sz w:val="20"/>
                <w:szCs w:val="20"/>
              </w:rPr>
              <w:t xml:space="preserve"> Multi-combination prime mover </w:t>
            </w:r>
          </w:p>
        </w:tc>
        <w:tc>
          <w:tcPr>
            <w:tcW w:w="0" w:type="dxa"/>
          </w:tcPr>
          <w:p w14:paraId="75A0A9FE" w14:textId="64033D15" w:rsidR="006B5E53" w:rsidRPr="003A5A55" w:rsidRDefault="006B5E53" w:rsidP="006B5E53">
            <w:pPr>
              <w:pStyle w:val="BodyCopy"/>
              <w:spacing w:before="40" w:after="40"/>
              <w:rPr>
                <w:sz w:val="20"/>
                <w:szCs w:val="20"/>
              </w:rPr>
            </w:pPr>
            <w:r w:rsidRPr="00BD61D2">
              <w:rPr>
                <w:sz w:val="20"/>
                <w:szCs w:val="20"/>
              </w:rPr>
              <w:t xml:space="preserve"> 11,963 </w:t>
            </w:r>
          </w:p>
        </w:tc>
        <w:tc>
          <w:tcPr>
            <w:tcW w:w="0" w:type="dxa"/>
          </w:tcPr>
          <w:p w14:paraId="2FA67B2C" w14:textId="6B4B4158" w:rsidR="006B5E53" w:rsidRPr="003A5A55" w:rsidRDefault="006B5E53" w:rsidP="006B5E53">
            <w:pPr>
              <w:pStyle w:val="BodyCopy"/>
              <w:spacing w:before="40" w:after="40"/>
              <w:rPr>
                <w:sz w:val="20"/>
                <w:szCs w:val="20"/>
              </w:rPr>
            </w:pPr>
            <w:r w:rsidRPr="00BD61D2">
              <w:rPr>
                <w:sz w:val="20"/>
                <w:szCs w:val="20"/>
              </w:rPr>
              <w:t xml:space="preserve"> 11,963 </w:t>
            </w:r>
          </w:p>
        </w:tc>
        <w:tc>
          <w:tcPr>
            <w:tcW w:w="0" w:type="dxa"/>
          </w:tcPr>
          <w:p w14:paraId="20D0113E" w14:textId="4116AA54" w:rsidR="006B5E53" w:rsidRPr="003A5A55" w:rsidRDefault="006B5E53" w:rsidP="006B5E53">
            <w:pPr>
              <w:pStyle w:val="BodyCopy"/>
              <w:spacing w:before="40" w:after="40"/>
              <w:rPr>
                <w:sz w:val="20"/>
                <w:szCs w:val="20"/>
              </w:rPr>
            </w:pPr>
            <w:r w:rsidRPr="00BD61D2">
              <w:rPr>
                <w:sz w:val="20"/>
                <w:szCs w:val="20"/>
              </w:rPr>
              <w:t xml:space="preserve"> 13,159 </w:t>
            </w:r>
          </w:p>
        </w:tc>
        <w:tc>
          <w:tcPr>
            <w:tcW w:w="0" w:type="dxa"/>
          </w:tcPr>
          <w:p w14:paraId="69322B39" w14:textId="1D913EF2" w:rsidR="006B5E53" w:rsidRPr="003A5A55" w:rsidRDefault="006B5E53" w:rsidP="006B5E53">
            <w:pPr>
              <w:pStyle w:val="BodyCopy"/>
              <w:spacing w:before="40" w:after="40"/>
              <w:rPr>
                <w:sz w:val="20"/>
                <w:szCs w:val="20"/>
              </w:rPr>
            </w:pPr>
            <w:r w:rsidRPr="00BD61D2">
              <w:rPr>
                <w:sz w:val="20"/>
                <w:szCs w:val="20"/>
              </w:rPr>
              <w:t xml:space="preserve"> 13,159 </w:t>
            </w:r>
          </w:p>
        </w:tc>
      </w:tr>
      <w:tr w:rsidR="007C2428" w:rsidRPr="007C2428" w14:paraId="10A50336" w14:textId="77777777" w:rsidTr="00AF7B68">
        <w:trPr>
          <w:trHeight w:val="300"/>
        </w:trPr>
        <w:tc>
          <w:tcPr>
            <w:tcW w:w="9027" w:type="dxa"/>
            <w:gridSpan w:val="5"/>
            <w:vAlign w:val="center"/>
            <w:hideMark/>
          </w:tcPr>
          <w:p w14:paraId="57CA8D8B" w14:textId="130D9792" w:rsidR="007C2428" w:rsidRPr="00C4270B" w:rsidRDefault="007C2428" w:rsidP="00AF7B68">
            <w:pPr>
              <w:pStyle w:val="BodyCopy"/>
              <w:spacing w:before="40" w:after="40"/>
              <w:jc w:val="center"/>
              <w:rPr>
                <w:b/>
                <w:bCs/>
                <w:sz w:val="20"/>
                <w:szCs w:val="20"/>
              </w:rPr>
            </w:pPr>
            <w:r w:rsidRPr="00C4270B">
              <w:rPr>
                <w:b/>
                <w:bCs/>
                <w:sz w:val="20"/>
                <w:szCs w:val="20"/>
              </w:rPr>
              <w:t>DIVISION 2 – LOAD CARRYING TRAILERS ($)</w:t>
            </w:r>
          </w:p>
        </w:tc>
      </w:tr>
      <w:tr w:rsidR="007C2428" w:rsidRPr="007C2428" w14:paraId="59BB98F9" w14:textId="77777777" w:rsidTr="007C2428">
        <w:trPr>
          <w:trHeight w:val="900"/>
        </w:trPr>
        <w:tc>
          <w:tcPr>
            <w:tcW w:w="4420" w:type="dxa"/>
            <w:hideMark/>
          </w:tcPr>
          <w:p w14:paraId="2578EFCF" w14:textId="77777777" w:rsidR="007C2428" w:rsidRPr="00C4270B" w:rsidRDefault="007C2428"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2B948CBA" w14:textId="55F76E4B" w:rsidR="007C2428" w:rsidRPr="00C4270B" w:rsidRDefault="007C2428"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7CE77BB5" w14:textId="75855C1F" w:rsidR="007C2428" w:rsidRPr="00C4270B" w:rsidRDefault="007C2428"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5781BB2D" w14:textId="42F6644A" w:rsidR="007C2428" w:rsidRPr="00C4270B" w:rsidRDefault="007C2428"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26F680E5" w14:textId="42CA2145" w:rsidR="007C2428" w:rsidRPr="00C4270B" w:rsidRDefault="007C2428"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7C2428" w:rsidRPr="007C2428" w14:paraId="46C2168B" w14:textId="77777777" w:rsidTr="007C2428">
        <w:trPr>
          <w:trHeight w:val="300"/>
        </w:trPr>
        <w:tc>
          <w:tcPr>
            <w:tcW w:w="4420" w:type="dxa"/>
            <w:hideMark/>
          </w:tcPr>
          <w:p w14:paraId="0CE862C0" w14:textId="180BDBF4" w:rsidR="007C2428" w:rsidRPr="00C4270B" w:rsidRDefault="007C2428" w:rsidP="00AF7B68">
            <w:pPr>
              <w:pStyle w:val="BodyCopy"/>
              <w:spacing w:before="40" w:after="40"/>
              <w:rPr>
                <w:b/>
                <w:bCs/>
                <w:sz w:val="20"/>
                <w:szCs w:val="20"/>
              </w:rPr>
            </w:pPr>
            <w:r w:rsidRPr="00C4270B">
              <w:rPr>
                <w:b/>
                <w:bCs/>
                <w:sz w:val="20"/>
                <w:szCs w:val="20"/>
              </w:rPr>
              <w:t xml:space="preserve"> Trailer </w:t>
            </w:r>
            <w:r w:rsidR="006F7F4A" w:rsidRPr="00C4270B">
              <w:rPr>
                <w:b/>
                <w:bCs/>
                <w:sz w:val="20"/>
                <w:szCs w:val="20"/>
              </w:rPr>
              <w:t>t</w:t>
            </w:r>
            <w:r w:rsidRPr="00C4270B">
              <w:rPr>
                <w:b/>
                <w:bCs/>
                <w:sz w:val="20"/>
                <w:szCs w:val="20"/>
              </w:rPr>
              <w:t xml:space="preserve">ype </w:t>
            </w:r>
          </w:p>
        </w:tc>
        <w:tc>
          <w:tcPr>
            <w:tcW w:w="1132" w:type="dxa"/>
            <w:hideMark/>
          </w:tcPr>
          <w:p w14:paraId="4A210E81"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713651E3"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4BF0684D"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60DE2F1B" w14:textId="77777777" w:rsidR="007C2428" w:rsidRPr="00C4270B" w:rsidRDefault="007C2428" w:rsidP="00AF7B68">
            <w:pPr>
              <w:pStyle w:val="BodyCopy"/>
              <w:spacing w:before="40" w:after="40"/>
              <w:rPr>
                <w:sz w:val="20"/>
                <w:szCs w:val="20"/>
              </w:rPr>
            </w:pPr>
            <w:r w:rsidRPr="00C4270B">
              <w:rPr>
                <w:sz w:val="20"/>
                <w:szCs w:val="20"/>
              </w:rPr>
              <w:t> </w:t>
            </w:r>
          </w:p>
        </w:tc>
      </w:tr>
      <w:tr w:rsidR="006B5E53" w:rsidRPr="007C2428" w14:paraId="7A60AE15" w14:textId="77777777" w:rsidTr="00BD61D2">
        <w:trPr>
          <w:trHeight w:val="300"/>
        </w:trPr>
        <w:tc>
          <w:tcPr>
            <w:tcW w:w="0" w:type="dxa"/>
            <w:hideMark/>
          </w:tcPr>
          <w:p w14:paraId="1EE7B661" w14:textId="1A01CBED" w:rsidR="006B5E53" w:rsidRPr="00C4270B" w:rsidRDefault="006B5E53" w:rsidP="006B5E53">
            <w:pPr>
              <w:pStyle w:val="BodyCopy"/>
              <w:spacing w:before="40" w:after="40"/>
              <w:rPr>
                <w:sz w:val="20"/>
                <w:szCs w:val="20"/>
              </w:rPr>
            </w:pPr>
            <w:r w:rsidRPr="00C4270B">
              <w:rPr>
                <w:sz w:val="20"/>
                <w:szCs w:val="20"/>
              </w:rPr>
              <w:t xml:space="preserve"> Pig trailer </w:t>
            </w:r>
          </w:p>
        </w:tc>
        <w:tc>
          <w:tcPr>
            <w:tcW w:w="0" w:type="dxa"/>
          </w:tcPr>
          <w:p w14:paraId="3A4C5F96" w14:textId="68288900"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1EFBC7C0" w14:textId="761CC2F4"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3C2AC473" w14:textId="486FF171"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4FBF565B" w14:textId="098E5DFC" w:rsidR="006B5E53" w:rsidRPr="003A5A55" w:rsidRDefault="006B5E53" w:rsidP="006B5E53">
            <w:pPr>
              <w:pStyle w:val="BodyCopy"/>
              <w:spacing w:before="40" w:after="40"/>
              <w:rPr>
                <w:sz w:val="20"/>
                <w:szCs w:val="20"/>
              </w:rPr>
            </w:pPr>
            <w:r w:rsidRPr="00BD61D2">
              <w:rPr>
                <w:sz w:val="20"/>
                <w:szCs w:val="20"/>
              </w:rPr>
              <w:t xml:space="preserve"> 703 </w:t>
            </w:r>
          </w:p>
        </w:tc>
      </w:tr>
      <w:tr w:rsidR="006B5E53" w:rsidRPr="007C2428" w14:paraId="68658588" w14:textId="77777777" w:rsidTr="00BD61D2">
        <w:trPr>
          <w:trHeight w:val="300"/>
        </w:trPr>
        <w:tc>
          <w:tcPr>
            <w:tcW w:w="0" w:type="dxa"/>
            <w:hideMark/>
          </w:tcPr>
          <w:p w14:paraId="6A035157" w14:textId="51F903FC" w:rsidR="006B5E53" w:rsidRPr="00C4270B" w:rsidRDefault="006B5E53" w:rsidP="006B5E53">
            <w:pPr>
              <w:pStyle w:val="BodyCopy"/>
              <w:spacing w:before="40" w:after="40"/>
              <w:rPr>
                <w:sz w:val="20"/>
                <w:szCs w:val="20"/>
              </w:rPr>
            </w:pPr>
            <w:r w:rsidRPr="00C4270B">
              <w:rPr>
                <w:sz w:val="20"/>
                <w:szCs w:val="20"/>
              </w:rPr>
              <w:t xml:space="preserve"> Dog trailer </w:t>
            </w:r>
          </w:p>
        </w:tc>
        <w:tc>
          <w:tcPr>
            <w:tcW w:w="0" w:type="dxa"/>
          </w:tcPr>
          <w:p w14:paraId="1C545E3C" w14:textId="35B84F89"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6BAFDF4A" w14:textId="7ACFFD14"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5515FC43" w14:textId="182CDEF4"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477B8336" w14:textId="0C7205B2" w:rsidR="006B5E53" w:rsidRPr="003A5A55" w:rsidRDefault="006B5E53" w:rsidP="006B5E53">
            <w:pPr>
              <w:pStyle w:val="BodyCopy"/>
              <w:spacing w:before="40" w:after="40"/>
              <w:rPr>
                <w:sz w:val="20"/>
                <w:szCs w:val="20"/>
              </w:rPr>
            </w:pPr>
            <w:r w:rsidRPr="00BD61D2">
              <w:rPr>
                <w:sz w:val="20"/>
                <w:szCs w:val="20"/>
              </w:rPr>
              <w:t xml:space="preserve"> 703 </w:t>
            </w:r>
          </w:p>
        </w:tc>
      </w:tr>
      <w:tr w:rsidR="006B5E53" w:rsidRPr="007C2428" w14:paraId="3D3C25B9" w14:textId="77777777" w:rsidTr="00BD61D2">
        <w:trPr>
          <w:trHeight w:val="300"/>
        </w:trPr>
        <w:tc>
          <w:tcPr>
            <w:tcW w:w="0" w:type="dxa"/>
            <w:hideMark/>
          </w:tcPr>
          <w:p w14:paraId="19C0A739" w14:textId="591ABFEC" w:rsidR="006B5E53" w:rsidRPr="00C4270B" w:rsidRDefault="006B5E53" w:rsidP="006B5E53">
            <w:pPr>
              <w:pStyle w:val="BodyCopy"/>
              <w:spacing w:before="40" w:after="40"/>
              <w:rPr>
                <w:sz w:val="20"/>
                <w:szCs w:val="20"/>
              </w:rPr>
            </w:pPr>
            <w:r w:rsidRPr="00C4270B">
              <w:rPr>
                <w:sz w:val="20"/>
                <w:szCs w:val="20"/>
              </w:rPr>
              <w:t xml:space="preserve"> Semitrailer </w:t>
            </w:r>
          </w:p>
        </w:tc>
        <w:tc>
          <w:tcPr>
            <w:tcW w:w="0" w:type="dxa"/>
          </w:tcPr>
          <w:p w14:paraId="0EDBF001" w14:textId="0D5122FB"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269315FB" w14:textId="7CB7BC30" w:rsidR="006B5E53" w:rsidRPr="003A5A55" w:rsidRDefault="006B5E53" w:rsidP="006B5E53">
            <w:pPr>
              <w:pStyle w:val="BodyCopy"/>
              <w:spacing w:before="40" w:after="40"/>
              <w:rPr>
                <w:sz w:val="20"/>
                <w:szCs w:val="20"/>
              </w:rPr>
            </w:pPr>
            <w:r w:rsidRPr="00BD61D2">
              <w:rPr>
                <w:sz w:val="20"/>
                <w:szCs w:val="20"/>
              </w:rPr>
              <w:t xml:space="preserve"> 893 </w:t>
            </w:r>
          </w:p>
        </w:tc>
        <w:tc>
          <w:tcPr>
            <w:tcW w:w="0" w:type="dxa"/>
          </w:tcPr>
          <w:p w14:paraId="73BEF9D3" w14:textId="2FBB88CE" w:rsidR="006B5E53" w:rsidRPr="003A5A55" w:rsidRDefault="006B5E53" w:rsidP="006B5E53">
            <w:pPr>
              <w:pStyle w:val="BodyCopy"/>
              <w:spacing w:before="40" w:after="40"/>
              <w:rPr>
                <w:sz w:val="20"/>
                <w:szCs w:val="20"/>
              </w:rPr>
            </w:pPr>
            <w:r w:rsidRPr="00BD61D2">
              <w:rPr>
                <w:sz w:val="20"/>
                <w:szCs w:val="20"/>
              </w:rPr>
              <w:t xml:space="preserve"> 635 </w:t>
            </w:r>
          </w:p>
        </w:tc>
        <w:tc>
          <w:tcPr>
            <w:tcW w:w="0" w:type="dxa"/>
          </w:tcPr>
          <w:p w14:paraId="008303F9" w14:textId="487C1AFB" w:rsidR="006B5E53" w:rsidRPr="003A5A55" w:rsidRDefault="006B5E53" w:rsidP="006B5E53">
            <w:pPr>
              <w:pStyle w:val="BodyCopy"/>
              <w:spacing w:before="40" w:after="40"/>
              <w:rPr>
                <w:sz w:val="20"/>
                <w:szCs w:val="20"/>
              </w:rPr>
            </w:pPr>
            <w:r w:rsidRPr="00BD61D2">
              <w:rPr>
                <w:sz w:val="20"/>
                <w:szCs w:val="20"/>
              </w:rPr>
              <w:t xml:space="preserve"> 476 </w:t>
            </w:r>
          </w:p>
        </w:tc>
      </w:tr>
      <w:tr w:rsidR="006B5E53" w:rsidRPr="007C2428" w14:paraId="208BA749" w14:textId="77777777" w:rsidTr="00BD61D2">
        <w:trPr>
          <w:trHeight w:val="300"/>
        </w:trPr>
        <w:tc>
          <w:tcPr>
            <w:tcW w:w="0" w:type="dxa"/>
            <w:hideMark/>
          </w:tcPr>
          <w:p w14:paraId="478001E0" w14:textId="77777777" w:rsidR="006B5E53" w:rsidRPr="00C4270B" w:rsidRDefault="006B5E53" w:rsidP="006B5E53">
            <w:pPr>
              <w:pStyle w:val="BodyCopy"/>
              <w:spacing w:before="40" w:after="40"/>
              <w:rPr>
                <w:sz w:val="20"/>
                <w:szCs w:val="20"/>
              </w:rPr>
            </w:pPr>
            <w:r w:rsidRPr="00C4270B">
              <w:rPr>
                <w:sz w:val="20"/>
                <w:szCs w:val="20"/>
              </w:rPr>
              <w:t xml:space="preserve"> B-double lead trailer and B-triple lead and middle trailers </w:t>
            </w:r>
          </w:p>
        </w:tc>
        <w:tc>
          <w:tcPr>
            <w:tcW w:w="0" w:type="dxa"/>
          </w:tcPr>
          <w:p w14:paraId="14D4C140" w14:textId="5C23E859" w:rsidR="006B5E53" w:rsidRPr="003A5A55" w:rsidRDefault="006B5E53" w:rsidP="006B5E53">
            <w:pPr>
              <w:pStyle w:val="BodyCopy"/>
              <w:spacing w:before="40" w:after="40"/>
              <w:rPr>
                <w:sz w:val="20"/>
                <w:szCs w:val="20"/>
              </w:rPr>
            </w:pPr>
            <w:r w:rsidRPr="00BD61D2">
              <w:rPr>
                <w:sz w:val="20"/>
                <w:szCs w:val="20"/>
              </w:rPr>
              <w:t xml:space="preserve"> 703 </w:t>
            </w:r>
          </w:p>
        </w:tc>
        <w:tc>
          <w:tcPr>
            <w:tcW w:w="0" w:type="dxa"/>
          </w:tcPr>
          <w:p w14:paraId="410663AE" w14:textId="68957E03" w:rsidR="006B5E53" w:rsidRPr="003A5A55" w:rsidRDefault="006B5E53" w:rsidP="006B5E53">
            <w:pPr>
              <w:pStyle w:val="BodyCopy"/>
              <w:spacing w:before="40" w:after="40"/>
              <w:rPr>
                <w:sz w:val="20"/>
                <w:szCs w:val="20"/>
              </w:rPr>
            </w:pPr>
            <w:r w:rsidRPr="00BD61D2">
              <w:rPr>
                <w:sz w:val="20"/>
                <w:szCs w:val="20"/>
              </w:rPr>
              <w:t xml:space="preserve"> 893 </w:t>
            </w:r>
          </w:p>
        </w:tc>
        <w:tc>
          <w:tcPr>
            <w:tcW w:w="0" w:type="dxa"/>
          </w:tcPr>
          <w:p w14:paraId="2D2AE33A" w14:textId="4A103792" w:rsidR="006B5E53" w:rsidRPr="003A5A55" w:rsidRDefault="006B5E53" w:rsidP="006B5E53">
            <w:pPr>
              <w:pStyle w:val="BodyCopy"/>
              <w:spacing w:before="40" w:after="40"/>
              <w:rPr>
                <w:sz w:val="20"/>
                <w:szCs w:val="20"/>
              </w:rPr>
            </w:pPr>
            <w:r w:rsidRPr="00BD61D2">
              <w:rPr>
                <w:sz w:val="20"/>
                <w:szCs w:val="20"/>
              </w:rPr>
              <w:t xml:space="preserve"> 635 </w:t>
            </w:r>
          </w:p>
        </w:tc>
        <w:tc>
          <w:tcPr>
            <w:tcW w:w="0" w:type="dxa"/>
          </w:tcPr>
          <w:p w14:paraId="615BF9D1" w14:textId="6B30A6E4" w:rsidR="006B5E53" w:rsidRPr="003A5A55" w:rsidRDefault="006B5E53" w:rsidP="006B5E53">
            <w:pPr>
              <w:pStyle w:val="BodyCopy"/>
              <w:spacing w:before="40" w:after="40"/>
              <w:rPr>
                <w:sz w:val="20"/>
                <w:szCs w:val="20"/>
              </w:rPr>
            </w:pPr>
            <w:r w:rsidRPr="00BD61D2">
              <w:rPr>
                <w:sz w:val="20"/>
                <w:szCs w:val="20"/>
              </w:rPr>
              <w:t xml:space="preserve"> 476 </w:t>
            </w:r>
          </w:p>
        </w:tc>
      </w:tr>
      <w:tr w:rsidR="006B5E53" w:rsidRPr="007C2428" w14:paraId="55F648E6" w14:textId="77777777" w:rsidTr="00BD61D2">
        <w:trPr>
          <w:trHeight w:val="300"/>
        </w:trPr>
        <w:tc>
          <w:tcPr>
            <w:tcW w:w="0" w:type="dxa"/>
            <w:hideMark/>
          </w:tcPr>
          <w:p w14:paraId="289D65A0" w14:textId="77777777" w:rsidR="006B5E53" w:rsidRPr="00C4270B" w:rsidRDefault="006B5E53" w:rsidP="006B5E53">
            <w:pPr>
              <w:pStyle w:val="BodyCopy"/>
              <w:spacing w:before="40" w:after="40"/>
              <w:rPr>
                <w:sz w:val="20"/>
                <w:szCs w:val="20"/>
              </w:rPr>
            </w:pPr>
            <w:r w:rsidRPr="00C4270B">
              <w:rPr>
                <w:sz w:val="20"/>
                <w:szCs w:val="20"/>
              </w:rPr>
              <w:t xml:space="preserve"> Converter dolly or low loader dolly </w:t>
            </w:r>
          </w:p>
        </w:tc>
        <w:tc>
          <w:tcPr>
            <w:tcW w:w="0" w:type="dxa"/>
          </w:tcPr>
          <w:p w14:paraId="39507741" w14:textId="447F6446" w:rsidR="006B5E53" w:rsidRPr="003A5A55" w:rsidRDefault="006B5E53" w:rsidP="006B5E53">
            <w:pPr>
              <w:pStyle w:val="BodyCopy"/>
              <w:spacing w:before="40" w:after="40"/>
              <w:rPr>
                <w:sz w:val="20"/>
                <w:szCs w:val="20"/>
              </w:rPr>
            </w:pPr>
            <w:r w:rsidRPr="00BD61D2">
              <w:rPr>
                <w:sz w:val="20"/>
                <w:szCs w:val="20"/>
              </w:rPr>
              <w:t xml:space="preserve"> 0 </w:t>
            </w:r>
          </w:p>
        </w:tc>
        <w:tc>
          <w:tcPr>
            <w:tcW w:w="0" w:type="dxa"/>
          </w:tcPr>
          <w:p w14:paraId="5EFBC111" w14:textId="6636BD8D" w:rsidR="006B5E53" w:rsidRPr="003A5A55" w:rsidRDefault="006B5E53" w:rsidP="006B5E53">
            <w:pPr>
              <w:pStyle w:val="BodyCopy"/>
              <w:spacing w:before="40" w:after="40"/>
              <w:rPr>
                <w:sz w:val="20"/>
                <w:szCs w:val="20"/>
              </w:rPr>
            </w:pPr>
            <w:r w:rsidRPr="00BD61D2">
              <w:rPr>
                <w:sz w:val="20"/>
                <w:szCs w:val="20"/>
              </w:rPr>
              <w:t xml:space="preserve"> 0 </w:t>
            </w:r>
          </w:p>
        </w:tc>
        <w:tc>
          <w:tcPr>
            <w:tcW w:w="0" w:type="dxa"/>
          </w:tcPr>
          <w:p w14:paraId="7B2A9BD0" w14:textId="5D12A82E" w:rsidR="006B5E53" w:rsidRPr="003A5A55" w:rsidRDefault="006B5E53" w:rsidP="006B5E53">
            <w:pPr>
              <w:pStyle w:val="BodyCopy"/>
              <w:spacing w:before="40" w:after="40"/>
              <w:rPr>
                <w:sz w:val="20"/>
                <w:szCs w:val="20"/>
              </w:rPr>
            </w:pPr>
            <w:r w:rsidRPr="00BD61D2">
              <w:rPr>
                <w:sz w:val="20"/>
                <w:szCs w:val="20"/>
              </w:rPr>
              <w:t xml:space="preserve"> 0 </w:t>
            </w:r>
          </w:p>
        </w:tc>
        <w:tc>
          <w:tcPr>
            <w:tcW w:w="0" w:type="dxa"/>
          </w:tcPr>
          <w:p w14:paraId="2CA87752" w14:textId="2FCAE45F" w:rsidR="006B5E53" w:rsidRPr="003A5A55" w:rsidRDefault="006B5E53" w:rsidP="006B5E53">
            <w:pPr>
              <w:pStyle w:val="BodyCopy"/>
              <w:spacing w:before="40" w:after="40"/>
              <w:rPr>
                <w:sz w:val="20"/>
                <w:szCs w:val="20"/>
              </w:rPr>
            </w:pPr>
            <w:r w:rsidRPr="00BD61D2">
              <w:rPr>
                <w:sz w:val="20"/>
                <w:szCs w:val="20"/>
              </w:rPr>
              <w:t xml:space="preserve"> 0 </w:t>
            </w:r>
          </w:p>
        </w:tc>
      </w:tr>
      <w:tr w:rsidR="007C2428" w:rsidRPr="007C2428" w14:paraId="0B7CC1FF" w14:textId="77777777" w:rsidTr="00AF7B68">
        <w:trPr>
          <w:trHeight w:val="300"/>
        </w:trPr>
        <w:tc>
          <w:tcPr>
            <w:tcW w:w="9027" w:type="dxa"/>
            <w:gridSpan w:val="5"/>
            <w:vAlign w:val="center"/>
            <w:hideMark/>
          </w:tcPr>
          <w:p w14:paraId="64577DAA" w14:textId="0FF06DFF" w:rsidR="007C2428" w:rsidRPr="00C4270B" w:rsidRDefault="007C2428" w:rsidP="00AF7B68">
            <w:pPr>
              <w:pStyle w:val="BodyCopy"/>
              <w:spacing w:before="40" w:after="40"/>
              <w:jc w:val="center"/>
              <w:rPr>
                <w:b/>
                <w:bCs/>
                <w:sz w:val="20"/>
                <w:szCs w:val="20"/>
              </w:rPr>
            </w:pPr>
            <w:r w:rsidRPr="00C4270B">
              <w:rPr>
                <w:b/>
                <w:bCs/>
                <w:sz w:val="20"/>
                <w:szCs w:val="20"/>
              </w:rPr>
              <w:t>DIVISION 3 – BUSES ($)</w:t>
            </w:r>
          </w:p>
        </w:tc>
      </w:tr>
      <w:tr w:rsidR="007C2428" w:rsidRPr="007C2428" w14:paraId="2990CE4F" w14:textId="77777777" w:rsidTr="007C2428">
        <w:trPr>
          <w:trHeight w:val="300"/>
        </w:trPr>
        <w:tc>
          <w:tcPr>
            <w:tcW w:w="4420" w:type="dxa"/>
            <w:hideMark/>
          </w:tcPr>
          <w:p w14:paraId="4C2B01F1" w14:textId="7241B7B8" w:rsidR="007C2428" w:rsidRPr="00C4270B" w:rsidRDefault="007C2428" w:rsidP="00AF7B68">
            <w:pPr>
              <w:pStyle w:val="BodyCopy"/>
              <w:spacing w:before="40" w:after="40"/>
              <w:rPr>
                <w:b/>
                <w:bCs/>
                <w:sz w:val="20"/>
                <w:szCs w:val="20"/>
              </w:rPr>
            </w:pPr>
            <w:r w:rsidRPr="00C4270B">
              <w:rPr>
                <w:b/>
                <w:bCs/>
                <w:sz w:val="20"/>
                <w:szCs w:val="20"/>
              </w:rPr>
              <w:t xml:space="preserve"> Bus </w:t>
            </w:r>
            <w:r w:rsidR="006F7F4A" w:rsidRPr="00C4270B">
              <w:rPr>
                <w:b/>
                <w:bCs/>
                <w:sz w:val="20"/>
                <w:szCs w:val="20"/>
              </w:rPr>
              <w:t>t</w:t>
            </w:r>
            <w:r w:rsidRPr="00C4270B">
              <w:rPr>
                <w:b/>
                <w:bCs/>
                <w:sz w:val="20"/>
                <w:szCs w:val="20"/>
              </w:rPr>
              <w:t xml:space="preserve">ype </w:t>
            </w:r>
          </w:p>
        </w:tc>
        <w:tc>
          <w:tcPr>
            <w:tcW w:w="1132" w:type="dxa"/>
            <w:hideMark/>
          </w:tcPr>
          <w:p w14:paraId="28F65E22" w14:textId="5E31F8C4"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0E860131" w14:textId="3E2158D6"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45E8692D" w14:textId="2059D738"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0017BBEB" w14:textId="77777777" w:rsidR="007C2428" w:rsidRPr="00C4270B" w:rsidRDefault="007C2428" w:rsidP="00AF7B68">
            <w:pPr>
              <w:pStyle w:val="BodyCopy"/>
              <w:spacing w:before="40" w:after="40"/>
              <w:rPr>
                <w:b/>
                <w:bCs/>
                <w:sz w:val="20"/>
                <w:szCs w:val="20"/>
              </w:rPr>
            </w:pPr>
            <w:r w:rsidRPr="00C4270B">
              <w:rPr>
                <w:b/>
                <w:bCs/>
                <w:sz w:val="20"/>
                <w:szCs w:val="20"/>
              </w:rPr>
              <w:t> </w:t>
            </w:r>
          </w:p>
        </w:tc>
      </w:tr>
      <w:tr w:rsidR="006B5E53" w:rsidRPr="007C2428" w14:paraId="319323CF" w14:textId="77777777" w:rsidTr="00BD61D2">
        <w:trPr>
          <w:trHeight w:val="300"/>
        </w:trPr>
        <w:tc>
          <w:tcPr>
            <w:tcW w:w="0" w:type="dxa"/>
            <w:hideMark/>
          </w:tcPr>
          <w:p w14:paraId="33477F6C" w14:textId="77777777" w:rsidR="006B5E53" w:rsidRPr="00C4270B" w:rsidRDefault="006B5E53" w:rsidP="006B5E53">
            <w:pPr>
              <w:pStyle w:val="BodyCopy"/>
              <w:spacing w:before="40" w:after="40"/>
              <w:rPr>
                <w:sz w:val="20"/>
                <w:szCs w:val="20"/>
              </w:rPr>
            </w:pPr>
            <w:r w:rsidRPr="00C4270B">
              <w:rPr>
                <w:sz w:val="20"/>
                <w:szCs w:val="20"/>
              </w:rPr>
              <w:t xml:space="preserve"> Bus (type 1) </w:t>
            </w:r>
          </w:p>
        </w:tc>
        <w:tc>
          <w:tcPr>
            <w:tcW w:w="0" w:type="dxa"/>
          </w:tcPr>
          <w:p w14:paraId="58F027BA" w14:textId="15A7ED6D" w:rsidR="006B5E53" w:rsidRPr="003A5A55" w:rsidRDefault="006B5E53" w:rsidP="006B5E53">
            <w:pPr>
              <w:pStyle w:val="BodyCopy"/>
              <w:spacing w:before="40" w:after="40"/>
              <w:rPr>
                <w:sz w:val="20"/>
                <w:szCs w:val="20"/>
              </w:rPr>
            </w:pPr>
            <w:r w:rsidRPr="00BD61D2">
              <w:rPr>
                <w:sz w:val="20"/>
                <w:szCs w:val="20"/>
              </w:rPr>
              <w:t xml:space="preserve"> 355 </w:t>
            </w:r>
          </w:p>
        </w:tc>
        <w:tc>
          <w:tcPr>
            <w:tcW w:w="0" w:type="dxa"/>
          </w:tcPr>
          <w:p w14:paraId="1030EE14" w14:textId="00DD9741" w:rsidR="006B5E53" w:rsidRPr="003A5A55" w:rsidRDefault="006B5E53" w:rsidP="006B5E53">
            <w:pPr>
              <w:pStyle w:val="BodyCopy"/>
              <w:spacing w:before="40" w:after="40"/>
              <w:rPr>
                <w:sz w:val="20"/>
                <w:szCs w:val="20"/>
              </w:rPr>
            </w:pPr>
          </w:p>
        </w:tc>
        <w:tc>
          <w:tcPr>
            <w:tcW w:w="0" w:type="dxa"/>
          </w:tcPr>
          <w:p w14:paraId="402A3122" w14:textId="500039F5" w:rsidR="006B5E53" w:rsidRPr="003A5A55" w:rsidRDefault="006B5E53" w:rsidP="006B5E53">
            <w:pPr>
              <w:pStyle w:val="BodyCopy"/>
              <w:spacing w:before="40" w:after="40"/>
              <w:rPr>
                <w:sz w:val="20"/>
                <w:szCs w:val="20"/>
              </w:rPr>
            </w:pPr>
          </w:p>
        </w:tc>
        <w:tc>
          <w:tcPr>
            <w:tcW w:w="0" w:type="dxa"/>
            <w:hideMark/>
          </w:tcPr>
          <w:p w14:paraId="2DABC436" w14:textId="77777777" w:rsidR="006B5E53" w:rsidRPr="00C4270B" w:rsidRDefault="006B5E53" w:rsidP="006B5E53">
            <w:pPr>
              <w:pStyle w:val="BodyCopy"/>
              <w:spacing w:before="40" w:after="40"/>
              <w:rPr>
                <w:sz w:val="20"/>
                <w:szCs w:val="20"/>
              </w:rPr>
            </w:pPr>
            <w:r w:rsidRPr="00C4270B">
              <w:rPr>
                <w:sz w:val="20"/>
                <w:szCs w:val="20"/>
              </w:rPr>
              <w:t> </w:t>
            </w:r>
          </w:p>
        </w:tc>
      </w:tr>
      <w:tr w:rsidR="006B5E53" w:rsidRPr="007C2428" w14:paraId="32ED8D7A" w14:textId="77777777" w:rsidTr="00BD61D2">
        <w:trPr>
          <w:trHeight w:val="300"/>
        </w:trPr>
        <w:tc>
          <w:tcPr>
            <w:tcW w:w="0" w:type="dxa"/>
            <w:hideMark/>
          </w:tcPr>
          <w:p w14:paraId="74D18E05" w14:textId="77777777" w:rsidR="006B5E53" w:rsidRPr="00C4270B" w:rsidRDefault="006B5E53" w:rsidP="006B5E53">
            <w:pPr>
              <w:pStyle w:val="BodyCopy"/>
              <w:spacing w:before="40" w:after="40"/>
              <w:rPr>
                <w:sz w:val="20"/>
                <w:szCs w:val="20"/>
              </w:rPr>
            </w:pPr>
            <w:r w:rsidRPr="00C4270B">
              <w:rPr>
                <w:sz w:val="20"/>
                <w:szCs w:val="20"/>
              </w:rPr>
              <w:t xml:space="preserve"> Bus (type 2) </w:t>
            </w:r>
          </w:p>
        </w:tc>
        <w:tc>
          <w:tcPr>
            <w:tcW w:w="0" w:type="dxa"/>
          </w:tcPr>
          <w:p w14:paraId="26423D25" w14:textId="664C2B10" w:rsidR="006B5E53" w:rsidRPr="003A5A55" w:rsidRDefault="006B5E53" w:rsidP="006B5E53">
            <w:pPr>
              <w:pStyle w:val="BodyCopy"/>
              <w:spacing w:before="40" w:after="40"/>
              <w:rPr>
                <w:sz w:val="20"/>
                <w:szCs w:val="20"/>
              </w:rPr>
            </w:pPr>
            <w:r w:rsidRPr="00BD61D2">
              <w:rPr>
                <w:sz w:val="20"/>
                <w:szCs w:val="20"/>
              </w:rPr>
              <w:t xml:space="preserve"> 366 </w:t>
            </w:r>
          </w:p>
        </w:tc>
        <w:tc>
          <w:tcPr>
            <w:tcW w:w="0" w:type="dxa"/>
          </w:tcPr>
          <w:p w14:paraId="56307A80" w14:textId="131CF50F" w:rsidR="006B5E53" w:rsidRPr="003A5A55" w:rsidRDefault="006B5E53" w:rsidP="006B5E53">
            <w:pPr>
              <w:pStyle w:val="BodyCopy"/>
              <w:spacing w:before="40" w:after="40"/>
              <w:rPr>
                <w:sz w:val="20"/>
                <w:szCs w:val="20"/>
              </w:rPr>
            </w:pPr>
            <w:r w:rsidRPr="00BD61D2">
              <w:rPr>
                <w:sz w:val="20"/>
                <w:szCs w:val="20"/>
              </w:rPr>
              <w:t xml:space="preserve"> 2,677 </w:t>
            </w:r>
          </w:p>
        </w:tc>
        <w:tc>
          <w:tcPr>
            <w:tcW w:w="0" w:type="dxa"/>
          </w:tcPr>
          <w:p w14:paraId="1CD853F9" w14:textId="58F1F7AC" w:rsidR="006B5E53" w:rsidRPr="003A5A55" w:rsidRDefault="006B5E53" w:rsidP="006B5E53">
            <w:pPr>
              <w:pStyle w:val="BodyCopy"/>
              <w:spacing w:before="40" w:after="40"/>
              <w:rPr>
                <w:sz w:val="20"/>
                <w:szCs w:val="20"/>
              </w:rPr>
            </w:pPr>
            <w:r w:rsidRPr="00BD61D2">
              <w:rPr>
                <w:sz w:val="20"/>
                <w:szCs w:val="20"/>
              </w:rPr>
              <w:t xml:space="preserve"> 2,677 </w:t>
            </w:r>
          </w:p>
        </w:tc>
        <w:tc>
          <w:tcPr>
            <w:tcW w:w="0" w:type="dxa"/>
            <w:hideMark/>
          </w:tcPr>
          <w:p w14:paraId="321A3845" w14:textId="77777777" w:rsidR="006B5E53" w:rsidRPr="00C4270B" w:rsidRDefault="006B5E53" w:rsidP="006B5E53">
            <w:pPr>
              <w:pStyle w:val="BodyCopy"/>
              <w:spacing w:before="40" w:after="40"/>
              <w:rPr>
                <w:sz w:val="20"/>
                <w:szCs w:val="20"/>
              </w:rPr>
            </w:pPr>
            <w:r w:rsidRPr="00C4270B">
              <w:rPr>
                <w:sz w:val="20"/>
                <w:szCs w:val="20"/>
              </w:rPr>
              <w:t> </w:t>
            </w:r>
          </w:p>
        </w:tc>
      </w:tr>
      <w:tr w:rsidR="006B5E53" w:rsidRPr="007C2428" w14:paraId="78BBB052" w14:textId="77777777" w:rsidTr="00BD61D2">
        <w:trPr>
          <w:trHeight w:val="300"/>
        </w:trPr>
        <w:tc>
          <w:tcPr>
            <w:tcW w:w="0" w:type="dxa"/>
            <w:hideMark/>
          </w:tcPr>
          <w:p w14:paraId="5E595610" w14:textId="77777777" w:rsidR="006B5E53" w:rsidRPr="00C4270B" w:rsidRDefault="006B5E53" w:rsidP="006B5E53">
            <w:pPr>
              <w:pStyle w:val="BodyCopy"/>
              <w:spacing w:before="40" w:after="40"/>
              <w:rPr>
                <w:sz w:val="20"/>
                <w:szCs w:val="20"/>
              </w:rPr>
            </w:pPr>
            <w:r w:rsidRPr="00C4270B">
              <w:rPr>
                <w:sz w:val="20"/>
                <w:szCs w:val="20"/>
              </w:rPr>
              <w:t xml:space="preserve"> Articulated bus </w:t>
            </w:r>
          </w:p>
        </w:tc>
        <w:tc>
          <w:tcPr>
            <w:tcW w:w="0" w:type="dxa"/>
          </w:tcPr>
          <w:p w14:paraId="24478E5D" w14:textId="69996073" w:rsidR="006B5E53" w:rsidRPr="003A5A55" w:rsidRDefault="006B5E53" w:rsidP="006B5E53">
            <w:pPr>
              <w:pStyle w:val="BodyCopy"/>
              <w:spacing w:before="40" w:after="40"/>
              <w:rPr>
                <w:sz w:val="20"/>
                <w:szCs w:val="20"/>
              </w:rPr>
            </w:pPr>
          </w:p>
        </w:tc>
        <w:tc>
          <w:tcPr>
            <w:tcW w:w="0" w:type="dxa"/>
          </w:tcPr>
          <w:p w14:paraId="682D447F" w14:textId="55B7564D" w:rsidR="006B5E53" w:rsidRPr="003A5A55" w:rsidRDefault="006B5E53" w:rsidP="006B5E53">
            <w:pPr>
              <w:pStyle w:val="BodyCopy"/>
              <w:spacing w:before="40" w:after="40"/>
              <w:rPr>
                <w:sz w:val="20"/>
                <w:szCs w:val="20"/>
              </w:rPr>
            </w:pPr>
            <w:r w:rsidRPr="00BD61D2">
              <w:rPr>
                <w:sz w:val="20"/>
                <w:szCs w:val="20"/>
              </w:rPr>
              <w:t xml:space="preserve"> 366 </w:t>
            </w:r>
          </w:p>
        </w:tc>
        <w:tc>
          <w:tcPr>
            <w:tcW w:w="0" w:type="dxa"/>
          </w:tcPr>
          <w:p w14:paraId="2BA9BD9D" w14:textId="7576B97C" w:rsidR="006B5E53" w:rsidRPr="003A5A55" w:rsidRDefault="006B5E53" w:rsidP="006B5E53">
            <w:pPr>
              <w:pStyle w:val="BodyCopy"/>
              <w:spacing w:before="40" w:after="40"/>
              <w:rPr>
                <w:sz w:val="20"/>
                <w:szCs w:val="20"/>
              </w:rPr>
            </w:pPr>
            <w:r w:rsidRPr="00BD61D2">
              <w:rPr>
                <w:sz w:val="20"/>
                <w:szCs w:val="20"/>
              </w:rPr>
              <w:t xml:space="preserve"> 366 </w:t>
            </w:r>
          </w:p>
        </w:tc>
        <w:tc>
          <w:tcPr>
            <w:tcW w:w="0" w:type="dxa"/>
            <w:hideMark/>
          </w:tcPr>
          <w:p w14:paraId="29DC0515" w14:textId="77777777" w:rsidR="006B5E53" w:rsidRPr="00C4270B" w:rsidRDefault="006B5E53" w:rsidP="006B5E53">
            <w:pPr>
              <w:pStyle w:val="BodyCopy"/>
              <w:spacing w:before="40" w:after="40"/>
              <w:rPr>
                <w:sz w:val="20"/>
                <w:szCs w:val="20"/>
              </w:rPr>
            </w:pPr>
            <w:r w:rsidRPr="00C4270B">
              <w:rPr>
                <w:sz w:val="20"/>
                <w:szCs w:val="20"/>
              </w:rPr>
              <w:t> </w:t>
            </w:r>
          </w:p>
        </w:tc>
      </w:tr>
      <w:tr w:rsidR="007C2428" w:rsidRPr="007C2428" w14:paraId="5FBC6012" w14:textId="77777777" w:rsidTr="00AF7B68">
        <w:trPr>
          <w:trHeight w:val="300"/>
        </w:trPr>
        <w:tc>
          <w:tcPr>
            <w:tcW w:w="9027" w:type="dxa"/>
            <w:gridSpan w:val="5"/>
            <w:vAlign w:val="center"/>
            <w:hideMark/>
          </w:tcPr>
          <w:p w14:paraId="536834BF" w14:textId="00FE4FD7" w:rsidR="007C2428" w:rsidRPr="00C4270B" w:rsidRDefault="007C2428" w:rsidP="00AF7B68">
            <w:pPr>
              <w:pStyle w:val="BodyCopy"/>
              <w:spacing w:before="40" w:after="40"/>
              <w:jc w:val="center"/>
              <w:rPr>
                <w:b/>
                <w:bCs/>
                <w:sz w:val="20"/>
                <w:szCs w:val="20"/>
              </w:rPr>
            </w:pPr>
            <w:r w:rsidRPr="00C4270B">
              <w:rPr>
                <w:b/>
                <w:bCs/>
                <w:sz w:val="20"/>
                <w:szCs w:val="20"/>
              </w:rPr>
              <w:t>DIVISION 4 – SPECIAL PURPOSE VEHICLES ($)</w:t>
            </w:r>
          </w:p>
        </w:tc>
      </w:tr>
      <w:tr w:rsidR="007C2428" w:rsidRPr="007C2428" w14:paraId="69D24570" w14:textId="77777777" w:rsidTr="00AF7B68">
        <w:trPr>
          <w:trHeight w:val="300"/>
        </w:trPr>
        <w:tc>
          <w:tcPr>
            <w:tcW w:w="4420" w:type="dxa"/>
            <w:hideMark/>
          </w:tcPr>
          <w:p w14:paraId="58BE86D4"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20474943" w14:textId="77777777" w:rsidR="007C2428" w:rsidRPr="00C4270B" w:rsidRDefault="007C2428" w:rsidP="00AF7B68">
            <w:pPr>
              <w:pStyle w:val="BodyCopy"/>
              <w:spacing w:before="40" w:after="40"/>
              <w:rPr>
                <w:sz w:val="20"/>
                <w:szCs w:val="20"/>
              </w:rPr>
            </w:pPr>
            <w:r w:rsidRPr="00C4270B">
              <w:rPr>
                <w:sz w:val="20"/>
                <w:szCs w:val="20"/>
              </w:rPr>
              <w:t xml:space="preserve"> 0 </w:t>
            </w:r>
          </w:p>
        </w:tc>
      </w:tr>
      <w:tr w:rsidR="007C2428" w:rsidRPr="007C2428" w14:paraId="7D2DC8C7" w14:textId="77777777" w:rsidTr="00AF7B68">
        <w:trPr>
          <w:trHeight w:val="300"/>
        </w:trPr>
        <w:tc>
          <w:tcPr>
            <w:tcW w:w="4420" w:type="dxa"/>
            <w:hideMark/>
          </w:tcPr>
          <w:p w14:paraId="42BEB912"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29CECA25" w14:textId="66B6D15E" w:rsidR="007C2428" w:rsidRPr="00C4270B" w:rsidRDefault="007C2428" w:rsidP="00AF7B68">
            <w:pPr>
              <w:pStyle w:val="BodyCopy"/>
              <w:spacing w:before="40" w:after="40"/>
              <w:rPr>
                <w:sz w:val="20"/>
                <w:szCs w:val="20"/>
              </w:rPr>
            </w:pPr>
            <w:r w:rsidRPr="00C4270B">
              <w:rPr>
                <w:sz w:val="20"/>
                <w:szCs w:val="20"/>
              </w:rPr>
              <w:t xml:space="preserve"> 34</w:t>
            </w:r>
            <w:r w:rsidR="006B5E53">
              <w:rPr>
                <w:sz w:val="20"/>
                <w:szCs w:val="20"/>
              </w:rPr>
              <w:t>4</w:t>
            </w:r>
            <w:r w:rsidRPr="00C4270B">
              <w:rPr>
                <w:sz w:val="20"/>
                <w:szCs w:val="20"/>
              </w:rPr>
              <w:t xml:space="preserve"> </w:t>
            </w:r>
          </w:p>
        </w:tc>
      </w:tr>
      <w:tr w:rsidR="007C2428" w:rsidRPr="007C2428" w14:paraId="6E1663CD" w14:textId="77777777" w:rsidTr="00AF7B68">
        <w:trPr>
          <w:trHeight w:val="300"/>
        </w:trPr>
        <w:tc>
          <w:tcPr>
            <w:tcW w:w="4420" w:type="dxa"/>
            <w:hideMark/>
          </w:tcPr>
          <w:p w14:paraId="607C643D"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1F1E725F" w14:textId="0091A47B" w:rsidR="007C2428" w:rsidRPr="00C4270B" w:rsidRDefault="007C2428" w:rsidP="00AF7B68">
            <w:pPr>
              <w:pStyle w:val="BodyCopy"/>
              <w:spacing w:before="40" w:after="40"/>
              <w:rPr>
                <w:sz w:val="20"/>
                <w:szCs w:val="20"/>
              </w:rPr>
            </w:pPr>
            <w:r w:rsidRPr="00C4270B">
              <w:rPr>
                <w:sz w:val="20"/>
                <w:szCs w:val="20"/>
              </w:rPr>
              <w:t>Calculated using the formula:</w:t>
            </w:r>
            <w:r w:rsidRPr="00C4270B">
              <w:rPr>
                <w:sz w:val="20"/>
                <w:szCs w:val="20"/>
              </w:rPr>
              <w:br/>
              <w:t>4</w:t>
            </w:r>
            <w:r w:rsidR="006B5E53">
              <w:rPr>
                <w:sz w:val="20"/>
                <w:szCs w:val="20"/>
              </w:rPr>
              <w:t>30</w:t>
            </w:r>
            <w:r w:rsidRPr="00C4270B">
              <w:rPr>
                <w:sz w:val="20"/>
                <w:szCs w:val="20"/>
              </w:rPr>
              <w:t xml:space="preserve"> + (4</w:t>
            </w:r>
            <w:r w:rsidR="006B5E53">
              <w:rPr>
                <w:sz w:val="20"/>
                <w:szCs w:val="20"/>
              </w:rPr>
              <w:t>30</w:t>
            </w:r>
            <w:r w:rsidRPr="00C4270B">
              <w:rPr>
                <w:sz w:val="20"/>
                <w:szCs w:val="20"/>
              </w:rPr>
              <w:t xml:space="preserve"> </w:t>
            </w:r>
            <w:r w:rsidR="006F7F4A" w:rsidRPr="00C4270B">
              <w:rPr>
                <w:sz w:val="20"/>
                <w:szCs w:val="20"/>
              </w:rPr>
              <w:t>×</w:t>
            </w:r>
            <w:r w:rsidRPr="00C4270B">
              <w:rPr>
                <w:sz w:val="20"/>
                <w:szCs w:val="20"/>
              </w:rPr>
              <w:t xml:space="preserve"> number of axles over 2)</w:t>
            </w:r>
          </w:p>
        </w:tc>
      </w:tr>
    </w:tbl>
    <w:p w14:paraId="7EF6E7BE" w14:textId="7269EC16" w:rsidR="007C2428" w:rsidRDefault="007C2428" w:rsidP="007C2428">
      <w:pPr>
        <w:pStyle w:val="BodyCopy"/>
      </w:pPr>
    </w:p>
    <w:p w14:paraId="649308B8" w14:textId="1AEDB016" w:rsidR="007C2428" w:rsidRDefault="007C2428" w:rsidP="007C2428">
      <w:pPr>
        <w:pStyle w:val="Tabletitle"/>
      </w:pPr>
      <w:bookmarkStart w:id="2376" w:name="_Toc86158577"/>
      <w:r w:rsidRPr="007C2428">
        <w:lastRenderedPageBreak/>
        <w:t>Charging schedule for</w:t>
      </w:r>
      <w:r w:rsidR="000B1A52">
        <w:t xml:space="preserve"> the</w:t>
      </w:r>
      <w:r w:rsidRPr="007C2428">
        <w:t xml:space="preserve"> roads component of registration charges under </w:t>
      </w:r>
      <w:r w:rsidR="005D7B0D">
        <w:t xml:space="preserve">pathway </w:t>
      </w:r>
      <w:r w:rsidR="00BE4F05">
        <w:t xml:space="preserve">2 of the three-year fixed price </w:t>
      </w:r>
      <w:r w:rsidR="006F7F4A">
        <w:t>i</w:t>
      </w:r>
      <w:r w:rsidRPr="007C2428">
        <w:t xml:space="preserve">mplementation </w:t>
      </w:r>
      <w:r w:rsidR="00BE4F05">
        <w:t>pathway</w:t>
      </w:r>
      <w:r w:rsidRPr="007C2428">
        <w:t>, 202</w:t>
      </w:r>
      <w:r>
        <w:t>4</w:t>
      </w:r>
      <w:r w:rsidR="00272BD6">
        <w:t>–2</w:t>
      </w:r>
      <w:r>
        <w:t>5</w:t>
      </w:r>
      <w:bookmarkEnd w:id="2376"/>
    </w:p>
    <w:tbl>
      <w:tblPr>
        <w:tblStyle w:val="NTCtable"/>
        <w:tblW w:w="0" w:type="auto"/>
        <w:tblLook w:val="04A0" w:firstRow="1" w:lastRow="0" w:firstColumn="1" w:lastColumn="0" w:noHBand="0" w:noVBand="1"/>
      </w:tblPr>
      <w:tblGrid>
        <w:gridCol w:w="4420"/>
        <w:gridCol w:w="1132"/>
        <w:gridCol w:w="1211"/>
        <w:gridCol w:w="1132"/>
        <w:gridCol w:w="1132"/>
      </w:tblGrid>
      <w:tr w:rsidR="007C2428" w:rsidRPr="007C2428" w14:paraId="705F3F56" w14:textId="77777777" w:rsidTr="00AF7B68">
        <w:trPr>
          <w:cnfStyle w:val="100000000000" w:firstRow="1" w:lastRow="0" w:firstColumn="0" w:lastColumn="0" w:oddVBand="0" w:evenVBand="0" w:oddHBand="0" w:evenHBand="0" w:firstRowFirstColumn="0" w:firstRowLastColumn="0" w:lastRowFirstColumn="0" w:lastRowLastColumn="0"/>
          <w:trHeight w:val="300"/>
        </w:trPr>
        <w:tc>
          <w:tcPr>
            <w:tcW w:w="9027" w:type="dxa"/>
            <w:gridSpan w:val="5"/>
            <w:vAlign w:val="center"/>
            <w:hideMark/>
          </w:tcPr>
          <w:p w14:paraId="0A300C94" w14:textId="561F94C4" w:rsidR="007C2428" w:rsidRPr="00C4270B" w:rsidRDefault="007C2428" w:rsidP="00AF7B68">
            <w:pPr>
              <w:pStyle w:val="BodyCopy"/>
              <w:spacing w:before="40" w:after="40"/>
              <w:jc w:val="center"/>
              <w:rPr>
                <w:b/>
                <w:bCs/>
                <w:sz w:val="20"/>
                <w:szCs w:val="20"/>
              </w:rPr>
            </w:pPr>
            <w:r w:rsidRPr="00C4270B">
              <w:rPr>
                <w:b/>
                <w:bCs/>
                <w:sz w:val="20"/>
                <w:szCs w:val="20"/>
              </w:rPr>
              <w:t>1 July 2024 – 30 June 2025</w:t>
            </w:r>
          </w:p>
        </w:tc>
      </w:tr>
      <w:tr w:rsidR="007C2428" w:rsidRPr="007C2428" w14:paraId="57C7FDA4" w14:textId="77777777" w:rsidTr="00AF7B68">
        <w:trPr>
          <w:trHeight w:val="300"/>
        </w:trPr>
        <w:tc>
          <w:tcPr>
            <w:tcW w:w="9027" w:type="dxa"/>
            <w:gridSpan w:val="5"/>
            <w:vAlign w:val="center"/>
            <w:hideMark/>
          </w:tcPr>
          <w:p w14:paraId="110DC194" w14:textId="05486009" w:rsidR="007C2428" w:rsidRPr="00C4270B" w:rsidRDefault="007C2428" w:rsidP="00AF7B68">
            <w:pPr>
              <w:pStyle w:val="BodyCopy"/>
              <w:spacing w:before="40" w:after="40"/>
              <w:jc w:val="center"/>
              <w:rPr>
                <w:b/>
                <w:bCs/>
                <w:sz w:val="20"/>
                <w:szCs w:val="20"/>
              </w:rPr>
            </w:pPr>
            <w:r w:rsidRPr="00C4270B">
              <w:rPr>
                <w:b/>
                <w:bCs/>
                <w:sz w:val="20"/>
                <w:szCs w:val="20"/>
              </w:rPr>
              <w:t>DIVISION 1 – LOAD CARRYING VEHICLES ($)</w:t>
            </w:r>
          </w:p>
        </w:tc>
      </w:tr>
      <w:tr w:rsidR="007C2428" w:rsidRPr="007C2428" w14:paraId="627D3B10" w14:textId="77777777" w:rsidTr="007C2428">
        <w:trPr>
          <w:trHeight w:val="300"/>
        </w:trPr>
        <w:tc>
          <w:tcPr>
            <w:tcW w:w="4420" w:type="dxa"/>
            <w:hideMark/>
          </w:tcPr>
          <w:p w14:paraId="2E5A633B" w14:textId="2E11F262" w:rsidR="007C2428" w:rsidRPr="00C4270B" w:rsidRDefault="007C2428" w:rsidP="00AF7B68">
            <w:pPr>
              <w:pStyle w:val="BodyCopy"/>
              <w:spacing w:before="40" w:after="40"/>
              <w:rPr>
                <w:b/>
                <w:bCs/>
                <w:sz w:val="20"/>
                <w:szCs w:val="20"/>
              </w:rPr>
            </w:pPr>
            <w:r w:rsidRPr="00C4270B">
              <w:rPr>
                <w:b/>
                <w:bCs/>
                <w:sz w:val="20"/>
                <w:szCs w:val="20"/>
              </w:rPr>
              <w:t xml:space="preserve"> Vehicle </w:t>
            </w:r>
            <w:r w:rsidR="006F7F4A" w:rsidRPr="00C4270B">
              <w:rPr>
                <w:b/>
                <w:bCs/>
                <w:sz w:val="20"/>
                <w:szCs w:val="20"/>
              </w:rPr>
              <w:t>t</w:t>
            </w:r>
            <w:r w:rsidRPr="00C4270B">
              <w:rPr>
                <w:b/>
                <w:bCs/>
                <w:sz w:val="20"/>
                <w:szCs w:val="20"/>
              </w:rPr>
              <w:t xml:space="preserve">ype </w:t>
            </w:r>
          </w:p>
        </w:tc>
        <w:tc>
          <w:tcPr>
            <w:tcW w:w="1132" w:type="dxa"/>
            <w:hideMark/>
          </w:tcPr>
          <w:p w14:paraId="5C9DA26D" w14:textId="018C7851"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266D2131" w14:textId="04F05F52"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439F165D" w14:textId="1485807E"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4929C527" w14:textId="609F2D7B" w:rsidR="007C2428" w:rsidRPr="00C4270B" w:rsidRDefault="007C2428" w:rsidP="00AF7B68">
            <w:pPr>
              <w:pStyle w:val="BodyCopy"/>
              <w:spacing w:before="40" w:after="40"/>
              <w:rPr>
                <w:b/>
                <w:bCs/>
                <w:sz w:val="20"/>
                <w:szCs w:val="20"/>
              </w:rPr>
            </w:pPr>
            <w:r w:rsidRPr="00C4270B">
              <w:rPr>
                <w:b/>
                <w:bCs/>
                <w:sz w:val="20"/>
                <w:szCs w:val="20"/>
              </w:rPr>
              <w:t xml:space="preserve"> 5</w:t>
            </w:r>
            <w:r w:rsidR="00485614" w:rsidRPr="00C4270B">
              <w:rPr>
                <w:b/>
                <w:bCs/>
                <w:sz w:val="20"/>
                <w:szCs w:val="20"/>
              </w:rPr>
              <w:t>-</w:t>
            </w:r>
            <w:r w:rsidRPr="00C4270B">
              <w:rPr>
                <w:b/>
                <w:bCs/>
                <w:sz w:val="20"/>
                <w:szCs w:val="20"/>
              </w:rPr>
              <w:t xml:space="preserve">axle </w:t>
            </w:r>
          </w:p>
        </w:tc>
      </w:tr>
      <w:tr w:rsidR="007C2428" w:rsidRPr="007C2428" w14:paraId="053EF346" w14:textId="77777777" w:rsidTr="007C2428">
        <w:trPr>
          <w:trHeight w:val="300"/>
        </w:trPr>
        <w:tc>
          <w:tcPr>
            <w:tcW w:w="4420" w:type="dxa"/>
            <w:hideMark/>
          </w:tcPr>
          <w:p w14:paraId="794FC31B" w14:textId="77777777" w:rsidR="007C2428" w:rsidRPr="00C4270B" w:rsidRDefault="007C2428" w:rsidP="00AF7B68">
            <w:pPr>
              <w:pStyle w:val="BodyCopy"/>
              <w:spacing w:before="40" w:after="40"/>
              <w:rPr>
                <w:b/>
                <w:bCs/>
                <w:sz w:val="20"/>
                <w:szCs w:val="20"/>
              </w:rPr>
            </w:pPr>
            <w:r w:rsidRPr="00C4270B">
              <w:rPr>
                <w:b/>
                <w:bCs/>
                <w:sz w:val="20"/>
                <w:szCs w:val="20"/>
              </w:rPr>
              <w:t xml:space="preserve"> Trucks </w:t>
            </w:r>
          </w:p>
        </w:tc>
        <w:tc>
          <w:tcPr>
            <w:tcW w:w="1132" w:type="dxa"/>
            <w:hideMark/>
          </w:tcPr>
          <w:p w14:paraId="03FCCB0A"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1405E539"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41378417"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09D32BAB" w14:textId="77777777" w:rsidR="007C2428" w:rsidRPr="00C4270B" w:rsidRDefault="007C2428" w:rsidP="00AF7B68">
            <w:pPr>
              <w:pStyle w:val="BodyCopy"/>
              <w:spacing w:before="40" w:after="40"/>
              <w:rPr>
                <w:sz w:val="20"/>
                <w:szCs w:val="20"/>
              </w:rPr>
            </w:pPr>
            <w:r w:rsidRPr="00C4270B">
              <w:rPr>
                <w:sz w:val="20"/>
                <w:szCs w:val="20"/>
              </w:rPr>
              <w:t> </w:t>
            </w:r>
          </w:p>
        </w:tc>
      </w:tr>
      <w:tr w:rsidR="00EA25A8" w:rsidRPr="007C2428" w14:paraId="1D4CCAA8" w14:textId="77777777" w:rsidTr="00BD61D2">
        <w:trPr>
          <w:trHeight w:val="300"/>
        </w:trPr>
        <w:tc>
          <w:tcPr>
            <w:tcW w:w="0" w:type="dxa"/>
            <w:hideMark/>
          </w:tcPr>
          <w:p w14:paraId="5B078817" w14:textId="77777777" w:rsidR="00EA25A8" w:rsidRPr="00C4270B" w:rsidRDefault="00EA25A8" w:rsidP="00EA25A8">
            <w:pPr>
              <w:pStyle w:val="BodyCopy"/>
              <w:spacing w:before="40" w:after="40"/>
              <w:rPr>
                <w:sz w:val="20"/>
                <w:szCs w:val="20"/>
              </w:rPr>
            </w:pPr>
            <w:r w:rsidRPr="00C4270B">
              <w:rPr>
                <w:sz w:val="20"/>
                <w:szCs w:val="20"/>
              </w:rPr>
              <w:t xml:space="preserve"> Truck (type 1) </w:t>
            </w:r>
          </w:p>
        </w:tc>
        <w:tc>
          <w:tcPr>
            <w:tcW w:w="0" w:type="dxa"/>
          </w:tcPr>
          <w:p w14:paraId="4AFCB505" w14:textId="6B37B968" w:rsidR="00EA25A8" w:rsidRPr="003A5A55" w:rsidRDefault="00EA25A8" w:rsidP="00EA25A8">
            <w:pPr>
              <w:pStyle w:val="BodyCopy"/>
              <w:spacing w:before="40" w:after="40"/>
              <w:rPr>
                <w:sz w:val="20"/>
                <w:szCs w:val="20"/>
              </w:rPr>
            </w:pPr>
            <w:r w:rsidRPr="00BD61D2">
              <w:rPr>
                <w:sz w:val="20"/>
                <w:szCs w:val="20"/>
              </w:rPr>
              <w:t xml:space="preserve"> 501 </w:t>
            </w:r>
          </w:p>
        </w:tc>
        <w:tc>
          <w:tcPr>
            <w:tcW w:w="0" w:type="dxa"/>
          </w:tcPr>
          <w:p w14:paraId="5BB95269" w14:textId="53D0C0A4" w:rsidR="00EA25A8" w:rsidRPr="003A5A55" w:rsidRDefault="00EA25A8" w:rsidP="00EA25A8">
            <w:pPr>
              <w:pStyle w:val="BodyCopy"/>
              <w:spacing w:before="40" w:after="40"/>
              <w:rPr>
                <w:sz w:val="20"/>
                <w:szCs w:val="20"/>
              </w:rPr>
            </w:pPr>
            <w:r w:rsidRPr="00BD61D2">
              <w:rPr>
                <w:sz w:val="20"/>
                <w:szCs w:val="20"/>
              </w:rPr>
              <w:t xml:space="preserve"> 917 </w:t>
            </w:r>
          </w:p>
        </w:tc>
        <w:tc>
          <w:tcPr>
            <w:tcW w:w="0" w:type="dxa"/>
          </w:tcPr>
          <w:p w14:paraId="6F9B7EED" w14:textId="0A7B4925" w:rsidR="00EA25A8" w:rsidRPr="003A5A55" w:rsidRDefault="00EA25A8" w:rsidP="00EA25A8">
            <w:pPr>
              <w:pStyle w:val="BodyCopy"/>
              <w:spacing w:before="40" w:after="40"/>
              <w:rPr>
                <w:sz w:val="20"/>
                <w:szCs w:val="20"/>
              </w:rPr>
            </w:pPr>
            <w:r w:rsidRPr="00BD61D2">
              <w:rPr>
                <w:sz w:val="20"/>
                <w:szCs w:val="20"/>
              </w:rPr>
              <w:t xml:space="preserve"> 917 </w:t>
            </w:r>
          </w:p>
        </w:tc>
        <w:tc>
          <w:tcPr>
            <w:tcW w:w="0" w:type="dxa"/>
          </w:tcPr>
          <w:p w14:paraId="3B6142CF" w14:textId="36B1C3B1" w:rsidR="00EA25A8" w:rsidRPr="003A5A55" w:rsidRDefault="00EA25A8" w:rsidP="00EA25A8">
            <w:pPr>
              <w:pStyle w:val="BodyCopy"/>
              <w:spacing w:before="40" w:after="40"/>
              <w:rPr>
                <w:sz w:val="20"/>
                <w:szCs w:val="20"/>
              </w:rPr>
            </w:pPr>
            <w:r w:rsidRPr="00BD61D2">
              <w:rPr>
                <w:sz w:val="20"/>
                <w:szCs w:val="20"/>
              </w:rPr>
              <w:t xml:space="preserve"> 917 </w:t>
            </w:r>
          </w:p>
        </w:tc>
      </w:tr>
      <w:tr w:rsidR="00EA25A8" w:rsidRPr="007C2428" w14:paraId="634E3C91" w14:textId="77777777" w:rsidTr="00BD61D2">
        <w:trPr>
          <w:trHeight w:val="300"/>
        </w:trPr>
        <w:tc>
          <w:tcPr>
            <w:tcW w:w="0" w:type="dxa"/>
            <w:hideMark/>
          </w:tcPr>
          <w:p w14:paraId="26073F23" w14:textId="77777777" w:rsidR="00EA25A8" w:rsidRPr="00C4270B" w:rsidRDefault="00EA25A8" w:rsidP="00EA25A8">
            <w:pPr>
              <w:pStyle w:val="BodyCopy"/>
              <w:spacing w:before="40" w:after="40"/>
              <w:rPr>
                <w:sz w:val="20"/>
                <w:szCs w:val="20"/>
              </w:rPr>
            </w:pPr>
            <w:r w:rsidRPr="00C4270B">
              <w:rPr>
                <w:sz w:val="20"/>
                <w:szCs w:val="20"/>
              </w:rPr>
              <w:t xml:space="preserve"> Truck (type 2) </w:t>
            </w:r>
          </w:p>
        </w:tc>
        <w:tc>
          <w:tcPr>
            <w:tcW w:w="0" w:type="dxa"/>
          </w:tcPr>
          <w:p w14:paraId="7F0DECB7" w14:textId="5CAD406E" w:rsidR="00EA25A8" w:rsidRPr="003A5A55" w:rsidRDefault="00EA25A8" w:rsidP="00EA25A8">
            <w:pPr>
              <w:pStyle w:val="BodyCopy"/>
              <w:spacing w:before="40" w:after="40"/>
              <w:rPr>
                <w:sz w:val="20"/>
                <w:szCs w:val="20"/>
              </w:rPr>
            </w:pPr>
            <w:r w:rsidRPr="00BD61D2">
              <w:rPr>
                <w:sz w:val="20"/>
                <w:szCs w:val="20"/>
              </w:rPr>
              <w:t xml:space="preserve"> 917 </w:t>
            </w:r>
          </w:p>
        </w:tc>
        <w:tc>
          <w:tcPr>
            <w:tcW w:w="0" w:type="dxa"/>
          </w:tcPr>
          <w:p w14:paraId="543F21DD" w14:textId="7D8DA1B6" w:rsidR="00EA25A8" w:rsidRPr="003A5A55" w:rsidRDefault="00EA25A8" w:rsidP="00EA25A8">
            <w:pPr>
              <w:pStyle w:val="BodyCopy"/>
              <w:spacing w:before="40" w:after="40"/>
              <w:rPr>
                <w:sz w:val="20"/>
                <w:szCs w:val="20"/>
              </w:rPr>
            </w:pPr>
            <w:r w:rsidRPr="00BD61D2">
              <w:rPr>
                <w:sz w:val="20"/>
                <w:szCs w:val="20"/>
              </w:rPr>
              <w:t xml:space="preserve"> 1,040 </w:t>
            </w:r>
          </w:p>
        </w:tc>
        <w:tc>
          <w:tcPr>
            <w:tcW w:w="0" w:type="dxa"/>
          </w:tcPr>
          <w:p w14:paraId="1502FF05" w14:textId="3D81B695" w:rsidR="00EA25A8" w:rsidRPr="003A5A55" w:rsidRDefault="00EA25A8" w:rsidP="00EA25A8">
            <w:pPr>
              <w:pStyle w:val="BodyCopy"/>
              <w:spacing w:before="40" w:after="40"/>
              <w:rPr>
                <w:sz w:val="20"/>
                <w:szCs w:val="20"/>
              </w:rPr>
            </w:pPr>
            <w:r w:rsidRPr="00BD61D2">
              <w:rPr>
                <w:sz w:val="20"/>
                <w:szCs w:val="20"/>
              </w:rPr>
              <w:t xml:space="preserve"> 1,040 </w:t>
            </w:r>
          </w:p>
        </w:tc>
        <w:tc>
          <w:tcPr>
            <w:tcW w:w="0" w:type="dxa"/>
          </w:tcPr>
          <w:p w14:paraId="2EFE0D3A" w14:textId="34464886" w:rsidR="00EA25A8" w:rsidRPr="003A5A55" w:rsidRDefault="00EA25A8" w:rsidP="00EA25A8">
            <w:pPr>
              <w:pStyle w:val="BodyCopy"/>
              <w:spacing w:before="40" w:after="40"/>
              <w:rPr>
                <w:sz w:val="20"/>
                <w:szCs w:val="20"/>
              </w:rPr>
            </w:pPr>
            <w:r w:rsidRPr="00BD61D2">
              <w:rPr>
                <w:sz w:val="20"/>
                <w:szCs w:val="20"/>
              </w:rPr>
              <w:t xml:space="preserve"> 1,040 </w:t>
            </w:r>
          </w:p>
        </w:tc>
      </w:tr>
      <w:tr w:rsidR="00EA25A8" w:rsidRPr="007C2428" w14:paraId="4BC06ADD" w14:textId="77777777" w:rsidTr="00BD61D2">
        <w:trPr>
          <w:trHeight w:val="300"/>
        </w:trPr>
        <w:tc>
          <w:tcPr>
            <w:tcW w:w="0" w:type="dxa"/>
            <w:hideMark/>
          </w:tcPr>
          <w:p w14:paraId="4B765FFD" w14:textId="77777777" w:rsidR="00EA25A8" w:rsidRPr="00C4270B" w:rsidRDefault="00EA25A8" w:rsidP="00EA25A8">
            <w:pPr>
              <w:pStyle w:val="BodyCopy"/>
              <w:spacing w:before="40" w:after="40"/>
              <w:rPr>
                <w:sz w:val="20"/>
                <w:szCs w:val="20"/>
              </w:rPr>
            </w:pPr>
            <w:r w:rsidRPr="00C4270B">
              <w:rPr>
                <w:sz w:val="20"/>
                <w:szCs w:val="20"/>
              </w:rPr>
              <w:t xml:space="preserve"> Short combination truck </w:t>
            </w:r>
          </w:p>
        </w:tc>
        <w:tc>
          <w:tcPr>
            <w:tcW w:w="0" w:type="dxa"/>
          </w:tcPr>
          <w:p w14:paraId="174D5A88" w14:textId="075900B8" w:rsidR="00EA25A8" w:rsidRPr="003A5A55" w:rsidRDefault="00EA25A8" w:rsidP="00EA25A8">
            <w:pPr>
              <w:pStyle w:val="BodyCopy"/>
              <w:spacing w:before="40" w:after="40"/>
              <w:rPr>
                <w:sz w:val="20"/>
                <w:szCs w:val="20"/>
              </w:rPr>
            </w:pPr>
            <w:r w:rsidRPr="00BD61D2">
              <w:rPr>
                <w:sz w:val="20"/>
                <w:szCs w:val="20"/>
              </w:rPr>
              <w:t xml:space="preserve"> 917 </w:t>
            </w:r>
          </w:p>
        </w:tc>
        <w:tc>
          <w:tcPr>
            <w:tcW w:w="0" w:type="dxa"/>
          </w:tcPr>
          <w:p w14:paraId="0D96E349" w14:textId="7C7D439E" w:rsidR="00EA25A8" w:rsidRPr="003A5A55" w:rsidRDefault="00EA25A8" w:rsidP="00EA25A8">
            <w:pPr>
              <w:pStyle w:val="BodyCopy"/>
              <w:spacing w:before="40" w:after="40"/>
              <w:rPr>
                <w:sz w:val="20"/>
                <w:szCs w:val="20"/>
              </w:rPr>
            </w:pPr>
            <w:r w:rsidRPr="00BD61D2">
              <w:rPr>
                <w:sz w:val="20"/>
                <w:szCs w:val="20"/>
              </w:rPr>
              <w:t xml:space="preserve"> 1,040 </w:t>
            </w:r>
          </w:p>
        </w:tc>
        <w:tc>
          <w:tcPr>
            <w:tcW w:w="0" w:type="dxa"/>
          </w:tcPr>
          <w:p w14:paraId="709A0CC2" w14:textId="6C980E1D" w:rsidR="00EA25A8" w:rsidRPr="003A5A55" w:rsidRDefault="00EA25A8" w:rsidP="00EA25A8">
            <w:pPr>
              <w:pStyle w:val="BodyCopy"/>
              <w:spacing w:before="40" w:after="40"/>
              <w:rPr>
                <w:sz w:val="20"/>
                <w:szCs w:val="20"/>
              </w:rPr>
            </w:pPr>
            <w:r w:rsidRPr="00BD61D2">
              <w:rPr>
                <w:sz w:val="20"/>
                <w:szCs w:val="20"/>
              </w:rPr>
              <w:t xml:space="preserve"> 2,059 </w:t>
            </w:r>
          </w:p>
        </w:tc>
        <w:tc>
          <w:tcPr>
            <w:tcW w:w="0" w:type="dxa"/>
          </w:tcPr>
          <w:p w14:paraId="60E852E1" w14:textId="20626958" w:rsidR="00EA25A8" w:rsidRPr="003A5A55" w:rsidRDefault="00EA25A8" w:rsidP="00EA25A8">
            <w:pPr>
              <w:pStyle w:val="BodyCopy"/>
              <w:spacing w:before="40" w:after="40"/>
              <w:rPr>
                <w:sz w:val="20"/>
                <w:szCs w:val="20"/>
              </w:rPr>
            </w:pPr>
            <w:r w:rsidRPr="00BD61D2">
              <w:rPr>
                <w:sz w:val="20"/>
                <w:szCs w:val="20"/>
              </w:rPr>
              <w:t xml:space="preserve"> 2,059 </w:t>
            </w:r>
          </w:p>
        </w:tc>
      </w:tr>
      <w:tr w:rsidR="00EA25A8" w:rsidRPr="007C2428" w14:paraId="74715934" w14:textId="77777777" w:rsidTr="00BD61D2">
        <w:trPr>
          <w:trHeight w:val="300"/>
        </w:trPr>
        <w:tc>
          <w:tcPr>
            <w:tcW w:w="0" w:type="dxa"/>
            <w:hideMark/>
          </w:tcPr>
          <w:p w14:paraId="2FD0740E" w14:textId="77777777" w:rsidR="00EA25A8" w:rsidRPr="00C4270B" w:rsidRDefault="00EA25A8" w:rsidP="00EA25A8">
            <w:pPr>
              <w:pStyle w:val="BodyCopy"/>
              <w:spacing w:before="40" w:after="40"/>
              <w:rPr>
                <w:sz w:val="20"/>
                <w:szCs w:val="20"/>
              </w:rPr>
            </w:pPr>
            <w:r w:rsidRPr="00C4270B">
              <w:rPr>
                <w:sz w:val="20"/>
                <w:szCs w:val="20"/>
              </w:rPr>
              <w:t xml:space="preserve"> Medium combination truck </w:t>
            </w:r>
          </w:p>
        </w:tc>
        <w:tc>
          <w:tcPr>
            <w:tcW w:w="0" w:type="dxa"/>
          </w:tcPr>
          <w:p w14:paraId="6B0119C5" w14:textId="7A7023B7" w:rsidR="00EA25A8" w:rsidRPr="003A5A55" w:rsidRDefault="00EA25A8" w:rsidP="00EA25A8">
            <w:pPr>
              <w:pStyle w:val="BodyCopy"/>
              <w:spacing w:before="40" w:after="40"/>
              <w:rPr>
                <w:sz w:val="20"/>
                <w:szCs w:val="20"/>
              </w:rPr>
            </w:pPr>
            <w:r w:rsidRPr="00BD61D2">
              <w:rPr>
                <w:sz w:val="20"/>
                <w:szCs w:val="20"/>
              </w:rPr>
              <w:t xml:space="preserve"> 10,819 </w:t>
            </w:r>
          </w:p>
        </w:tc>
        <w:tc>
          <w:tcPr>
            <w:tcW w:w="0" w:type="dxa"/>
          </w:tcPr>
          <w:p w14:paraId="24468EDB" w14:textId="3B172003" w:rsidR="00EA25A8" w:rsidRPr="003A5A55" w:rsidRDefault="00EA25A8" w:rsidP="00EA25A8">
            <w:pPr>
              <w:pStyle w:val="BodyCopy"/>
              <w:spacing w:before="40" w:after="40"/>
              <w:rPr>
                <w:sz w:val="20"/>
                <w:szCs w:val="20"/>
              </w:rPr>
            </w:pPr>
            <w:r w:rsidRPr="00BD61D2">
              <w:rPr>
                <w:sz w:val="20"/>
                <w:szCs w:val="20"/>
              </w:rPr>
              <w:t xml:space="preserve"> 10,819 </w:t>
            </w:r>
          </w:p>
        </w:tc>
        <w:tc>
          <w:tcPr>
            <w:tcW w:w="0" w:type="dxa"/>
          </w:tcPr>
          <w:p w14:paraId="41E33DCD" w14:textId="0133E8BD" w:rsidR="00EA25A8" w:rsidRPr="003A5A55" w:rsidRDefault="00EA25A8" w:rsidP="00EA25A8">
            <w:pPr>
              <w:pStyle w:val="BodyCopy"/>
              <w:spacing w:before="40" w:after="40"/>
              <w:rPr>
                <w:sz w:val="20"/>
                <w:szCs w:val="20"/>
              </w:rPr>
            </w:pPr>
            <w:r w:rsidRPr="00BD61D2">
              <w:rPr>
                <w:sz w:val="20"/>
                <w:szCs w:val="20"/>
              </w:rPr>
              <w:t xml:space="preserve"> 11,685 </w:t>
            </w:r>
          </w:p>
        </w:tc>
        <w:tc>
          <w:tcPr>
            <w:tcW w:w="0" w:type="dxa"/>
          </w:tcPr>
          <w:p w14:paraId="45C6BDEF" w14:textId="3F743F60" w:rsidR="00EA25A8" w:rsidRPr="003A5A55" w:rsidRDefault="00EA25A8" w:rsidP="00EA25A8">
            <w:pPr>
              <w:pStyle w:val="BodyCopy"/>
              <w:spacing w:before="40" w:after="40"/>
              <w:rPr>
                <w:sz w:val="20"/>
                <w:szCs w:val="20"/>
              </w:rPr>
            </w:pPr>
            <w:r w:rsidRPr="00BD61D2">
              <w:rPr>
                <w:sz w:val="20"/>
                <w:szCs w:val="20"/>
              </w:rPr>
              <w:t xml:space="preserve"> 11,685 </w:t>
            </w:r>
          </w:p>
        </w:tc>
      </w:tr>
      <w:tr w:rsidR="00EA25A8" w:rsidRPr="007C2428" w14:paraId="222FDF47" w14:textId="77777777" w:rsidTr="00BD61D2">
        <w:trPr>
          <w:trHeight w:val="300"/>
        </w:trPr>
        <w:tc>
          <w:tcPr>
            <w:tcW w:w="0" w:type="dxa"/>
            <w:hideMark/>
          </w:tcPr>
          <w:p w14:paraId="3B7828DC" w14:textId="77777777" w:rsidR="00EA25A8" w:rsidRPr="00C4270B" w:rsidRDefault="00EA25A8" w:rsidP="00EA25A8">
            <w:pPr>
              <w:pStyle w:val="BodyCopy"/>
              <w:spacing w:before="40" w:after="40"/>
              <w:rPr>
                <w:sz w:val="20"/>
                <w:szCs w:val="20"/>
              </w:rPr>
            </w:pPr>
            <w:r w:rsidRPr="00C4270B">
              <w:rPr>
                <w:sz w:val="20"/>
                <w:szCs w:val="20"/>
              </w:rPr>
              <w:t xml:space="preserve"> Long combination truck </w:t>
            </w:r>
          </w:p>
        </w:tc>
        <w:tc>
          <w:tcPr>
            <w:tcW w:w="0" w:type="dxa"/>
          </w:tcPr>
          <w:p w14:paraId="0BC45B43" w14:textId="69B01FDD" w:rsidR="00EA25A8" w:rsidRPr="003A5A55" w:rsidRDefault="00EA25A8" w:rsidP="00EA25A8">
            <w:pPr>
              <w:pStyle w:val="BodyCopy"/>
              <w:spacing w:before="40" w:after="40"/>
              <w:rPr>
                <w:sz w:val="20"/>
                <w:szCs w:val="20"/>
              </w:rPr>
            </w:pPr>
            <w:r w:rsidRPr="00BD61D2">
              <w:rPr>
                <w:sz w:val="20"/>
                <w:szCs w:val="20"/>
              </w:rPr>
              <w:t xml:space="preserve"> 14,957 </w:t>
            </w:r>
          </w:p>
        </w:tc>
        <w:tc>
          <w:tcPr>
            <w:tcW w:w="0" w:type="dxa"/>
          </w:tcPr>
          <w:p w14:paraId="06EDDCEE" w14:textId="24C34C5C" w:rsidR="00EA25A8" w:rsidRPr="003A5A55" w:rsidRDefault="00EA25A8" w:rsidP="00EA25A8">
            <w:pPr>
              <w:pStyle w:val="BodyCopy"/>
              <w:spacing w:before="40" w:after="40"/>
              <w:rPr>
                <w:sz w:val="20"/>
                <w:szCs w:val="20"/>
              </w:rPr>
            </w:pPr>
            <w:r w:rsidRPr="00BD61D2">
              <w:rPr>
                <w:sz w:val="20"/>
                <w:szCs w:val="20"/>
              </w:rPr>
              <w:t xml:space="preserve"> 14,957 </w:t>
            </w:r>
          </w:p>
        </w:tc>
        <w:tc>
          <w:tcPr>
            <w:tcW w:w="0" w:type="dxa"/>
          </w:tcPr>
          <w:p w14:paraId="6E4143CA" w14:textId="73552E8D" w:rsidR="00EA25A8" w:rsidRPr="003A5A55" w:rsidRDefault="00EA25A8" w:rsidP="00EA25A8">
            <w:pPr>
              <w:pStyle w:val="BodyCopy"/>
              <w:spacing w:before="40" w:after="40"/>
              <w:rPr>
                <w:sz w:val="20"/>
                <w:szCs w:val="20"/>
              </w:rPr>
            </w:pPr>
            <w:r w:rsidRPr="00BD61D2">
              <w:rPr>
                <w:sz w:val="20"/>
                <w:szCs w:val="20"/>
              </w:rPr>
              <w:t xml:space="preserve"> 14,957 </w:t>
            </w:r>
          </w:p>
        </w:tc>
        <w:tc>
          <w:tcPr>
            <w:tcW w:w="0" w:type="dxa"/>
          </w:tcPr>
          <w:p w14:paraId="58D29876" w14:textId="25E7BBDA" w:rsidR="00EA25A8" w:rsidRPr="003A5A55" w:rsidRDefault="00EA25A8" w:rsidP="00EA25A8">
            <w:pPr>
              <w:pStyle w:val="BodyCopy"/>
              <w:spacing w:before="40" w:after="40"/>
              <w:rPr>
                <w:sz w:val="20"/>
                <w:szCs w:val="20"/>
              </w:rPr>
            </w:pPr>
            <w:r w:rsidRPr="00BD61D2">
              <w:rPr>
                <w:sz w:val="20"/>
                <w:szCs w:val="20"/>
              </w:rPr>
              <w:t xml:space="preserve"> 14,957 </w:t>
            </w:r>
          </w:p>
        </w:tc>
      </w:tr>
      <w:tr w:rsidR="00EA25A8" w:rsidRPr="007C2428" w14:paraId="522B28F0" w14:textId="77777777" w:rsidTr="00BD61D2">
        <w:trPr>
          <w:trHeight w:val="300"/>
        </w:trPr>
        <w:tc>
          <w:tcPr>
            <w:tcW w:w="0" w:type="dxa"/>
            <w:hideMark/>
          </w:tcPr>
          <w:p w14:paraId="21957CAA" w14:textId="55A0C219" w:rsidR="00EA25A8" w:rsidRPr="00C4270B" w:rsidRDefault="00EA25A8" w:rsidP="00EA25A8">
            <w:pPr>
              <w:pStyle w:val="BodyCopy"/>
              <w:spacing w:before="40" w:after="40"/>
              <w:rPr>
                <w:b/>
                <w:bCs/>
                <w:sz w:val="20"/>
                <w:szCs w:val="20"/>
              </w:rPr>
            </w:pPr>
            <w:r w:rsidRPr="00C4270B">
              <w:rPr>
                <w:b/>
                <w:bCs/>
                <w:sz w:val="20"/>
                <w:szCs w:val="20"/>
              </w:rPr>
              <w:t xml:space="preserve"> Prime movers </w:t>
            </w:r>
          </w:p>
        </w:tc>
        <w:tc>
          <w:tcPr>
            <w:tcW w:w="0" w:type="dxa"/>
          </w:tcPr>
          <w:p w14:paraId="7EDC3F60" w14:textId="6D559B74" w:rsidR="00EA25A8" w:rsidRPr="003A5A55" w:rsidRDefault="00EA25A8" w:rsidP="00EA25A8">
            <w:pPr>
              <w:pStyle w:val="BodyCopy"/>
              <w:spacing w:before="40" w:after="40"/>
              <w:rPr>
                <w:sz w:val="20"/>
                <w:szCs w:val="20"/>
              </w:rPr>
            </w:pPr>
          </w:p>
        </w:tc>
        <w:tc>
          <w:tcPr>
            <w:tcW w:w="0" w:type="dxa"/>
          </w:tcPr>
          <w:p w14:paraId="627839DD" w14:textId="0839ABCD" w:rsidR="00EA25A8" w:rsidRPr="003A5A55" w:rsidRDefault="00EA25A8" w:rsidP="00EA25A8">
            <w:pPr>
              <w:pStyle w:val="BodyCopy"/>
              <w:spacing w:before="40" w:after="40"/>
              <w:rPr>
                <w:sz w:val="20"/>
                <w:szCs w:val="20"/>
              </w:rPr>
            </w:pPr>
          </w:p>
        </w:tc>
        <w:tc>
          <w:tcPr>
            <w:tcW w:w="0" w:type="dxa"/>
          </w:tcPr>
          <w:p w14:paraId="3950B405" w14:textId="2780984A" w:rsidR="00EA25A8" w:rsidRPr="003A5A55" w:rsidRDefault="00EA25A8" w:rsidP="00EA25A8">
            <w:pPr>
              <w:pStyle w:val="BodyCopy"/>
              <w:spacing w:before="40" w:after="40"/>
              <w:rPr>
                <w:sz w:val="20"/>
                <w:szCs w:val="20"/>
              </w:rPr>
            </w:pPr>
          </w:p>
        </w:tc>
        <w:tc>
          <w:tcPr>
            <w:tcW w:w="0" w:type="dxa"/>
          </w:tcPr>
          <w:p w14:paraId="6816EA66" w14:textId="0B5F06EF" w:rsidR="00EA25A8" w:rsidRPr="003A5A55" w:rsidRDefault="00EA25A8" w:rsidP="00EA25A8">
            <w:pPr>
              <w:pStyle w:val="BodyCopy"/>
              <w:spacing w:before="40" w:after="40"/>
              <w:rPr>
                <w:sz w:val="20"/>
                <w:szCs w:val="20"/>
              </w:rPr>
            </w:pPr>
          </w:p>
        </w:tc>
      </w:tr>
      <w:tr w:rsidR="00EA25A8" w:rsidRPr="007C2428" w14:paraId="39ECEEAD" w14:textId="77777777" w:rsidTr="00BD61D2">
        <w:trPr>
          <w:trHeight w:val="300"/>
        </w:trPr>
        <w:tc>
          <w:tcPr>
            <w:tcW w:w="0" w:type="dxa"/>
            <w:hideMark/>
          </w:tcPr>
          <w:p w14:paraId="5CCE6FE1" w14:textId="77777777" w:rsidR="00EA25A8" w:rsidRPr="00C4270B" w:rsidRDefault="00EA25A8" w:rsidP="00EA25A8">
            <w:pPr>
              <w:pStyle w:val="BodyCopy"/>
              <w:spacing w:before="40" w:after="40"/>
              <w:rPr>
                <w:sz w:val="20"/>
                <w:szCs w:val="20"/>
              </w:rPr>
            </w:pPr>
            <w:r w:rsidRPr="00C4270B">
              <w:rPr>
                <w:sz w:val="20"/>
                <w:szCs w:val="20"/>
              </w:rPr>
              <w:t xml:space="preserve"> Short combination prime mover </w:t>
            </w:r>
          </w:p>
        </w:tc>
        <w:tc>
          <w:tcPr>
            <w:tcW w:w="0" w:type="dxa"/>
          </w:tcPr>
          <w:p w14:paraId="76A6EBC4" w14:textId="461E71F0" w:rsidR="00EA25A8" w:rsidRPr="003A5A55" w:rsidRDefault="00EA25A8" w:rsidP="00EA25A8">
            <w:pPr>
              <w:pStyle w:val="BodyCopy"/>
              <w:spacing w:before="40" w:after="40"/>
              <w:rPr>
                <w:sz w:val="20"/>
                <w:szCs w:val="20"/>
              </w:rPr>
            </w:pPr>
            <w:r w:rsidRPr="00BD61D2">
              <w:rPr>
                <w:sz w:val="20"/>
                <w:szCs w:val="20"/>
              </w:rPr>
              <w:t xml:space="preserve"> 875 </w:t>
            </w:r>
          </w:p>
        </w:tc>
        <w:tc>
          <w:tcPr>
            <w:tcW w:w="0" w:type="dxa"/>
          </w:tcPr>
          <w:p w14:paraId="7CAFC705" w14:textId="1905D291" w:rsidR="00EA25A8" w:rsidRPr="003A5A55" w:rsidRDefault="00EA25A8" w:rsidP="00EA25A8">
            <w:pPr>
              <w:pStyle w:val="BodyCopy"/>
              <w:spacing w:before="40" w:after="40"/>
              <w:rPr>
                <w:sz w:val="20"/>
                <w:szCs w:val="20"/>
              </w:rPr>
            </w:pPr>
            <w:r w:rsidRPr="00BD61D2">
              <w:rPr>
                <w:sz w:val="20"/>
                <w:szCs w:val="20"/>
              </w:rPr>
              <w:t xml:space="preserve"> 4,990 </w:t>
            </w:r>
          </w:p>
        </w:tc>
        <w:tc>
          <w:tcPr>
            <w:tcW w:w="0" w:type="dxa"/>
          </w:tcPr>
          <w:p w14:paraId="7E72FEBA" w14:textId="0F6BB801" w:rsidR="00EA25A8" w:rsidRPr="003A5A55" w:rsidRDefault="00EA25A8" w:rsidP="00EA25A8">
            <w:pPr>
              <w:pStyle w:val="BodyCopy"/>
              <w:spacing w:before="40" w:after="40"/>
              <w:rPr>
                <w:sz w:val="20"/>
                <w:szCs w:val="20"/>
              </w:rPr>
            </w:pPr>
            <w:r w:rsidRPr="00BD61D2">
              <w:rPr>
                <w:sz w:val="20"/>
                <w:szCs w:val="20"/>
              </w:rPr>
              <w:t xml:space="preserve"> 5,365 </w:t>
            </w:r>
          </w:p>
        </w:tc>
        <w:tc>
          <w:tcPr>
            <w:tcW w:w="0" w:type="dxa"/>
          </w:tcPr>
          <w:p w14:paraId="1CA325C6" w14:textId="327EC21A" w:rsidR="00EA25A8" w:rsidRPr="003A5A55" w:rsidRDefault="00EA25A8" w:rsidP="00EA25A8">
            <w:pPr>
              <w:pStyle w:val="BodyCopy"/>
              <w:spacing w:before="40" w:after="40"/>
              <w:rPr>
                <w:sz w:val="20"/>
                <w:szCs w:val="20"/>
              </w:rPr>
            </w:pPr>
            <w:r w:rsidRPr="00BD61D2">
              <w:rPr>
                <w:sz w:val="20"/>
                <w:szCs w:val="20"/>
              </w:rPr>
              <w:t xml:space="preserve"> 5,365 </w:t>
            </w:r>
          </w:p>
        </w:tc>
      </w:tr>
      <w:tr w:rsidR="00EA25A8" w:rsidRPr="007C2428" w14:paraId="200F20CE" w14:textId="77777777" w:rsidTr="00BD61D2">
        <w:trPr>
          <w:trHeight w:val="300"/>
        </w:trPr>
        <w:tc>
          <w:tcPr>
            <w:tcW w:w="0" w:type="dxa"/>
            <w:hideMark/>
          </w:tcPr>
          <w:p w14:paraId="518D4334" w14:textId="77777777" w:rsidR="00EA25A8" w:rsidRPr="00C4270B" w:rsidRDefault="00EA25A8" w:rsidP="00EA25A8">
            <w:pPr>
              <w:pStyle w:val="BodyCopy"/>
              <w:spacing w:before="40" w:after="40"/>
              <w:rPr>
                <w:sz w:val="20"/>
                <w:szCs w:val="20"/>
              </w:rPr>
            </w:pPr>
            <w:r w:rsidRPr="00C4270B">
              <w:rPr>
                <w:sz w:val="20"/>
                <w:szCs w:val="20"/>
              </w:rPr>
              <w:t xml:space="preserve"> Multi-combination prime mover </w:t>
            </w:r>
          </w:p>
        </w:tc>
        <w:tc>
          <w:tcPr>
            <w:tcW w:w="0" w:type="dxa"/>
          </w:tcPr>
          <w:p w14:paraId="3358125C" w14:textId="43E91AB7" w:rsidR="00EA25A8" w:rsidRPr="003A5A55" w:rsidRDefault="00EA25A8" w:rsidP="00EA25A8">
            <w:pPr>
              <w:pStyle w:val="BodyCopy"/>
              <w:spacing w:before="40" w:after="40"/>
              <w:rPr>
                <w:sz w:val="20"/>
                <w:szCs w:val="20"/>
              </w:rPr>
            </w:pPr>
            <w:r w:rsidRPr="00BD61D2">
              <w:rPr>
                <w:sz w:val="20"/>
                <w:szCs w:val="20"/>
              </w:rPr>
              <w:t xml:space="preserve"> 12,660 </w:t>
            </w:r>
          </w:p>
        </w:tc>
        <w:tc>
          <w:tcPr>
            <w:tcW w:w="0" w:type="dxa"/>
          </w:tcPr>
          <w:p w14:paraId="54C51F8C" w14:textId="60B2ABF4" w:rsidR="00EA25A8" w:rsidRPr="003A5A55" w:rsidRDefault="00EA25A8" w:rsidP="00EA25A8">
            <w:pPr>
              <w:pStyle w:val="BodyCopy"/>
              <w:spacing w:before="40" w:after="40"/>
              <w:rPr>
                <w:sz w:val="20"/>
                <w:szCs w:val="20"/>
              </w:rPr>
            </w:pPr>
            <w:r w:rsidRPr="00BD61D2">
              <w:rPr>
                <w:sz w:val="20"/>
                <w:szCs w:val="20"/>
              </w:rPr>
              <w:t xml:space="preserve"> 12,660 </w:t>
            </w:r>
          </w:p>
        </w:tc>
        <w:tc>
          <w:tcPr>
            <w:tcW w:w="0" w:type="dxa"/>
          </w:tcPr>
          <w:p w14:paraId="29582CAE" w14:textId="417BA8CD" w:rsidR="00EA25A8" w:rsidRPr="003A5A55" w:rsidRDefault="00EA25A8" w:rsidP="00EA25A8">
            <w:pPr>
              <w:pStyle w:val="BodyCopy"/>
              <w:spacing w:before="40" w:after="40"/>
              <w:rPr>
                <w:sz w:val="20"/>
                <w:szCs w:val="20"/>
              </w:rPr>
            </w:pPr>
            <w:r w:rsidRPr="00BD61D2">
              <w:rPr>
                <w:sz w:val="20"/>
                <w:szCs w:val="20"/>
              </w:rPr>
              <w:t xml:space="preserve"> 13,926 </w:t>
            </w:r>
          </w:p>
        </w:tc>
        <w:tc>
          <w:tcPr>
            <w:tcW w:w="0" w:type="dxa"/>
          </w:tcPr>
          <w:p w14:paraId="36B6DB7D" w14:textId="40078F4C" w:rsidR="00EA25A8" w:rsidRPr="003A5A55" w:rsidRDefault="00EA25A8" w:rsidP="00EA25A8">
            <w:pPr>
              <w:pStyle w:val="BodyCopy"/>
              <w:spacing w:before="40" w:after="40"/>
              <w:rPr>
                <w:sz w:val="20"/>
                <w:szCs w:val="20"/>
              </w:rPr>
            </w:pPr>
            <w:r w:rsidRPr="00BD61D2">
              <w:rPr>
                <w:sz w:val="20"/>
                <w:szCs w:val="20"/>
              </w:rPr>
              <w:t xml:space="preserve"> 13,926 </w:t>
            </w:r>
          </w:p>
        </w:tc>
      </w:tr>
      <w:tr w:rsidR="007C2428" w:rsidRPr="007C2428" w14:paraId="2A943C28" w14:textId="77777777" w:rsidTr="00AF7B68">
        <w:trPr>
          <w:trHeight w:val="300"/>
        </w:trPr>
        <w:tc>
          <w:tcPr>
            <w:tcW w:w="9027" w:type="dxa"/>
            <w:gridSpan w:val="5"/>
            <w:vAlign w:val="center"/>
            <w:hideMark/>
          </w:tcPr>
          <w:p w14:paraId="7F6A42DE" w14:textId="52E8F77C" w:rsidR="007C2428" w:rsidRPr="00C4270B" w:rsidRDefault="007C2428" w:rsidP="00AF7B68">
            <w:pPr>
              <w:pStyle w:val="BodyCopy"/>
              <w:spacing w:before="40" w:after="40"/>
              <w:jc w:val="center"/>
              <w:rPr>
                <w:b/>
                <w:bCs/>
                <w:sz w:val="20"/>
                <w:szCs w:val="20"/>
              </w:rPr>
            </w:pPr>
            <w:r w:rsidRPr="00C4270B">
              <w:rPr>
                <w:b/>
                <w:bCs/>
                <w:sz w:val="20"/>
                <w:szCs w:val="20"/>
              </w:rPr>
              <w:t>DIVISION 2 – LOAD CARRYING TRAILERS ($)</w:t>
            </w:r>
          </w:p>
        </w:tc>
      </w:tr>
      <w:tr w:rsidR="007C2428" w:rsidRPr="007C2428" w14:paraId="201B88E2" w14:textId="77777777" w:rsidTr="007C2428">
        <w:trPr>
          <w:trHeight w:val="900"/>
        </w:trPr>
        <w:tc>
          <w:tcPr>
            <w:tcW w:w="4420" w:type="dxa"/>
            <w:hideMark/>
          </w:tcPr>
          <w:p w14:paraId="13D4879A" w14:textId="77777777" w:rsidR="007C2428" w:rsidRPr="00C4270B" w:rsidRDefault="007C2428" w:rsidP="00AF7B68">
            <w:pPr>
              <w:pStyle w:val="BodyCopy"/>
              <w:spacing w:before="40" w:after="40"/>
              <w:rPr>
                <w:b/>
                <w:bCs/>
                <w:sz w:val="20"/>
                <w:szCs w:val="20"/>
              </w:rPr>
            </w:pPr>
            <w:r w:rsidRPr="00C4270B">
              <w:rPr>
                <w:b/>
                <w:bCs/>
                <w:sz w:val="20"/>
                <w:szCs w:val="20"/>
              </w:rPr>
              <w:t xml:space="preserve"> Axle group type (per axle charge ($)) </w:t>
            </w:r>
          </w:p>
        </w:tc>
        <w:tc>
          <w:tcPr>
            <w:tcW w:w="1132" w:type="dxa"/>
            <w:hideMark/>
          </w:tcPr>
          <w:p w14:paraId="5B62D3D8" w14:textId="1B70A685" w:rsidR="007C2428" w:rsidRPr="00C4270B" w:rsidRDefault="007C2428" w:rsidP="00AF7B68">
            <w:pPr>
              <w:pStyle w:val="BodyCopy"/>
              <w:spacing w:before="40" w:after="40"/>
              <w:rPr>
                <w:b/>
                <w:bCs/>
                <w:sz w:val="20"/>
                <w:szCs w:val="20"/>
              </w:rPr>
            </w:pPr>
            <w:r w:rsidRPr="00C4270B">
              <w:rPr>
                <w:b/>
                <w:bCs/>
                <w:sz w:val="20"/>
                <w:szCs w:val="20"/>
              </w:rPr>
              <w:t xml:space="preserve"> Single</w:t>
            </w:r>
            <w:r w:rsidR="00830D17" w:rsidRPr="00C4270B">
              <w:rPr>
                <w:b/>
                <w:bCs/>
                <w:sz w:val="20"/>
                <w:szCs w:val="20"/>
              </w:rPr>
              <w:t xml:space="preserve"> </w:t>
            </w:r>
          </w:p>
        </w:tc>
        <w:tc>
          <w:tcPr>
            <w:tcW w:w="1211" w:type="dxa"/>
            <w:hideMark/>
          </w:tcPr>
          <w:p w14:paraId="7965E872" w14:textId="10DDA66F" w:rsidR="007C2428" w:rsidRPr="00C4270B" w:rsidRDefault="007C2428" w:rsidP="00AF7B68">
            <w:pPr>
              <w:pStyle w:val="BodyCopy"/>
              <w:spacing w:before="40" w:after="40"/>
              <w:rPr>
                <w:b/>
                <w:bCs/>
                <w:sz w:val="20"/>
                <w:szCs w:val="20"/>
              </w:rPr>
            </w:pPr>
            <w:r w:rsidRPr="00C4270B">
              <w:rPr>
                <w:b/>
                <w:bCs/>
                <w:sz w:val="20"/>
                <w:szCs w:val="20"/>
              </w:rPr>
              <w:t xml:space="preserve">Tandem axle group </w:t>
            </w:r>
          </w:p>
        </w:tc>
        <w:tc>
          <w:tcPr>
            <w:tcW w:w="1132" w:type="dxa"/>
            <w:hideMark/>
          </w:tcPr>
          <w:p w14:paraId="55935B98" w14:textId="5C39451E" w:rsidR="007C2428" w:rsidRPr="00C4270B" w:rsidRDefault="007C2428" w:rsidP="00AF7B68">
            <w:pPr>
              <w:pStyle w:val="BodyCopy"/>
              <w:spacing w:before="40" w:after="40"/>
              <w:rPr>
                <w:b/>
                <w:bCs/>
                <w:sz w:val="20"/>
                <w:szCs w:val="20"/>
              </w:rPr>
            </w:pPr>
            <w:r w:rsidRPr="00C4270B">
              <w:rPr>
                <w:b/>
                <w:bCs/>
                <w:sz w:val="20"/>
                <w:szCs w:val="20"/>
              </w:rPr>
              <w:t xml:space="preserve">Tri-axle group </w:t>
            </w:r>
          </w:p>
        </w:tc>
        <w:tc>
          <w:tcPr>
            <w:tcW w:w="1132" w:type="dxa"/>
            <w:hideMark/>
          </w:tcPr>
          <w:p w14:paraId="112DAB91" w14:textId="5E87496F" w:rsidR="007C2428" w:rsidRPr="00C4270B" w:rsidRDefault="007C2428" w:rsidP="00AF7B68">
            <w:pPr>
              <w:pStyle w:val="BodyCopy"/>
              <w:spacing w:before="40" w:after="40"/>
              <w:rPr>
                <w:b/>
                <w:bCs/>
                <w:sz w:val="20"/>
                <w:szCs w:val="20"/>
              </w:rPr>
            </w:pPr>
            <w:r w:rsidRPr="00C4270B">
              <w:rPr>
                <w:b/>
                <w:bCs/>
                <w:sz w:val="20"/>
                <w:szCs w:val="20"/>
              </w:rPr>
              <w:t>Quad-axle group &amp; above</w:t>
            </w:r>
            <w:r w:rsidR="00830D17" w:rsidRPr="00C4270B">
              <w:rPr>
                <w:b/>
                <w:bCs/>
                <w:sz w:val="20"/>
                <w:szCs w:val="20"/>
              </w:rPr>
              <w:t xml:space="preserve"> </w:t>
            </w:r>
          </w:p>
        </w:tc>
      </w:tr>
      <w:tr w:rsidR="007C2428" w:rsidRPr="007C2428" w14:paraId="32DD77FE" w14:textId="77777777" w:rsidTr="007C2428">
        <w:trPr>
          <w:trHeight w:val="300"/>
        </w:trPr>
        <w:tc>
          <w:tcPr>
            <w:tcW w:w="4420" w:type="dxa"/>
            <w:hideMark/>
          </w:tcPr>
          <w:p w14:paraId="5B5F0A36" w14:textId="13431326" w:rsidR="007C2428" w:rsidRPr="00C4270B" w:rsidRDefault="007C2428" w:rsidP="00AF7B68">
            <w:pPr>
              <w:pStyle w:val="BodyCopy"/>
              <w:spacing w:before="40" w:after="40"/>
              <w:rPr>
                <w:b/>
                <w:bCs/>
                <w:sz w:val="20"/>
                <w:szCs w:val="20"/>
              </w:rPr>
            </w:pPr>
            <w:r w:rsidRPr="00C4270B">
              <w:rPr>
                <w:b/>
                <w:bCs/>
                <w:sz w:val="20"/>
                <w:szCs w:val="20"/>
              </w:rPr>
              <w:t xml:space="preserve"> Trailer </w:t>
            </w:r>
            <w:r w:rsidR="006F7F4A" w:rsidRPr="00C4270B">
              <w:rPr>
                <w:b/>
                <w:bCs/>
                <w:sz w:val="20"/>
                <w:szCs w:val="20"/>
              </w:rPr>
              <w:t>t</w:t>
            </w:r>
            <w:r w:rsidRPr="00C4270B">
              <w:rPr>
                <w:b/>
                <w:bCs/>
                <w:sz w:val="20"/>
                <w:szCs w:val="20"/>
              </w:rPr>
              <w:t xml:space="preserve">ype </w:t>
            </w:r>
          </w:p>
        </w:tc>
        <w:tc>
          <w:tcPr>
            <w:tcW w:w="1132" w:type="dxa"/>
            <w:hideMark/>
          </w:tcPr>
          <w:p w14:paraId="681797BA" w14:textId="77777777" w:rsidR="007C2428" w:rsidRPr="00C4270B" w:rsidRDefault="007C2428" w:rsidP="00AF7B68">
            <w:pPr>
              <w:pStyle w:val="BodyCopy"/>
              <w:spacing w:before="40" w:after="40"/>
              <w:rPr>
                <w:sz w:val="20"/>
                <w:szCs w:val="20"/>
              </w:rPr>
            </w:pPr>
            <w:r w:rsidRPr="00C4270B">
              <w:rPr>
                <w:sz w:val="20"/>
                <w:szCs w:val="20"/>
              </w:rPr>
              <w:t> </w:t>
            </w:r>
          </w:p>
        </w:tc>
        <w:tc>
          <w:tcPr>
            <w:tcW w:w="1211" w:type="dxa"/>
            <w:hideMark/>
          </w:tcPr>
          <w:p w14:paraId="6C2499CD"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532D4881" w14:textId="77777777" w:rsidR="007C2428" w:rsidRPr="00C4270B" w:rsidRDefault="007C2428" w:rsidP="00AF7B68">
            <w:pPr>
              <w:pStyle w:val="BodyCopy"/>
              <w:spacing w:before="40" w:after="40"/>
              <w:rPr>
                <w:sz w:val="20"/>
                <w:szCs w:val="20"/>
              </w:rPr>
            </w:pPr>
            <w:r w:rsidRPr="00C4270B">
              <w:rPr>
                <w:sz w:val="20"/>
                <w:szCs w:val="20"/>
              </w:rPr>
              <w:t> </w:t>
            </w:r>
          </w:p>
        </w:tc>
        <w:tc>
          <w:tcPr>
            <w:tcW w:w="1132" w:type="dxa"/>
            <w:hideMark/>
          </w:tcPr>
          <w:p w14:paraId="0B436099" w14:textId="77777777" w:rsidR="007C2428" w:rsidRPr="00C4270B" w:rsidRDefault="007C2428" w:rsidP="00AF7B68">
            <w:pPr>
              <w:pStyle w:val="BodyCopy"/>
              <w:spacing w:before="40" w:after="40"/>
              <w:rPr>
                <w:sz w:val="20"/>
                <w:szCs w:val="20"/>
              </w:rPr>
            </w:pPr>
            <w:r w:rsidRPr="00C4270B">
              <w:rPr>
                <w:sz w:val="20"/>
                <w:szCs w:val="20"/>
              </w:rPr>
              <w:t> </w:t>
            </w:r>
          </w:p>
        </w:tc>
      </w:tr>
      <w:tr w:rsidR="00EA25A8" w:rsidRPr="007C2428" w14:paraId="704D0005" w14:textId="77777777" w:rsidTr="00BD61D2">
        <w:trPr>
          <w:trHeight w:val="300"/>
        </w:trPr>
        <w:tc>
          <w:tcPr>
            <w:tcW w:w="0" w:type="dxa"/>
            <w:hideMark/>
          </w:tcPr>
          <w:p w14:paraId="75511DC4" w14:textId="0F425906" w:rsidR="00EA25A8" w:rsidRPr="00C4270B" w:rsidRDefault="00EA25A8" w:rsidP="00EA25A8">
            <w:pPr>
              <w:pStyle w:val="BodyCopy"/>
              <w:spacing w:before="40" w:after="40"/>
              <w:rPr>
                <w:sz w:val="20"/>
                <w:szCs w:val="20"/>
              </w:rPr>
            </w:pPr>
            <w:r w:rsidRPr="00C4270B">
              <w:rPr>
                <w:sz w:val="20"/>
                <w:szCs w:val="20"/>
              </w:rPr>
              <w:t xml:space="preserve"> Pig trailer </w:t>
            </w:r>
          </w:p>
        </w:tc>
        <w:tc>
          <w:tcPr>
            <w:tcW w:w="0" w:type="dxa"/>
          </w:tcPr>
          <w:p w14:paraId="43EFE7E2" w14:textId="7D1133BE"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659F905B" w14:textId="17FAF7C3"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3571E94C" w14:textId="11FFB182"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6E0FD436" w14:textId="19498E83" w:rsidR="00EA25A8" w:rsidRPr="003A5A55" w:rsidRDefault="00EA25A8" w:rsidP="00EA25A8">
            <w:pPr>
              <w:pStyle w:val="BodyCopy"/>
              <w:spacing w:before="40" w:after="40"/>
              <w:rPr>
                <w:sz w:val="20"/>
                <w:szCs w:val="20"/>
              </w:rPr>
            </w:pPr>
            <w:r w:rsidRPr="00BD61D2">
              <w:rPr>
                <w:sz w:val="20"/>
                <w:szCs w:val="20"/>
              </w:rPr>
              <w:t xml:space="preserve"> 743 </w:t>
            </w:r>
          </w:p>
        </w:tc>
      </w:tr>
      <w:tr w:rsidR="00EA25A8" w:rsidRPr="007C2428" w14:paraId="1A2A919A" w14:textId="77777777" w:rsidTr="00BD61D2">
        <w:trPr>
          <w:trHeight w:val="300"/>
        </w:trPr>
        <w:tc>
          <w:tcPr>
            <w:tcW w:w="0" w:type="dxa"/>
            <w:hideMark/>
          </w:tcPr>
          <w:p w14:paraId="5506A8F1" w14:textId="7F5DE1D7" w:rsidR="00EA25A8" w:rsidRPr="00C4270B" w:rsidRDefault="00EA25A8" w:rsidP="00EA25A8">
            <w:pPr>
              <w:pStyle w:val="BodyCopy"/>
              <w:spacing w:before="40" w:after="40"/>
              <w:rPr>
                <w:sz w:val="20"/>
                <w:szCs w:val="20"/>
              </w:rPr>
            </w:pPr>
            <w:r w:rsidRPr="00C4270B">
              <w:rPr>
                <w:sz w:val="20"/>
                <w:szCs w:val="20"/>
              </w:rPr>
              <w:t xml:space="preserve"> Dog trailer </w:t>
            </w:r>
          </w:p>
        </w:tc>
        <w:tc>
          <w:tcPr>
            <w:tcW w:w="0" w:type="dxa"/>
          </w:tcPr>
          <w:p w14:paraId="7B8BF964" w14:textId="35ECF99A"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43EB7B59" w14:textId="5F3063C2"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3BE7CF49" w14:textId="5E6FE902"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47080813" w14:textId="064AE246" w:rsidR="00EA25A8" w:rsidRPr="003A5A55" w:rsidRDefault="00EA25A8" w:rsidP="00EA25A8">
            <w:pPr>
              <w:pStyle w:val="BodyCopy"/>
              <w:spacing w:before="40" w:after="40"/>
              <w:rPr>
                <w:sz w:val="20"/>
                <w:szCs w:val="20"/>
              </w:rPr>
            </w:pPr>
            <w:r w:rsidRPr="00BD61D2">
              <w:rPr>
                <w:sz w:val="20"/>
                <w:szCs w:val="20"/>
              </w:rPr>
              <w:t xml:space="preserve"> 743 </w:t>
            </w:r>
          </w:p>
        </w:tc>
      </w:tr>
      <w:tr w:rsidR="00EA25A8" w:rsidRPr="007C2428" w14:paraId="6E1BC320" w14:textId="77777777" w:rsidTr="00BD61D2">
        <w:trPr>
          <w:trHeight w:val="300"/>
        </w:trPr>
        <w:tc>
          <w:tcPr>
            <w:tcW w:w="0" w:type="dxa"/>
            <w:hideMark/>
          </w:tcPr>
          <w:p w14:paraId="6E208C78" w14:textId="4FADEAD1" w:rsidR="00EA25A8" w:rsidRPr="00C4270B" w:rsidRDefault="00EA25A8" w:rsidP="00EA25A8">
            <w:pPr>
              <w:pStyle w:val="BodyCopy"/>
              <w:spacing w:before="40" w:after="40"/>
              <w:rPr>
                <w:sz w:val="20"/>
                <w:szCs w:val="20"/>
              </w:rPr>
            </w:pPr>
            <w:r w:rsidRPr="00C4270B">
              <w:rPr>
                <w:sz w:val="20"/>
                <w:szCs w:val="20"/>
              </w:rPr>
              <w:t xml:space="preserve"> Semitrailer </w:t>
            </w:r>
          </w:p>
        </w:tc>
        <w:tc>
          <w:tcPr>
            <w:tcW w:w="0" w:type="dxa"/>
          </w:tcPr>
          <w:p w14:paraId="71B9DB64" w14:textId="01D7442A"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022278A7" w14:textId="3A5EC398" w:rsidR="00EA25A8" w:rsidRPr="003A5A55" w:rsidRDefault="00EA25A8" w:rsidP="00EA25A8">
            <w:pPr>
              <w:pStyle w:val="BodyCopy"/>
              <w:spacing w:before="40" w:after="40"/>
              <w:rPr>
                <w:sz w:val="20"/>
                <w:szCs w:val="20"/>
              </w:rPr>
            </w:pPr>
            <w:r w:rsidRPr="00BD61D2">
              <w:rPr>
                <w:sz w:val="20"/>
                <w:szCs w:val="20"/>
              </w:rPr>
              <w:t xml:space="preserve"> 945 </w:t>
            </w:r>
          </w:p>
        </w:tc>
        <w:tc>
          <w:tcPr>
            <w:tcW w:w="0" w:type="dxa"/>
          </w:tcPr>
          <w:p w14:paraId="7F7B52BD" w14:textId="60826ADF" w:rsidR="00EA25A8" w:rsidRPr="003A5A55" w:rsidRDefault="00EA25A8" w:rsidP="00EA25A8">
            <w:pPr>
              <w:pStyle w:val="BodyCopy"/>
              <w:spacing w:before="40" w:after="40"/>
              <w:rPr>
                <w:sz w:val="20"/>
                <w:szCs w:val="20"/>
              </w:rPr>
            </w:pPr>
            <w:r w:rsidRPr="00BD61D2">
              <w:rPr>
                <w:sz w:val="20"/>
                <w:szCs w:val="20"/>
              </w:rPr>
              <w:t xml:space="preserve"> 672 </w:t>
            </w:r>
          </w:p>
        </w:tc>
        <w:tc>
          <w:tcPr>
            <w:tcW w:w="0" w:type="dxa"/>
          </w:tcPr>
          <w:p w14:paraId="39222615" w14:textId="064AD6E4" w:rsidR="00EA25A8" w:rsidRPr="003A5A55" w:rsidRDefault="00EA25A8" w:rsidP="00EA25A8">
            <w:pPr>
              <w:pStyle w:val="BodyCopy"/>
              <w:spacing w:before="40" w:after="40"/>
              <w:rPr>
                <w:sz w:val="20"/>
                <w:szCs w:val="20"/>
              </w:rPr>
            </w:pPr>
            <w:r w:rsidRPr="00BD61D2">
              <w:rPr>
                <w:sz w:val="20"/>
                <w:szCs w:val="20"/>
              </w:rPr>
              <w:t xml:space="preserve"> 504 </w:t>
            </w:r>
          </w:p>
        </w:tc>
      </w:tr>
      <w:tr w:rsidR="00EA25A8" w:rsidRPr="007C2428" w14:paraId="0D167BF3" w14:textId="77777777" w:rsidTr="00BD61D2">
        <w:trPr>
          <w:trHeight w:val="300"/>
        </w:trPr>
        <w:tc>
          <w:tcPr>
            <w:tcW w:w="0" w:type="dxa"/>
            <w:hideMark/>
          </w:tcPr>
          <w:p w14:paraId="3A19981D" w14:textId="77777777" w:rsidR="00EA25A8" w:rsidRPr="00C4270B" w:rsidRDefault="00EA25A8" w:rsidP="00EA25A8">
            <w:pPr>
              <w:pStyle w:val="BodyCopy"/>
              <w:spacing w:before="40" w:after="40"/>
              <w:rPr>
                <w:sz w:val="20"/>
                <w:szCs w:val="20"/>
              </w:rPr>
            </w:pPr>
            <w:r w:rsidRPr="00C4270B">
              <w:rPr>
                <w:sz w:val="20"/>
                <w:szCs w:val="20"/>
              </w:rPr>
              <w:t xml:space="preserve"> B-double lead trailer and B-triple lead and middle trailers </w:t>
            </w:r>
          </w:p>
        </w:tc>
        <w:tc>
          <w:tcPr>
            <w:tcW w:w="0" w:type="dxa"/>
          </w:tcPr>
          <w:p w14:paraId="02ED632F" w14:textId="00228F32" w:rsidR="00EA25A8" w:rsidRPr="003A5A55" w:rsidRDefault="00EA25A8" w:rsidP="00EA25A8">
            <w:pPr>
              <w:pStyle w:val="BodyCopy"/>
              <w:spacing w:before="40" w:after="40"/>
              <w:rPr>
                <w:sz w:val="20"/>
                <w:szCs w:val="20"/>
              </w:rPr>
            </w:pPr>
            <w:r w:rsidRPr="00BD61D2">
              <w:rPr>
                <w:sz w:val="20"/>
                <w:szCs w:val="20"/>
              </w:rPr>
              <w:t xml:space="preserve"> 743 </w:t>
            </w:r>
          </w:p>
        </w:tc>
        <w:tc>
          <w:tcPr>
            <w:tcW w:w="0" w:type="dxa"/>
          </w:tcPr>
          <w:p w14:paraId="6802C2F6" w14:textId="48DC24A4" w:rsidR="00EA25A8" w:rsidRPr="003A5A55" w:rsidRDefault="00EA25A8" w:rsidP="00EA25A8">
            <w:pPr>
              <w:pStyle w:val="BodyCopy"/>
              <w:spacing w:before="40" w:after="40"/>
              <w:rPr>
                <w:sz w:val="20"/>
                <w:szCs w:val="20"/>
              </w:rPr>
            </w:pPr>
            <w:r w:rsidRPr="00BD61D2">
              <w:rPr>
                <w:sz w:val="20"/>
                <w:szCs w:val="20"/>
              </w:rPr>
              <w:t xml:space="preserve"> 945 </w:t>
            </w:r>
          </w:p>
        </w:tc>
        <w:tc>
          <w:tcPr>
            <w:tcW w:w="0" w:type="dxa"/>
          </w:tcPr>
          <w:p w14:paraId="4CFE3CBF" w14:textId="40767940" w:rsidR="00EA25A8" w:rsidRPr="003A5A55" w:rsidRDefault="00EA25A8" w:rsidP="00EA25A8">
            <w:pPr>
              <w:pStyle w:val="BodyCopy"/>
              <w:spacing w:before="40" w:after="40"/>
              <w:rPr>
                <w:sz w:val="20"/>
                <w:szCs w:val="20"/>
              </w:rPr>
            </w:pPr>
            <w:r w:rsidRPr="00BD61D2">
              <w:rPr>
                <w:sz w:val="20"/>
                <w:szCs w:val="20"/>
              </w:rPr>
              <w:t xml:space="preserve"> 672 </w:t>
            </w:r>
          </w:p>
        </w:tc>
        <w:tc>
          <w:tcPr>
            <w:tcW w:w="0" w:type="dxa"/>
          </w:tcPr>
          <w:p w14:paraId="506D5303" w14:textId="1C167407" w:rsidR="00EA25A8" w:rsidRPr="003A5A55" w:rsidRDefault="00EA25A8" w:rsidP="00EA25A8">
            <w:pPr>
              <w:pStyle w:val="BodyCopy"/>
              <w:spacing w:before="40" w:after="40"/>
              <w:rPr>
                <w:sz w:val="20"/>
                <w:szCs w:val="20"/>
              </w:rPr>
            </w:pPr>
            <w:r w:rsidRPr="00BD61D2">
              <w:rPr>
                <w:sz w:val="20"/>
                <w:szCs w:val="20"/>
              </w:rPr>
              <w:t xml:space="preserve"> 504 </w:t>
            </w:r>
          </w:p>
        </w:tc>
      </w:tr>
      <w:tr w:rsidR="00EA25A8" w:rsidRPr="007C2428" w14:paraId="73CE74E7" w14:textId="77777777" w:rsidTr="00BD61D2">
        <w:trPr>
          <w:trHeight w:val="300"/>
        </w:trPr>
        <w:tc>
          <w:tcPr>
            <w:tcW w:w="0" w:type="dxa"/>
            <w:hideMark/>
          </w:tcPr>
          <w:p w14:paraId="329DD54C" w14:textId="77777777" w:rsidR="00EA25A8" w:rsidRPr="00C4270B" w:rsidRDefault="00EA25A8" w:rsidP="00EA25A8">
            <w:pPr>
              <w:pStyle w:val="BodyCopy"/>
              <w:spacing w:before="40" w:after="40"/>
              <w:rPr>
                <w:sz w:val="20"/>
                <w:szCs w:val="20"/>
              </w:rPr>
            </w:pPr>
            <w:r w:rsidRPr="00C4270B">
              <w:rPr>
                <w:sz w:val="20"/>
                <w:szCs w:val="20"/>
              </w:rPr>
              <w:t xml:space="preserve"> Converter dolly or low loader dolly </w:t>
            </w:r>
          </w:p>
        </w:tc>
        <w:tc>
          <w:tcPr>
            <w:tcW w:w="0" w:type="dxa"/>
          </w:tcPr>
          <w:p w14:paraId="6C0C8B0A" w14:textId="246DF9FA" w:rsidR="00EA25A8" w:rsidRPr="003A5A55" w:rsidRDefault="00EA25A8" w:rsidP="00EA25A8">
            <w:pPr>
              <w:pStyle w:val="BodyCopy"/>
              <w:spacing w:before="40" w:after="40"/>
              <w:rPr>
                <w:sz w:val="20"/>
                <w:szCs w:val="20"/>
              </w:rPr>
            </w:pPr>
            <w:r w:rsidRPr="00BD61D2">
              <w:rPr>
                <w:sz w:val="20"/>
                <w:szCs w:val="20"/>
              </w:rPr>
              <w:t xml:space="preserve"> 0 </w:t>
            </w:r>
          </w:p>
        </w:tc>
        <w:tc>
          <w:tcPr>
            <w:tcW w:w="0" w:type="dxa"/>
          </w:tcPr>
          <w:p w14:paraId="383EF4F2" w14:textId="2A1B9F99" w:rsidR="00EA25A8" w:rsidRPr="003A5A55" w:rsidRDefault="00EA25A8" w:rsidP="00EA25A8">
            <w:pPr>
              <w:pStyle w:val="BodyCopy"/>
              <w:spacing w:before="40" w:after="40"/>
              <w:rPr>
                <w:sz w:val="20"/>
                <w:szCs w:val="20"/>
              </w:rPr>
            </w:pPr>
            <w:r w:rsidRPr="00BD61D2">
              <w:rPr>
                <w:sz w:val="20"/>
                <w:szCs w:val="20"/>
              </w:rPr>
              <w:t xml:space="preserve"> 0 </w:t>
            </w:r>
          </w:p>
        </w:tc>
        <w:tc>
          <w:tcPr>
            <w:tcW w:w="0" w:type="dxa"/>
          </w:tcPr>
          <w:p w14:paraId="6247BA8F" w14:textId="00C677C5" w:rsidR="00EA25A8" w:rsidRPr="003A5A55" w:rsidRDefault="00EA25A8" w:rsidP="00EA25A8">
            <w:pPr>
              <w:pStyle w:val="BodyCopy"/>
              <w:spacing w:before="40" w:after="40"/>
              <w:rPr>
                <w:sz w:val="20"/>
                <w:szCs w:val="20"/>
              </w:rPr>
            </w:pPr>
            <w:r w:rsidRPr="00BD61D2">
              <w:rPr>
                <w:sz w:val="20"/>
                <w:szCs w:val="20"/>
              </w:rPr>
              <w:t xml:space="preserve"> 0 </w:t>
            </w:r>
          </w:p>
        </w:tc>
        <w:tc>
          <w:tcPr>
            <w:tcW w:w="0" w:type="dxa"/>
          </w:tcPr>
          <w:p w14:paraId="74CCE733" w14:textId="58ED631B" w:rsidR="00EA25A8" w:rsidRPr="003A5A55" w:rsidRDefault="00EA25A8" w:rsidP="00EA25A8">
            <w:pPr>
              <w:pStyle w:val="BodyCopy"/>
              <w:spacing w:before="40" w:after="40"/>
              <w:rPr>
                <w:sz w:val="20"/>
                <w:szCs w:val="20"/>
              </w:rPr>
            </w:pPr>
            <w:r w:rsidRPr="00BD61D2">
              <w:rPr>
                <w:sz w:val="20"/>
                <w:szCs w:val="20"/>
              </w:rPr>
              <w:t xml:space="preserve"> 0 </w:t>
            </w:r>
          </w:p>
        </w:tc>
      </w:tr>
      <w:tr w:rsidR="007C2428" w:rsidRPr="007C2428" w14:paraId="703040C9" w14:textId="77777777" w:rsidTr="00AF7B68">
        <w:trPr>
          <w:trHeight w:val="300"/>
        </w:trPr>
        <w:tc>
          <w:tcPr>
            <w:tcW w:w="9027" w:type="dxa"/>
            <w:gridSpan w:val="5"/>
            <w:vAlign w:val="center"/>
            <w:hideMark/>
          </w:tcPr>
          <w:p w14:paraId="5267B8FA" w14:textId="7FC80577" w:rsidR="007C2428" w:rsidRPr="00C4270B" w:rsidRDefault="007C2428" w:rsidP="00AF7B68">
            <w:pPr>
              <w:pStyle w:val="BodyCopy"/>
              <w:spacing w:before="40" w:after="40"/>
              <w:jc w:val="center"/>
              <w:rPr>
                <w:b/>
                <w:bCs/>
                <w:sz w:val="20"/>
                <w:szCs w:val="20"/>
              </w:rPr>
            </w:pPr>
            <w:r w:rsidRPr="00C4270B">
              <w:rPr>
                <w:b/>
                <w:bCs/>
                <w:sz w:val="20"/>
                <w:szCs w:val="20"/>
              </w:rPr>
              <w:t>DIVISION 3 – BUSES ($)</w:t>
            </w:r>
          </w:p>
        </w:tc>
      </w:tr>
      <w:tr w:rsidR="007C2428" w:rsidRPr="007C2428" w14:paraId="5D77027C" w14:textId="77777777" w:rsidTr="007C2428">
        <w:trPr>
          <w:trHeight w:val="300"/>
        </w:trPr>
        <w:tc>
          <w:tcPr>
            <w:tcW w:w="4420" w:type="dxa"/>
            <w:hideMark/>
          </w:tcPr>
          <w:p w14:paraId="0632436D" w14:textId="5E163B8D" w:rsidR="007C2428" w:rsidRPr="00C4270B" w:rsidRDefault="007C2428" w:rsidP="00AF7B68">
            <w:pPr>
              <w:pStyle w:val="BodyCopy"/>
              <w:spacing w:before="40" w:after="40"/>
              <w:rPr>
                <w:b/>
                <w:bCs/>
                <w:sz w:val="20"/>
                <w:szCs w:val="20"/>
              </w:rPr>
            </w:pPr>
            <w:r w:rsidRPr="00C4270B">
              <w:rPr>
                <w:b/>
                <w:bCs/>
                <w:sz w:val="20"/>
                <w:szCs w:val="20"/>
              </w:rPr>
              <w:t xml:space="preserve"> Bus </w:t>
            </w:r>
            <w:r w:rsidR="006F7F4A" w:rsidRPr="00C4270B">
              <w:rPr>
                <w:b/>
                <w:bCs/>
                <w:sz w:val="20"/>
                <w:szCs w:val="20"/>
              </w:rPr>
              <w:t>t</w:t>
            </w:r>
            <w:r w:rsidRPr="00C4270B">
              <w:rPr>
                <w:b/>
                <w:bCs/>
                <w:sz w:val="20"/>
                <w:szCs w:val="20"/>
              </w:rPr>
              <w:t xml:space="preserve">ype </w:t>
            </w:r>
          </w:p>
        </w:tc>
        <w:tc>
          <w:tcPr>
            <w:tcW w:w="1132" w:type="dxa"/>
            <w:hideMark/>
          </w:tcPr>
          <w:p w14:paraId="51516F5C" w14:textId="15F77215" w:rsidR="007C2428" w:rsidRPr="00C4270B" w:rsidRDefault="007C2428" w:rsidP="00AF7B68">
            <w:pPr>
              <w:pStyle w:val="BodyCopy"/>
              <w:spacing w:before="40" w:after="40"/>
              <w:rPr>
                <w:b/>
                <w:bCs/>
                <w:sz w:val="20"/>
                <w:szCs w:val="20"/>
              </w:rPr>
            </w:pPr>
            <w:r w:rsidRPr="00C4270B">
              <w:rPr>
                <w:b/>
                <w:bCs/>
                <w:sz w:val="20"/>
                <w:szCs w:val="20"/>
              </w:rPr>
              <w:t xml:space="preserve"> 2</w:t>
            </w:r>
            <w:r w:rsidR="00485614" w:rsidRPr="00C4270B">
              <w:rPr>
                <w:b/>
                <w:bCs/>
                <w:sz w:val="20"/>
                <w:szCs w:val="20"/>
              </w:rPr>
              <w:t>-</w:t>
            </w:r>
            <w:r w:rsidRPr="00C4270B">
              <w:rPr>
                <w:b/>
                <w:bCs/>
                <w:sz w:val="20"/>
                <w:szCs w:val="20"/>
              </w:rPr>
              <w:t xml:space="preserve">axle </w:t>
            </w:r>
          </w:p>
        </w:tc>
        <w:tc>
          <w:tcPr>
            <w:tcW w:w="1211" w:type="dxa"/>
            <w:hideMark/>
          </w:tcPr>
          <w:p w14:paraId="3C29F031" w14:textId="50E04BA5" w:rsidR="007C2428" w:rsidRPr="00C4270B" w:rsidRDefault="007C2428" w:rsidP="00AF7B68">
            <w:pPr>
              <w:pStyle w:val="BodyCopy"/>
              <w:spacing w:before="40" w:after="40"/>
              <w:rPr>
                <w:b/>
                <w:bCs/>
                <w:sz w:val="20"/>
                <w:szCs w:val="20"/>
              </w:rPr>
            </w:pPr>
            <w:r w:rsidRPr="00C4270B">
              <w:rPr>
                <w:b/>
                <w:bCs/>
                <w:sz w:val="20"/>
                <w:szCs w:val="20"/>
              </w:rPr>
              <w:t xml:space="preserve"> 3</w:t>
            </w:r>
            <w:r w:rsidR="00485614" w:rsidRPr="00C4270B">
              <w:rPr>
                <w:b/>
                <w:bCs/>
                <w:sz w:val="20"/>
                <w:szCs w:val="20"/>
              </w:rPr>
              <w:t>-</w:t>
            </w:r>
            <w:r w:rsidRPr="00C4270B">
              <w:rPr>
                <w:b/>
                <w:bCs/>
                <w:sz w:val="20"/>
                <w:szCs w:val="20"/>
              </w:rPr>
              <w:t>axle</w:t>
            </w:r>
            <w:r w:rsidR="00830D17" w:rsidRPr="00C4270B">
              <w:rPr>
                <w:b/>
                <w:bCs/>
                <w:sz w:val="20"/>
                <w:szCs w:val="20"/>
              </w:rPr>
              <w:t xml:space="preserve"> </w:t>
            </w:r>
          </w:p>
        </w:tc>
        <w:tc>
          <w:tcPr>
            <w:tcW w:w="1132" w:type="dxa"/>
            <w:hideMark/>
          </w:tcPr>
          <w:p w14:paraId="2FF0647D" w14:textId="47C2E5BD" w:rsidR="007C2428" w:rsidRPr="00C4270B" w:rsidRDefault="007C2428" w:rsidP="00AF7B68">
            <w:pPr>
              <w:pStyle w:val="BodyCopy"/>
              <w:spacing w:before="40" w:after="40"/>
              <w:rPr>
                <w:b/>
                <w:bCs/>
                <w:sz w:val="20"/>
                <w:szCs w:val="20"/>
              </w:rPr>
            </w:pPr>
            <w:r w:rsidRPr="00C4270B">
              <w:rPr>
                <w:b/>
                <w:bCs/>
                <w:sz w:val="20"/>
                <w:szCs w:val="20"/>
              </w:rPr>
              <w:t xml:space="preserve"> 4</w:t>
            </w:r>
            <w:r w:rsidR="00485614" w:rsidRPr="00C4270B">
              <w:rPr>
                <w:b/>
                <w:bCs/>
                <w:sz w:val="20"/>
                <w:szCs w:val="20"/>
              </w:rPr>
              <w:t>-</w:t>
            </w:r>
            <w:r w:rsidRPr="00C4270B">
              <w:rPr>
                <w:b/>
                <w:bCs/>
                <w:sz w:val="20"/>
                <w:szCs w:val="20"/>
              </w:rPr>
              <w:t xml:space="preserve">axle </w:t>
            </w:r>
          </w:p>
        </w:tc>
        <w:tc>
          <w:tcPr>
            <w:tcW w:w="1132" w:type="dxa"/>
            <w:hideMark/>
          </w:tcPr>
          <w:p w14:paraId="344BDD56" w14:textId="77777777" w:rsidR="007C2428" w:rsidRPr="00C4270B" w:rsidRDefault="007C2428" w:rsidP="00AF7B68">
            <w:pPr>
              <w:pStyle w:val="BodyCopy"/>
              <w:spacing w:before="40" w:after="40"/>
              <w:rPr>
                <w:b/>
                <w:bCs/>
                <w:sz w:val="20"/>
                <w:szCs w:val="20"/>
              </w:rPr>
            </w:pPr>
            <w:r w:rsidRPr="00C4270B">
              <w:rPr>
                <w:b/>
                <w:bCs/>
                <w:sz w:val="20"/>
                <w:szCs w:val="20"/>
              </w:rPr>
              <w:t> </w:t>
            </w:r>
          </w:p>
        </w:tc>
      </w:tr>
      <w:tr w:rsidR="00EA25A8" w:rsidRPr="007C2428" w14:paraId="5268A8E2" w14:textId="77777777" w:rsidTr="00BD61D2">
        <w:trPr>
          <w:trHeight w:val="300"/>
        </w:trPr>
        <w:tc>
          <w:tcPr>
            <w:tcW w:w="0" w:type="dxa"/>
            <w:hideMark/>
          </w:tcPr>
          <w:p w14:paraId="39A72B82" w14:textId="77777777" w:rsidR="00EA25A8" w:rsidRPr="00C4270B" w:rsidRDefault="00EA25A8" w:rsidP="00EA25A8">
            <w:pPr>
              <w:pStyle w:val="BodyCopy"/>
              <w:spacing w:before="40" w:after="40"/>
              <w:rPr>
                <w:sz w:val="20"/>
                <w:szCs w:val="20"/>
              </w:rPr>
            </w:pPr>
            <w:r w:rsidRPr="00C4270B">
              <w:rPr>
                <w:sz w:val="20"/>
                <w:szCs w:val="20"/>
              </w:rPr>
              <w:t xml:space="preserve"> Bus (type 1) </w:t>
            </w:r>
          </w:p>
        </w:tc>
        <w:tc>
          <w:tcPr>
            <w:tcW w:w="0" w:type="dxa"/>
          </w:tcPr>
          <w:p w14:paraId="5D3CF99C" w14:textId="25FFF8E6" w:rsidR="00EA25A8" w:rsidRPr="003A5A55" w:rsidRDefault="00EA25A8" w:rsidP="00EA25A8">
            <w:pPr>
              <w:pStyle w:val="BodyCopy"/>
              <w:spacing w:before="40" w:after="40"/>
              <w:rPr>
                <w:sz w:val="20"/>
                <w:szCs w:val="20"/>
              </w:rPr>
            </w:pPr>
            <w:r w:rsidRPr="00BD61D2">
              <w:rPr>
                <w:sz w:val="20"/>
                <w:szCs w:val="20"/>
              </w:rPr>
              <w:t xml:space="preserve"> 375 </w:t>
            </w:r>
          </w:p>
        </w:tc>
        <w:tc>
          <w:tcPr>
            <w:tcW w:w="0" w:type="dxa"/>
          </w:tcPr>
          <w:p w14:paraId="0740B848" w14:textId="0DA0B1E7" w:rsidR="00EA25A8" w:rsidRPr="003A5A55" w:rsidRDefault="00EA25A8" w:rsidP="00EA25A8">
            <w:pPr>
              <w:pStyle w:val="BodyCopy"/>
              <w:spacing w:before="40" w:after="40"/>
              <w:rPr>
                <w:sz w:val="20"/>
                <w:szCs w:val="20"/>
              </w:rPr>
            </w:pPr>
          </w:p>
        </w:tc>
        <w:tc>
          <w:tcPr>
            <w:tcW w:w="0" w:type="dxa"/>
          </w:tcPr>
          <w:p w14:paraId="58EA5721" w14:textId="68D59985" w:rsidR="00EA25A8" w:rsidRPr="003A5A55" w:rsidRDefault="00EA25A8" w:rsidP="00EA25A8">
            <w:pPr>
              <w:pStyle w:val="BodyCopy"/>
              <w:spacing w:before="40" w:after="40"/>
              <w:rPr>
                <w:sz w:val="20"/>
                <w:szCs w:val="20"/>
              </w:rPr>
            </w:pPr>
          </w:p>
        </w:tc>
        <w:tc>
          <w:tcPr>
            <w:tcW w:w="0" w:type="dxa"/>
            <w:hideMark/>
          </w:tcPr>
          <w:p w14:paraId="311D76F0" w14:textId="77777777" w:rsidR="00EA25A8" w:rsidRPr="00C4270B" w:rsidRDefault="00EA25A8" w:rsidP="00EA25A8">
            <w:pPr>
              <w:pStyle w:val="BodyCopy"/>
              <w:spacing w:before="40" w:after="40"/>
              <w:rPr>
                <w:sz w:val="20"/>
                <w:szCs w:val="20"/>
              </w:rPr>
            </w:pPr>
            <w:r w:rsidRPr="00C4270B">
              <w:rPr>
                <w:sz w:val="20"/>
                <w:szCs w:val="20"/>
              </w:rPr>
              <w:t> </w:t>
            </w:r>
          </w:p>
        </w:tc>
      </w:tr>
      <w:tr w:rsidR="00EA25A8" w:rsidRPr="007C2428" w14:paraId="5C3F4343" w14:textId="77777777" w:rsidTr="00BD61D2">
        <w:trPr>
          <w:trHeight w:val="300"/>
        </w:trPr>
        <w:tc>
          <w:tcPr>
            <w:tcW w:w="0" w:type="dxa"/>
            <w:hideMark/>
          </w:tcPr>
          <w:p w14:paraId="1423BBD3" w14:textId="77777777" w:rsidR="00EA25A8" w:rsidRPr="00C4270B" w:rsidRDefault="00EA25A8" w:rsidP="00EA25A8">
            <w:pPr>
              <w:pStyle w:val="BodyCopy"/>
              <w:spacing w:before="40" w:after="40"/>
              <w:rPr>
                <w:sz w:val="20"/>
                <w:szCs w:val="20"/>
              </w:rPr>
            </w:pPr>
            <w:r w:rsidRPr="00C4270B">
              <w:rPr>
                <w:sz w:val="20"/>
                <w:szCs w:val="20"/>
              </w:rPr>
              <w:t xml:space="preserve"> Bus (type 2) </w:t>
            </w:r>
          </w:p>
        </w:tc>
        <w:tc>
          <w:tcPr>
            <w:tcW w:w="0" w:type="dxa"/>
          </w:tcPr>
          <w:p w14:paraId="39E93956" w14:textId="67FC58AF" w:rsidR="00EA25A8" w:rsidRPr="003A5A55" w:rsidRDefault="00EA25A8" w:rsidP="00EA25A8">
            <w:pPr>
              <w:pStyle w:val="BodyCopy"/>
              <w:spacing w:before="40" w:after="40"/>
              <w:rPr>
                <w:sz w:val="20"/>
                <w:szCs w:val="20"/>
              </w:rPr>
            </w:pPr>
            <w:r w:rsidRPr="00BD61D2">
              <w:rPr>
                <w:sz w:val="20"/>
                <w:szCs w:val="20"/>
              </w:rPr>
              <w:t xml:space="preserve"> 393 </w:t>
            </w:r>
          </w:p>
        </w:tc>
        <w:tc>
          <w:tcPr>
            <w:tcW w:w="0" w:type="dxa"/>
          </w:tcPr>
          <w:p w14:paraId="43496E1C" w14:textId="56E31634" w:rsidR="00EA25A8" w:rsidRPr="003A5A55" w:rsidRDefault="00EA25A8" w:rsidP="00EA25A8">
            <w:pPr>
              <w:pStyle w:val="BodyCopy"/>
              <w:spacing w:before="40" w:after="40"/>
              <w:rPr>
                <w:sz w:val="20"/>
                <w:szCs w:val="20"/>
              </w:rPr>
            </w:pPr>
            <w:r w:rsidRPr="00BD61D2">
              <w:rPr>
                <w:sz w:val="20"/>
                <w:szCs w:val="20"/>
              </w:rPr>
              <w:t xml:space="preserve"> 2,878 </w:t>
            </w:r>
          </w:p>
        </w:tc>
        <w:tc>
          <w:tcPr>
            <w:tcW w:w="0" w:type="dxa"/>
          </w:tcPr>
          <w:p w14:paraId="73120827" w14:textId="60D7A08E" w:rsidR="00EA25A8" w:rsidRPr="003A5A55" w:rsidRDefault="00EA25A8" w:rsidP="00EA25A8">
            <w:pPr>
              <w:pStyle w:val="BodyCopy"/>
              <w:spacing w:before="40" w:after="40"/>
              <w:rPr>
                <w:sz w:val="20"/>
                <w:szCs w:val="20"/>
              </w:rPr>
            </w:pPr>
            <w:r w:rsidRPr="00BD61D2">
              <w:rPr>
                <w:sz w:val="20"/>
                <w:szCs w:val="20"/>
              </w:rPr>
              <w:t xml:space="preserve"> 2,878 </w:t>
            </w:r>
          </w:p>
        </w:tc>
        <w:tc>
          <w:tcPr>
            <w:tcW w:w="0" w:type="dxa"/>
            <w:hideMark/>
          </w:tcPr>
          <w:p w14:paraId="15CFB429" w14:textId="77777777" w:rsidR="00EA25A8" w:rsidRPr="00C4270B" w:rsidRDefault="00EA25A8" w:rsidP="00EA25A8">
            <w:pPr>
              <w:pStyle w:val="BodyCopy"/>
              <w:spacing w:before="40" w:after="40"/>
              <w:rPr>
                <w:sz w:val="20"/>
                <w:szCs w:val="20"/>
              </w:rPr>
            </w:pPr>
            <w:r w:rsidRPr="00C4270B">
              <w:rPr>
                <w:sz w:val="20"/>
                <w:szCs w:val="20"/>
              </w:rPr>
              <w:t> </w:t>
            </w:r>
          </w:p>
        </w:tc>
      </w:tr>
      <w:tr w:rsidR="00EA25A8" w:rsidRPr="007C2428" w14:paraId="089771EE" w14:textId="77777777" w:rsidTr="00BD61D2">
        <w:trPr>
          <w:trHeight w:val="300"/>
        </w:trPr>
        <w:tc>
          <w:tcPr>
            <w:tcW w:w="0" w:type="dxa"/>
            <w:hideMark/>
          </w:tcPr>
          <w:p w14:paraId="02044E4A" w14:textId="77777777" w:rsidR="00EA25A8" w:rsidRPr="00C4270B" w:rsidRDefault="00EA25A8" w:rsidP="00EA25A8">
            <w:pPr>
              <w:pStyle w:val="BodyCopy"/>
              <w:spacing w:before="40" w:after="40"/>
              <w:rPr>
                <w:sz w:val="20"/>
                <w:szCs w:val="20"/>
              </w:rPr>
            </w:pPr>
            <w:r w:rsidRPr="00C4270B">
              <w:rPr>
                <w:sz w:val="20"/>
                <w:szCs w:val="20"/>
              </w:rPr>
              <w:t xml:space="preserve"> Articulated bus </w:t>
            </w:r>
          </w:p>
        </w:tc>
        <w:tc>
          <w:tcPr>
            <w:tcW w:w="0" w:type="dxa"/>
          </w:tcPr>
          <w:p w14:paraId="7A3C2467" w14:textId="71BE932B" w:rsidR="00EA25A8" w:rsidRPr="003A5A55" w:rsidRDefault="00EA25A8" w:rsidP="00EA25A8">
            <w:pPr>
              <w:pStyle w:val="BodyCopy"/>
              <w:spacing w:before="40" w:after="40"/>
              <w:rPr>
                <w:sz w:val="20"/>
                <w:szCs w:val="20"/>
              </w:rPr>
            </w:pPr>
          </w:p>
        </w:tc>
        <w:tc>
          <w:tcPr>
            <w:tcW w:w="0" w:type="dxa"/>
          </w:tcPr>
          <w:p w14:paraId="704D741C" w14:textId="4B37555B" w:rsidR="00EA25A8" w:rsidRPr="003A5A55" w:rsidRDefault="00EA25A8" w:rsidP="00EA25A8">
            <w:pPr>
              <w:pStyle w:val="BodyCopy"/>
              <w:spacing w:before="40" w:after="40"/>
              <w:rPr>
                <w:sz w:val="20"/>
                <w:szCs w:val="20"/>
              </w:rPr>
            </w:pPr>
            <w:r w:rsidRPr="00BD61D2">
              <w:rPr>
                <w:sz w:val="20"/>
                <w:szCs w:val="20"/>
              </w:rPr>
              <w:t xml:space="preserve"> 393 </w:t>
            </w:r>
          </w:p>
        </w:tc>
        <w:tc>
          <w:tcPr>
            <w:tcW w:w="0" w:type="dxa"/>
          </w:tcPr>
          <w:p w14:paraId="666C4E48" w14:textId="24D261DF" w:rsidR="00EA25A8" w:rsidRPr="003A5A55" w:rsidRDefault="00EA25A8" w:rsidP="00EA25A8">
            <w:pPr>
              <w:pStyle w:val="BodyCopy"/>
              <w:spacing w:before="40" w:after="40"/>
              <w:rPr>
                <w:sz w:val="20"/>
                <w:szCs w:val="20"/>
              </w:rPr>
            </w:pPr>
            <w:r w:rsidRPr="00BD61D2">
              <w:rPr>
                <w:sz w:val="20"/>
                <w:szCs w:val="20"/>
              </w:rPr>
              <w:t xml:space="preserve"> 393 </w:t>
            </w:r>
          </w:p>
        </w:tc>
        <w:tc>
          <w:tcPr>
            <w:tcW w:w="0" w:type="dxa"/>
            <w:hideMark/>
          </w:tcPr>
          <w:p w14:paraId="64040096" w14:textId="77777777" w:rsidR="00EA25A8" w:rsidRPr="00C4270B" w:rsidRDefault="00EA25A8" w:rsidP="00EA25A8">
            <w:pPr>
              <w:pStyle w:val="BodyCopy"/>
              <w:spacing w:before="40" w:after="40"/>
              <w:rPr>
                <w:sz w:val="20"/>
                <w:szCs w:val="20"/>
              </w:rPr>
            </w:pPr>
            <w:r w:rsidRPr="00C4270B">
              <w:rPr>
                <w:sz w:val="20"/>
                <w:szCs w:val="20"/>
              </w:rPr>
              <w:t> </w:t>
            </w:r>
          </w:p>
        </w:tc>
      </w:tr>
      <w:tr w:rsidR="007C2428" w:rsidRPr="007C2428" w14:paraId="08F8E76E" w14:textId="77777777" w:rsidTr="00AF7B68">
        <w:trPr>
          <w:trHeight w:val="300"/>
        </w:trPr>
        <w:tc>
          <w:tcPr>
            <w:tcW w:w="9027" w:type="dxa"/>
            <w:gridSpan w:val="5"/>
            <w:vAlign w:val="center"/>
            <w:hideMark/>
          </w:tcPr>
          <w:p w14:paraId="34FA7F78" w14:textId="46A25FE6" w:rsidR="007C2428" w:rsidRPr="00C4270B" w:rsidRDefault="007C2428" w:rsidP="00AF7B68">
            <w:pPr>
              <w:pStyle w:val="BodyCopy"/>
              <w:spacing w:before="40" w:after="40"/>
              <w:jc w:val="center"/>
              <w:rPr>
                <w:b/>
                <w:bCs/>
                <w:sz w:val="20"/>
                <w:szCs w:val="20"/>
              </w:rPr>
            </w:pPr>
            <w:r w:rsidRPr="00C4270B">
              <w:rPr>
                <w:b/>
                <w:bCs/>
                <w:sz w:val="20"/>
                <w:szCs w:val="20"/>
              </w:rPr>
              <w:t>DIVISION 4 – SPECIAL PURPOSE VEHICLES ($)</w:t>
            </w:r>
          </w:p>
        </w:tc>
      </w:tr>
      <w:tr w:rsidR="007C2428" w:rsidRPr="007C2428" w14:paraId="0FF2AFBE" w14:textId="77777777" w:rsidTr="00AF7B68">
        <w:trPr>
          <w:trHeight w:val="300"/>
        </w:trPr>
        <w:tc>
          <w:tcPr>
            <w:tcW w:w="4420" w:type="dxa"/>
            <w:hideMark/>
          </w:tcPr>
          <w:p w14:paraId="4FD3095A"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P) </w:t>
            </w:r>
          </w:p>
        </w:tc>
        <w:tc>
          <w:tcPr>
            <w:tcW w:w="4607" w:type="dxa"/>
            <w:gridSpan w:val="4"/>
            <w:hideMark/>
          </w:tcPr>
          <w:p w14:paraId="6E1AA9D8" w14:textId="77777777" w:rsidR="007C2428" w:rsidRPr="00C4270B" w:rsidRDefault="007C2428" w:rsidP="00AF7B68">
            <w:pPr>
              <w:pStyle w:val="BodyCopy"/>
              <w:spacing w:before="40" w:after="40"/>
              <w:rPr>
                <w:sz w:val="20"/>
                <w:szCs w:val="20"/>
              </w:rPr>
            </w:pPr>
            <w:r w:rsidRPr="00C4270B">
              <w:rPr>
                <w:sz w:val="20"/>
                <w:szCs w:val="20"/>
              </w:rPr>
              <w:t xml:space="preserve"> 0 </w:t>
            </w:r>
          </w:p>
        </w:tc>
      </w:tr>
      <w:tr w:rsidR="007C2428" w:rsidRPr="007C2428" w14:paraId="268881EB" w14:textId="77777777" w:rsidTr="00AF7B68">
        <w:trPr>
          <w:trHeight w:val="300"/>
        </w:trPr>
        <w:tc>
          <w:tcPr>
            <w:tcW w:w="4420" w:type="dxa"/>
            <w:hideMark/>
          </w:tcPr>
          <w:p w14:paraId="6C4CD1A1"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T) </w:t>
            </w:r>
          </w:p>
        </w:tc>
        <w:tc>
          <w:tcPr>
            <w:tcW w:w="4607" w:type="dxa"/>
            <w:gridSpan w:val="4"/>
            <w:hideMark/>
          </w:tcPr>
          <w:p w14:paraId="5A1303E0" w14:textId="36016B60" w:rsidR="007C2428" w:rsidRPr="00C4270B" w:rsidRDefault="007C2428" w:rsidP="00AF7B68">
            <w:pPr>
              <w:pStyle w:val="BodyCopy"/>
              <w:spacing w:before="40" w:after="40"/>
              <w:rPr>
                <w:sz w:val="20"/>
                <w:szCs w:val="20"/>
              </w:rPr>
            </w:pPr>
            <w:r w:rsidRPr="00C4270B">
              <w:rPr>
                <w:sz w:val="20"/>
                <w:szCs w:val="20"/>
              </w:rPr>
              <w:t xml:space="preserve"> 36</w:t>
            </w:r>
            <w:r w:rsidR="00EA25A8">
              <w:rPr>
                <w:sz w:val="20"/>
                <w:szCs w:val="20"/>
              </w:rPr>
              <w:t>4</w:t>
            </w:r>
            <w:r w:rsidRPr="00C4270B">
              <w:rPr>
                <w:sz w:val="20"/>
                <w:szCs w:val="20"/>
              </w:rPr>
              <w:t xml:space="preserve"> </w:t>
            </w:r>
          </w:p>
        </w:tc>
      </w:tr>
      <w:tr w:rsidR="007C2428" w:rsidRPr="007C2428" w14:paraId="16B67DDE" w14:textId="77777777" w:rsidTr="00AF7B68">
        <w:trPr>
          <w:trHeight w:val="300"/>
        </w:trPr>
        <w:tc>
          <w:tcPr>
            <w:tcW w:w="4420" w:type="dxa"/>
            <w:hideMark/>
          </w:tcPr>
          <w:p w14:paraId="5DECCA2B" w14:textId="77777777" w:rsidR="007C2428" w:rsidRPr="00C4270B" w:rsidRDefault="007C2428" w:rsidP="00AF7B68">
            <w:pPr>
              <w:pStyle w:val="BodyCopy"/>
              <w:spacing w:before="40" w:after="40"/>
              <w:rPr>
                <w:sz w:val="20"/>
                <w:szCs w:val="20"/>
              </w:rPr>
            </w:pPr>
            <w:r w:rsidRPr="00C4270B">
              <w:rPr>
                <w:sz w:val="20"/>
                <w:szCs w:val="20"/>
              </w:rPr>
              <w:t xml:space="preserve"> Special purpose vehicle (type O) </w:t>
            </w:r>
          </w:p>
        </w:tc>
        <w:tc>
          <w:tcPr>
            <w:tcW w:w="4607" w:type="dxa"/>
            <w:gridSpan w:val="4"/>
            <w:hideMark/>
          </w:tcPr>
          <w:p w14:paraId="6014BD7E" w14:textId="43035BD7" w:rsidR="007C2428" w:rsidRPr="00C4270B" w:rsidRDefault="007C2428" w:rsidP="00AF7B68">
            <w:pPr>
              <w:pStyle w:val="BodyCopy"/>
              <w:spacing w:before="40" w:after="40"/>
              <w:rPr>
                <w:sz w:val="20"/>
                <w:szCs w:val="20"/>
              </w:rPr>
            </w:pPr>
            <w:r w:rsidRPr="00C4270B">
              <w:rPr>
                <w:sz w:val="20"/>
                <w:szCs w:val="20"/>
              </w:rPr>
              <w:t>Calculated using the formula:</w:t>
            </w:r>
            <w:r w:rsidRPr="00C4270B">
              <w:rPr>
                <w:sz w:val="20"/>
                <w:szCs w:val="20"/>
              </w:rPr>
              <w:br/>
              <w:t>45</w:t>
            </w:r>
            <w:r w:rsidR="00EA25A8">
              <w:rPr>
                <w:sz w:val="20"/>
                <w:szCs w:val="20"/>
              </w:rPr>
              <w:t>6</w:t>
            </w:r>
            <w:r w:rsidRPr="00C4270B">
              <w:rPr>
                <w:sz w:val="20"/>
                <w:szCs w:val="20"/>
              </w:rPr>
              <w:t xml:space="preserve"> + (45</w:t>
            </w:r>
            <w:r w:rsidR="00EA25A8">
              <w:rPr>
                <w:sz w:val="20"/>
                <w:szCs w:val="20"/>
              </w:rPr>
              <w:t>6</w:t>
            </w:r>
            <w:r w:rsidRPr="00C4270B">
              <w:rPr>
                <w:sz w:val="20"/>
                <w:szCs w:val="20"/>
              </w:rPr>
              <w:t xml:space="preserve"> </w:t>
            </w:r>
            <w:r w:rsidR="006F7F4A" w:rsidRPr="00C4270B">
              <w:rPr>
                <w:sz w:val="20"/>
                <w:szCs w:val="20"/>
              </w:rPr>
              <w:t>×</w:t>
            </w:r>
            <w:r w:rsidRPr="00C4270B">
              <w:rPr>
                <w:sz w:val="20"/>
                <w:szCs w:val="20"/>
              </w:rPr>
              <w:t xml:space="preserve"> number of axles over 2)</w:t>
            </w:r>
          </w:p>
        </w:tc>
      </w:tr>
    </w:tbl>
    <w:p w14:paraId="7B558566" w14:textId="77777777" w:rsidR="007C2428" w:rsidRPr="007C2428" w:rsidRDefault="007C2428" w:rsidP="007C2428">
      <w:pPr>
        <w:pStyle w:val="BodyCopy"/>
      </w:pPr>
    </w:p>
    <w:p w14:paraId="31E5B50A" w14:textId="51EEF98D" w:rsidR="00DA69F2" w:rsidRDefault="00DA69F2" w:rsidP="00DA69F2">
      <w:pPr>
        <w:pStyle w:val="Tabletitle"/>
      </w:pPr>
      <w:bookmarkStart w:id="2377" w:name="_Toc86158578"/>
      <w:r>
        <w:lastRenderedPageBreak/>
        <w:t xml:space="preserve">Charging schedule for </w:t>
      </w:r>
      <w:r w:rsidR="005154C9">
        <w:t xml:space="preserve">the </w:t>
      </w:r>
      <w:r>
        <w:t>regulatory component of registration charges</w:t>
      </w:r>
      <w:bookmarkEnd w:id="2377"/>
    </w:p>
    <w:tbl>
      <w:tblPr>
        <w:tblStyle w:val="NTCtable"/>
        <w:tblW w:w="0" w:type="auto"/>
        <w:tblLook w:val="04A0" w:firstRow="1" w:lastRow="0" w:firstColumn="1" w:lastColumn="0" w:noHBand="0" w:noVBand="1"/>
      </w:tblPr>
      <w:tblGrid>
        <w:gridCol w:w="4454"/>
        <w:gridCol w:w="1129"/>
        <w:gridCol w:w="1213"/>
        <w:gridCol w:w="1113"/>
        <w:gridCol w:w="1118"/>
      </w:tblGrid>
      <w:tr w:rsidR="00DA69F2" w:rsidRPr="00DA69F2" w14:paraId="6BEA4074" w14:textId="77777777" w:rsidTr="00A1522B">
        <w:trPr>
          <w:cnfStyle w:val="100000000000" w:firstRow="1" w:lastRow="0" w:firstColumn="0" w:lastColumn="0" w:oddVBand="0" w:evenVBand="0" w:oddHBand="0" w:evenHBand="0" w:firstRowFirstColumn="0" w:firstRowLastColumn="0" w:lastRowFirstColumn="0" w:lastRowLastColumn="0"/>
          <w:trHeight w:val="300"/>
          <w:tblHeader/>
        </w:trPr>
        <w:tc>
          <w:tcPr>
            <w:tcW w:w="9027" w:type="dxa"/>
            <w:gridSpan w:val="5"/>
            <w:vAlign w:val="center"/>
            <w:hideMark/>
          </w:tcPr>
          <w:p w14:paraId="17928AF9" w14:textId="18C0BF06" w:rsidR="00DA69F2" w:rsidRPr="00A1522B" w:rsidRDefault="00DA69F2" w:rsidP="00AF7B68">
            <w:pPr>
              <w:pStyle w:val="BodyCopy"/>
              <w:spacing w:before="40" w:after="40"/>
              <w:jc w:val="center"/>
              <w:rPr>
                <w:b/>
                <w:bCs/>
                <w:sz w:val="20"/>
                <w:szCs w:val="20"/>
              </w:rPr>
            </w:pPr>
            <w:r w:rsidRPr="00A1522B">
              <w:rPr>
                <w:b/>
                <w:bCs/>
                <w:sz w:val="20"/>
                <w:szCs w:val="20"/>
              </w:rPr>
              <w:t>1 July 2022 – 30 June 2023</w:t>
            </w:r>
          </w:p>
        </w:tc>
      </w:tr>
      <w:tr w:rsidR="00DA69F2" w:rsidRPr="00DA69F2" w14:paraId="645D35D2" w14:textId="77777777" w:rsidTr="00AF7B68">
        <w:trPr>
          <w:trHeight w:val="300"/>
        </w:trPr>
        <w:tc>
          <w:tcPr>
            <w:tcW w:w="9027" w:type="dxa"/>
            <w:gridSpan w:val="5"/>
            <w:vAlign w:val="center"/>
            <w:hideMark/>
          </w:tcPr>
          <w:p w14:paraId="14B7A5B8" w14:textId="053B5BF5" w:rsidR="00DA69F2" w:rsidRPr="00A1522B" w:rsidRDefault="00DA69F2" w:rsidP="00AF7B68">
            <w:pPr>
              <w:pStyle w:val="BodyCopy"/>
              <w:spacing w:before="40" w:after="40"/>
              <w:jc w:val="center"/>
              <w:rPr>
                <w:b/>
                <w:bCs/>
                <w:sz w:val="20"/>
                <w:szCs w:val="20"/>
              </w:rPr>
            </w:pPr>
            <w:r w:rsidRPr="00A1522B">
              <w:rPr>
                <w:b/>
                <w:bCs/>
                <w:sz w:val="20"/>
                <w:szCs w:val="20"/>
              </w:rPr>
              <w:t>DIVISION 1 – LOAD CARRYING VEHICLES ($)</w:t>
            </w:r>
          </w:p>
        </w:tc>
      </w:tr>
      <w:tr w:rsidR="00DA69F2" w:rsidRPr="00DA69F2" w14:paraId="2DDB0C2A" w14:textId="77777777" w:rsidTr="00DA69F2">
        <w:trPr>
          <w:trHeight w:val="300"/>
        </w:trPr>
        <w:tc>
          <w:tcPr>
            <w:tcW w:w="4454" w:type="dxa"/>
            <w:hideMark/>
          </w:tcPr>
          <w:p w14:paraId="66E6990C" w14:textId="2A385A3F" w:rsidR="00DA69F2" w:rsidRPr="00A1522B" w:rsidRDefault="00DA69F2" w:rsidP="00AF7B68">
            <w:pPr>
              <w:pStyle w:val="BodyCopy"/>
              <w:spacing w:before="40" w:after="40"/>
              <w:rPr>
                <w:b/>
                <w:bCs/>
                <w:sz w:val="20"/>
                <w:szCs w:val="20"/>
              </w:rPr>
            </w:pPr>
            <w:r w:rsidRPr="00A1522B">
              <w:rPr>
                <w:b/>
                <w:bCs/>
                <w:sz w:val="20"/>
                <w:szCs w:val="20"/>
              </w:rPr>
              <w:t xml:space="preserve"> Vehicle </w:t>
            </w:r>
            <w:r w:rsidR="006F7F4A" w:rsidRPr="00A1522B">
              <w:rPr>
                <w:b/>
                <w:bCs/>
                <w:sz w:val="20"/>
                <w:szCs w:val="20"/>
              </w:rPr>
              <w:t>t</w:t>
            </w:r>
            <w:r w:rsidRPr="00A1522B">
              <w:rPr>
                <w:b/>
                <w:bCs/>
                <w:sz w:val="20"/>
                <w:szCs w:val="20"/>
              </w:rPr>
              <w:t xml:space="preserve">ype </w:t>
            </w:r>
          </w:p>
        </w:tc>
        <w:tc>
          <w:tcPr>
            <w:tcW w:w="1129" w:type="dxa"/>
            <w:hideMark/>
          </w:tcPr>
          <w:p w14:paraId="378A4072" w14:textId="4EEADCCE" w:rsidR="00DA69F2" w:rsidRPr="00A1522B" w:rsidRDefault="00DA69F2" w:rsidP="00AF7B68">
            <w:pPr>
              <w:pStyle w:val="BodyCopy"/>
              <w:spacing w:before="40" w:after="40"/>
              <w:rPr>
                <w:b/>
                <w:bCs/>
                <w:sz w:val="20"/>
                <w:szCs w:val="20"/>
              </w:rPr>
            </w:pPr>
            <w:r w:rsidRPr="00A1522B">
              <w:rPr>
                <w:b/>
                <w:bCs/>
                <w:sz w:val="20"/>
                <w:szCs w:val="20"/>
              </w:rPr>
              <w:t xml:space="preserve"> 2</w:t>
            </w:r>
            <w:r w:rsidR="00485614" w:rsidRPr="00A1522B">
              <w:rPr>
                <w:b/>
                <w:bCs/>
                <w:sz w:val="20"/>
                <w:szCs w:val="20"/>
              </w:rPr>
              <w:t>-</w:t>
            </w:r>
            <w:r w:rsidRPr="00A1522B">
              <w:rPr>
                <w:b/>
                <w:bCs/>
                <w:sz w:val="20"/>
                <w:szCs w:val="20"/>
              </w:rPr>
              <w:t xml:space="preserve">axle </w:t>
            </w:r>
          </w:p>
        </w:tc>
        <w:tc>
          <w:tcPr>
            <w:tcW w:w="1213" w:type="dxa"/>
            <w:hideMark/>
          </w:tcPr>
          <w:p w14:paraId="4DD71C25" w14:textId="2325B456" w:rsidR="00DA69F2" w:rsidRPr="00A1522B" w:rsidRDefault="00DA69F2" w:rsidP="00AF7B68">
            <w:pPr>
              <w:pStyle w:val="BodyCopy"/>
              <w:spacing w:before="40" w:after="40"/>
              <w:rPr>
                <w:b/>
                <w:bCs/>
                <w:sz w:val="20"/>
                <w:szCs w:val="20"/>
              </w:rPr>
            </w:pPr>
            <w:r w:rsidRPr="00A1522B">
              <w:rPr>
                <w:b/>
                <w:bCs/>
                <w:sz w:val="20"/>
                <w:szCs w:val="20"/>
              </w:rPr>
              <w:t xml:space="preserve"> 3</w:t>
            </w:r>
            <w:r w:rsidR="00485614" w:rsidRPr="00A1522B">
              <w:rPr>
                <w:b/>
                <w:bCs/>
                <w:sz w:val="20"/>
                <w:szCs w:val="20"/>
              </w:rPr>
              <w:t>-</w:t>
            </w:r>
            <w:r w:rsidRPr="00A1522B">
              <w:rPr>
                <w:b/>
                <w:bCs/>
                <w:sz w:val="20"/>
                <w:szCs w:val="20"/>
              </w:rPr>
              <w:t>axle</w:t>
            </w:r>
            <w:r w:rsidR="00830D17" w:rsidRPr="00A1522B">
              <w:rPr>
                <w:b/>
                <w:bCs/>
                <w:sz w:val="20"/>
                <w:szCs w:val="20"/>
              </w:rPr>
              <w:t xml:space="preserve"> </w:t>
            </w:r>
          </w:p>
        </w:tc>
        <w:tc>
          <w:tcPr>
            <w:tcW w:w="1113" w:type="dxa"/>
            <w:hideMark/>
          </w:tcPr>
          <w:p w14:paraId="505FA343" w14:textId="7884177D" w:rsidR="00DA69F2" w:rsidRPr="00A1522B" w:rsidRDefault="00DA69F2" w:rsidP="00AF7B68">
            <w:pPr>
              <w:pStyle w:val="BodyCopy"/>
              <w:spacing w:before="40" w:after="40"/>
              <w:rPr>
                <w:b/>
                <w:bCs/>
                <w:sz w:val="20"/>
                <w:szCs w:val="20"/>
              </w:rPr>
            </w:pPr>
            <w:r w:rsidRPr="00A1522B">
              <w:rPr>
                <w:b/>
                <w:bCs/>
                <w:sz w:val="20"/>
                <w:szCs w:val="20"/>
              </w:rPr>
              <w:t xml:space="preserve"> 4</w:t>
            </w:r>
            <w:r w:rsidR="00485614" w:rsidRPr="00A1522B">
              <w:rPr>
                <w:b/>
                <w:bCs/>
                <w:sz w:val="20"/>
                <w:szCs w:val="20"/>
              </w:rPr>
              <w:t>-</w:t>
            </w:r>
            <w:r w:rsidRPr="00A1522B">
              <w:rPr>
                <w:b/>
                <w:bCs/>
                <w:sz w:val="20"/>
                <w:szCs w:val="20"/>
              </w:rPr>
              <w:t xml:space="preserve">axle </w:t>
            </w:r>
          </w:p>
        </w:tc>
        <w:tc>
          <w:tcPr>
            <w:tcW w:w="1118" w:type="dxa"/>
            <w:hideMark/>
          </w:tcPr>
          <w:p w14:paraId="000729CB" w14:textId="7E8604DA" w:rsidR="00DA69F2" w:rsidRPr="00A1522B" w:rsidRDefault="00DA69F2" w:rsidP="00AF7B68">
            <w:pPr>
              <w:pStyle w:val="BodyCopy"/>
              <w:spacing w:before="40" w:after="40"/>
              <w:rPr>
                <w:b/>
                <w:bCs/>
                <w:sz w:val="20"/>
                <w:szCs w:val="20"/>
              </w:rPr>
            </w:pPr>
            <w:r w:rsidRPr="00A1522B">
              <w:rPr>
                <w:b/>
                <w:bCs/>
                <w:sz w:val="20"/>
                <w:szCs w:val="20"/>
              </w:rPr>
              <w:t xml:space="preserve"> 5</w:t>
            </w:r>
            <w:r w:rsidR="00485614" w:rsidRPr="00A1522B">
              <w:rPr>
                <w:b/>
                <w:bCs/>
                <w:sz w:val="20"/>
                <w:szCs w:val="20"/>
              </w:rPr>
              <w:t>-</w:t>
            </w:r>
            <w:r w:rsidRPr="00A1522B">
              <w:rPr>
                <w:b/>
                <w:bCs/>
                <w:sz w:val="20"/>
                <w:szCs w:val="20"/>
              </w:rPr>
              <w:t xml:space="preserve">axle </w:t>
            </w:r>
          </w:p>
        </w:tc>
      </w:tr>
      <w:tr w:rsidR="00DA69F2" w:rsidRPr="00DA69F2" w14:paraId="64326F57" w14:textId="77777777" w:rsidTr="00DA69F2">
        <w:trPr>
          <w:trHeight w:val="300"/>
        </w:trPr>
        <w:tc>
          <w:tcPr>
            <w:tcW w:w="4454" w:type="dxa"/>
            <w:hideMark/>
          </w:tcPr>
          <w:p w14:paraId="476E82AC" w14:textId="77777777" w:rsidR="00DA69F2" w:rsidRPr="00A1522B" w:rsidRDefault="00DA69F2" w:rsidP="00AF7B68">
            <w:pPr>
              <w:pStyle w:val="BodyCopy"/>
              <w:spacing w:before="40" w:after="40"/>
              <w:rPr>
                <w:b/>
                <w:bCs/>
                <w:sz w:val="20"/>
                <w:szCs w:val="20"/>
              </w:rPr>
            </w:pPr>
            <w:r w:rsidRPr="00A1522B">
              <w:rPr>
                <w:b/>
                <w:bCs/>
                <w:sz w:val="20"/>
                <w:szCs w:val="20"/>
              </w:rPr>
              <w:t xml:space="preserve"> Trucks </w:t>
            </w:r>
          </w:p>
        </w:tc>
        <w:tc>
          <w:tcPr>
            <w:tcW w:w="1129" w:type="dxa"/>
            <w:hideMark/>
          </w:tcPr>
          <w:p w14:paraId="7597D8AC" w14:textId="77777777" w:rsidR="00DA69F2" w:rsidRPr="00A1522B" w:rsidRDefault="00DA69F2" w:rsidP="00AF7B68">
            <w:pPr>
              <w:pStyle w:val="BodyCopy"/>
              <w:spacing w:before="40" w:after="40"/>
              <w:rPr>
                <w:sz w:val="20"/>
                <w:szCs w:val="20"/>
              </w:rPr>
            </w:pPr>
            <w:r w:rsidRPr="00A1522B">
              <w:rPr>
                <w:sz w:val="20"/>
                <w:szCs w:val="20"/>
              </w:rPr>
              <w:t> </w:t>
            </w:r>
          </w:p>
        </w:tc>
        <w:tc>
          <w:tcPr>
            <w:tcW w:w="1213" w:type="dxa"/>
            <w:hideMark/>
          </w:tcPr>
          <w:p w14:paraId="5D6036AB" w14:textId="77777777" w:rsidR="00DA69F2" w:rsidRPr="00A1522B" w:rsidRDefault="00DA69F2" w:rsidP="00AF7B68">
            <w:pPr>
              <w:pStyle w:val="BodyCopy"/>
              <w:spacing w:before="40" w:after="40"/>
              <w:rPr>
                <w:sz w:val="20"/>
                <w:szCs w:val="20"/>
              </w:rPr>
            </w:pPr>
            <w:r w:rsidRPr="00A1522B">
              <w:rPr>
                <w:sz w:val="20"/>
                <w:szCs w:val="20"/>
              </w:rPr>
              <w:t> </w:t>
            </w:r>
          </w:p>
        </w:tc>
        <w:tc>
          <w:tcPr>
            <w:tcW w:w="1113" w:type="dxa"/>
            <w:hideMark/>
          </w:tcPr>
          <w:p w14:paraId="4F1E2572" w14:textId="77777777" w:rsidR="00DA69F2" w:rsidRPr="00A1522B" w:rsidRDefault="00DA69F2" w:rsidP="00AF7B68">
            <w:pPr>
              <w:pStyle w:val="BodyCopy"/>
              <w:spacing w:before="40" w:after="40"/>
              <w:rPr>
                <w:sz w:val="20"/>
                <w:szCs w:val="20"/>
              </w:rPr>
            </w:pPr>
            <w:r w:rsidRPr="00A1522B">
              <w:rPr>
                <w:sz w:val="20"/>
                <w:szCs w:val="20"/>
              </w:rPr>
              <w:t> </w:t>
            </w:r>
          </w:p>
        </w:tc>
        <w:tc>
          <w:tcPr>
            <w:tcW w:w="1118" w:type="dxa"/>
            <w:hideMark/>
          </w:tcPr>
          <w:p w14:paraId="528F72C2" w14:textId="77777777" w:rsidR="00DA69F2" w:rsidRPr="00A1522B" w:rsidRDefault="00DA69F2" w:rsidP="00AF7B68">
            <w:pPr>
              <w:pStyle w:val="BodyCopy"/>
              <w:spacing w:before="40" w:after="40"/>
              <w:rPr>
                <w:sz w:val="20"/>
                <w:szCs w:val="20"/>
              </w:rPr>
            </w:pPr>
            <w:r w:rsidRPr="00A1522B">
              <w:rPr>
                <w:sz w:val="20"/>
                <w:szCs w:val="20"/>
              </w:rPr>
              <w:t> </w:t>
            </w:r>
          </w:p>
        </w:tc>
      </w:tr>
      <w:tr w:rsidR="00A277BE" w:rsidRPr="00DA69F2" w14:paraId="575349F2" w14:textId="77777777" w:rsidTr="00BD61D2">
        <w:trPr>
          <w:trHeight w:val="300"/>
        </w:trPr>
        <w:tc>
          <w:tcPr>
            <w:tcW w:w="0" w:type="dxa"/>
            <w:hideMark/>
          </w:tcPr>
          <w:p w14:paraId="7DE647E6" w14:textId="77777777" w:rsidR="00A277BE" w:rsidRPr="00A1522B" w:rsidRDefault="00A277BE" w:rsidP="00A277BE">
            <w:pPr>
              <w:pStyle w:val="BodyCopy"/>
              <w:spacing w:before="40" w:after="40"/>
              <w:rPr>
                <w:sz w:val="20"/>
                <w:szCs w:val="20"/>
              </w:rPr>
            </w:pPr>
            <w:r w:rsidRPr="00A1522B">
              <w:rPr>
                <w:sz w:val="20"/>
                <w:szCs w:val="20"/>
              </w:rPr>
              <w:t xml:space="preserve"> Truck (type 1) </w:t>
            </w:r>
          </w:p>
        </w:tc>
        <w:tc>
          <w:tcPr>
            <w:tcW w:w="0" w:type="dxa"/>
          </w:tcPr>
          <w:p w14:paraId="066146F5" w14:textId="72E7181A" w:rsidR="00A277BE" w:rsidRPr="00007FAA" w:rsidRDefault="00A277BE" w:rsidP="00A277BE">
            <w:pPr>
              <w:pStyle w:val="BodyCopy"/>
              <w:spacing w:before="40" w:after="40"/>
              <w:rPr>
                <w:sz w:val="20"/>
                <w:szCs w:val="20"/>
              </w:rPr>
            </w:pPr>
            <w:r w:rsidRPr="00BD61D2">
              <w:rPr>
                <w:sz w:val="20"/>
                <w:szCs w:val="20"/>
              </w:rPr>
              <w:t xml:space="preserve"> 202 </w:t>
            </w:r>
          </w:p>
        </w:tc>
        <w:tc>
          <w:tcPr>
            <w:tcW w:w="0" w:type="dxa"/>
          </w:tcPr>
          <w:p w14:paraId="5CEBD6FB" w14:textId="269484D9" w:rsidR="00A277BE" w:rsidRPr="00007FAA" w:rsidRDefault="00A277BE" w:rsidP="00A277BE">
            <w:pPr>
              <w:pStyle w:val="BodyCopy"/>
              <w:spacing w:before="40" w:after="40"/>
              <w:rPr>
                <w:sz w:val="20"/>
                <w:szCs w:val="20"/>
              </w:rPr>
            </w:pPr>
            <w:r w:rsidRPr="00BD61D2">
              <w:rPr>
                <w:sz w:val="20"/>
                <w:szCs w:val="20"/>
              </w:rPr>
              <w:t xml:space="preserve"> 236 </w:t>
            </w:r>
          </w:p>
        </w:tc>
        <w:tc>
          <w:tcPr>
            <w:tcW w:w="0" w:type="dxa"/>
          </w:tcPr>
          <w:p w14:paraId="5EA33AF1" w14:textId="2AB945C9" w:rsidR="00A277BE" w:rsidRPr="00007FAA" w:rsidRDefault="00A277BE" w:rsidP="00A277BE">
            <w:pPr>
              <w:pStyle w:val="BodyCopy"/>
              <w:spacing w:before="40" w:after="40"/>
              <w:rPr>
                <w:sz w:val="20"/>
                <w:szCs w:val="20"/>
              </w:rPr>
            </w:pPr>
            <w:r w:rsidRPr="00BD61D2">
              <w:rPr>
                <w:sz w:val="20"/>
                <w:szCs w:val="20"/>
              </w:rPr>
              <w:t xml:space="preserve"> 268 </w:t>
            </w:r>
          </w:p>
        </w:tc>
        <w:tc>
          <w:tcPr>
            <w:tcW w:w="0" w:type="dxa"/>
          </w:tcPr>
          <w:p w14:paraId="37190EA3" w14:textId="20B6F867" w:rsidR="00A277BE" w:rsidRPr="00007FAA" w:rsidRDefault="00A277BE" w:rsidP="00A277BE">
            <w:pPr>
              <w:pStyle w:val="BodyCopy"/>
              <w:spacing w:before="40" w:after="40"/>
              <w:rPr>
                <w:sz w:val="20"/>
                <w:szCs w:val="20"/>
              </w:rPr>
            </w:pPr>
            <w:r w:rsidRPr="00BD61D2">
              <w:rPr>
                <w:sz w:val="20"/>
                <w:szCs w:val="20"/>
              </w:rPr>
              <w:t xml:space="preserve"> 268 </w:t>
            </w:r>
          </w:p>
        </w:tc>
      </w:tr>
      <w:tr w:rsidR="00A277BE" w:rsidRPr="00DA69F2" w14:paraId="552D173A" w14:textId="77777777" w:rsidTr="00BD61D2">
        <w:trPr>
          <w:trHeight w:val="300"/>
        </w:trPr>
        <w:tc>
          <w:tcPr>
            <w:tcW w:w="0" w:type="dxa"/>
            <w:hideMark/>
          </w:tcPr>
          <w:p w14:paraId="3148B4BD" w14:textId="77777777" w:rsidR="00A277BE" w:rsidRPr="00A1522B" w:rsidRDefault="00A277BE" w:rsidP="00A277BE">
            <w:pPr>
              <w:pStyle w:val="BodyCopy"/>
              <w:spacing w:before="40" w:after="40"/>
              <w:rPr>
                <w:sz w:val="20"/>
                <w:szCs w:val="20"/>
              </w:rPr>
            </w:pPr>
            <w:r w:rsidRPr="00A1522B">
              <w:rPr>
                <w:sz w:val="20"/>
                <w:szCs w:val="20"/>
              </w:rPr>
              <w:t xml:space="preserve"> Truck (type 2) </w:t>
            </w:r>
          </w:p>
        </w:tc>
        <w:tc>
          <w:tcPr>
            <w:tcW w:w="0" w:type="dxa"/>
          </w:tcPr>
          <w:p w14:paraId="4D4A78BF" w14:textId="26644CBB" w:rsidR="00A277BE" w:rsidRPr="00007FAA" w:rsidRDefault="00A277BE" w:rsidP="00A277BE">
            <w:pPr>
              <w:pStyle w:val="BodyCopy"/>
              <w:spacing w:before="40" w:after="40"/>
              <w:rPr>
                <w:sz w:val="20"/>
                <w:szCs w:val="20"/>
              </w:rPr>
            </w:pPr>
            <w:r w:rsidRPr="00BD61D2">
              <w:rPr>
                <w:sz w:val="20"/>
                <w:szCs w:val="20"/>
              </w:rPr>
              <w:t xml:space="preserve"> 262 </w:t>
            </w:r>
          </w:p>
        </w:tc>
        <w:tc>
          <w:tcPr>
            <w:tcW w:w="0" w:type="dxa"/>
          </w:tcPr>
          <w:p w14:paraId="3D07192B" w14:textId="70E05615" w:rsidR="00A277BE" w:rsidRPr="00007FAA" w:rsidRDefault="00A277BE" w:rsidP="00A277BE">
            <w:pPr>
              <w:pStyle w:val="BodyCopy"/>
              <w:spacing w:before="40" w:after="40"/>
              <w:rPr>
                <w:sz w:val="20"/>
                <w:szCs w:val="20"/>
              </w:rPr>
            </w:pPr>
            <w:r w:rsidRPr="00BD61D2">
              <w:rPr>
                <w:sz w:val="20"/>
                <w:szCs w:val="20"/>
              </w:rPr>
              <w:t xml:space="preserve"> 335 </w:t>
            </w:r>
          </w:p>
        </w:tc>
        <w:tc>
          <w:tcPr>
            <w:tcW w:w="0" w:type="dxa"/>
          </w:tcPr>
          <w:p w14:paraId="545D6208" w14:textId="69534DA6" w:rsidR="00A277BE" w:rsidRPr="00007FAA" w:rsidRDefault="00A277BE" w:rsidP="00A277BE">
            <w:pPr>
              <w:pStyle w:val="BodyCopy"/>
              <w:spacing w:before="40" w:after="40"/>
              <w:rPr>
                <w:sz w:val="20"/>
                <w:szCs w:val="20"/>
              </w:rPr>
            </w:pPr>
            <w:r w:rsidRPr="00BD61D2">
              <w:rPr>
                <w:sz w:val="20"/>
                <w:szCs w:val="20"/>
              </w:rPr>
              <w:t xml:space="preserve"> 381 </w:t>
            </w:r>
          </w:p>
        </w:tc>
        <w:tc>
          <w:tcPr>
            <w:tcW w:w="0" w:type="dxa"/>
          </w:tcPr>
          <w:p w14:paraId="1D86BDD3" w14:textId="3BD6DA68" w:rsidR="00A277BE" w:rsidRPr="00007FAA" w:rsidRDefault="00A277BE" w:rsidP="00A277BE">
            <w:pPr>
              <w:pStyle w:val="BodyCopy"/>
              <w:spacing w:before="40" w:after="40"/>
              <w:rPr>
                <w:sz w:val="20"/>
                <w:szCs w:val="20"/>
              </w:rPr>
            </w:pPr>
            <w:r w:rsidRPr="00BD61D2">
              <w:rPr>
                <w:sz w:val="20"/>
                <w:szCs w:val="20"/>
              </w:rPr>
              <w:t xml:space="preserve"> 381 </w:t>
            </w:r>
          </w:p>
        </w:tc>
      </w:tr>
      <w:tr w:rsidR="00A277BE" w:rsidRPr="00DA69F2" w14:paraId="07134DC8" w14:textId="77777777" w:rsidTr="00BD61D2">
        <w:trPr>
          <w:trHeight w:val="300"/>
        </w:trPr>
        <w:tc>
          <w:tcPr>
            <w:tcW w:w="0" w:type="dxa"/>
            <w:hideMark/>
          </w:tcPr>
          <w:p w14:paraId="3DE0E22A" w14:textId="77777777" w:rsidR="00A277BE" w:rsidRPr="00A1522B" w:rsidRDefault="00A277BE" w:rsidP="00A277BE">
            <w:pPr>
              <w:pStyle w:val="BodyCopy"/>
              <w:spacing w:before="40" w:after="40"/>
              <w:rPr>
                <w:sz w:val="20"/>
                <w:szCs w:val="20"/>
              </w:rPr>
            </w:pPr>
            <w:r w:rsidRPr="00A1522B">
              <w:rPr>
                <w:sz w:val="20"/>
                <w:szCs w:val="20"/>
              </w:rPr>
              <w:t xml:space="preserve"> Short combination truck </w:t>
            </w:r>
          </w:p>
        </w:tc>
        <w:tc>
          <w:tcPr>
            <w:tcW w:w="0" w:type="dxa"/>
          </w:tcPr>
          <w:p w14:paraId="775133C8" w14:textId="3C85A059" w:rsidR="00A277BE" w:rsidRPr="00007FAA" w:rsidRDefault="00A277BE" w:rsidP="00A277BE">
            <w:pPr>
              <w:pStyle w:val="BodyCopy"/>
              <w:spacing w:before="40" w:after="40"/>
              <w:rPr>
                <w:sz w:val="20"/>
                <w:szCs w:val="20"/>
              </w:rPr>
            </w:pPr>
            <w:r w:rsidRPr="00BD61D2">
              <w:rPr>
                <w:sz w:val="20"/>
                <w:szCs w:val="20"/>
              </w:rPr>
              <w:t xml:space="preserve"> 278 </w:t>
            </w:r>
          </w:p>
        </w:tc>
        <w:tc>
          <w:tcPr>
            <w:tcW w:w="0" w:type="dxa"/>
          </w:tcPr>
          <w:p w14:paraId="013C6749" w14:textId="6D6544A1" w:rsidR="00A277BE" w:rsidRPr="00007FAA" w:rsidRDefault="00A277BE" w:rsidP="00A277BE">
            <w:pPr>
              <w:pStyle w:val="BodyCopy"/>
              <w:spacing w:before="40" w:after="40"/>
              <w:rPr>
                <w:sz w:val="20"/>
                <w:szCs w:val="20"/>
              </w:rPr>
            </w:pPr>
            <w:r w:rsidRPr="00BD61D2">
              <w:rPr>
                <w:sz w:val="20"/>
                <w:szCs w:val="20"/>
              </w:rPr>
              <w:t xml:space="preserve"> 349 </w:t>
            </w:r>
          </w:p>
        </w:tc>
        <w:tc>
          <w:tcPr>
            <w:tcW w:w="0" w:type="dxa"/>
          </w:tcPr>
          <w:p w14:paraId="05531717" w14:textId="6106CD92" w:rsidR="00A277BE" w:rsidRPr="00007FAA" w:rsidRDefault="00A277BE" w:rsidP="00A277BE">
            <w:pPr>
              <w:pStyle w:val="BodyCopy"/>
              <w:spacing w:before="40" w:after="40"/>
              <w:rPr>
                <w:sz w:val="20"/>
                <w:szCs w:val="20"/>
              </w:rPr>
            </w:pPr>
            <w:r w:rsidRPr="00BD61D2">
              <w:rPr>
                <w:sz w:val="20"/>
                <w:szCs w:val="20"/>
              </w:rPr>
              <w:t xml:space="preserve"> 403 </w:t>
            </w:r>
          </w:p>
        </w:tc>
        <w:tc>
          <w:tcPr>
            <w:tcW w:w="0" w:type="dxa"/>
          </w:tcPr>
          <w:p w14:paraId="5FA99057" w14:textId="5D094842" w:rsidR="00A277BE" w:rsidRPr="00007FAA" w:rsidRDefault="00A277BE" w:rsidP="00A277BE">
            <w:pPr>
              <w:pStyle w:val="BodyCopy"/>
              <w:spacing w:before="40" w:after="40"/>
              <w:rPr>
                <w:sz w:val="20"/>
                <w:szCs w:val="20"/>
              </w:rPr>
            </w:pPr>
            <w:r w:rsidRPr="00BD61D2">
              <w:rPr>
                <w:sz w:val="20"/>
                <w:szCs w:val="20"/>
              </w:rPr>
              <w:t xml:space="preserve"> 403 </w:t>
            </w:r>
          </w:p>
        </w:tc>
      </w:tr>
      <w:tr w:rsidR="00A277BE" w:rsidRPr="00DA69F2" w14:paraId="06A62D93" w14:textId="77777777" w:rsidTr="00BD61D2">
        <w:trPr>
          <w:trHeight w:val="300"/>
        </w:trPr>
        <w:tc>
          <w:tcPr>
            <w:tcW w:w="0" w:type="dxa"/>
            <w:hideMark/>
          </w:tcPr>
          <w:p w14:paraId="0A9BA2AA" w14:textId="77777777" w:rsidR="00A277BE" w:rsidRPr="00A1522B" w:rsidRDefault="00A277BE" w:rsidP="00A277BE">
            <w:pPr>
              <w:pStyle w:val="BodyCopy"/>
              <w:spacing w:before="40" w:after="40"/>
              <w:rPr>
                <w:sz w:val="20"/>
                <w:szCs w:val="20"/>
              </w:rPr>
            </w:pPr>
            <w:r w:rsidRPr="00A1522B">
              <w:rPr>
                <w:sz w:val="20"/>
                <w:szCs w:val="20"/>
              </w:rPr>
              <w:t xml:space="preserve"> Medium combination truck </w:t>
            </w:r>
          </w:p>
        </w:tc>
        <w:tc>
          <w:tcPr>
            <w:tcW w:w="0" w:type="dxa"/>
          </w:tcPr>
          <w:p w14:paraId="0FBBFF4B" w14:textId="4825ED3C" w:rsidR="00A277BE" w:rsidRPr="00007FAA" w:rsidRDefault="00A277BE" w:rsidP="00A277BE">
            <w:pPr>
              <w:pStyle w:val="BodyCopy"/>
              <w:spacing w:before="40" w:after="40"/>
              <w:rPr>
                <w:sz w:val="20"/>
                <w:szCs w:val="20"/>
              </w:rPr>
            </w:pPr>
            <w:r w:rsidRPr="00BD61D2">
              <w:rPr>
                <w:sz w:val="20"/>
                <w:szCs w:val="20"/>
              </w:rPr>
              <w:t xml:space="preserve"> 652 </w:t>
            </w:r>
          </w:p>
        </w:tc>
        <w:tc>
          <w:tcPr>
            <w:tcW w:w="0" w:type="dxa"/>
          </w:tcPr>
          <w:p w14:paraId="3A3DA82E" w14:textId="720AE7CB" w:rsidR="00A277BE" w:rsidRPr="00007FAA" w:rsidRDefault="00A277BE" w:rsidP="00A277BE">
            <w:pPr>
              <w:pStyle w:val="BodyCopy"/>
              <w:spacing w:before="40" w:after="40"/>
              <w:rPr>
                <w:sz w:val="20"/>
                <w:szCs w:val="20"/>
              </w:rPr>
            </w:pPr>
            <w:r w:rsidRPr="00BD61D2">
              <w:rPr>
                <w:sz w:val="20"/>
                <w:szCs w:val="20"/>
              </w:rPr>
              <w:t xml:space="preserve"> 652 </w:t>
            </w:r>
          </w:p>
        </w:tc>
        <w:tc>
          <w:tcPr>
            <w:tcW w:w="0" w:type="dxa"/>
          </w:tcPr>
          <w:p w14:paraId="6A69AE92" w14:textId="276B3E26" w:rsidR="00A277BE" w:rsidRPr="00007FAA" w:rsidRDefault="00A277BE" w:rsidP="00A277BE">
            <w:pPr>
              <w:pStyle w:val="BodyCopy"/>
              <w:spacing w:before="40" w:after="40"/>
              <w:rPr>
                <w:sz w:val="20"/>
                <w:szCs w:val="20"/>
              </w:rPr>
            </w:pPr>
            <w:r w:rsidRPr="00BD61D2">
              <w:rPr>
                <w:sz w:val="20"/>
                <w:szCs w:val="20"/>
              </w:rPr>
              <w:t xml:space="preserve"> 705 </w:t>
            </w:r>
          </w:p>
        </w:tc>
        <w:tc>
          <w:tcPr>
            <w:tcW w:w="0" w:type="dxa"/>
          </w:tcPr>
          <w:p w14:paraId="735B0A47" w14:textId="583C04C1" w:rsidR="00A277BE" w:rsidRPr="00007FAA" w:rsidRDefault="00A277BE" w:rsidP="00A277BE">
            <w:pPr>
              <w:pStyle w:val="BodyCopy"/>
              <w:spacing w:before="40" w:after="40"/>
              <w:rPr>
                <w:sz w:val="20"/>
                <w:szCs w:val="20"/>
              </w:rPr>
            </w:pPr>
            <w:r w:rsidRPr="00BD61D2">
              <w:rPr>
                <w:sz w:val="20"/>
                <w:szCs w:val="20"/>
              </w:rPr>
              <w:t xml:space="preserve"> 705 </w:t>
            </w:r>
          </w:p>
        </w:tc>
      </w:tr>
      <w:tr w:rsidR="00A277BE" w:rsidRPr="00DA69F2" w14:paraId="08639EB4" w14:textId="77777777" w:rsidTr="00BD61D2">
        <w:trPr>
          <w:trHeight w:val="300"/>
        </w:trPr>
        <w:tc>
          <w:tcPr>
            <w:tcW w:w="0" w:type="dxa"/>
            <w:hideMark/>
          </w:tcPr>
          <w:p w14:paraId="302F038C" w14:textId="77777777" w:rsidR="00A277BE" w:rsidRPr="00A1522B" w:rsidRDefault="00A277BE" w:rsidP="00A277BE">
            <w:pPr>
              <w:pStyle w:val="BodyCopy"/>
              <w:spacing w:before="40" w:after="40"/>
              <w:rPr>
                <w:sz w:val="20"/>
                <w:szCs w:val="20"/>
              </w:rPr>
            </w:pPr>
            <w:r w:rsidRPr="00A1522B">
              <w:rPr>
                <w:sz w:val="20"/>
                <w:szCs w:val="20"/>
              </w:rPr>
              <w:t xml:space="preserve"> Long combination truck </w:t>
            </w:r>
          </w:p>
        </w:tc>
        <w:tc>
          <w:tcPr>
            <w:tcW w:w="0" w:type="dxa"/>
          </w:tcPr>
          <w:p w14:paraId="16A7CC9B" w14:textId="118F4EDC" w:rsidR="00A277BE" w:rsidRPr="00007FAA" w:rsidRDefault="00A277BE" w:rsidP="00A277BE">
            <w:pPr>
              <w:pStyle w:val="BodyCopy"/>
              <w:spacing w:before="40" w:after="40"/>
              <w:rPr>
                <w:sz w:val="20"/>
                <w:szCs w:val="20"/>
              </w:rPr>
            </w:pPr>
            <w:r w:rsidRPr="00BD61D2">
              <w:rPr>
                <w:sz w:val="20"/>
                <w:szCs w:val="20"/>
              </w:rPr>
              <w:t xml:space="preserve"> 902 </w:t>
            </w:r>
          </w:p>
        </w:tc>
        <w:tc>
          <w:tcPr>
            <w:tcW w:w="0" w:type="dxa"/>
          </w:tcPr>
          <w:p w14:paraId="3E61195F" w14:textId="41D1133B" w:rsidR="00A277BE" w:rsidRPr="00007FAA" w:rsidRDefault="00A277BE" w:rsidP="00A277BE">
            <w:pPr>
              <w:pStyle w:val="BodyCopy"/>
              <w:spacing w:before="40" w:after="40"/>
              <w:rPr>
                <w:sz w:val="20"/>
                <w:szCs w:val="20"/>
              </w:rPr>
            </w:pPr>
            <w:r w:rsidRPr="00BD61D2">
              <w:rPr>
                <w:sz w:val="20"/>
                <w:szCs w:val="20"/>
              </w:rPr>
              <w:t xml:space="preserve"> 902 </w:t>
            </w:r>
          </w:p>
        </w:tc>
        <w:tc>
          <w:tcPr>
            <w:tcW w:w="0" w:type="dxa"/>
          </w:tcPr>
          <w:p w14:paraId="2E171ACB" w14:textId="0CDB98F3" w:rsidR="00A277BE" w:rsidRPr="00007FAA" w:rsidRDefault="00A277BE" w:rsidP="00A277BE">
            <w:pPr>
              <w:pStyle w:val="BodyCopy"/>
              <w:spacing w:before="40" w:after="40"/>
              <w:rPr>
                <w:sz w:val="20"/>
                <w:szCs w:val="20"/>
              </w:rPr>
            </w:pPr>
            <w:r w:rsidRPr="00BD61D2">
              <w:rPr>
                <w:sz w:val="20"/>
                <w:szCs w:val="20"/>
              </w:rPr>
              <w:t xml:space="preserve"> 902 </w:t>
            </w:r>
          </w:p>
        </w:tc>
        <w:tc>
          <w:tcPr>
            <w:tcW w:w="0" w:type="dxa"/>
          </w:tcPr>
          <w:p w14:paraId="476BA9F3" w14:textId="5F8765F0" w:rsidR="00A277BE" w:rsidRPr="00007FAA" w:rsidRDefault="00A277BE" w:rsidP="00A277BE">
            <w:pPr>
              <w:pStyle w:val="BodyCopy"/>
              <w:spacing w:before="40" w:after="40"/>
              <w:rPr>
                <w:sz w:val="20"/>
                <w:szCs w:val="20"/>
              </w:rPr>
            </w:pPr>
            <w:r w:rsidRPr="00BD61D2">
              <w:rPr>
                <w:sz w:val="20"/>
                <w:szCs w:val="20"/>
              </w:rPr>
              <w:t xml:space="preserve"> 902 </w:t>
            </w:r>
          </w:p>
        </w:tc>
      </w:tr>
      <w:tr w:rsidR="00A277BE" w:rsidRPr="00DA69F2" w14:paraId="6DE1372F" w14:textId="77777777" w:rsidTr="00BD61D2">
        <w:trPr>
          <w:trHeight w:val="300"/>
        </w:trPr>
        <w:tc>
          <w:tcPr>
            <w:tcW w:w="0" w:type="dxa"/>
            <w:hideMark/>
          </w:tcPr>
          <w:p w14:paraId="70CC278B" w14:textId="76751581" w:rsidR="00A277BE" w:rsidRPr="00A1522B" w:rsidRDefault="00A277BE" w:rsidP="00A277BE">
            <w:pPr>
              <w:pStyle w:val="BodyCopy"/>
              <w:spacing w:before="40" w:after="40"/>
              <w:rPr>
                <w:b/>
                <w:bCs/>
                <w:sz w:val="20"/>
                <w:szCs w:val="20"/>
              </w:rPr>
            </w:pPr>
            <w:r w:rsidRPr="00A1522B">
              <w:rPr>
                <w:b/>
                <w:bCs/>
                <w:sz w:val="20"/>
                <w:szCs w:val="20"/>
              </w:rPr>
              <w:t xml:space="preserve"> Prime movers </w:t>
            </w:r>
          </w:p>
        </w:tc>
        <w:tc>
          <w:tcPr>
            <w:tcW w:w="0" w:type="dxa"/>
          </w:tcPr>
          <w:p w14:paraId="6315FCA0" w14:textId="148D6A6A" w:rsidR="00A277BE" w:rsidRPr="00007FAA" w:rsidRDefault="00A277BE" w:rsidP="00A277BE">
            <w:pPr>
              <w:pStyle w:val="BodyCopy"/>
              <w:spacing w:before="40" w:after="40"/>
              <w:rPr>
                <w:sz w:val="20"/>
                <w:szCs w:val="20"/>
              </w:rPr>
            </w:pPr>
          </w:p>
        </w:tc>
        <w:tc>
          <w:tcPr>
            <w:tcW w:w="0" w:type="dxa"/>
          </w:tcPr>
          <w:p w14:paraId="5D896D26" w14:textId="1038312A" w:rsidR="00A277BE" w:rsidRPr="00007FAA" w:rsidRDefault="00A277BE" w:rsidP="00A277BE">
            <w:pPr>
              <w:pStyle w:val="BodyCopy"/>
              <w:spacing w:before="40" w:after="40"/>
              <w:rPr>
                <w:sz w:val="20"/>
                <w:szCs w:val="20"/>
              </w:rPr>
            </w:pPr>
          </w:p>
        </w:tc>
        <w:tc>
          <w:tcPr>
            <w:tcW w:w="0" w:type="dxa"/>
          </w:tcPr>
          <w:p w14:paraId="7C2D41A3" w14:textId="56C2C4C4" w:rsidR="00A277BE" w:rsidRPr="00007FAA" w:rsidRDefault="00A277BE" w:rsidP="00A277BE">
            <w:pPr>
              <w:pStyle w:val="BodyCopy"/>
              <w:spacing w:before="40" w:after="40"/>
              <w:rPr>
                <w:sz w:val="20"/>
                <w:szCs w:val="20"/>
              </w:rPr>
            </w:pPr>
          </w:p>
        </w:tc>
        <w:tc>
          <w:tcPr>
            <w:tcW w:w="0" w:type="dxa"/>
          </w:tcPr>
          <w:p w14:paraId="6F3C0D90" w14:textId="09036900" w:rsidR="00A277BE" w:rsidRPr="003408C6" w:rsidRDefault="00A277BE" w:rsidP="00A277BE">
            <w:pPr>
              <w:pStyle w:val="BodyCopy"/>
              <w:spacing w:before="40" w:after="40"/>
              <w:rPr>
                <w:sz w:val="20"/>
                <w:szCs w:val="20"/>
              </w:rPr>
            </w:pPr>
          </w:p>
        </w:tc>
      </w:tr>
      <w:tr w:rsidR="00A277BE" w:rsidRPr="00DA69F2" w14:paraId="65D5007A" w14:textId="77777777" w:rsidTr="00BD61D2">
        <w:trPr>
          <w:trHeight w:val="300"/>
        </w:trPr>
        <w:tc>
          <w:tcPr>
            <w:tcW w:w="0" w:type="dxa"/>
            <w:hideMark/>
          </w:tcPr>
          <w:p w14:paraId="740EF93C" w14:textId="77777777" w:rsidR="00A277BE" w:rsidRPr="00A1522B" w:rsidRDefault="00A277BE" w:rsidP="00A277BE">
            <w:pPr>
              <w:pStyle w:val="BodyCopy"/>
              <w:spacing w:before="40" w:after="40"/>
              <w:rPr>
                <w:sz w:val="20"/>
                <w:szCs w:val="20"/>
              </w:rPr>
            </w:pPr>
            <w:r w:rsidRPr="00A1522B">
              <w:rPr>
                <w:sz w:val="20"/>
                <w:szCs w:val="20"/>
              </w:rPr>
              <w:t xml:space="preserve"> Short combination prime mover </w:t>
            </w:r>
          </w:p>
        </w:tc>
        <w:tc>
          <w:tcPr>
            <w:tcW w:w="0" w:type="dxa"/>
          </w:tcPr>
          <w:p w14:paraId="7D7C7A0A" w14:textId="685E82D9" w:rsidR="00A277BE" w:rsidRPr="00007FAA" w:rsidRDefault="00A277BE" w:rsidP="00A277BE">
            <w:pPr>
              <w:pStyle w:val="BodyCopy"/>
              <w:spacing w:before="40" w:after="40"/>
              <w:rPr>
                <w:sz w:val="20"/>
                <w:szCs w:val="20"/>
              </w:rPr>
            </w:pPr>
            <w:r w:rsidRPr="00BD61D2">
              <w:rPr>
                <w:sz w:val="20"/>
                <w:szCs w:val="20"/>
              </w:rPr>
              <w:t xml:space="preserve"> 385 </w:t>
            </w:r>
          </w:p>
        </w:tc>
        <w:tc>
          <w:tcPr>
            <w:tcW w:w="0" w:type="dxa"/>
          </w:tcPr>
          <w:p w14:paraId="2B62CC97" w14:textId="0CCEB6CC" w:rsidR="00A277BE" w:rsidRPr="00007FAA" w:rsidRDefault="00A277BE" w:rsidP="00A277BE">
            <w:pPr>
              <w:pStyle w:val="BodyCopy"/>
              <w:spacing w:before="40" w:after="40"/>
              <w:rPr>
                <w:sz w:val="20"/>
                <w:szCs w:val="20"/>
              </w:rPr>
            </w:pPr>
            <w:r w:rsidRPr="00BD61D2">
              <w:rPr>
                <w:sz w:val="20"/>
                <w:szCs w:val="20"/>
              </w:rPr>
              <w:t xml:space="preserve"> 385 </w:t>
            </w:r>
          </w:p>
        </w:tc>
        <w:tc>
          <w:tcPr>
            <w:tcW w:w="0" w:type="dxa"/>
          </w:tcPr>
          <w:p w14:paraId="084F998C" w14:textId="71475C2A" w:rsidR="00A277BE" w:rsidRPr="00007FAA" w:rsidRDefault="00A277BE" w:rsidP="00A277BE">
            <w:pPr>
              <w:pStyle w:val="BodyCopy"/>
              <w:spacing w:before="40" w:after="40"/>
              <w:rPr>
                <w:sz w:val="20"/>
                <w:szCs w:val="20"/>
              </w:rPr>
            </w:pPr>
            <w:r w:rsidRPr="00BD61D2">
              <w:rPr>
                <w:sz w:val="20"/>
                <w:szCs w:val="20"/>
              </w:rPr>
              <w:t xml:space="preserve"> 385 </w:t>
            </w:r>
          </w:p>
        </w:tc>
        <w:tc>
          <w:tcPr>
            <w:tcW w:w="0" w:type="dxa"/>
          </w:tcPr>
          <w:p w14:paraId="70C2376B" w14:textId="59A7AFF7" w:rsidR="00A277BE" w:rsidRPr="00007FAA" w:rsidRDefault="00A277BE" w:rsidP="00A277BE">
            <w:pPr>
              <w:pStyle w:val="BodyCopy"/>
              <w:spacing w:before="40" w:after="40"/>
              <w:rPr>
                <w:sz w:val="20"/>
                <w:szCs w:val="20"/>
              </w:rPr>
            </w:pPr>
            <w:r w:rsidRPr="00BD61D2">
              <w:rPr>
                <w:sz w:val="20"/>
                <w:szCs w:val="20"/>
              </w:rPr>
              <w:t xml:space="preserve"> 385 </w:t>
            </w:r>
          </w:p>
        </w:tc>
      </w:tr>
      <w:tr w:rsidR="00A277BE" w:rsidRPr="00DA69F2" w14:paraId="27511998" w14:textId="77777777" w:rsidTr="00BD61D2">
        <w:trPr>
          <w:trHeight w:val="300"/>
        </w:trPr>
        <w:tc>
          <w:tcPr>
            <w:tcW w:w="0" w:type="dxa"/>
            <w:hideMark/>
          </w:tcPr>
          <w:p w14:paraId="378024DC" w14:textId="77777777" w:rsidR="00A277BE" w:rsidRPr="00A1522B" w:rsidRDefault="00A277BE" w:rsidP="00A277BE">
            <w:pPr>
              <w:pStyle w:val="BodyCopy"/>
              <w:spacing w:before="40" w:after="40"/>
              <w:rPr>
                <w:sz w:val="20"/>
                <w:szCs w:val="20"/>
              </w:rPr>
            </w:pPr>
            <w:r w:rsidRPr="00A1522B">
              <w:rPr>
                <w:sz w:val="20"/>
                <w:szCs w:val="20"/>
              </w:rPr>
              <w:t xml:space="preserve"> Multi-combination prime mover </w:t>
            </w:r>
          </w:p>
        </w:tc>
        <w:tc>
          <w:tcPr>
            <w:tcW w:w="0" w:type="dxa"/>
          </w:tcPr>
          <w:p w14:paraId="4A12CBE9" w14:textId="1116888D" w:rsidR="00A277BE" w:rsidRPr="00007FAA" w:rsidRDefault="00A277BE" w:rsidP="00A277BE">
            <w:pPr>
              <w:pStyle w:val="BodyCopy"/>
              <w:spacing w:before="40" w:after="40"/>
              <w:rPr>
                <w:sz w:val="20"/>
                <w:szCs w:val="20"/>
              </w:rPr>
            </w:pPr>
            <w:r w:rsidRPr="00BD61D2">
              <w:rPr>
                <w:sz w:val="20"/>
                <w:szCs w:val="20"/>
              </w:rPr>
              <w:t xml:space="preserve"> 870 </w:t>
            </w:r>
          </w:p>
        </w:tc>
        <w:tc>
          <w:tcPr>
            <w:tcW w:w="0" w:type="dxa"/>
          </w:tcPr>
          <w:p w14:paraId="4E258821" w14:textId="28813954" w:rsidR="00A277BE" w:rsidRPr="00007FAA" w:rsidRDefault="00A277BE" w:rsidP="00A277BE">
            <w:pPr>
              <w:pStyle w:val="BodyCopy"/>
              <w:spacing w:before="40" w:after="40"/>
              <w:rPr>
                <w:sz w:val="20"/>
                <w:szCs w:val="20"/>
              </w:rPr>
            </w:pPr>
            <w:r w:rsidRPr="00BD61D2">
              <w:rPr>
                <w:sz w:val="20"/>
                <w:szCs w:val="20"/>
              </w:rPr>
              <w:t xml:space="preserve"> 870 </w:t>
            </w:r>
          </w:p>
        </w:tc>
        <w:tc>
          <w:tcPr>
            <w:tcW w:w="0" w:type="dxa"/>
          </w:tcPr>
          <w:p w14:paraId="10E435B4" w14:textId="00811686" w:rsidR="00A277BE" w:rsidRPr="00007FAA" w:rsidRDefault="00A277BE" w:rsidP="00A277BE">
            <w:pPr>
              <w:pStyle w:val="BodyCopy"/>
              <w:spacing w:before="40" w:after="40"/>
              <w:rPr>
                <w:sz w:val="20"/>
                <w:szCs w:val="20"/>
              </w:rPr>
            </w:pPr>
            <w:r w:rsidRPr="00BD61D2">
              <w:rPr>
                <w:sz w:val="20"/>
                <w:szCs w:val="20"/>
              </w:rPr>
              <w:t xml:space="preserve"> 956 </w:t>
            </w:r>
          </w:p>
        </w:tc>
        <w:tc>
          <w:tcPr>
            <w:tcW w:w="0" w:type="dxa"/>
          </w:tcPr>
          <w:p w14:paraId="1DECFA75" w14:textId="7349BF56" w:rsidR="00A277BE" w:rsidRPr="00007FAA" w:rsidRDefault="00A277BE" w:rsidP="00A277BE">
            <w:pPr>
              <w:pStyle w:val="BodyCopy"/>
              <w:spacing w:before="40" w:after="40"/>
              <w:rPr>
                <w:sz w:val="20"/>
                <w:szCs w:val="20"/>
              </w:rPr>
            </w:pPr>
            <w:r w:rsidRPr="00BD61D2">
              <w:rPr>
                <w:sz w:val="20"/>
                <w:szCs w:val="20"/>
              </w:rPr>
              <w:t xml:space="preserve"> 956 </w:t>
            </w:r>
          </w:p>
        </w:tc>
      </w:tr>
      <w:tr w:rsidR="00DA69F2" w:rsidRPr="00DA69F2" w14:paraId="25B1F301" w14:textId="77777777" w:rsidTr="00AF7B68">
        <w:trPr>
          <w:trHeight w:val="300"/>
        </w:trPr>
        <w:tc>
          <w:tcPr>
            <w:tcW w:w="9027" w:type="dxa"/>
            <w:gridSpan w:val="5"/>
            <w:vAlign w:val="center"/>
            <w:hideMark/>
          </w:tcPr>
          <w:p w14:paraId="6D4FB3CF" w14:textId="28493661" w:rsidR="00DA69F2" w:rsidRPr="00A1522B" w:rsidRDefault="00DA69F2" w:rsidP="00AF7B68">
            <w:pPr>
              <w:pStyle w:val="BodyCopy"/>
              <w:spacing w:before="40" w:after="40"/>
              <w:jc w:val="center"/>
              <w:rPr>
                <w:b/>
                <w:bCs/>
                <w:sz w:val="20"/>
                <w:szCs w:val="20"/>
              </w:rPr>
            </w:pPr>
            <w:r w:rsidRPr="00A1522B">
              <w:rPr>
                <w:b/>
                <w:bCs/>
                <w:sz w:val="20"/>
                <w:szCs w:val="20"/>
              </w:rPr>
              <w:t>DIVISION 2 – LOAD CARRYING TRAILERS ($)</w:t>
            </w:r>
          </w:p>
        </w:tc>
      </w:tr>
      <w:tr w:rsidR="00DA69F2" w:rsidRPr="00DA69F2" w14:paraId="0D5279F2" w14:textId="77777777" w:rsidTr="00DA69F2">
        <w:trPr>
          <w:trHeight w:val="900"/>
        </w:trPr>
        <w:tc>
          <w:tcPr>
            <w:tcW w:w="4454" w:type="dxa"/>
            <w:hideMark/>
          </w:tcPr>
          <w:p w14:paraId="36C428EF" w14:textId="77777777" w:rsidR="00DA69F2" w:rsidRPr="00A1522B" w:rsidRDefault="00DA69F2" w:rsidP="00AF7B68">
            <w:pPr>
              <w:pStyle w:val="BodyCopy"/>
              <w:spacing w:before="40" w:after="40"/>
              <w:rPr>
                <w:b/>
                <w:bCs/>
                <w:sz w:val="20"/>
                <w:szCs w:val="20"/>
              </w:rPr>
            </w:pPr>
            <w:r w:rsidRPr="00A1522B">
              <w:rPr>
                <w:b/>
                <w:bCs/>
                <w:sz w:val="20"/>
                <w:szCs w:val="20"/>
              </w:rPr>
              <w:t xml:space="preserve"> Axle group type (per axle charge ($)) </w:t>
            </w:r>
          </w:p>
        </w:tc>
        <w:tc>
          <w:tcPr>
            <w:tcW w:w="1129" w:type="dxa"/>
            <w:hideMark/>
          </w:tcPr>
          <w:p w14:paraId="1E631BD0" w14:textId="6741F7E7" w:rsidR="00DA69F2" w:rsidRPr="00A1522B" w:rsidRDefault="00DA69F2" w:rsidP="00AF7B68">
            <w:pPr>
              <w:pStyle w:val="BodyCopy"/>
              <w:spacing w:before="40" w:after="40"/>
              <w:rPr>
                <w:b/>
                <w:bCs/>
                <w:sz w:val="20"/>
                <w:szCs w:val="20"/>
              </w:rPr>
            </w:pPr>
            <w:r w:rsidRPr="00A1522B">
              <w:rPr>
                <w:b/>
                <w:bCs/>
                <w:sz w:val="20"/>
                <w:szCs w:val="20"/>
              </w:rPr>
              <w:t xml:space="preserve"> Single</w:t>
            </w:r>
            <w:r w:rsidR="00830D17" w:rsidRPr="00A1522B">
              <w:rPr>
                <w:b/>
                <w:bCs/>
                <w:sz w:val="20"/>
                <w:szCs w:val="20"/>
              </w:rPr>
              <w:t xml:space="preserve"> </w:t>
            </w:r>
          </w:p>
        </w:tc>
        <w:tc>
          <w:tcPr>
            <w:tcW w:w="1213" w:type="dxa"/>
            <w:hideMark/>
          </w:tcPr>
          <w:p w14:paraId="5B2EBCDF" w14:textId="3D191075" w:rsidR="00DA69F2" w:rsidRPr="00A1522B" w:rsidRDefault="00DA69F2" w:rsidP="00AF7B68">
            <w:pPr>
              <w:pStyle w:val="BodyCopy"/>
              <w:spacing w:before="40" w:after="40"/>
              <w:rPr>
                <w:b/>
                <w:bCs/>
                <w:sz w:val="20"/>
                <w:szCs w:val="20"/>
              </w:rPr>
            </w:pPr>
            <w:r w:rsidRPr="00A1522B">
              <w:rPr>
                <w:b/>
                <w:bCs/>
                <w:sz w:val="20"/>
                <w:szCs w:val="20"/>
              </w:rPr>
              <w:t xml:space="preserve">Tandem axle group </w:t>
            </w:r>
          </w:p>
        </w:tc>
        <w:tc>
          <w:tcPr>
            <w:tcW w:w="1113" w:type="dxa"/>
            <w:hideMark/>
          </w:tcPr>
          <w:p w14:paraId="2B10ADB3" w14:textId="4F39AF46" w:rsidR="00DA69F2" w:rsidRPr="00A1522B" w:rsidRDefault="00DA69F2" w:rsidP="00AF7B68">
            <w:pPr>
              <w:pStyle w:val="BodyCopy"/>
              <w:spacing w:before="40" w:after="40"/>
              <w:rPr>
                <w:b/>
                <w:bCs/>
                <w:sz w:val="20"/>
                <w:szCs w:val="20"/>
              </w:rPr>
            </w:pPr>
            <w:r w:rsidRPr="00A1522B">
              <w:rPr>
                <w:b/>
                <w:bCs/>
                <w:sz w:val="20"/>
                <w:szCs w:val="20"/>
              </w:rPr>
              <w:t xml:space="preserve">Tri-axle group </w:t>
            </w:r>
          </w:p>
        </w:tc>
        <w:tc>
          <w:tcPr>
            <w:tcW w:w="1118" w:type="dxa"/>
            <w:hideMark/>
          </w:tcPr>
          <w:p w14:paraId="39E47B14" w14:textId="1B3A1479" w:rsidR="00DA69F2" w:rsidRPr="00A1522B" w:rsidRDefault="00DA69F2" w:rsidP="00AF7B68">
            <w:pPr>
              <w:pStyle w:val="BodyCopy"/>
              <w:spacing w:before="40" w:after="40"/>
              <w:rPr>
                <w:b/>
                <w:bCs/>
                <w:sz w:val="20"/>
                <w:szCs w:val="20"/>
              </w:rPr>
            </w:pPr>
            <w:r w:rsidRPr="00A1522B">
              <w:rPr>
                <w:b/>
                <w:bCs/>
                <w:sz w:val="20"/>
                <w:szCs w:val="20"/>
              </w:rPr>
              <w:t>Quad-axle group &amp; above</w:t>
            </w:r>
            <w:r w:rsidR="00830D17" w:rsidRPr="00A1522B">
              <w:rPr>
                <w:b/>
                <w:bCs/>
                <w:sz w:val="20"/>
                <w:szCs w:val="20"/>
              </w:rPr>
              <w:t xml:space="preserve"> </w:t>
            </w:r>
          </w:p>
        </w:tc>
      </w:tr>
      <w:tr w:rsidR="00DA69F2" w:rsidRPr="00DA69F2" w14:paraId="632D65B0" w14:textId="77777777" w:rsidTr="00DA69F2">
        <w:trPr>
          <w:trHeight w:val="300"/>
        </w:trPr>
        <w:tc>
          <w:tcPr>
            <w:tcW w:w="4454" w:type="dxa"/>
            <w:hideMark/>
          </w:tcPr>
          <w:p w14:paraId="301CFDED" w14:textId="04C6EEE0" w:rsidR="00DA69F2" w:rsidRPr="00A1522B" w:rsidRDefault="00DA69F2" w:rsidP="00AF7B68">
            <w:pPr>
              <w:pStyle w:val="BodyCopy"/>
              <w:spacing w:before="40" w:after="40"/>
              <w:rPr>
                <w:b/>
                <w:bCs/>
                <w:sz w:val="20"/>
                <w:szCs w:val="20"/>
              </w:rPr>
            </w:pPr>
            <w:r w:rsidRPr="00A1522B">
              <w:rPr>
                <w:b/>
                <w:bCs/>
                <w:sz w:val="20"/>
                <w:szCs w:val="20"/>
              </w:rPr>
              <w:t xml:space="preserve"> Trailer </w:t>
            </w:r>
            <w:r w:rsidR="006F7F4A" w:rsidRPr="00A1522B">
              <w:rPr>
                <w:b/>
                <w:bCs/>
                <w:sz w:val="20"/>
                <w:szCs w:val="20"/>
              </w:rPr>
              <w:t>t</w:t>
            </w:r>
            <w:r w:rsidRPr="00A1522B">
              <w:rPr>
                <w:b/>
                <w:bCs/>
                <w:sz w:val="20"/>
                <w:szCs w:val="20"/>
              </w:rPr>
              <w:t xml:space="preserve">ype </w:t>
            </w:r>
          </w:p>
        </w:tc>
        <w:tc>
          <w:tcPr>
            <w:tcW w:w="1129" w:type="dxa"/>
            <w:hideMark/>
          </w:tcPr>
          <w:p w14:paraId="63462BBC" w14:textId="77777777" w:rsidR="00DA69F2" w:rsidRPr="00A1522B" w:rsidRDefault="00DA69F2" w:rsidP="00AF7B68">
            <w:pPr>
              <w:pStyle w:val="BodyCopy"/>
              <w:spacing w:before="40" w:after="40"/>
              <w:rPr>
                <w:sz w:val="20"/>
                <w:szCs w:val="20"/>
              </w:rPr>
            </w:pPr>
            <w:r w:rsidRPr="00A1522B">
              <w:rPr>
                <w:sz w:val="20"/>
                <w:szCs w:val="20"/>
              </w:rPr>
              <w:t> </w:t>
            </w:r>
          </w:p>
        </w:tc>
        <w:tc>
          <w:tcPr>
            <w:tcW w:w="1213" w:type="dxa"/>
            <w:hideMark/>
          </w:tcPr>
          <w:p w14:paraId="1608C5CF" w14:textId="77777777" w:rsidR="00DA69F2" w:rsidRPr="00A1522B" w:rsidRDefault="00DA69F2" w:rsidP="00AF7B68">
            <w:pPr>
              <w:pStyle w:val="BodyCopy"/>
              <w:spacing w:before="40" w:after="40"/>
              <w:rPr>
                <w:sz w:val="20"/>
                <w:szCs w:val="20"/>
              </w:rPr>
            </w:pPr>
            <w:r w:rsidRPr="00A1522B">
              <w:rPr>
                <w:sz w:val="20"/>
                <w:szCs w:val="20"/>
              </w:rPr>
              <w:t> </w:t>
            </w:r>
          </w:p>
        </w:tc>
        <w:tc>
          <w:tcPr>
            <w:tcW w:w="1113" w:type="dxa"/>
            <w:hideMark/>
          </w:tcPr>
          <w:p w14:paraId="69994900" w14:textId="77777777" w:rsidR="00DA69F2" w:rsidRPr="00A1522B" w:rsidRDefault="00DA69F2" w:rsidP="00AF7B68">
            <w:pPr>
              <w:pStyle w:val="BodyCopy"/>
              <w:spacing w:before="40" w:after="40"/>
              <w:rPr>
                <w:sz w:val="20"/>
                <w:szCs w:val="20"/>
              </w:rPr>
            </w:pPr>
            <w:r w:rsidRPr="00A1522B">
              <w:rPr>
                <w:sz w:val="20"/>
                <w:szCs w:val="20"/>
              </w:rPr>
              <w:t> </w:t>
            </w:r>
          </w:p>
        </w:tc>
        <w:tc>
          <w:tcPr>
            <w:tcW w:w="1118" w:type="dxa"/>
            <w:hideMark/>
          </w:tcPr>
          <w:p w14:paraId="389264AF" w14:textId="77777777" w:rsidR="00DA69F2" w:rsidRPr="00A1522B" w:rsidRDefault="00DA69F2" w:rsidP="00AF7B68">
            <w:pPr>
              <w:pStyle w:val="BodyCopy"/>
              <w:spacing w:before="40" w:after="40"/>
              <w:rPr>
                <w:sz w:val="20"/>
                <w:szCs w:val="20"/>
              </w:rPr>
            </w:pPr>
            <w:r w:rsidRPr="00A1522B">
              <w:rPr>
                <w:sz w:val="20"/>
                <w:szCs w:val="20"/>
              </w:rPr>
              <w:t> </w:t>
            </w:r>
          </w:p>
        </w:tc>
      </w:tr>
      <w:tr w:rsidR="00DA69F2" w:rsidRPr="00DA69F2" w14:paraId="627CFE0B" w14:textId="77777777" w:rsidTr="00DA69F2">
        <w:trPr>
          <w:trHeight w:val="300"/>
        </w:trPr>
        <w:tc>
          <w:tcPr>
            <w:tcW w:w="4454" w:type="dxa"/>
            <w:hideMark/>
          </w:tcPr>
          <w:p w14:paraId="5FA30227" w14:textId="5EC6C856" w:rsidR="00DA69F2" w:rsidRPr="00A1522B" w:rsidRDefault="00DA69F2" w:rsidP="00AF7B68">
            <w:pPr>
              <w:pStyle w:val="BodyCopy"/>
              <w:spacing w:before="40" w:after="40"/>
              <w:rPr>
                <w:sz w:val="20"/>
                <w:szCs w:val="20"/>
              </w:rPr>
            </w:pPr>
            <w:r w:rsidRPr="00A1522B">
              <w:rPr>
                <w:sz w:val="20"/>
                <w:szCs w:val="20"/>
              </w:rPr>
              <w:t xml:space="preserve"> Pig </w:t>
            </w:r>
            <w:r w:rsidR="006F7F4A" w:rsidRPr="00A1522B">
              <w:rPr>
                <w:sz w:val="20"/>
                <w:szCs w:val="20"/>
              </w:rPr>
              <w:t>t</w:t>
            </w:r>
            <w:r w:rsidRPr="00A1522B">
              <w:rPr>
                <w:sz w:val="20"/>
                <w:szCs w:val="20"/>
              </w:rPr>
              <w:t xml:space="preserve">railer </w:t>
            </w:r>
          </w:p>
        </w:tc>
        <w:tc>
          <w:tcPr>
            <w:tcW w:w="1129" w:type="dxa"/>
            <w:hideMark/>
          </w:tcPr>
          <w:p w14:paraId="0B967D9E" w14:textId="77777777" w:rsidR="00DA69F2" w:rsidRPr="00A1522B" w:rsidRDefault="00DA69F2" w:rsidP="00AF7B68">
            <w:pPr>
              <w:pStyle w:val="BodyCopy"/>
              <w:spacing w:before="40" w:after="40"/>
              <w:rPr>
                <w:sz w:val="20"/>
                <w:szCs w:val="20"/>
              </w:rPr>
            </w:pPr>
            <w:r w:rsidRPr="00A1522B">
              <w:rPr>
                <w:sz w:val="20"/>
                <w:szCs w:val="20"/>
              </w:rPr>
              <w:t xml:space="preserve"> 55 </w:t>
            </w:r>
          </w:p>
        </w:tc>
        <w:tc>
          <w:tcPr>
            <w:tcW w:w="1213" w:type="dxa"/>
            <w:hideMark/>
          </w:tcPr>
          <w:p w14:paraId="275DDC02" w14:textId="77777777" w:rsidR="00DA69F2" w:rsidRPr="00A1522B" w:rsidRDefault="00DA69F2" w:rsidP="00AF7B68">
            <w:pPr>
              <w:pStyle w:val="BodyCopy"/>
              <w:spacing w:before="40" w:after="40"/>
              <w:rPr>
                <w:sz w:val="20"/>
                <w:szCs w:val="20"/>
              </w:rPr>
            </w:pPr>
            <w:r w:rsidRPr="00A1522B">
              <w:rPr>
                <w:sz w:val="20"/>
                <w:szCs w:val="20"/>
              </w:rPr>
              <w:t xml:space="preserve"> 28 </w:t>
            </w:r>
          </w:p>
        </w:tc>
        <w:tc>
          <w:tcPr>
            <w:tcW w:w="1113" w:type="dxa"/>
            <w:hideMark/>
          </w:tcPr>
          <w:p w14:paraId="56CE08C0" w14:textId="77777777" w:rsidR="00DA69F2" w:rsidRPr="00A1522B" w:rsidRDefault="00DA69F2" w:rsidP="00AF7B68">
            <w:pPr>
              <w:pStyle w:val="BodyCopy"/>
              <w:spacing w:before="40" w:after="40"/>
              <w:rPr>
                <w:sz w:val="20"/>
                <w:szCs w:val="20"/>
              </w:rPr>
            </w:pPr>
            <w:r w:rsidRPr="00A1522B">
              <w:rPr>
                <w:sz w:val="20"/>
                <w:szCs w:val="20"/>
              </w:rPr>
              <w:t xml:space="preserve"> 18 </w:t>
            </w:r>
          </w:p>
        </w:tc>
        <w:tc>
          <w:tcPr>
            <w:tcW w:w="1118" w:type="dxa"/>
            <w:hideMark/>
          </w:tcPr>
          <w:p w14:paraId="3932874A" w14:textId="77777777" w:rsidR="00DA69F2" w:rsidRPr="00A1522B" w:rsidRDefault="00DA69F2" w:rsidP="00AF7B68">
            <w:pPr>
              <w:pStyle w:val="BodyCopy"/>
              <w:spacing w:before="40" w:after="40"/>
              <w:rPr>
                <w:sz w:val="20"/>
                <w:szCs w:val="20"/>
              </w:rPr>
            </w:pPr>
            <w:r w:rsidRPr="00A1522B">
              <w:rPr>
                <w:sz w:val="20"/>
                <w:szCs w:val="20"/>
              </w:rPr>
              <w:t xml:space="preserve"> 14 </w:t>
            </w:r>
          </w:p>
        </w:tc>
      </w:tr>
      <w:tr w:rsidR="00DA69F2" w:rsidRPr="00DA69F2" w14:paraId="7133F1D7" w14:textId="77777777" w:rsidTr="00DA69F2">
        <w:trPr>
          <w:trHeight w:val="300"/>
        </w:trPr>
        <w:tc>
          <w:tcPr>
            <w:tcW w:w="4454" w:type="dxa"/>
            <w:hideMark/>
          </w:tcPr>
          <w:p w14:paraId="702AD5DE" w14:textId="0B007798" w:rsidR="00DA69F2" w:rsidRPr="00A1522B" w:rsidRDefault="00DA69F2" w:rsidP="00AF7B68">
            <w:pPr>
              <w:pStyle w:val="BodyCopy"/>
              <w:spacing w:before="40" w:after="40"/>
              <w:rPr>
                <w:sz w:val="20"/>
                <w:szCs w:val="20"/>
              </w:rPr>
            </w:pPr>
            <w:r w:rsidRPr="00A1522B">
              <w:rPr>
                <w:sz w:val="20"/>
                <w:szCs w:val="20"/>
              </w:rPr>
              <w:t xml:space="preserve"> Dog </w:t>
            </w:r>
            <w:r w:rsidR="006F7F4A" w:rsidRPr="00A1522B">
              <w:rPr>
                <w:sz w:val="20"/>
                <w:szCs w:val="20"/>
              </w:rPr>
              <w:t>t</w:t>
            </w:r>
            <w:r w:rsidRPr="00A1522B">
              <w:rPr>
                <w:sz w:val="20"/>
                <w:szCs w:val="20"/>
              </w:rPr>
              <w:t xml:space="preserve">railer </w:t>
            </w:r>
          </w:p>
        </w:tc>
        <w:tc>
          <w:tcPr>
            <w:tcW w:w="1129" w:type="dxa"/>
            <w:hideMark/>
          </w:tcPr>
          <w:p w14:paraId="365B98BD" w14:textId="77777777" w:rsidR="00DA69F2" w:rsidRPr="00A1522B" w:rsidRDefault="00DA69F2" w:rsidP="00AF7B68">
            <w:pPr>
              <w:pStyle w:val="BodyCopy"/>
              <w:spacing w:before="40" w:after="40"/>
              <w:rPr>
                <w:sz w:val="20"/>
                <w:szCs w:val="20"/>
              </w:rPr>
            </w:pPr>
            <w:r w:rsidRPr="00A1522B">
              <w:rPr>
                <w:sz w:val="20"/>
                <w:szCs w:val="20"/>
              </w:rPr>
              <w:t xml:space="preserve"> 55 </w:t>
            </w:r>
          </w:p>
        </w:tc>
        <w:tc>
          <w:tcPr>
            <w:tcW w:w="1213" w:type="dxa"/>
            <w:hideMark/>
          </w:tcPr>
          <w:p w14:paraId="72FF647F" w14:textId="77777777" w:rsidR="00DA69F2" w:rsidRPr="00A1522B" w:rsidRDefault="00DA69F2" w:rsidP="00AF7B68">
            <w:pPr>
              <w:pStyle w:val="BodyCopy"/>
              <w:spacing w:before="40" w:after="40"/>
              <w:rPr>
                <w:sz w:val="20"/>
                <w:szCs w:val="20"/>
              </w:rPr>
            </w:pPr>
            <w:r w:rsidRPr="00A1522B">
              <w:rPr>
                <w:sz w:val="20"/>
                <w:szCs w:val="20"/>
              </w:rPr>
              <w:t xml:space="preserve"> 28 </w:t>
            </w:r>
          </w:p>
        </w:tc>
        <w:tc>
          <w:tcPr>
            <w:tcW w:w="1113" w:type="dxa"/>
            <w:hideMark/>
          </w:tcPr>
          <w:p w14:paraId="4ABF542C" w14:textId="77777777" w:rsidR="00DA69F2" w:rsidRPr="00A1522B" w:rsidRDefault="00DA69F2" w:rsidP="00AF7B68">
            <w:pPr>
              <w:pStyle w:val="BodyCopy"/>
              <w:spacing w:before="40" w:after="40"/>
              <w:rPr>
                <w:sz w:val="20"/>
                <w:szCs w:val="20"/>
              </w:rPr>
            </w:pPr>
            <w:r w:rsidRPr="00A1522B">
              <w:rPr>
                <w:sz w:val="20"/>
                <w:szCs w:val="20"/>
              </w:rPr>
              <w:t xml:space="preserve"> 18 </w:t>
            </w:r>
          </w:p>
        </w:tc>
        <w:tc>
          <w:tcPr>
            <w:tcW w:w="1118" w:type="dxa"/>
            <w:hideMark/>
          </w:tcPr>
          <w:p w14:paraId="290CF587" w14:textId="77777777" w:rsidR="00DA69F2" w:rsidRPr="00A1522B" w:rsidRDefault="00DA69F2" w:rsidP="00AF7B68">
            <w:pPr>
              <w:pStyle w:val="BodyCopy"/>
              <w:spacing w:before="40" w:after="40"/>
              <w:rPr>
                <w:sz w:val="20"/>
                <w:szCs w:val="20"/>
              </w:rPr>
            </w:pPr>
            <w:r w:rsidRPr="00A1522B">
              <w:rPr>
                <w:sz w:val="20"/>
                <w:szCs w:val="20"/>
              </w:rPr>
              <w:t xml:space="preserve"> 14 </w:t>
            </w:r>
          </w:p>
        </w:tc>
      </w:tr>
      <w:tr w:rsidR="00DA69F2" w:rsidRPr="00DA69F2" w14:paraId="4A0AE898" w14:textId="77777777" w:rsidTr="00DA69F2">
        <w:trPr>
          <w:trHeight w:val="300"/>
        </w:trPr>
        <w:tc>
          <w:tcPr>
            <w:tcW w:w="4454" w:type="dxa"/>
            <w:hideMark/>
          </w:tcPr>
          <w:p w14:paraId="70D1AEFA" w14:textId="2BF8A85C" w:rsidR="00DA69F2" w:rsidRPr="00A1522B" w:rsidRDefault="00DA69F2" w:rsidP="00AF7B68">
            <w:pPr>
              <w:pStyle w:val="BodyCopy"/>
              <w:spacing w:before="40" w:after="40"/>
              <w:rPr>
                <w:sz w:val="20"/>
                <w:szCs w:val="20"/>
              </w:rPr>
            </w:pPr>
            <w:r w:rsidRPr="00A1522B">
              <w:rPr>
                <w:sz w:val="20"/>
                <w:szCs w:val="20"/>
              </w:rPr>
              <w:t xml:space="preserve"> Semi</w:t>
            </w:r>
            <w:r w:rsidR="006F7F4A" w:rsidRPr="00A1522B">
              <w:rPr>
                <w:sz w:val="20"/>
                <w:szCs w:val="20"/>
              </w:rPr>
              <w:t>t</w:t>
            </w:r>
            <w:r w:rsidRPr="00A1522B">
              <w:rPr>
                <w:sz w:val="20"/>
                <w:szCs w:val="20"/>
              </w:rPr>
              <w:t xml:space="preserve">railer </w:t>
            </w:r>
          </w:p>
        </w:tc>
        <w:tc>
          <w:tcPr>
            <w:tcW w:w="1129" w:type="dxa"/>
            <w:hideMark/>
          </w:tcPr>
          <w:p w14:paraId="37329FFC" w14:textId="77777777" w:rsidR="00DA69F2" w:rsidRPr="00A1522B" w:rsidRDefault="00DA69F2" w:rsidP="00AF7B68">
            <w:pPr>
              <w:pStyle w:val="BodyCopy"/>
              <w:spacing w:before="40" w:after="40"/>
              <w:rPr>
                <w:sz w:val="20"/>
                <w:szCs w:val="20"/>
              </w:rPr>
            </w:pPr>
            <w:r w:rsidRPr="00A1522B">
              <w:rPr>
                <w:sz w:val="20"/>
                <w:szCs w:val="20"/>
              </w:rPr>
              <w:t xml:space="preserve"> 55 </w:t>
            </w:r>
          </w:p>
        </w:tc>
        <w:tc>
          <w:tcPr>
            <w:tcW w:w="1213" w:type="dxa"/>
            <w:hideMark/>
          </w:tcPr>
          <w:p w14:paraId="2C30676E" w14:textId="77777777" w:rsidR="00DA69F2" w:rsidRPr="00A1522B" w:rsidRDefault="00DA69F2" w:rsidP="00AF7B68">
            <w:pPr>
              <w:pStyle w:val="BodyCopy"/>
              <w:spacing w:before="40" w:after="40"/>
              <w:rPr>
                <w:sz w:val="20"/>
                <w:szCs w:val="20"/>
              </w:rPr>
            </w:pPr>
            <w:r w:rsidRPr="00A1522B">
              <w:rPr>
                <w:sz w:val="20"/>
                <w:szCs w:val="20"/>
              </w:rPr>
              <w:t xml:space="preserve"> 28 </w:t>
            </w:r>
          </w:p>
        </w:tc>
        <w:tc>
          <w:tcPr>
            <w:tcW w:w="1113" w:type="dxa"/>
            <w:hideMark/>
          </w:tcPr>
          <w:p w14:paraId="57FCBB7B" w14:textId="77777777" w:rsidR="00DA69F2" w:rsidRPr="00A1522B" w:rsidRDefault="00DA69F2" w:rsidP="00AF7B68">
            <w:pPr>
              <w:pStyle w:val="BodyCopy"/>
              <w:spacing w:before="40" w:after="40"/>
              <w:rPr>
                <w:sz w:val="20"/>
                <w:szCs w:val="20"/>
              </w:rPr>
            </w:pPr>
            <w:r w:rsidRPr="00A1522B">
              <w:rPr>
                <w:sz w:val="20"/>
                <w:szCs w:val="20"/>
              </w:rPr>
              <w:t xml:space="preserve"> 18 </w:t>
            </w:r>
          </w:p>
        </w:tc>
        <w:tc>
          <w:tcPr>
            <w:tcW w:w="1118" w:type="dxa"/>
            <w:hideMark/>
          </w:tcPr>
          <w:p w14:paraId="15B13354" w14:textId="77777777" w:rsidR="00DA69F2" w:rsidRPr="00A1522B" w:rsidRDefault="00DA69F2" w:rsidP="00AF7B68">
            <w:pPr>
              <w:pStyle w:val="BodyCopy"/>
              <w:spacing w:before="40" w:after="40"/>
              <w:rPr>
                <w:sz w:val="20"/>
                <w:szCs w:val="20"/>
              </w:rPr>
            </w:pPr>
            <w:r w:rsidRPr="00A1522B">
              <w:rPr>
                <w:sz w:val="20"/>
                <w:szCs w:val="20"/>
              </w:rPr>
              <w:t xml:space="preserve"> 14 </w:t>
            </w:r>
          </w:p>
        </w:tc>
      </w:tr>
      <w:tr w:rsidR="00DA69F2" w:rsidRPr="00DA69F2" w14:paraId="1F340173" w14:textId="77777777" w:rsidTr="00DA69F2">
        <w:trPr>
          <w:trHeight w:val="300"/>
        </w:trPr>
        <w:tc>
          <w:tcPr>
            <w:tcW w:w="4454" w:type="dxa"/>
            <w:hideMark/>
          </w:tcPr>
          <w:p w14:paraId="1F89E936" w14:textId="77777777" w:rsidR="00DA69F2" w:rsidRPr="00A1522B" w:rsidRDefault="00DA69F2" w:rsidP="00AF7B68">
            <w:pPr>
              <w:pStyle w:val="BodyCopy"/>
              <w:spacing w:before="40" w:after="40"/>
              <w:rPr>
                <w:sz w:val="20"/>
                <w:szCs w:val="20"/>
              </w:rPr>
            </w:pPr>
            <w:r w:rsidRPr="00A1522B">
              <w:rPr>
                <w:sz w:val="20"/>
                <w:szCs w:val="20"/>
              </w:rPr>
              <w:t xml:space="preserve"> B-double lead trailer and B-triple lead and middle trailers </w:t>
            </w:r>
          </w:p>
        </w:tc>
        <w:tc>
          <w:tcPr>
            <w:tcW w:w="1129" w:type="dxa"/>
            <w:hideMark/>
          </w:tcPr>
          <w:p w14:paraId="08C475DE" w14:textId="77777777" w:rsidR="00DA69F2" w:rsidRPr="00A1522B" w:rsidRDefault="00DA69F2" w:rsidP="00AF7B68">
            <w:pPr>
              <w:pStyle w:val="BodyCopy"/>
              <w:spacing w:before="40" w:after="40"/>
              <w:rPr>
                <w:sz w:val="20"/>
                <w:szCs w:val="20"/>
              </w:rPr>
            </w:pPr>
            <w:r w:rsidRPr="00A1522B">
              <w:rPr>
                <w:sz w:val="20"/>
                <w:szCs w:val="20"/>
              </w:rPr>
              <w:t xml:space="preserve"> 55 </w:t>
            </w:r>
          </w:p>
        </w:tc>
        <w:tc>
          <w:tcPr>
            <w:tcW w:w="1213" w:type="dxa"/>
            <w:hideMark/>
          </w:tcPr>
          <w:p w14:paraId="73EA706E" w14:textId="77777777" w:rsidR="00DA69F2" w:rsidRPr="00A1522B" w:rsidRDefault="00DA69F2" w:rsidP="00AF7B68">
            <w:pPr>
              <w:pStyle w:val="BodyCopy"/>
              <w:spacing w:before="40" w:after="40"/>
              <w:rPr>
                <w:sz w:val="20"/>
                <w:szCs w:val="20"/>
              </w:rPr>
            </w:pPr>
            <w:r w:rsidRPr="00A1522B">
              <w:rPr>
                <w:sz w:val="20"/>
                <w:szCs w:val="20"/>
              </w:rPr>
              <w:t xml:space="preserve"> 28 </w:t>
            </w:r>
          </w:p>
        </w:tc>
        <w:tc>
          <w:tcPr>
            <w:tcW w:w="1113" w:type="dxa"/>
            <w:hideMark/>
          </w:tcPr>
          <w:p w14:paraId="03E8214D" w14:textId="77777777" w:rsidR="00DA69F2" w:rsidRPr="00A1522B" w:rsidRDefault="00DA69F2" w:rsidP="00AF7B68">
            <w:pPr>
              <w:pStyle w:val="BodyCopy"/>
              <w:spacing w:before="40" w:after="40"/>
              <w:rPr>
                <w:sz w:val="20"/>
                <w:szCs w:val="20"/>
              </w:rPr>
            </w:pPr>
            <w:r w:rsidRPr="00A1522B">
              <w:rPr>
                <w:sz w:val="20"/>
                <w:szCs w:val="20"/>
              </w:rPr>
              <w:t xml:space="preserve"> 18 </w:t>
            </w:r>
          </w:p>
        </w:tc>
        <w:tc>
          <w:tcPr>
            <w:tcW w:w="1118" w:type="dxa"/>
            <w:hideMark/>
          </w:tcPr>
          <w:p w14:paraId="7B524BD4" w14:textId="77777777" w:rsidR="00DA69F2" w:rsidRPr="00A1522B" w:rsidRDefault="00DA69F2" w:rsidP="00AF7B68">
            <w:pPr>
              <w:pStyle w:val="BodyCopy"/>
              <w:spacing w:before="40" w:after="40"/>
              <w:rPr>
                <w:sz w:val="20"/>
                <w:szCs w:val="20"/>
              </w:rPr>
            </w:pPr>
            <w:r w:rsidRPr="00A1522B">
              <w:rPr>
                <w:sz w:val="20"/>
                <w:szCs w:val="20"/>
              </w:rPr>
              <w:t xml:space="preserve"> 14 </w:t>
            </w:r>
          </w:p>
        </w:tc>
      </w:tr>
      <w:tr w:rsidR="00DA69F2" w:rsidRPr="00DA69F2" w14:paraId="1339B1E4" w14:textId="77777777" w:rsidTr="00DA69F2">
        <w:trPr>
          <w:trHeight w:val="300"/>
        </w:trPr>
        <w:tc>
          <w:tcPr>
            <w:tcW w:w="4454" w:type="dxa"/>
            <w:hideMark/>
          </w:tcPr>
          <w:p w14:paraId="29284EF4" w14:textId="77777777" w:rsidR="00DA69F2" w:rsidRPr="00A1522B" w:rsidRDefault="00DA69F2" w:rsidP="00AF7B68">
            <w:pPr>
              <w:pStyle w:val="BodyCopy"/>
              <w:spacing w:before="40" w:after="40"/>
              <w:rPr>
                <w:sz w:val="20"/>
                <w:szCs w:val="20"/>
              </w:rPr>
            </w:pPr>
            <w:r w:rsidRPr="00A1522B">
              <w:rPr>
                <w:sz w:val="20"/>
                <w:szCs w:val="20"/>
              </w:rPr>
              <w:t xml:space="preserve"> Converter dolly or low loader dolly </w:t>
            </w:r>
          </w:p>
        </w:tc>
        <w:tc>
          <w:tcPr>
            <w:tcW w:w="1129" w:type="dxa"/>
            <w:hideMark/>
          </w:tcPr>
          <w:p w14:paraId="0A69A6A2" w14:textId="77777777" w:rsidR="00DA69F2" w:rsidRPr="00A1522B" w:rsidRDefault="00DA69F2" w:rsidP="00AF7B68">
            <w:pPr>
              <w:pStyle w:val="BodyCopy"/>
              <w:spacing w:before="40" w:after="40"/>
              <w:rPr>
                <w:sz w:val="20"/>
                <w:szCs w:val="20"/>
              </w:rPr>
            </w:pPr>
            <w:r w:rsidRPr="00A1522B">
              <w:rPr>
                <w:sz w:val="20"/>
                <w:szCs w:val="20"/>
              </w:rPr>
              <w:t xml:space="preserve"> 55 </w:t>
            </w:r>
          </w:p>
        </w:tc>
        <w:tc>
          <w:tcPr>
            <w:tcW w:w="1213" w:type="dxa"/>
            <w:hideMark/>
          </w:tcPr>
          <w:p w14:paraId="122A4CFA" w14:textId="77777777" w:rsidR="00DA69F2" w:rsidRPr="00A1522B" w:rsidRDefault="00DA69F2" w:rsidP="00AF7B68">
            <w:pPr>
              <w:pStyle w:val="BodyCopy"/>
              <w:spacing w:before="40" w:after="40"/>
              <w:rPr>
                <w:sz w:val="20"/>
                <w:szCs w:val="20"/>
              </w:rPr>
            </w:pPr>
            <w:r w:rsidRPr="00A1522B">
              <w:rPr>
                <w:sz w:val="20"/>
                <w:szCs w:val="20"/>
              </w:rPr>
              <w:t xml:space="preserve"> 28 </w:t>
            </w:r>
          </w:p>
        </w:tc>
        <w:tc>
          <w:tcPr>
            <w:tcW w:w="1113" w:type="dxa"/>
            <w:hideMark/>
          </w:tcPr>
          <w:p w14:paraId="7BD7C82A" w14:textId="77777777" w:rsidR="00DA69F2" w:rsidRPr="00A1522B" w:rsidRDefault="00DA69F2" w:rsidP="00AF7B68">
            <w:pPr>
              <w:pStyle w:val="BodyCopy"/>
              <w:spacing w:before="40" w:after="40"/>
              <w:rPr>
                <w:sz w:val="20"/>
                <w:szCs w:val="20"/>
              </w:rPr>
            </w:pPr>
            <w:r w:rsidRPr="00A1522B">
              <w:rPr>
                <w:sz w:val="20"/>
                <w:szCs w:val="20"/>
              </w:rPr>
              <w:t xml:space="preserve"> 18 </w:t>
            </w:r>
          </w:p>
        </w:tc>
        <w:tc>
          <w:tcPr>
            <w:tcW w:w="1118" w:type="dxa"/>
            <w:hideMark/>
          </w:tcPr>
          <w:p w14:paraId="2027000D" w14:textId="77777777" w:rsidR="00DA69F2" w:rsidRPr="00A1522B" w:rsidRDefault="00DA69F2" w:rsidP="00AF7B68">
            <w:pPr>
              <w:pStyle w:val="BodyCopy"/>
              <w:spacing w:before="40" w:after="40"/>
              <w:rPr>
                <w:sz w:val="20"/>
                <w:szCs w:val="20"/>
              </w:rPr>
            </w:pPr>
            <w:r w:rsidRPr="00A1522B">
              <w:rPr>
                <w:sz w:val="20"/>
                <w:szCs w:val="20"/>
              </w:rPr>
              <w:t xml:space="preserve"> 14 </w:t>
            </w:r>
          </w:p>
        </w:tc>
      </w:tr>
      <w:tr w:rsidR="00DA69F2" w:rsidRPr="00DA69F2" w14:paraId="2FC138DD" w14:textId="77777777" w:rsidTr="00AF7B68">
        <w:trPr>
          <w:trHeight w:val="300"/>
        </w:trPr>
        <w:tc>
          <w:tcPr>
            <w:tcW w:w="9027" w:type="dxa"/>
            <w:gridSpan w:val="5"/>
            <w:vAlign w:val="center"/>
            <w:hideMark/>
          </w:tcPr>
          <w:p w14:paraId="276A3007" w14:textId="6E1ED2D8" w:rsidR="00DA69F2" w:rsidRPr="00A1522B" w:rsidRDefault="00DA69F2" w:rsidP="00AF7B68">
            <w:pPr>
              <w:pStyle w:val="BodyCopy"/>
              <w:spacing w:before="40" w:after="40"/>
              <w:jc w:val="center"/>
              <w:rPr>
                <w:b/>
                <w:bCs/>
                <w:sz w:val="20"/>
                <w:szCs w:val="20"/>
              </w:rPr>
            </w:pPr>
            <w:r w:rsidRPr="00A1522B">
              <w:rPr>
                <w:b/>
                <w:bCs/>
                <w:sz w:val="20"/>
                <w:szCs w:val="20"/>
              </w:rPr>
              <w:t>DIVISION 3 – BUSES ($)</w:t>
            </w:r>
          </w:p>
        </w:tc>
      </w:tr>
      <w:tr w:rsidR="00DA69F2" w:rsidRPr="00DA69F2" w14:paraId="76DE5AF5" w14:textId="77777777" w:rsidTr="00DA69F2">
        <w:trPr>
          <w:trHeight w:val="300"/>
        </w:trPr>
        <w:tc>
          <w:tcPr>
            <w:tcW w:w="4454" w:type="dxa"/>
            <w:hideMark/>
          </w:tcPr>
          <w:p w14:paraId="22AF323B" w14:textId="7D5F965A" w:rsidR="00DA69F2" w:rsidRPr="00A1522B" w:rsidRDefault="00DA69F2" w:rsidP="00AF7B68">
            <w:pPr>
              <w:pStyle w:val="BodyCopy"/>
              <w:spacing w:before="40" w:after="40"/>
              <w:rPr>
                <w:b/>
                <w:bCs/>
                <w:sz w:val="20"/>
                <w:szCs w:val="20"/>
              </w:rPr>
            </w:pPr>
            <w:r w:rsidRPr="00A1522B">
              <w:rPr>
                <w:b/>
                <w:bCs/>
                <w:sz w:val="20"/>
                <w:szCs w:val="20"/>
              </w:rPr>
              <w:t xml:space="preserve"> Bus </w:t>
            </w:r>
            <w:r w:rsidR="006F7F4A" w:rsidRPr="00A1522B">
              <w:rPr>
                <w:b/>
                <w:bCs/>
                <w:sz w:val="20"/>
                <w:szCs w:val="20"/>
              </w:rPr>
              <w:t>t</w:t>
            </w:r>
            <w:r w:rsidRPr="00A1522B">
              <w:rPr>
                <w:b/>
                <w:bCs/>
                <w:sz w:val="20"/>
                <w:szCs w:val="20"/>
              </w:rPr>
              <w:t xml:space="preserve">ype </w:t>
            </w:r>
          </w:p>
        </w:tc>
        <w:tc>
          <w:tcPr>
            <w:tcW w:w="1129" w:type="dxa"/>
            <w:hideMark/>
          </w:tcPr>
          <w:p w14:paraId="3626C0E6" w14:textId="5717FF18" w:rsidR="00DA69F2" w:rsidRPr="00A1522B" w:rsidRDefault="00DA69F2" w:rsidP="00AF7B68">
            <w:pPr>
              <w:pStyle w:val="BodyCopy"/>
              <w:spacing w:before="40" w:after="40"/>
              <w:rPr>
                <w:b/>
                <w:bCs/>
                <w:sz w:val="20"/>
                <w:szCs w:val="20"/>
              </w:rPr>
            </w:pPr>
            <w:r w:rsidRPr="00A1522B">
              <w:rPr>
                <w:b/>
                <w:bCs/>
                <w:sz w:val="20"/>
                <w:szCs w:val="20"/>
              </w:rPr>
              <w:t xml:space="preserve"> 2</w:t>
            </w:r>
            <w:r w:rsidR="00485614" w:rsidRPr="00A1522B">
              <w:rPr>
                <w:b/>
                <w:bCs/>
                <w:sz w:val="20"/>
                <w:szCs w:val="20"/>
              </w:rPr>
              <w:t>-</w:t>
            </w:r>
            <w:r w:rsidRPr="00A1522B">
              <w:rPr>
                <w:b/>
                <w:bCs/>
                <w:sz w:val="20"/>
                <w:szCs w:val="20"/>
              </w:rPr>
              <w:t xml:space="preserve">axle </w:t>
            </w:r>
          </w:p>
        </w:tc>
        <w:tc>
          <w:tcPr>
            <w:tcW w:w="1213" w:type="dxa"/>
            <w:hideMark/>
          </w:tcPr>
          <w:p w14:paraId="07C30BA1" w14:textId="4EA2140F" w:rsidR="00DA69F2" w:rsidRPr="00A1522B" w:rsidRDefault="00DA69F2" w:rsidP="00AF7B68">
            <w:pPr>
              <w:pStyle w:val="BodyCopy"/>
              <w:spacing w:before="40" w:after="40"/>
              <w:rPr>
                <w:b/>
                <w:bCs/>
                <w:sz w:val="20"/>
                <w:szCs w:val="20"/>
              </w:rPr>
            </w:pPr>
            <w:r w:rsidRPr="00A1522B">
              <w:rPr>
                <w:b/>
                <w:bCs/>
                <w:sz w:val="20"/>
                <w:szCs w:val="20"/>
              </w:rPr>
              <w:t xml:space="preserve"> 3</w:t>
            </w:r>
            <w:r w:rsidR="00485614" w:rsidRPr="00A1522B">
              <w:rPr>
                <w:b/>
                <w:bCs/>
                <w:sz w:val="20"/>
                <w:szCs w:val="20"/>
              </w:rPr>
              <w:t>-</w:t>
            </w:r>
            <w:r w:rsidRPr="00A1522B">
              <w:rPr>
                <w:b/>
                <w:bCs/>
                <w:sz w:val="20"/>
                <w:szCs w:val="20"/>
              </w:rPr>
              <w:t>axle</w:t>
            </w:r>
            <w:r w:rsidR="00830D17" w:rsidRPr="00A1522B">
              <w:rPr>
                <w:b/>
                <w:bCs/>
                <w:sz w:val="20"/>
                <w:szCs w:val="20"/>
              </w:rPr>
              <w:t xml:space="preserve"> </w:t>
            </w:r>
          </w:p>
        </w:tc>
        <w:tc>
          <w:tcPr>
            <w:tcW w:w="1113" w:type="dxa"/>
            <w:hideMark/>
          </w:tcPr>
          <w:p w14:paraId="60A1CB52" w14:textId="3AE86335" w:rsidR="00DA69F2" w:rsidRPr="00A1522B" w:rsidRDefault="00DA69F2" w:rsidP="00AF7B68">
            <w:pPr>
              <w:pStyle w:val="BodyCopy"/>
              <w:spacing w:before="40" w:after="40"/>
              <w:rPr>
                <w:b/>
                <w:bCs/>
                <w:sz w:val="20"/>
                <w:szCs w:val="20"/>
              </w:rPr>
            </w:pPr>
            <w:r w:rsidRPr="00A1522B">
              <w:rPr>
                <w:b/>
                <w:bCs/>
                <w:sz w:val="20"/>
                <w:szCs w:val="20"/>
              </w:rPr>
              <w:t xml:space="preserve"> 4</w:t>
            </w:r>
            <w:r w:rsidR="00485614" w:rsidRPr="00A1522B">
              <w:rPr>
                <w:b/>
                <w:bCs/>
                <w:sz w:val="20"/>
                <w:szCs w:val="20"/>
              </w:rPr>
              <w:t>-</w:t>
            </w:r>
            <w:r w:rsidRPr="00A1522B">
              <w:rPr>
                <w:b/>
                <w:bCs/>
                <w:sz w:val="20"/>
                <w:szCs w:val="20"/>
              </w:rPr>
              <w:t xml:space="preserve">axle </w:t>
            </w:r>
          </w:p>
        </w:tc>
        <w:tc>
          <w:tcPr>
            <w:tcW w:w="1118" w:type="dxa"/>
            <w:hideMark/>
          </w:tcPr>
          <w:p w14:paraId="3A01EC98" w14:textId="77777777" w:rsidR="00DA69F2" w:rsidRPr="00A1522B" w:rsidRDefault="00DA69F2" w:rsidP="00AF7B68">
            <w:pPr>
              <w:pStyle w:val="BodyCopy"/>
              <w:spacing w:before="40" w:after="40"/>
              <w:rPr>
                <w:b/>
                <w:bCs/>
                <w:sz w:val="20"/>
                <w:szCs w:val="20"/>
              </w:rPr>
            </w:pPr>
            <w:r w:rsidRPr="00A1522B">
              <w:rPr>
                <w:b/>
                <w:bCs/>
                <w:sz w:val="20"/>
                <w:szCs w:val="20"/>
              </w:rPr>
              <w:t> </w:t>
            </w:r>
          </w:p>
        </w:tc>
      </w:tr>
      <w:tr w:rsidR="00A277BE" w:rsidRPr="00DA69F2" w14:paraId="337DACC7" w14:textId="77777777" w:rsidTr="00BD61D2">
        <w:trPr>
          <w:trHeight w:val="300"/>
        </w:trPr>
        <w:tc>
          <w:tcPr>
            <w:tcW w:w="0" w:type="dxa"/>
            <w:hideMark/>
          </w:tcPr>
          <w:p w14:paraId="4B545DBE" w14:textId="77777777" w:rsidR="00A277BE" w:rsidRPr="00A1522B" w:rsidRDefault="00A277BE" w:rsidP="00A277BE">
            <w:pPr>
              <w:pStyle w:val="BodyCopy"/>
              <w:spacing w:before="40" w:after="40"/>
              <w:rPr>
                <w:sz w:val="20"/>
                <w:szCs w:val="20"/>
              </w:rPr>
            </w:pPr>
            <w:r w:rsidRPr="00A1522B">
              <w:rPr>
                <w:sz w:val="20"/>
                <w:szCs w:val="20"/>
              </w:rPr>
              <w:t xml:space="preserve"> Bus (type 1) </w:t>
            </w:r>
          </w:p>
        </w:tc>
        <w:tc>
          <w:tcPr>
            <w:tcW w:w="0" w:type="dxa"/>
          </w:tcPr>
          <w:p w14:paraId="7E9D1BDC" w14:textId="6F3E29F8" w:rsidR="00A277BE" w:rsidRPr="00007FAA" w:rsidRDefault="00A277BE" w:rsidP="00A277BE">
            <w:pPr>
              <w:pStyle w:val="BodyCopy"/>
              <w:spacing w:before="40" w:after="40"/>
              <w:rPr>
                <w:sz w:val="20"/>
                <w:szCs w:val="20"/>
              </w:rPr>
            </w:pPr>
            <w:r w:rsidRPr="00BD61D2">
              <w:rPr>
                <w:sz w:val="20"/>
                <w:szCs w:val="20"/>
              </w:rPr>
              <w:t xml:space="preserve"> 197 </w:t>
            </w:r>
          </w:p>
        </w:tc>
        <w:tc>
          <w:tcPr>
            <w:tcW w:w="0" w:type="dxa"/>
          </w:tcPr>
          <w:p w14:paraId="6C42BEF4" w14:textId="263FAF05" w:rsidR="00A277BE" w:rsidRPr="00007FAA" w:rsidRDefault="00A277BE" w:rsidP="00A277BE">
            <w:pPr>
              <w:pStyle w:val="BodyCopy"/>
              <w:spacing w:before="40" w:after="40"/>
              <w:rPr>
                <w:sz w:val="20"/>
                <w:szCs w:val="20"/>
              </w:rPr>
            </w:pPr>
          </w:p>
        </w:tc>
        <w:tc>
          <w:tcPr>
            <w:tcW w:w="0" w:type="dxa"/>
          </w:tcPr>
          <w:p w14:paraId="57A4968B" w14:textId="742A0FE1" w:rsidR="00A277BE" w:rsidRPr="00007FAA" w:rsidRDefault="00A277BE" w:rsidP="00A277BE">
            <w:pPr>
              <w:pStyle w:val="BodyCopy"/>
              <w:spacing w:before="40" w:after="40"/>
              <w:rPr>
                <w:sz w:val="20"/>
                <w:szCs w:val="20"/>
              </w:rPr>
            </w:pPr>
          </w:p>
        </w:tc>
        <w:tc>
          <w:tcPr>
            <w:tcW w:w="0" w:type="dxa"/>
            <w:hideMark/>
          </w:tcPr>
          <w:p w14:paraId="60302EBB" w14:textId="77777777" w:rsidR="00A277BE" w:rsidRPr="00A1522B" w:rsidRDefault="00A277BE" w:rsidP="00A277BE">
            <w:pPr>
              <w:pStyle w:val="BodyCopy"/>
              <w:spacing w:before="40" w:after="40"/>
              <w:rPr>
                <w:sz w:val="20"/>
                <w:szCs w:val="20"/>
              </w:rPr>
            </w:pPr>
            <w:r w:rsidRPr="00A1522B">
              <w:rPr>
                <w:sz w:val="20"/>
                <w:szCs w:val="20"/>
              </w:rPr>
              <w:t> </w:t>
            </w:r>
          </w:p>
        </w:tc>
      </w:tr>
      <w:tr w:rsidR="00A277BE" w:rsidRPr="00DA69F2" w14:paraId="6E87F7FF" w14:textId="77777777" w:rsidTr="00BD61D2">
        <w:trPr>
          <w:trHeight w:val="300"/>
        </w:trPr>
        <w:tc>
          <w:tcPr>
            <w:tcW w:w="0" w:type="dxa"/>
            <w:hideMark/>
          </w:tcPr>
          <w:p w14:paraId="775A16E5" w14:textId="77777777" w:rsidR="00A277BE" w:rsidRPr="00A1522B" w:rsidRDefault="00A277BE" w:rsidP="00A277BE">
            <w:pPr>
              <w:pStyle w:val="BodyCopy"/>
              <w:spacing w:before="40" w:after="40"/>
              <w:rPr>
                <w:sz w:val="20"/>
                <w:szCs w:val="20"/>
              </w:rPr>
            </w:pPr>
            <w:r w:rsidRPr="00A1522B">
              <w:rPr>
                <w:sz w:val="20"/>
                <w:szCs w:val="20"/>
              </w:rPr>
              <w:t xml:space="preserve"> Bus (type 2) </w:t>
            </w:r>
          </w:p>
        </w:tc>
        <w:tc>
          <w:tcPr>
            <w:tcW w:w="0" w:type="dxa"/>
          </w:tcPr>
          <w:p w14:paraId="562D4FC4" w14:textId="3EDD11D8" w:rsidR="00A277BE" w:rsidRPr="00007FAA" w:rsidRDefault="00A277BE" w:rsidP="00A277BE">
            <w:pPr>
              <w:pStyle w:val="BodyCopy"/>
              <w:spacing w:before="40" w:after="40"/>
              <w:rPr>
                <w:sz w:val="20"/>
                <w:szCs w:val="20"/>
              </w:rPr>
            </w:pPr>
            <w:r w:rsidRPr="00BD61D2">
              <w:rPr>
                <w:sz w:val="20"/>
                <w:szCs w:val="20"/>
              </w:rPr>
              <w:t xml:space="preserve"> 358 </w:t>
            </w:r>
          </w:p>
        </w:tc>
        <w:tc>
          <w:tcPr>
            <w:tcW w:w="0" w:type="dxa"/>
          </w:tcPr>
          <w:p w14:paraId="235A06B8" w14:textId="420263F6" w:rsidR="00A277BE" w:rsidRPr="00007FAA" w:rsidRDefault="00A277BE" w:rsidP="00A277BE">
            <w:pPr>
              <w:pStyle w:val="BodyCopy"/>
              <w:spacing w:before="40" w:after="40"/>
              <w:rPr>
                <w:sz w:val="20"/>
                <w:szCs w:val="20"/>
              </w:rPr>
            </w:pPr>
            <w:r w:rsidRPr="00BD61D2">
              <w:rPr>
                <w:sz w:val="20"/>
                <w:szCs w:val="20"/>
              </w:rPr>
              <w:t xml:space="preserve"> 409 </w:t>
            </w:r>
          </w:p>
        </w:tc>
        <w:tc>
          <w:tcPr>
            <w:tcW w:w="0" w:type="dxa"/>
          </w:tcPr>
          <w:p w14:paraId="4FC085A1" w14:textId="70C19BB2" w:rsidR="00A277BE" w:rsidRPr="00007FAA" w:rsidRDefault="00A277BE" w:rsidP="00A277BE">
            <w:pPr>
              <w:pStyle w:val="BodyCopy"/>
              <w:spacing w:before="40" w:after="40"/>
              <w:rPr>
                <w:sz w:val="20"/>
                <w:szCs w:val="20"/>
              </w:rPr>
            </w:pPr>
            <w:r w:rsidRPr="00BD61D2">
              <w:rPr>
                <w:sz w:val="20"/>
                <w:szCs w:val="20"/>
              </w:rPr>
              <w:t xml:space="preserve"> 409 </w:t>
            </w:r>
          </w:p>
        </w:tc>
        <w:tc>
          <w:tcPr>
            <w:tcW w:w="0" w:type="dxa"/>
            <w:hideMark/>
          </w:tcPr>
          <w:p w14:paraId="27D34197" w14:textId="77777777" w:rsidR="00A277BE" w:rsidRPr="00A1522B" w:rsidRDefault="00A277BE" w:rsidP="00A277BE">
            <w:pPr>
              <w:pStyle w:val="BodyCopy"/>
              <w:spacing w:before="40" w:after="40"/>
              <w:rPr>
                <w:sz w:val="20"/>
                <w:szCs w:val="20"/>
              </w:rPr>
            </w:pPr>
            <w:r w:rsidRPr="00A1522B">
              <w:rPr>
                <w:sz w:val="20"/>
                <w:szCs w:val="20"/>
              </w:rPr>
              <w:t> </w:t>
            </w:r>
          </w:p>
        </w:tc>
      </w:tr>
      <w:tr w:rsidR="00A277BE" w:rsidRPr="00DA69F2" w14:paraId="5C7B9EDD" w14:textId="77777777" w:rsidTr="00BD61D2">
        <w:trPr>
          <w:trHeight w:val="300"/>
        </w:trPr>
        <w:tc>
          <w:tcPr>
            <w:tcW w:w="0" w:type="dxa"/>
            <w:hideMark/>
          </w:tcPr>
          <w:p w14:paraId="7141F00A" w14:textId="77777777" w:rsidR="00A277BE" w:rsidRPr="00A1522B" w:rsidRDefault="00A277BE" w:rsidP="00A277BE">
            <w:pPr>
              <w:pStyle w:val="BodyCopy"/>
              <w:spacing w:before="40" w:after="40"/>
              <w:rPr>
                <w:sz w:val="20"/>
                <w:szCs w:val="20"/>
              </w:rPr>
            </w:pPr>
            <w:r w:rsidRPr="00A1522B">
              <w:rPr>
                <w:sz w:val="20"/>
                <w:szCs w:val="20"/>
              </w:rPr>
              <w:t xml:space="preserve"> Articulated bus </w:t>
            </w:r>
          </w:p>
        </w:tc>
        <w:tc>
          <w:tcPr>
            <w:tcW w:w="0" w:type="dxa"/>
          </w:tcPr>
          <w:p w14:paraId="09A299F6" w14:textId="030421F2" w:rsidR="00A277BE" w:rsidRPr="00007FAA" w:rsidRDefault="00A277BE" w:rsidP="00A277BE">
            <w:pPr>
              <w:pStyle w:val="BodyCopy"/>
              <w:spacing w:before="40" w:after="40"/>
              <w:rPr>
                <w:sz w:val="20"/>
                <w:szCs w:val="20"/>
              </w:rPr>
            </w:pPr>
          </w:p>
        </w:tc>
        <w:tc>
          <w:tcPr>
            <w:tcW w:w="0" w:type="dxa"/>
          </w:tcPr>
          <w:p w14:paraId="3DF91C41" w14:textId="4E7EF8DE" w:rsidR="00A277BE" w:rsidRPr="00007FAA" w:rsidRDefault="00A277BE" w:rsidP="00A277BE">
            <w:pPr>
              <w:pStyle w:val="BodyCopy"/>
              <w:spacing w:before="40" w:after="40"/>
              <w:rPr>
                <w:sz w:val="20"/>
                <w:szCs w:val="20"/>
              </w:rPr>
            </w:pPr>
            <w:r w:rsidRPr="00BD61D2">
              <w:rPr>
                <w:sz w:val="20"/>
                <w:szCs w:val="20"/>
              </w:rPr>
              <w:t xml:space="preserve"> 440 </w:t>
            </w:r>
          </w:p>
        </w:tc>
        <w:tc>
          <w:tcPr>
            <w:tcW w:w="0" w:type="dxa"/>
          </w:tcPr>
          <w:p w14:paraId="18BDB1B2" w14:textId="781E4A91" w:rsidR="00A277BE" w:rsidRPr="00007FAA" w:rsidRDefault="00A277BE" w:rsidP="00A277BE">
            <w:pPr>
              <w:pStyle w:val="BodyCopy"/>
              <w:spacing w:before="40" w:after="40"/>
              <w:rPr>
                <w:sz w:val="20"/>
                <w:szCs w:val="20"/>
              </w:rPr>
            </w:pPr>
            <w:r w:rsidRPr="00BD61D2">
              <w:rPr>
                <w:sz w:val="20"/>
                <w:szCs w:val="20"/>
              </w:rPr>
              <w:t xml:space="preserve"> 440 </w:t>
            </w:r>
          </w:p>
        </w:tc>
        <w:tc>
          <w:tcPr>
            <w:tcW w:w="0" w:type="dxa"/>
            <w:hideMark/>
          </w:tcPr>
          <w:p w14:paraId="4056C977" w14:textId="77777777" w:rsidR="00A277BE" w:rsidRPr="00A1522B" w:rsidRDefault="00A277BE" w:rsidP="00A277BE">
            <w:pPr>
              <w:pStyle w:val="BodyCopy"/>
              <w:spacing w:before="40" w:after="40"/>
              <w:rPr>
                <w:sz w:val="20"/>
                <w:szCs w:val="20"/>
              </w:rPr>
            </w:pPr>
            <w:r w:rsidRPr="00A1522B">
              <w:rPr>
                <w:sz w:val="20"/>
                <w:szCs w:val="20"/>
              </w:rPr>
              <w:t> </w:t>
            </w:r>
          </w:p>
        </w:tc>
      </w:tr>
      <w:tr w:rsidR="00DA69F2" w:rsidRPr="00DA69F2" w14:paraId="127D29F4" w14:textId="77777777" w:rsidTr="00AF7B68">
        <w:trPr>
          <w:trHeight w:val="300"/>
        </w:trPr>
        <w:tc>
          <w:tcPr>
            <w:tcW w:w="9027" w:type="dxa"/>
            <w:gridSpan w:val="5"/>
            <w:vAlign w:val="center"/>
            <w:hideMark/>
          </w:tcPr>
          <w:p w14:paraId="0D8A6CD0" w14:textId="2602A632" w:rsidR="00DA69F2" w:rsidRPr="00A1522B" w:rsidRDefault="00DA69F2" w:rsidP="00AF7B68">
            <w:pPr>
              <w:pStyle w:val="BodyCopy"/>
              <w:spacing w:before="40" w:after="40"/>
              <w:jc w:val="center"/>
              <w:rPr>
                <w:b/>
                <w:bCs/>
                <w:sz w:val="20"/>
                <w:szCs w:val="20"/>
              </w:rPr>
            </w:pPr>
            <w:r w:rsidRPr="00A1522B">
              <w:rPr>
                <w:b/>
                <w:bCs/>
                <w:sz w:val="20"/>
                <w:szCs w:val="20"/>
              </w:rPr>
              <w:t>DIVISION 4 – SPECIAL PURPOSE VEHICLES ($)</w:t>
            </w:r>
          </w:p>
        </w:tc>
      </w:tr>
      <w:tr w:rsidR="00DA69F2" w:rsidRPr="00DA69F2" w14:paraId="414EEB25" w14:textId="77777777" w:rsidTr="00AF7B68">
        <w:trPr>
          <w:trHeight w:val="300"/>
        </w:trPr>
        <w:tc>
          <w:tcPr>
            <w:tcW w:w="4454" w:type="dxa"/>
            <w:hideMark/>
          </w:tcPr>
          <w:p w14:paraId="66BF2691" w14:textId="77777777" w:rsidR="00DA69F2" w:rsidRPr="00A1522B" w:rsidRDefault="00DA69F2" w:rsidP="00AF7B68">
            <w:pPr>
              <w:pStyle w:val="BodyCopy"/>
              <w:spacing w:before="40" w:after="40"/>
              <w:rPr>
                <w:sz w:val="20"/>
                <w:szCs w:val="20"/>
              </w:rPr>
            </w:pPr>
            <w:r w:rsidRPr="00A1522B">
              <w:rPr>
                <w:sz w:val="20"/>
                <w:szCs w:val="20"/>
              </w:rPr>
              <w:t xml:space="preserve"> Special purpose vehicle (type P) </w:t>
            </w:r>
          </w:p>
        </w:tc>
        <w:tc>
          <w:tcPr>
            <w:tcW w:w="4573" w:type="dxa"/>
            <w:gridSpan w:val="4"/>
            <w:hideMark/>
          </w:tcPr>
          <w:p w14:paraId="4E3779F8" w14:textId="77777777" w:rsidR="00DA69F2" w:rsidRPr="00A1522B" w:rsidRDefault="00DA69F2" w:rsidP="00AF7B68">
            <w:pPr>
              <w:pStyle w:val="BodyCopy"/>
              <w:spacing w:before="40" w:after="40"/>
              <w:rPr>
                <w:sz w:val="20"/>
                <w:szCs w:val="20"/>
              </w:rPr>
            </w:pPr>
            <w:r w:rsidRPr="00A1522B">
              <w:rPr>
                <w:sz w:val="20"/>
                <w:szCs w:val="20"/>
              </w:rPr>
              <w:t xml:space="preserve"> 0 </w:t>
            </w:r>
          </w:p>
        </w:tc>
      </w:tr>
      <w:tr w:rsidR="00DA69F2" w:rsidRPr="00DA69F2" w14:paraId="51562AF5" w14:textId="77777777" w:rsidTr="00AF7B68">
        <w:trPr>
          <w:trHeight w:val="300"/>
        </w:trPr>
        <w:tc>
          <w:tcPr>
            <w:tcW w:w="4454" w:type="dxa"/>
            <w:hideMark/>
          </w:tcPr>
          <w:p w14:paraId="0B9FD24C" w14:textId="77777777" w:rsidR="00DA69F2" w:rsidRPr="00A1522B" w:rsidRDefault="00DA69F2" w:rsidP="00AF7B68">
            <w:pPr>
              <w:pStyle w:val="BodyCopy"/>
              <w:spacing w:before="40" w:after="40"/>
              <w:rPr>
                <w:sz w:val="20"/>
                <w:szCs w:val="20"/>
              </w:rPr>
            </w:pPr>
            <w:r w:rsidRPr="00A1522B">
              <w:rPr>
                <w:sz w:val="20"/>
                <w:szCs w:val="20"/>
              </w:rPr>
              <w:t xml:space="preserve"> Special purpose vehicle (type T) </w:t>
            </w:r>
          </w:p>
        </w:tc>
        <w:tc>
          <w:tcPr>
            <w:tcW w:w="4573" w:type="dxa"/>
            <w:gridSpan w:val="4"/>
            <w:hideMark/>
          </w:tcPr>
          <w:p w14:paraId="0D5357A6" w14:textId="3D1F886C" w:rsidR="00DA69F2" w:rsidRPr="00A1522B" w:rsidRDefault="00DA69F2" w:rsidP="00AF7B68">
            <w:pPr>
              <w:pStyle w:val="BodyCopy"/>
              <w:spacing w:before="40" w:after="40"/>
              <w:rPr>
                <w:sz w:val="20"/>
                <w:szCs w:val="20"/>
              </w:rPr>
            </w:pPr>
            <w:r w:rsidRPr="00A1522B">
              <w:rPr>
                <w:sz w:val="20"/>
                <w:szCs w:val="20"/>
              </w:rPr>
              <w:t xml:space="preserve"> </w:t>
            </w:r>
            <w:r w:rsidR="001E793B">
              <w:rPr>
                <w:sz w:val="20"/>
                <w:szCs w:val="20"/>
              </w:rPr>
              <w:t>199</w:t>
            </w:r>
            <w:r w:rsidRPr="00A1522B">
              <w:rPr>
                <w:sz w:val="20"/>
                <w:szCs w:val="20"/>
              </w:rPr>
              <w:t xml:space="preserve"> </w:t>
            </w:r>
          </w:p>
        </w:tc>
      </w:tr>
      <w:tr w:rsidR="00DA69F2" w:rsidRPr="00DA69F2" w14:paraId="080C6B52" w14:textId="77777777" w:rsidTr="00AF7B68">
        <w:trPr>
          <w:trHeight w:val="300"/>
        </w:trPr>
        <w:tc>
          <w:tcPr>
            <w:tcW w:w="4454" w:type="dxa"/>
            <w:hideMark/>
          </w:tcPr>
          <w:p w14:paraId="71BAE6EC" w14:textId="77777777" w:rsidR="00DA69F2" w:rsidRPr="00A1522B" w:rsidRDefault="00DA69F2" w:rsidP="00AF7B68">
            <w:pPr>
              <w:pStyle w:val="BodyCopy"/>
              <w:spacing w:before="40" w:after="40"/>
              <w:rPr>
                <w:sz w:val="20"/>
                <w:szCs w:val="20"/>
              </w:rPr>
            </w:pPr>
            <w:r w:rsidRPr="00A1522B">
              <w:rPr>
                <w:sz w:val="20"/>
                <w:szCs w:val="20"/>
              </w:rPr>
              <w:t xml:space="preserve"> Special purpose vehicle (type O) </w:t>
            </w:r>
          </w:p>
        </w:tc>
        <w:tc>
          <w:tcPr>
            <w:tcW w:w="4573" w:type="dxa"/>
            <w:gridSpan w:val="4"/>
            <w:hideMark/>
          </w:tcPr>
          <w:p w14:paraId="2A39D77C" w14:textId="7DC178DD" w:rsidR="00DA69F2" w:rsidRPr="00A1522B" w:rsidRDefault="00DA69F2" w:rsidP="00AF7B68">
            <w:pPr>
              <w:pStyle w:val="BodyCopy"/>
              <w:spacing w:before="40" w:after="40"/>
              <w:rPr>
                <w:sz w:val="20"/>
                <w:szCs w:val="20"/>
              </w:rPr>
            </w:pPr>
            <w:r w:rsidRPr="00A1522B">
              <w:rPr>
                <w:sz w:val="20"/>
                <w:szCs w:val="20"/>
              </w:rPr>
              <w:t xml:space="preserve"> </w:t>
            </w:r>
            <w:r w:rsidR="001E793B">
              <w:rPr>
                <w:sz w:val="20"/>
                <w:szCs w:val="20"/>
              </w:rPr>
              <w:t>199</w:t>
            </w:r>
            <w:r w:rsidRPr="00A1522B">
              <w:rPr>
                <w:sz w:val="20"/>
                <w:szCs w:val="20"/>
              </w:rPr>
              <w:t xml:space="preserve"> </w:t>
            </w:r>
          </w:p>
        </w:tc>
      </w:tr>
    </w:tbl>
    <w:p w14:paraId="7843EE7D" w14:textId="77777777" w:rsidR="00C82209" w:rsidRPr="00C82209" w:rsidRDefault="00C82209" w:rsidP="00AF7B68">
      <w:pPr>
        <w:pStyle w:val="BodyCopy"/>
      </w:pPr>
    </w:p>
    <w:p w14:paraId="1A66C956" w14:textId="349C8DF0" w:rsidR="00A012E9" w:rsidRPr="00A012E9" w:rsidRDefault="002E06C0" w:rsidP="00AF7B68">
      <w:pPr>
        <w:pStyle w:val="Head1-Appendix"/>
        <w:tabs>
          <w:tab w:val="num" w:pos="2552"/>
        </w:tabs>
        <w:ind w:left="2552" w:hanging="2552"/>
      </w:pPr>
      <w:bookmarkStart w:id="2378" w:name="_Toc46238752"/>
      <w:bookmarkStart w:id="2379" w:name="_Toc46238891"/>
      <w:bookmarkStart w:id="2380" w:name="_Toc46238753"/>
      <w:bookmarkStart w:id="2381" w:name="_Toc46238892"/>
      <w:bookmarkStart w:id="2382" w:name="_Toc46238754"/>
      <w:bookmarkStart w:id="2383" w:name="_Toc46238893"/>
      <w:bookmarkStart w:id="2384" w:name="_Toc46238755"/>
      <w:bookmarkStart w:id="2385" w:name="_Toc46238894"/>
      <w:bookmarkStart w:id="2386" w:name="_Toc46238756"/>
      <w:bookmarkStart w:id="2387" w:name="_Toc46238895"/>
      <w:bookmarkStart w:id="2388" w:name="_Toc46238757"/>
      <w:bookmarkStart w:id="2389" w:name="_Toc46238896"/>
      <w:bookmarkStart w:id="2390" w:name="_Toc46238758"/>
      <w:bookmarkStart w:id="2391" w:name="_Toc46238897"/>
      <w:bookmarkStart w:id="2392" w:name="_Toc46238759"/>
      <w:bookmarkStart w:id="2393" w:name="_Toc46238898"/>
      <w:bookmarkStart w:id="2394" w:name="_Toc46238760"/>
      <w:bookmarkStart w:id="2395" w:name="_Toc46238899"/>
      <w:bookmarkStart w:id="2396" w:name="_Toc46238761"/>
      <w:bookmarkStart w:id="2397" w:name="_Toc46238900"/>
      <w:bookmarkStart w:id="2398" w:name="_Toc46238762"/>
      <w:bookmarkStart w:id="2399" w:name="_Toc46238901"/>
      <w:bookmarkStart w:id="2400" w:name="_Toc46238763"/>
      <w:bookmarkStart w:id="2401" w:name="_Toc46238902"/>
      <w:bookmarkStart w:id="2402" w:name="_Toc46238764"/>
      <w:bookmarkStart w:id="2403" w:name="_Toc46238903"/>
      <w:bookmarkStart w:id="2404" w:name="_Toc46238765"/>
      <w:bookmarkStart w:id="2405" w:name="_Toc46238904"/>
      <w:bookmarkStart w:id="2406" w:name="_Toc46238766"/>
      <w:bookmarkStart w:id="2407" w:name="_Toc46238905"/>
      <w:bookmarkStart w:id="2408" w:name="_Toc46238767"/>
      <w:bookmarkStart w:id="2409" w:name="_Toc46238906"/>
      <w:bookmarkStart w:id="2410" w:name="_Toc46238768"/>
      <w:bookmarkStart w:id="2411" w:name="_Toc46238907"/>
      <w:bookmarkStart w:id="2412" w:name="_Toc86158512"/>
      <w:bookmarkEnd w:id="2352"/>
      <w:bookmarkEnd w:id="2362"/>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lastRenderedPageBreak/>
        <w:t>Proposed treatments for innovative funding and financing</w:t>
      </w:r>
      <w:bookmarkEnd w:id="2412"/>
    </w:p>
    <w:p w14:paraId="56DF2131" w14:textId="34A6F46F" w:rsidR="005740C7" w:rsidRDefault="00C6268C" w:rsidP="00EA65E5">
      <w:pPr>
        <w:pStyle w:val="BodyCopy"/>
      </w:pPr>
      <w:r>
        <w:fldChar w:fldCharType="begin"/>
      </w:r>
      <w:r>
        <w:instrText xml:space="preserve"> REF _Ref58491526 \r \h </w:instrText>
      </w:r>
      <w:r>
        <w:fldChar w:fldCharType="separate"/>
      </w:r>
      <w:r w:rsidR="00225EEA">
        <w:t>Table 40</w:t>
      </w:r>
      <w:r>
        <w:fldChar w:fldCharType="end"/>
      </w:r>
      <w:r w:rsidR="00EA65E5">
        <w:t xml:space="preserve"> </w:t>
      </w:r>
      <w:r w:rsidR="00861B81">
        <w:t xml:space="preserve">outlines </w:t>
      </w:r>
      <w:r w:rsidR="007F5B8B">
        <w:t>the NTC’s</w:t>
      </w:r>
      <w:r w:rsidR="00024AD4">
        <w:t xml:space="preserve"> </w:t>
      </w:r>
      <w:r w:rsidR="009C4F05">
        <w:t xml:space="preserve">proposed treatments </w:t>
      </w:r>
      <w:r w:rsidR="00861B81">
        <w:t>of certain</w:t>
      </w:r>
      <w:r w:rsidR="009C4F05">
        <w:t xml:space="preserve"> types of</w:t>
      </w:r>
      <w:r w:rsidR="008127C9">
        <w:t xml:space="preserve"> innovative funding and financing, </w:t>
      </w:r>
      <w:r w:rsidR="00861B81">
        <w:t>and the rationale for the chosen methods</w:t>
      </w:r>
      <w:r w:rsidR="0008699D">
        <w:t>,</w:t>
      </w:r>
      <w:r w:rsidR="008136C3">
        <w:t xml:space="preserve"> based on the principles </w:t>
      </w:r>
      <w:r w:rsidR="00B26D3B">
        <w:t>discussed</w:t>
      </w:r>
      <w:r w:rsidR="008136C3">
        <w:t xml:space="preserve"> in section </w:t>
      </w:r>
      <w:r w:rsidR="00D60CCF">
        <w:t>4.4.4</w:t>
      </w:r>
      <w:r w:rsidR="008127C9">
        <w:t>.</w:t>
      </w:r>
      <w:r w:rsidR="009C1577">
        <w:t xml:space="preserve"> </w:t>
      </w:r>
      <w:r w:rsidR="002D40E8">
        <w:t xml:space="preserve">The </w:t>
      </w:r>
      <w:r w:rsidR="00EB2902">
        <w:t>types of innovative fund</w:t>
      </w:r>
      <w:r w:rsidR="00D86486">
        <w:t xml:space="preserve">ing and financing included in </w:t>
      </w:r>
      <w:r w:rsidR="00A1522B">
        <w:t xml:space="preserve">the table </w:t>
      </w:r>
      <w:r w:rsidR="00D86486">
        <w:t xml:space="preserve">are not intended to be an exhaustive list but have been included in the </w:t>
      </w:r>
      <w:r w:rsidR="00DA1BDF">
        <w:t xml:space="preserve">decision </w:t>
      </w:r>
      <w:r w:rsidR="00B25452" w:rsidRPr="00B25452">
        <w:t>regulation impact statement</w:t>
      </w:r>
      <w:r w:rsidR="00B25452" w:rsidRPr="00B25452" w:rsidDel="00B25452">
        <w:t xml:space="preserve"> </w:t>
      </w:r>
      <w:r w:rsidR="00D04060">
        <w:t xml:space="preserve">to provide </w:t>
      </w:r>
      <w:r w:rsidR="00144DAB">
        <w:t>an indication</w:t>
      </w:r>
      <w:r w:rsidR="00D04060">
        <w:t xml:space="preserve"> </w:t>
      </w:r>
      <w:r w:rsidR="00F539DD">
        <w:t>of</w:t>
      </w:r>
      <w:r w:rsidR="00D04060">
        <w:t xml:space="preserve"> how common types of </w:t>
      </w:r>
      <w:r w:rsidR="001B7CC0">
        <w:t xml:space="preserve">innovative </w:t>
      </w:r>
      <w:r w:rsidR="00205DAF">
        <w:t>funding and financing may be treated</w:t>
      </w:r>
      <w:r w:rsidR="007B2BF3">
        <w:t xml:space="preserve">. </w:t>
      </w:r>
    </w:p>
    <w:p w14:paraId="2C636075" w14:textId="7E4146F8" w:rsidR="00EA65E5" w:rsidRDefault="007B2BF3" w:rsidP="00EA65E5">
      <w:pPr>
        <w:pStyle w:val="BodyCopy"/>
      </w:pPr>
      <w:r>
        <w:t xml:space="preserve">However, </w:t>
      </w:r>
      <w:r w:rsidR="00F65B0A">
        <w:t xml:space="preserve">it is impossible to predict </w:t>
      </w:r>
      <w:r w:rsidR="00CA3C06">
        <w:t>all</w:t>
      </w:r>
      <w:r w:rsidR="009D5600">
        <w:t xml:space="preserve"> possible future </w:t>
      </w:r>
      <w:r w:rsidR="00EC507B">
        <w:t xml:space="preserve">road funding </w:t>
      </w:r>
      <w:r w:rsidR="00344F2C">
        <w:t xml:space="preserve">and financing </w:t>
      </w:r>
      <w:r w:rsidR="00FE4899">
        <w:t>approaches and the</w:t>
      </w:r>
      <w:r w:rsidR="008F40CA">
        <w:t>ir</w:t>
      </w:r>
      <w:r w:rsidR="00FE4899">
        <w:t xml:space="preserve"> speci</w:t>
      </w:r>
      <w:r w:rsidR="005740C7">
        <w:t>fic circumstances</w:t>
      </w:r>
      <w:r w:rsidR="002B4830">
        <w:t>,</w:t>
      </w:r>
      <w:r w:rsidR="003B6505">
        <w:t xml:space="preserve"> </w:t>
      </w:r>
      <w:r w:rsidR="008F40CA">
        <w:t>so</w:t>
      </w:r>
      <w:r w:rsidR="005740C7">
        <w:t xml:space="preserve"> each</w:t>
      </w:r>
      <w:r w:rsidR="00E958F6">
        <w:t xml:space="preserve"> </w:t>
      </w:r>
      <w:r w:rsidR="008F40CA">
        <w:t>instance</w:t>
      </w:r>
      <w:r w:rsidR="003B6505">
        <w:t xml:space="preserve"> may require a</w:t>
      </w:r>
      <w:r w:rsidR="00C34E12">
        <w:t>ssessment on a case-by-case basis.</w:t>
      </w:r>
      <w:r w:rsidR="00EA65E5">
        <w:t xml:space="preserve"> In addition, we recognise that possible future developments</w:t>
      </w:r>
      <w:r w:rsidR="00B25452">
        <w:t xml:space="preserve"> – </w:t>
      </w:r>
      <w:r w:rsidR="00EA65E5">
        <w:t xml:space="preserve">for example, a move to independent </w:t>
      </w:r>
      <w:r w:rsidR="00E50CE9">
        <w:t>pricing</w:t>
      </w:r>
      <w:r w:rsidR="004A3DA1">
        <w:t xml:space="preserve"> or </w:t>
      </w:r>
      <w:r w:rsidR="00EA65E5">
        <w:t>economic regulation</w:t>
      </w:r>
      <w:r w:rsidR="00CC678C">
        <w:t>,</w:t>
      </w:r>
      <w:r w:rsidR="00EA65E5">
        <w:t xml:space="preserve"> or funding reform</w:t>
      </w:r>
      <w:r w:rsidR="00B25452">
        <w:t xml:space="preserve"> – </w:t>
      </w:r>
      <w:r w:rsidR="00EA65E5">
        <w:t>may necessitate a reconsideration of the principles and proposed treatments.</w:t>
      </w:r>
    </w:p>
    <w:p w14:paraId="2A6B3B70" w14:textId="4B68ABC0" w:rsidR="004B13F2" w:rsidRPr="004B13F2" w:rsidRDefault="004B13F2" w:rsidP="004B13F2">
      <w:pPr>
        <w:pStyle w:val="BodyCopy"/>
      </w:pPr>
    </w:p>
    <w:p w14:paraId="3314A834" w14:textId="77777777" w:rsidR="000B626C" w:rsidRDefault="000B626C" w:rsidP="009C4F05">
      <w:pPr>
        <w:pStyle w:val="BodyCopy"/>
      </w:pPr>
    </w:p>
    <w:p w14:paraId="5E6AA0C8" w14:textId="542BE59D" w:rsidR="000B626C" w:rsidRDefault="000B626C" w:rsidP="009C4F05">
      <w:pPr>
        <w:pStyle w:val="BodyCopy"/>
        <w:sectPr w:rsidR="000B626C" w:rsidSect="0037076A">
          <w:pgSz w:w="11907" w:h="16840" w:code="9"/>
          <w:pgMar w:top="851" w:right="1440" w:bottom="1985" w:left="1440" w:header="283" w:footer="1134" w:gutter="0"/>
          <w:cols w:space="720"/>
          <w:docGrid w:linePitch="272"/>
        </w:sectPr>
      </w:pPr>
    </w:p>
    <w:p w14:paraId="1748B969" w14:textId="77777777" w:rsidR="00B062ED" w:rsidRDefault="00B062ED" w:rsidP="00B062ED">
      <w:pPr>
        <w:pStyle w:val="Tabletitle"/>
        <w:rPr>
          <w:rFonts w:eastAsia="Cambria"/>
        </w:rPr>
      </w:pPr>
      <w:bookmarkStart w:id="2413" w:name="_Ref58491526"/>
      <w:bookmarkStart w:id="2414" w:name="_Toc59436408"/>
      <w:bookmarkStart w:id="2415" w:name="_Toc86158579"/>
      <w:r>
        <w:rPr>
          <w:rFonts w:eastAsia="Cambria"/>
        </w:rPr>
        <w:lastRenderedPageBreak/>
        <w:t>Proposed treatments of selected innovative funding and financing</w:t>
      </w:r>
      <w:bookmarkStart w:id="2416" w:name="_Toc496689366"/>
      <w:bookmarkEnd w:id="2413"/>
      <w:bookmarkEnd w:id="2414"/>
      <w:bookmarkEnd w:id="2415"/>
    </w:p>
    <w:tbl>
      <w:tblPr>
        <w:tblStyle w:val="NTCtable"/>
        <w:tblW w:w="5000" w:type="pct"/>
        <w:tblLook w:val="04A0" w:firstRow="1" w:lastRow="0" w:firstColumn="1" w:lastColumn="0" w:noHBand="0" w:noVBand="1"/>
      </w:tblPr>
      <w:tblGrid>
        <w:gridCol w:w="1560"/>
        <w:gridCol w:w="3969"/>
        <w:gridCol w:w="8475"/>
      </w:tblGrid>
      <w:tr w:rsidR="00B062ED" w:rsidRPr="00781D3C" w14:paraId="7A307AF1" w14:textId="77777777" w:rsidTr="00C4270B">
        <w:trPr>
          <w:cnfStyle w:val="100000000000" w:firstRow="1" w:lastRow="0" w:firstColumn="0" w:lastColumn="0" w:oddVBand="0" w:evenVBand="0" w:oddHBand="0" w:evenHBand="0" w:firstRowFirstColumn="0" w:firstRowLastColumn="0" w:lastRowFirstColumn="0" w:lastRowLastColumn="0"/>
          <w:tblHeader/>
        </w:trPr>
        <w:tc>
          <w:tcPr>
            <w:tcW w:w="557" w:type="pct"/>
          </w:tcPr>
          <w:p w14:paraId="5BFDB088" w14:textId="77777777" w:rsidR="00B062ED" w:rsidRPr="00781D3C" w:rsidRDefault="00B062ED" w:rsidP="001202ED">
            <w:pPr>
              <w:pStyle w:val="BodyCopy"/>
              <w:spacing w:before="80" w:after="80"/>
              <w:rPr>
                <w:b/>
                <w:bCs/>
                <w:sz w:val="18"/>
                <w:szCs w:val="20"/>
              </w:rPr>
            </w:pPr>
            <w:r w:rsidRPr="00781D3C">
              <w:rPr>
                <w:b/>
                <w:bCs/>
                <w:sz w:val="18"/>
                <w:szCs w:val="20"/>
              </w:rPr>
              <w:t>Theme</w:t>
            </w:r>
          </w:p>
        </w:tc>
        <w:tc>
          <w:tcPr>
            <w:tcW w:w="1417" w:type="pct"/>
          </w:tcPr>
          <w:p w14:paraId="2E6A44DF" w14:textId="173D6830" w:rsidR="00B062ED" w:rsidRPr="00781D3C" w:rsidRDefault="00B062ED" w:rsidP="001202ED">
            <w:pPr>
              <w:pStyle w:val="BodyCopy"/>
              <w:spacing w:before="80" w:after="80"/>
              <w:rPr>
                <w:b/>
                <w:bCs/>
                <w:sz w:val="18"/>
                <w:szCs w:val="20"/>
              </w:rPr>
            </w:pPr>
            <w:r w:rsidRPr="00781D3C">
              <w:rPr>
                <w:b/>
                <w:bCs/>
                <w:sz w:val="18"/>
                <w:szCs w:val="20"/>
              </w:rPr>
              <w:t xml:space="preserve">Proposed </w:t>
            </w:r>
            <w:r w:rsidR="00B25452">
              <w:rPr>
                <w:b/>
                <w:bCs/>
                <w:sz w:val="18"/>
                <w:szCs w:val="20"/>
              </w:rPr>
              <w:t>t</w:t>
            </w:r>
            <w:r w:rsidRPr="00781D3C">
              <w:rPr>
                <w:b/>
                <w:bCs/>
                <w:sz w:val="18"/>
                <w:szCs w:val="20"/>
              </w:rPr>
              <w:t>reatment</w:t>
            </w:r>
          </w:p>
        </w:tc>
        <w:tc>
          <w:tcPr>
            <w:tcW w:w="3026" w:type="pct"/>
          </w:tcPr>
          <w:p w14:paraId="3DE0F554" w14:textId="77777777" w:rsidR="00B062ED" w:rsidRPr="00781D3C" w:rsidRDefault="00B062ED" w:rsidP="001202ED">
            <w:pPr>
              <w:pStyle w:val="BodyCopy"/>
              <w:spacing w:before="80" w:after="80"/>
              <w:rPr>
                <w:b/>
                <w:bCs/>
                <w:sz w:val="18"/>
                <w:szCs w:val="20"/>
              </w:rPr>
            </w:pPr>
            <w:r w:rsidRPr="00781D3C">
              <w:rPr>
                <w:b/>
                <w:bCs/>
                <w:sz w:val="18"/>
                <w:szCs w:val="20"/>
              </w:rPr>
              <w:t>Rationale</w:t>
            </w:r>
          </w:p>
        </w:tc>
      </w:tr>
      <w:tr w:rsidR="00B062ED" w:rsidRPr="00781D3C" w14:paraId="06A7AE7B" w14:textId="77777777" w:rsidTr="001202ED">
        <w:tc>
          <w:tcPr>
            <w:tcW w:w="5000" w:type="pct"/>
            <w:gridSpan w:val="3"/>
            <w:shd w:val="clear" w:color="auto" w:fill="919393" w:themeFill="accent6"/>
          </w:tcPr>
          <w:p w14:paraId="30E9712E" w14:textId="77777777" w:rsidR="00B062ED" w:rsidRPr="00781D3C" w:rsidRDefault="00B062ED" w:rsidP="001202ED">
            <w:pPr>
              <w:pStyle w:val="BodyCopy"/>
              <w:spacing w:before="80" w:after="80"/>
              <w:rPr>
                <w:sz w:val="18"/>
                <w:szCs w:val="20"/>
              </w:rPr>
            </w:pPr>
            <w:r w:rsidRPr="00B30F79">
              <w:rPr>
                <w:b/>
                <w:bCs/>
                <w:color w:val="FFFFFF" w:themeColor="background1"/>
                <w:sz w:val="18"/>
                <w:szCs w:val="20"/>
              </w:rPr>
              <w:t>Revenue</w:t>
            </w:r>
          </w:p>
        </w:tc>
      </w:tr>
      <w:tr w:rsidR="00B062ED" w:rsidRPr="00781D3C" w14:paraId="38691D08" w14:textId="77777777" w:rsidTr="001202ED">
        <w:tc>
          <w:tcPr>
            <w:tcW w:w="557" w:type="pct"/>
          </w:tcPr>
          <w:p w14:paraId="69DD6412" w14:textId="77777777" w:rsidR="00B062ED" w:rsidRPr="00781D3C" w:rsidRDefault="00B062ED" w:rsidP="001202ED">
            <w:pPr>
              <w:pStyle w:val="BodyCopy"/>
              <w:spacing w:before="80" w:after="80"/>
              <w:rPr>
                <w:sz w:val="18"/>
                <w:szCs w:val="20"/>
              </w:rPr>
            </w:pPr>
            <w:r w:rsidRPr="00781D3C">
              <w:rPr>
                <w:sz w:val="18"/>
                <w:szCs w:val="20"/>
              </w:rPr>
              <w:t>Revenue received by governments from toll road users or beneficiaries</w:t>
            </w:r>
          </w:p>
        </w:tc>
        <w:tc>
          <w:tcPr>
            <w:tcW w:w="1417" w:type="pct"/>
          </w:tcPr>
          <w:p w14:paraId="6D54FA00" w14:textId="1600737D" w:rsidR="00B062ED" w:rsidRPr="00781D3C" w:rsidRDefault="00B062ED" w:rsidP="001202ED">
            <w:pPr>
              <w:pStyle w:val="BodyCopy"/>
              <w:spacing w:before="80" w:after="80"/>
              <w:rPr>
                <w:sz w:val="18"/>
                <w:szCs w:val="20"/>
              </w:rPr>
            </w:pPr>
            <w:r w:rsidRPr="00781D3C">
              <w:rPr>
                <w:sz w:val="18"/>
                <w:szCs w:val="20"/>
              </w:rPr>
              <w:t>Any identifiable revenue received by governments from users/beneficiaries of a project</w:t>
            </w:r>
            <w:r w:rsidR="00B25452">
              <w:rPr>
                <w:sz w:val="18"/>
                <w:szCs w:val="20"/>
              </w:rPr>
              <w:t xml:space="preserve"> – </w:t>
            </w:r>
            <w:r w:rsidRPr="00781D3C">
              <w:rPr>
                <w:sz w:val="18"/>
                <w:szCs w:val="20"/>
              </w:rPr>
              <w:t>that is, toll revenue or revenue raised through value capture (e.g. betterment levies)</w:t>
            </w:r>
            <w:r w:rsidR="00B25452">
              <w:rPr>
                <w:sz w:val="18"/>
                <w:szCs w:val="20"/>
              </w:rPr>
              <w:t xml:space="preserve"> – </w:t>
            </w:r>
            <w:r w:rsidRPr="00781D3C">
              <w:rPr>
                <w:sz w:val="18"/>
                <w:szCs w:val="20"/>
              </w:rPr>
              <w:t>should be offset against the model’s cost base.</w:t>
            </w:r>
            <w:r w:rsidR="00830D17">
              <w:rPr>
                <w:sz w:val="18"/>
                <w:szCs w:val="20"/>
              </w:rPr>
              <w:t xml:space="preserve"> </w:t>
            </w:r>
          </w:p>
        </w:tc>
        <w:tc>
          <w:tcPr>
            <w:tcW w:w="3026" w:type="pct"/>
          </w:tcPr>
          <w:p w14:paraId="7007CEAE" w14:textId="77777777" w:rsidR="00B062ED" w:rsidRPr="00781D3C" w:rsidRDefault="00B062ED" w:rsidP="001202ED">
            <w:pPr>
              <w:pStyle w:val="BodyCopy"/>
              <w:spacing w:before="80" w:after="80"/>
              <w:rPr>
                <w:sz w:val="18"/>
                <w:szCs w:val="20"/>
              </w:rPr>
            </w:pPr>
            <w:r w:rsidRPr="00781D3C">
              <w:rPr>
                <w:sz w:val="18"/>
                <w:szCs w:val="20"/>
              </w:rPr>
              <w:t xml:space="preserve">Heavy vehicle pricing is based on the principle of cost recovery (as outlined in the list of principles) so that charges are set that aim to minimise both under- and over-recovery. </w:t>
            </w:r>
          </w:p>
          <w:p w14:paraId="7690CCA3" w14:textId="2A5B3A15" w:rsidR="00B062ED" w:rsidRPr="00781D3C" w:rsidRDefault="00B062ED" w:rsidP="001202ED">
            <w:pPr>
              <w:pStyle w:val="BodyCopy"/>
              <w:spacing w:before="80" w:after="80"/>
              <w:rPr>
                <w:sz w:val="18"/>
                <w:szCs w:val="20"/>
              </w:rPr>
            </w:pPr>
            <w:r w:rsidRPr="00781D3C">
              <w:rPr>
                <w:sz w:val="18"/>
                <w:szCs w:val="20"/>
              </w:rPr>
              <w:t>Failure to offset revenues received from other sources against the model’s cost base would mean the costs were recovered twice (i.e. over-recovery)</w:t>
            </w:r>
            <w:r w:rsidR="00B25452">
              <w:rPr>
                <w:sz w:val="18"/>
                <w:szCs w:val="20"/>
              </w:rPr>
              <w:t xml:space="preserve"> – </w:t>
            </w:r>
            <w:r w:rsidRPr="00781D3C">
              <w:rPr>
                <w:sz w:val="18"/>
                <w:szCs w:val="20"/>
              </w:rPr>
              <w:t>once through direct revenue from users/beneficiaries and once through the broader road charging system.</w:t>
            </w:r>
          </w:p>
          <w:p w14:paraId="2C078AEB" w14:textId="77777777" w:rsidR="00B062ED" w:rsidRPr="00781D3C" w:rsidRDefault="00B062ED" w:rsidP="001202ED">
            <w:pPr>
              <w:pStyle w:val="BodyCopy"/>
              <w:spacing w:before="80" w:after="80"/>
              <w:rPr>
                <w:sz w:val="18"/>
                <w:szCs w:val="20"/>
              </w:rPr>
            </w:pPr>
            <w:r w:rsidRPr="00781D3C">
              <w:rPr>
                <w:sz w:val="18"/>
                <w:szCs w:val="20"/>
              </w:rPr>
              <w:t>The implication of this treatment is that all such revenues are being raised for cost recovery purposes, without any of the revenue being attributed to addressing externalities.</w:t>
            </w:r>
          </w:p>
        </w:tc>
      </w:tr>
      <w:tr w:rsidR="00B062ED" w:rsidRPr="00781D3C" w14:paraId="6998D28F" w14:textId="77777777" w:rsidTr="001202ED">
        <w:tc>
          <w:tcPr>
            <w:tcW w:w="557" w:type="pct"/>
          </w:tcPr>
          <w:p w14:paraId="338B9692" w14:textId="77777777" w:rsidR="00B062ED" w:rsidRPr="00781D3C" w:rsidRDefault="00B062ED" w:rsidP="001202ED">
            <w:pPr>
              <w:pStyle w:val="BodyCopy"/>
              <w:spacing w:before="80" w:after="80"/>
              <w:rPr>
                <w:sz w:val="18"/>
                <w:szCs w:val="20"/>
              </w:rPr>
            </w:pPr>
            <w:r w:rsidRPr="00781D3C">
              <w:rPr>
                <w:sz w:val="18"/>
                <w:szCs w:val="20"/>
              </w:rPr>
              <w:t>Revenue received by governments more than any government contributions</w:t>
            </w:r>
          </w:p>
        </w:tc>
        <w:tc>
          <w:tcPr>
            <w:tcW w:w="1417" w:type="pct"/>
          </w:tcPr>
          <w:p w14:paraId="0D1C30A4" w14:textId="08D00FE6" w:rsidR="00B062ED" w:rsidRPr="00781D3C" w:rsidRDefault="00B062ED" w:rsidP="001202ED">
            <w:pPr>
              <w:pStyle w:val="BodyCopy"/>
              <w:spacing w:before="80" w:after="80"/>
              <w:rPr>
                <w:sz w:val="18"/>
                <w:szCs w:val="20"/>
              </w:rPr>
            </w:pPr>
            <w:r w:rsidRPr="00781D3C">
              <w:rPr>
                <w:sz w:val="18"/>
                <w:szCs w:val="20"/>
              </w:rPr>
              <w:t>Relating to the proposed treatment above, identifiable toll</w:t>
            </w:r>
            <w:r w:rsidR="009E6BD4">
              <w:rPr>
                <w:sz w:val="18"/>
                <w:szCs w:val="20"/>
              </w:rPr>
              <w:t xml:space="preserve"> </w:t>
            </w:r>
            <w:r w:rsidR="002F2FD2">
              <w:rPr>
                <w:sz w:val="18"/>
                <w:szCs w:val="20"/>
              </w:rPr>
              <w:t>or</w:t>
            </w:r>
            <w:r w:rsidR="009E6BD4">
              <w:rPr>
                <w:sz w:val="18"/>
                <w:szCs w:val="20"/>
              </w:rPr>
              <w:t xml:space="preserve"> </w:t>
            </w:r>
            <w:r w:rsidRPr="00781D3C">
              <w:rPr>
                <w:sz w:val="18"/>
                <w:szCs w:val="20"/>
              </w:rPr>
              <w:t>value capture revenue received by governments for a project should continue to offset the cost base even if it exceeds the amount contributed by the government towards the project (in nominal terms or present value terms).</w:t>
            </w:r>
          </w:p>
        </w:tc>
        <w:tc>
          <w:tcPr>
            <w:tcW w:w="3026" w:type="pct"/>
          </w:tcPr>
          <w:p w14:paraId="0D82AFA4" w14:textId="0D5337A9" w:rsidR="00B062ED" w:rsidRPr="00781D3C" w:rsidRDefault="00B062ED" w:rsidP="001202ED">
            <w:pPr>
              <w:pStyle w:val="BodyCopy"/>
              <w:spacing w:before="80" w:after="80"/>
              <w:rPr>
                <w:sz w:val="18"/>
                <w:szCs w:val="20"/>
              </w:rPr>
            </w:pPr>
            <w:r w:rsidRPr="00781D3C">
              <w:rPr>
                <w:sz w:val="18"/>
                <w:szCs w:val="20"/>
              </w:rPr>
              <w:t>Any excess toll</w:t>
            </w:r>
            <w:r w:rsidR="002F2FD2">
              <w:rPr>
                <w:sz w:val="18"/>
                <w:szCs w:val="20"/>
              </w:rPr>
              <w:t xml:space="preserve"> or </w:t>
            </w:r>
            <w:r w:rsidRPr="00781D3C">
              <w:rPr>
                <w:sz w:val="18"/>
                <w:szCs w:val="20"/>
              </w:rPr>
              <w:t xml:space="preserve">value capture revenue (beyond the government’s contribution to the relevant </w:t>
            </w:r>
            <w:r w:rsidR="00170007">
              <w:rPr>
                <w:sz w:val="18"/>
                <w:szCs w:val="20"/>
              </w:rPr>
              <w:t>public–private partnership</w:t>
            </w:r>
            <w:r w:rsidR="00170007" w:rsidRPr="00781D3C">
              <w:rPr>
                <w:sz w:val="18"/>
                <w:szCs w:val="20"/>
              </w:rPr>
              <w:t xml:space="preserve"> </w:t>
            </w:r>
            <w:r w:rsidR="00170007">
              <w:rPr>
                <w:sz w:val="18"/>
                <w:szCs w:val="20"/>
              </w:rPr>
              <w:t>[</w:t>
            </w:r>
            <w:r w:rsidRPr="00781D3C">
              <w:rPr>
                <w:sz w:val="18"/>
                <w:szCs w:val="20"/>
              </w:rPr>
              <w:t>PPP</w:t>
            </w:r>
            <w:r w:rsidR="00170007">
              <w:rPr>
                <w:sz w:val="18"/>
                <w:szCs w:val="20"/>
              </w:rPr>
              <w:t>]</w:t>
            </w:r>
            <w:r w:rsidR="006D6CF7">
              <w:rPr>
                <w:sz w:val="18"/>
                <w:szCs w:val="20"/>
              </w:rPr>
              <w:t xml:space="preserve"> or </w:t>
            </w:r>
            <w:r w:rsidRPr="00781D3C">
              <w:rPr>
                <w:sz w:val="18"/>
                <w:szCs w:val="20"/>
              </w:rPr>
              <w:t xml:space="preserve">toll road) received by the government should continue to be deducted from the cost base since road users are contributing to the government’s road funding generally, albeit through a different mechanism than </w:t>
            </w:r>
            <w:r w:rsidR="006D6CF7">
              <w:rPr>
                <w:sz w:val="18"/>
                <w:szCs w:val="20"/>
              </w:rPr>
              <w:t xml:space="preserve">road user </w:t>
            </w:r>
            <w:r w:rsidRPr="00781D3C">
              <w:rPr>
                <w:sz w:val="18"/>
                <w:szCs w:val="20"/>
              </w:rPr>
              <w:t xml:space="preserve">and registration charges. (This treatment is consistent with the first and third proposed principles.) While this means some cross-subsidisation may occur from users of tolled roads (where governments receive some/all toll revenue generated) to users of other roads, this is no different </w:t>
            </w:r>
            <w:r w:rsidR="00BE69BB">
              <w:rPr>
                <w:sz w:val="18"/>
                <w:szCs w:val="20"/>
              </w:rPr>
              <w:t>from</w:t>
            </w:r>
            <w:r w:rsidR="00BE69BB" w:rsidRPr="00781D3C">
              <w:rPr>
                <w:sz w:val="18"/>
                <w:szCs w:val="20"/>
              </w:rPr>
              <w:t xml:space="preserve"> </w:t>
            </w:r>
            <w:r w:rsidRPr="00781D3C">
              <w:rPr>
                <w:sz w:val="18"/>
                <w:szCs w:val="20"/>
              </w:rPr>
              <w:t>what occurs presently with de facto cross-subsidisation between roads under the current charging system. This proposed treatment would need to be revisited if road charging reform occurs, with location-based charging and revenue being allocated to achieve cost recovery at a more disaggregated level (</w:t>
            </w:r>
            <w:r w:rsidR="00B25452">
              <w:rPr>
                <w:sz w:val="18"/>
                <w:szCs w:val="20"/>
              </w:rPr>
              <w:t>e.g.</w:t>
            </w:r>
            <w:r w:rsidRPr="00781D3C">
              <w:rPr>
                <w:sz w:val="18"/>
                <w:szCs w:val="20"/>
              </w:rPr>
              <w:t xml:space="preserve"> by road or road category).</w:t>
            </w:r>
          </w:p>
        </w:tc>
      </w:tr>
      <w:tr w:rsidR="00B062ED" w:rsidRPr="00781D3C" w14:paraId="5B91F952" w14:textId="77777777" w:rsidTr="001202ED">
        <w:tc>
          <w:tcPr>
            <w:tcW w:w="557" w:type="pct"/>
          </w:tcPr>
          <w:p w14:paraId="26D2A9B1" w14:textId="30FA79B9" w:rsidR="00B062ED" w:rsidRPr="00781D3C" w:rsidRDefault="00B062ED" w:rsidP="001202ED">
            <w:pPr>
              <w:pStyle w:val="BodyCopy"/>
              <w:spacing w:before="80" w:after="80"/>
              <w:rPr>
                <w:sz w:val="18"/>
                <w:szCs w:val="20"/>
              </w:rPr>
            </w:pPr>
            <w:r w:rsidRPr="00781D3C">
              <w:rPr>
                <w:sz w:val="18"/>
                <w:szCs w:val="20"/>
              </w:rPr>
              <w:t>Roads where revenue from tolls</w:t>
            </w:r>
            <w:r w:rsidR="009E6BD4">
              <w:rPr>
                <w:sz w:val="18"/>
                <w:szCs w:val="20"/>
              </w:rPr>
              <w:t xml:space="preserve"> </w:t>
            </w:r>
            <w:r w:rsidR="002F2FD2">
              <w:rPr>
                <w:sz w:val="18"/>
                <w:szCs w:val="20"/>
              </w:rPr>
              <w:t>or</w:t>
            </w:r>
            <w:r w:rsidR="009E6BD4">
              <w:rPr>
                <w:sz w:val="18"/>
                <w:szCs w:val="20"/>
              </w:rPr>
              <w:t xml:space="preserve"> </w:t>
            </w:r>
            <w:r w:rsidRPr="00781D3C">
              <w:rPr>
                <w:sz w:val="18"/>
                <w:szCs w:val="20"/>
              </w:rPr>
              <w:t>value capture fully funds the road</w:t>
            </w:r>
          </w:p>
        </w:tc>
        <w:tc>
          <w:tcPr>
            <w:tcW w:w="1417" w:type="pct"/>
          </w:tcPr>
          <w:p w14:paraId="7AC4BACC" w14:textId="141C74DE" w:rsidR="00B062ED" w:rsidRPr="00781D3C" w:rsidRDefault="00B062ED" w:rsidP="001202ED">
            <w:pPr>
              <w:pStyle w:val="BodyCopy"/>
              <w:spacing w:before="80" w:after="80"/>
              <w:rPr>
                <w:sz w:val="18"/>
                <w:szCs w:val="20"/>
              </w:rPr>
            </w:pPr>
            <w:r w:rsidRPr="00781D3C">
              <w:rPr>
                <w:sz w:val="18"/>
                <w:szCs w:val="20"/>
              </w:rPr>
              <w:t xml:space="preserve">PPP projects where user charges (i.e. toll revenue or value capture) fully fund the road should not have any expenditure added to the cost base on transfer of the asset to the government at the end of the concession. </w:t>
            </w:r>
          </w:p>
        </w:tc>
        <w:tc>
          <w:tcPr>
            <w:tcW w:w="3026" w:type="pct"/>
          </w:tcPr>
          <w:p w14:paraId="683F1998" w14:textId="77777777" w:rsidR="00B062ED" w:rsidRPr="00781D3C" w:rsidRDefault="00B062ED" w:rsidP="001202ED">
            <w:pPr>
              <w:rPr>
                <w:rFonts w:eastAsia="Cambria"/>
                <w:color w:val="000000"/>
                <w:sz w:val="18"/>
                <w:szCs w:val="20"/>
              </w:rPr>
            </w:pPr>
            <w:r w:rsidRPr="00781D3C">
              <w:rPr>
                <w:rFonts w:eastAsia="Cambria"/>
                <w:color w:val="000000"/>
                <w:sz w:val="18"/>
                <w:szCs w:val="20"/>
              </w:rPr>
              <w:t>Users/beneficiaries have already fully funded the road. If added to the cost base, these costs would be recovered for a second time from road users through road charges. This treatment is consistent with the first proposed principle (cost recovery).</w:t>
            </w:r>
          </w:p>
          <w:p w14:paraId="57C5D53A" w14:textId="77777777" w:rsidR="00B062ED" w:rsidRPr="00781D3C" w:rsidRDefault="00B062ED" w:rsidP="001202ED">
            <w:pPr>
              <w:pStyle w:val="BodyCopy"/>
              <w:spacing w:before="80" w:after="80"/>
              <w:rPr>
                <w:sz w:val="18"/>
                <w:szCs w:val="20"/>
              </w:rPr>
            </w:pPr>
          </w:p>
        </w:tc>
      </w:tr>
      <w:tr w:rsidR="00B062ED" w:rsidRPr="00781D3C" w14:paraId="6D913FF6" w14:textId="77777777" w:rsidTr="001202ED">
        <w:tc>
          <w:tcPr>
            <w:tcW w:w="557" w:type="pct"/>
          </w:tcPr>
          <w:p w14:paraId="0A16A42C" w14:textId="77777777" w:rsidR="00B062ED" w:rsidRPr="00781D3C" w:rsidRDefault="00B062ED" w:rsidP="001202ED">
            <w:pPr>
              <w:pStyle w:val="BodyCopy"/>
              <w:spacing w:before="80" w:after="80"/>
              <w:rPr>
                <w:sz w:val="18"/>
                <w:szCs w:val="20"/>
              </w:rPr>
            </w:pPr>
            <w:r w:rsidRPr="00781D3C">
              <w:rPr>
                <w:sz w:val="18"/>
                <w:szCs w:val="20"/>
              </w:rPr>
              <w:t>Funds raised through asset recycling</w:t>
            </w:r>
          </w:p>
        </w:tc>
        <w:tc>
          <w:tcPr>
            <w:tcW w:w="1417" w:type="pct"/>
          </w:tcPr>
          <w:p w14:paraId="21A4D63F" w14:textId="2736564A" w:rsidR="00B062ED" w:rsidRPr="00781D3C" w:rsidRDefault="00B062ED" w:rsidP="001202ED">
            <w:pPr>
              <w:pStyle w:val="BodyCopy"/>
              <w:spacing w:before="80" w:after="80"/>
              <w:rPr>
                <w:sz w:val="18"/>
                <w:szCs w:val="20"/>
              </w:rPr>
            </w:pPr>
            <w:r w:rsidRPr="00781D3C">
              <w:rPr>
                <w:sz w:val="18"/>
                <w:szCs w:val="20"/>
              </w:rPr>
              <w:t>Funds raised by governments through asset recycling programs should</w:t>
            </w:r>
            <w:r w:rsidR="00CA436F">
              <w:rPr>
                <w:sz w:val="18"/>
                <w:szCs w:val="20"/>
              </w:rPr>
              <w:t>,</w:t>
            </w:r>
            <w:r w:rsidRPr="00781D3C">
              <w:rPr>
                <w:sz w:val="18"/>
                <w:szCs w:val="20"/>
              </w:rPr>
              <w:t xml:space="preserve"> in general</w:t>
            </w:r>
            <w:r w:rsidR="00CA436F">
              <w:rPr>
                <w:sz w:val="18"/>
                <w:szCs w:val="20"/>
              </w:rPr>
              <w:t>,</w:t>
            </w:r>
            <w:r w:rsidRPr="00781D3C">
              <w:rPr>
                <w:sz w:val="18"/>
                <w:szCs w:val="20"/>
              </w:rPr>
              <w:t xml:space="preserve"> not be deducted from the cost base unless the funds come from the privatisation of road assets</w:t>
            </w:r>
            <w:r w:rsidR="00CA436F">
              <w:rPr>
                <w:sz w:val="18"/>
                <w:szCs w:val="20"/>
              </w:rPr>
              <w:t>,</w:t>
            </w:r>
            <w:r w:rsidRPr="00781D3C">
              <w:rPr>
                <w:sz w:val="18"/>
                <w:szCs w:val="20"/>
              </w:rPr>
              <w:t xml:space="preserve"> with the intention for these funds to be reinvested into roads.</w:t>
            </w:r>
          </w:p>
        </w:tc>
        <w:tc>
          <w:tcPr>
            <w:tcW w:w="3026" w:type="pct"/>
          </w:tcPr>
          <w:p w14:paraId="4BBBF372" w14:textId="77777777" w:rsidR="00B062ED" w:rsidRPr="00781D3C" w:rsidRDefault="00B062ED" w:rsidP="001202ED">
            <w:pPr>
              <w:pStyle w:val="BodyCopy"/>
              <w:spacing w:before="80" w:after="80"/>
              <w:rPr>
                <w:sz w:val="18"/>
                <w:szCs w:val="20"/>
              </w:rPr>
            </w:pPr>
            <w:r w:rsidRPr="00781D3C">
              <w:rPr>
                <w:sz w:val="18"/>
                <w:szCs w:val="20"/>
              </w:rPr>
              <w:t>Revenues from asset recycling of non-road assets are a general source of government revenue, and the funds may go into consolidated revenue. In principle, there is no reason for funds raised from privatisation of assets to necessarily go into funding roads, as opposed to other forms of infrastructure. Also, unlike the case of value capture, the revenues are not being raised from direct beneficiaries of the project.</w:t>
            </w:r>
          </w:p>
          <w:p w14:paraId="04773DFA" w14:textId="77777777" w:rsidR="00B062ED" w:rsidRPr="00781D3C" w:rsidRDefault="00B062ED" w:rsidP="001202ED">
            <w:pPr>
              <w:pStyle w:val="BodyCopy"/>
              <w:spacing w:before="80" w:after="80"/>
              <w:rPr>
                <w:sz w:val="18"/>
                <w:szCs w:val="20"/>
              </w:rPr>
            </w:pPr>
            <w:r w:rsidRPr="00781D3C">
              <w:rPr>
                <w:sz w:val="18"/>
                <w:szCs w:val="20"/>
              </w:rPr>
              <w:t>However, if both the funding source (privatisation) and intended destination of the funds are roads, the funds raised from asset recycling should be deducted from the cost base.</w:t>
            </w:r>
          </w:p>
        </w:tc>
      </w:tr>
      <w:tr w:rsidR="00B062ED" w:rsidRPr="00781D3C" w14:paraId="262B57C2" w14:textId="77777777" w:rsidTr="001202ED">
        <w:tc>
          <w:tcPr>
            <w:tcW w:w="5000" w:type="pct"/>
            <w:gridSpan w:val="3"/>
            <w:shd w:val="clear" w:color="auto" w:fill="919393" w:themeFill="accent6"/>
          </w:tcPr>
          <w:p w14:paraId="784FBDA5" w14:textId="77777777" w:rsidR="00B062ED" w:rsidRPr="00B30F79" w:rsidRDefault="00B062ED" w:rsidP="001202ED">
            <w:pPr>
              <w:pStyle w:val="BodyCopy"/>
              <w:spacing w:before="80" w:after="80"/>
              <w:rPr>
                <w:color w:val="FFFFFF" w:themeColor="background1"/>
                <w:sz w:val="18"/>
                <w:szCs w:val="20"/>
              </w:rPr>
            </w:pPr>
            <w:r w:rsidRPr="00B30F79">
              <w:rPr>
                <w:b/>
                <w:bCs/>
                <w:color w:val="FFFFFF" w:themeColor="background1"/>
                <w:sz w:val="18"/>
                <w:szCs w:val="20"/>
              </w:rPr>
              <w:lastRenderedPageBreak/>
              <w:t>Expenditure</w:t>
            </w:r>
          </w:p>
        </w:tc>
      </w:tr>
      <w:tr w:rsidR="00B062ED" w:rsidRPr="00781D3C" w14:paraId="626507D9" w14:textId="77777777" w:rsidTr="001202ED">
        <w:tc>
          <w:tcPr>
            <w:tcW w:w="557" w:type="pct"/>
          </w:tcPr>
          <w:p w14:paraId="67D267D8" w14:textId="77777777" w:rsidR="00B062ED" w:rsidRPr="00781D3C" w:rsidRDefault="00B062ED" w:rsidP="001202ED">
            <w:pPr>
              <w:pStyle w:val="BodyCopy"/>
              <w:spacing w:before="80" w:after="80"/>
              <w:rPr>
                <w:sz w:val="18"/>
                <w:szCs w:val="20"/>
              </w:rPr>
            </w:pPr>
            <w:r w:rsidRPr="00781D3C">
              <w:rPr>
                <w:sz w:val="18"/>
                <w:szCs w:val="20"/>
              </w:rPr>
              <w:t>Government loans to private sector participant(s) [1]</w:t>
            </w:r>
          </w:p>
        </w:tc>
        <w:tc>
          <w:tcPr>
            <w:tcW w:w="1417" w:type="pct"/>
          </w:tcPr>
          <w:p w14:paraId="0DE6B66B" w14:textId="6A990FED" w:rsidR="00B062ED" w:rsidRPr="00781D3C" w:rsidRDefault="00B062ED" w:rsidP="001202ED">
            <w:pPr>
              <w:pStyle w:val="BodyCopy"/>
              <w:spacing w:before="80" w:after="80"/>
              <w:rPr>
                <w:sz w:val="18"/>
                <w:szCs w:val="20"/>
              </w:rPr>
            </w:pPr>
            <w:r w:rsidRPr="00781D3C">
              <w:rPr>
                <w:sz w:val="18"/>
                <w:szCs w:val="20"/>
              </w:rPr>
              <w:t xml:space="preserve">Government loans to a private sector participant in a PPP that are intended to be repaid (with interest) should not be recovered through the cost base if the arrangement is broadly commercial. </w:t>
            </w:r>
          </w:p>
        </w:tc>
        <w:tc>
          <w:tcPr>
            <w:tcW w:w="3026" w:type="pct"/>
          </w:tcPr>
          <w:p w14:paraId="66F0DE64" w14:textId="57F6FE13" w:rsidR="00B062ED" w:rsidRPr="00781D3C" w:rsidRDefault="00B062ED" w:rsidP="001202ED">
            <w:pPr>
              <w:pStyle w:val="BodyCopy"/>
              <w:spacing w:before="80" w:after="80"/>
              <w:rPr>
                <w:sz w:val="18"/>
                <w:szCs w:val="20"/>
              </w:rPr>
            </w:pPr>
            <w:r w:rsidRPr="00781D3C">
              <w:rPr>
                <w:sz w:val="18"/>
                <w:szCs w:val="20"/>
              </w:rPr>
              <w:t>If the government makes a loan, rather than providing a grant/subsidy, the government will receive interest payments from the private sector participant. If the interest rate received by the government is as high as the government’s interest rate for borrowing (which is expected to occur in general), along with a return of the principal, the government would be no worse off by making the loan arrangements.</w:t>
            </w:r>
            <w:r>
              <w:rPr>
                <w:rStyle w:val="FootnoteReference"/>
                <w:szCs w:val="20"/>
              </w:rPr>
              <w:footnoteReference w:id="27"/>
            </w:r>
            <w:r w:rsidR="00830D17">
              <w:rPr>
                <w:sz w:val="18"/>
                <w:szCs w:val="20"/>
              </w:rPr>
              <w:t xml:space="preserve"> </w:t>
            </w:r>
            <w:r w:rsidRPr="00781D3C">
              <w:rPr>
                <w:sz w:val="18"/>
                <w:szCs w:val="20"/>
              </w:rPr>
              <w:t xml:space="preserve">Therefore, the loan’s costs should not be charged to road users. </w:t>
            </w:r>
          </w:p>
          <w:p w14:paraId="41909305" w14:textId="77777777" w:rsidR="00B062ED" w:rsidRPr="00781D3C" w:rsidRDefault="00B062ED" w:rsidP="001202ED">
            <w:pPr>
              <w:pStyle w:val="BodyCopy"/>
              <w:spacing w:before="80" w:after="80"/>
              <w:rPr>
                <w:sz w:val="18"/>
                <w:szCs w:val="20"/>
              </w:rPr>
            </w:pPr>
            <w:r w:rsidRPr="00781D3C">
              <w:rPr>
                <w:sz w:val="18"/>
                <w:szCs w:val="20"/>
              </w:rPr>
              <w:t>This treatment is consistent with the first and second proposed principles.</w:t>
            </w:r>
          </w:p>
        </w:tc>
      </w:tr>
      <w:tr w:rsidR="00B062ED" w:rsidRPr="00781D3C" w14:paraId="61E2078D" w14:textId="77777777" w:rsidTr="001202ED">
        <w:tc>
          <w:tcPr>
            <w:tcW w:w="557" w:type="pct"/>
          </w:tcPr>
          <w:p w14:paraId="58EAF249" w14:textId="77777777" w:rsidR="00B062ED" w:rsidRPr="00781D3C" w:rsidRDefault="00B062ED" w:rsidP="001202ED">
            <w:pPr>
              <w:pStyle w:val="BodyCopy"/>
              <w:spacing w:before="80" w:after="80"/>
              <w:rPr>
                <w:sz w:val="18"/>
                <w:szCs w:val="20"/>
              </w:rPr>
            </w:pPr>
            <w:r w:rsidRPr="00781D3C">
              <w:rPr>
                <w:sz w:val="18"/>
                <w:szCs w:val="20"/>
              </w:rPr>
              <w:t>Government loans to private sector participant(s) [2]</w:t>
            </w:r>
          </w:p>
        </w:tc>
        <w:tc>
          <w:tcPr>
            <w:tcW w:w="1417" w:type="pct"/>
          </w:tcPr>
          <w:p w14:paraId="485DCE49" w14:textId="77777777" w:rsidR="00B062ED" w:rsidRPr="00781D3C" w:rsidRDefault="00B062ED" w:rsidP="001202ED">
            <w:pPr>
              <w:pStyle w:val="BodyCopy"/>
              <w:spacing w:before="80" w:after="80"/>
              <w:rPr>
                <w:sz w:val="18"/>
                <w:szCs w:val="20"/>
              </w:rPr>
            </w:pPr>
            <w:r w:rsidRPr="00781D3C">
              <w:rPr>
                <w:sz w:val="18"/>
                <w:szCs w:val="20"/>
              </w:rPr>
              <w:t>Government loans to a private sector participant in a PPP where loan arrangements are not broadly commercial or there is a default by the private sector should be considered as government costs or revenues (as relevant).</w:t>
            </w:r>
          </w:p>
        </w:tc>
        <w:tc>
          <w:tcPr>
            <w:tcW w:w="3026" w:type="pct"/>
          </w:tcPr>
          <w:p w14:paraId="51BF9259" w14:textId="0D04D609" w:rsidR="00B062ED" w:rsidRPr="00781D3C" w:rsidRDefault="00B062ED" w:rsidP="001202ED">
            <w:pPr>
              <w:pStyle w:val="BodyCopy"/>
              <w:spacing w:before="80" w:after="80"/>
              <w:rPr>
                <w:sz w:val="18"/>
                <w:szCs w:val="20"/>
              </w:rPr>
            </w:pPr>
            <w:r w:rsidRPr="00781D3C">
              <w:rPr>
                <w:sz w:val="18"/>
                <w:szCs w:val="20"/>
              </w:rPr>
              <w:t>In the event of default by the private sector participant, or governments lending to the private sector at an interest rate below the government’s cost of borrowing, the NTC considers these net costs should be recovered from road users.</w:t>
            </w:r>
            <w:r>
              <w:rPr>
                <w:rStyle w:val="FootnoteReference"/>
                <w:szCs w:val="20"/>
              </w:rPr>
              <w:footnoteReference w:id="28"/>
            </w:r>
            <w:r w:rsidRPr="00781D3C">
              <w:rPr>
                <w:sz w:val="18"/>
                <w:szCs w:val="20"/>
              </w:rPr>
              <w:t xml:space="preserve"> Similarly, if the government were to lend to the private sector participant(s) at an interest rate significantly above its cost of borrowing and any administration costs (i.e. if it made a profit from its lending) then this net profit should be deducted from the cost base that is recovered from road users. Treating any under- or over-recovery achieved through lending to the private sector for a PPP will require the magnitude of the loss/profit to the government to be identifiable and for data to be provided.</w:t>
            </w:r>
          </w:p>
          <w:p w14:paraId="3D5E3347" w14:textId="77777777" w:rsidR="00B062ED" w:rsidRPr="00781D3C" w:rsidRDefault="00B062ED" w:rsidP="001202ED">
            <w:pPr>
              <w:pStyle w:val="BodyCopy"/>
              <w:spacing w:before="80" w:after="80"/>
              <w:rPr>
                <w:sz w:val="18"/>
                <w:szCs w:val="20"/>
              </w:rPr>
            </w:pPr>
            <w:r w:rsidRPr="00781D3C">
              <w:rPr>
                <w:sz w:val="18"/>
                <w:szCs w:val="20"/>
              </w:rPr>
              <w:t>This treatment is consistent with the first and second proposed principles.</w:t>
            </w:r>
          </w:p>
        </w:tc>
      </w:tr>
      <w:tr w:rsidR="00B062ED" w:rsidRPr="00781D3C" w14:paraId="1178146D" w14:textId="77777777" w:rsidTr="001202ED">
        <w:tc>
          <w:tcPr>
            <w:tcW w:w="557" w:type="pct"/>
          </w:tcPr>
          <w:p w14:paraId="3748A77B" w14:textId="7032865D" w:rsidR="00B062ED" w:rsidRPr="00781D3C" w:rsidRDefault="00B062ED" w:rsidP="001202ED">
            <w:pPr>
              <w:pStyle w:val="BodyCopy"/>
              <w:spacing w:before="80" w:after="80"/>
              <w:rPr>
                <w:sz w:val="18"/>
                <w:szCs w:val="20"/>
              </w:rPr>
            </w:pPr>
            <w:r w:rsidRPr="00781D3C">
              <w:rPr>
                <w:sz w:val="18"/>
                <w:szCs w:val="20"/>
              </w:rPr>
              <w:t>Payments by government</w:t>
            </w:r>
            <w:r w:rsidR="002B4830">
              <w:rPr>
                <w:sz w:val="18"/>
                <w:szCs w:val="20"/>
              </w:rPr>
              <w:t>,</w:t>
            </w:r>
            <w:r w:rsidRPr="00781D3C">
              <w:rPr>
                <w:sz w:val="18"/>
                <w:szCs w:val="20"/>
              </w:rPr>
              <w:t xml:space="preserve"> recognising a road infrastructure asset’s value</w:t>
            </w:r>
          </w:p>
        </w:tc>
        <w:tc>
          <w:tcPr>
            <w:tcW w:w="1417" w:type="pct"/>
          </w:tcPr>
          <w:p w14:paraId="794DEBCD" w14:textId="0D93D012" w:rsidR="00B062ED" w:rsidRPr="00781D3C" w:rsidRDefault="00B062ED" w:rsidP="001202ED">
            <w:pPr>
              <w:pStyle w:val="BodyCopy"/>
              <w:spacing w:before="80" w:after="80"/>
              <w:rPr>
                <w:sz w:val="18"/>
                <w:szCs w:val="20"/>
              </w:rPr>
            </w:pPr>
            <w:r w:rsidRPr="00781D3C">
              <w:rPr>
                <w:sz w:val="18"/>
                <w:szCs w:val="20"/>
              </w:rPr>
              <w:t>If the government has specifically made a payment to the private sector participant at the start or end of the concession that recognises the value of a road asset (e.g. a subsidy or a payment in lieu of the asset value unrecovered through other revenue sources) on transfer, this payment should be recovered from road users.</w:t>
            </w:r>
          </w:p>
        </w:tc>
        <w:tc>
          <w:tcPr>
            <w:tcW w:w="3026" w:type="pct"/>
          </w:tcPr>
          <w:p w14:paraId="3D5C1AAC" w14:textId="7AA1E9E0" w:rsidR="00B062ED" w:rsidRPr="00781D3C" w:rsidRDefault="00B062ED" w:rsidP="001202ED">
            <w:pPr>
              <w:pStyle w:val="BodyCopy"/>
              <w:spacing w:before="80" w:after="80"/>
              <w:rPr>
                <w:sz w:val="18"/>
                <w:szCs w:val="20"/>
              </w:rPr>
            </w:pPr>
            <w:r w:rsidRPr="00781D3C">
              <w:rPr>
                <w:sz w:val="18"/>
                <w:szCs w:val="20"/>
              </w:rPr>
              <w:t>The government’s payments imply that user charges have not fully paid for the costs of the road during the period of the concession. The government’s payment is in effect making up the shortfall in revenue (albeit potentially from an ex</w:t>
            </w:r>
            <w:r w:rsidR="006C1FE6">
              <w:rPr>
                <w:sz w:val="18"/>
                <w:szCs w:val="20"/>
              </w:rPr>
              <w:t>-</w:t>
            </w:r>
            <w:r w:rsidRPr="00781D3C">
              <w:rPr>
                <w:sz w:val="18"/>
                <w:szCs w:val="20"/>
              </w:rPr>
              <w:t>ante perspective at the time when the contract was signed). Payments made by the government to cover this shortfall should be recovered from road users. This treatment is consistent with the first and second proposed principles.</w:t>
            </w:r>
          </w:p>
        </w:tc>
      </w:tr>
      <w:tr w:rsidR="00B062ED" w:rsidRPr="00781D3C" w14:paraId="283237CB" w14:textId="77777777" w:rsidTr="001202ED">
        <w:tc>
          <w:tcPr>
            <w:tcW w:w="557" w:type="pct"/>
          </w:tcPr>
          <w:p w14:paraId="46B44834" w14:textId="77777777" w:rsidR="00B062ED" w:rsidRPr="00781D3C" w:rsidRDefault="00B062ED" w:rsidP="001202ED">
            <w:pPr>
              <w:pStyle w:val="BodyCopy"/>
              <w:spacing w:before="80" w:after="80"/>
              <w:rPr>
                <w:sz w:val="18"/>
                <w:szCs w:val="20"/>
              </w:rPr>
            </w:pPr>
            <w:r w:rsidRPr="00781D3C">
              <w:rPr>
                <w:sz w:val="18"/>
                <w:szCs w:val="20"/>
              </w:rPr>
              <w:lastRenderedPageBreak/>
              <w:t>Gifted assets</w:t>
            </w:r>
          </w:p>
        </w:tc>
        <w:tc>
          <w:tcPr>
            <w:tcW w:w="1417" w:type="pct"/>
          </w:tcPr>
          <w:p w14:paraId="0D42CBFC" w14:textId="30961E14" w:rsidR="00B062ED" w:rsidRPr="00781D3C" w:rsidRDefault="00B062ED" w:rsidP="001202ED">
            <w:pPr>
              <w:pStyle w:val="BodyCopy"/>
              <w:spacing w:before="80" w:after="80"/>
              <w:rPr>
                <w:sz w:val="18"/>
                <w:szCs w:val="20"/>
              </w:rPr>
            </w:pPr>
            <w:r w:rsidRPr="00781D3C">
              <w:rPr>
                <w:sz w:val="18"/>
                <w:szCs w:val="20"/>
              </w:rPr>
              <w:t>Gifted assets that are built by other parties at no cost to the government (e.g. roads built by developers and subsequently transferred to the government) should not be added to the cost base. However, any future costs incurred by a government on maintenance or renewal are relevant and should be recovered from road users through expenditure in the model.</w:t>
            </w:r>
          </w:p>
        </w:tc>
        <w:tc>
          <w:tcPr>
            <w:tcW w:w="3026" w:type="pct"/>
          </w:tcPr>
          <w:p w14:paraId="569834E6" w14:textId="228B68D5" w:rsidR="00B062ED" w:rsidRPr="00781D3C" w:rsidRDefault="00B062ED" w:rsidP="001202ED">
            <w:pPr>
              <w:pStyle w:val="BodyCopy"/>
              <w:spacing w:before="80" w:after="80"/>
              <w:rPr>
                <w:sz w:val="18"/>
                <w:szCs w:val="20"/>
              </w:rPr>
            </w:pPr>
            <w:r w:rsidRPr="00781D3C">
              <w:rPr>
                <w:sz w:val="18"/>
                <w:szCs w:val="20"/>
              </w:rPr>
              <w:t>These costs have already been paid for from other sources (e.g. through costs of a new estate). Subsequent operating/maintenance/renewal/upgrade/expansion costs borne by government should be recovered from road users because these are government costs that are not funded from elsewhere. This treatment is consistent with the first proposed principle (cost recovery).</w:t>
            </w:r>
          </w:p>
        </w:tc>
      </w:tr>
      <w:tr w:rsidR="00B062ED" w:rsidRPr="00781D3C" w14:paraId="500874F6" w14:textId="77777777" w:rsidTr="001202ED">
        <w:tc>
          <w:tcPr>
            <w:tcW w:w="557" w:type="pct"/>
          </w:tcPr>
          <w:p w14:paraId="2993313A" w14:textId="77777777" w:rsidR="00B062ED" w:rsidRPr="00781D3C" w:rsidRDefault="00B062ED" w:rsidP="001202ED">
            <w:pPr>
              <w:pStyle w:val="BodyCopy"/>
              <w:spacing w:before="80" w:after="80"/>
              <w:rPr>
                <w:sz w:val="18"/>
                <w:szCs w:val="20"/>
              </w:rPr>
            </w:pPr>
            <w:r w:rsidRPr="00781D3C">
              <w:rPr>
                <w:sz w:val="18"/>
                <w:szCs w:val="20"/>
              </w:rPr>
              <w:t>Recurring government payments to the private sector participant(s)</w:t>
            </w:r>
          </w:p>
        </w:tc>
        <w:tc>
          <w:tcPr>
            <w:tcW w:w="1417" w:type="pct"/>
          </w:tcPr>
          <w:p w14:paraId="0ED446AE" w14:textId="59417A2F" w:rsidR="00B062ED" w:rsidRPr="00781D3C" w:rsidRDefault="00B062ED" w:rsidP="001202ED">
            <w:pPr>
              <w:pStyle w:val="BodyCopy"/>
              <w:spacing w:before="80" w:after="80"/>
              <w:rPr>
                <w:sz w:val="18"/>
                <w:szCs w:val="20"/>
              </w:rPr>
            </w:pPr>
            <w:r w:rsidRPr="00781D3C">
              <w:rPr>
                <w:sz w:val="18"/>
                <w:szCs w:val="20"/>
              </w:rPr>
              <w:t>Recurring payments made by the government to the private sector entity (e.g. availability payments, shadow tolls, payments for minimum demand guarantees) should be recovered through the model each year as they are incurred.</w:t>
            </w:r>
          </w:p>
        </w:tc>
        <w:tc>
          <w:tcPr>
            <w:tcW w:w="3026" w:type="pct"/>
          </w:tcPr>
          <w:p w14:paraId="00A83511" w14:textId="77777777" w:rsidR="00B062ED" w:rsidRPr="00781D3C" w:rsidRDefault="00B062ED" w:rsidP="001202ED">
            <w:pPr>
              <w:pStyle w:val="BodyCopy"/>
              <w:spacing w:before="80" w:after="80"/>
              <w:rPr>
                <w:sz w:val="18"/>
                <w:szCs w:val="20"/>
              </w:rPr>
            </w:pPr>
            <w:r w:rsidRPr="00781D3C">
              <w:rPr>
                <w:sz w:val="18"/>
                <w:szCs w:val="20"/>
              </w:rPr>
              <w:t>Recurring costs such as availability payments represent a genuine cost to government from undertaking the PPP under the agreed structure, as opposed to constructing/maintaining the road under a more ‘traditional’ project structure. If the government receives toll or value capture revenue in return, this revenue should be deducted from the model’s cost base (in accordance with the principles and proposed treatments above). This treatment is consistent with the first and second proposed principles.</w:t>
            </w:r>
          </w:p>
        </w:tc>
      </w:tr>
      <w:tr w:rsidR="00B062ED" w:rsidRPr="00781D3C" w14:paraId="5180537D" w14:textId="77777777" w:rsidTr="001202ED">
        <w:tc>
          <w:tcPr>
            <w:tcW w:w="557" w:type="pct"/>
          </w:tcPr>
          <w:p w14:paraId="6F7BEC83" w14:textId="3FF94FDD" w:rsidR="00B062ED" w:rsidRPr="00781D3C" w:rsidRDefault="00B062ED" w:rsidP="001202ED">
            <w:pPr>
              <w:pStyle w:val="BodyCopy"/>
              <w:spacing w:before="80" w:after="80"/>
              <w:rPr>
                <w:sz w:val="18"/>
                <w:szCs w:val="20"/>
              </w:rPr>
            </w:pPr>
            <w:r w:rsidRPr="00781D3C">
              <w:rPr>
                <w:sz w:val="18"/>
                <w:szCs w:val="20"/>
              </w:rPr>
              <w:t xml:space="preserve">Early termination of a </w:t>
            </w:r>
            <w:r w:rsidR="009E6BD4">
              <w:rPr>
                <w:sz w:val="18"/>
                <w:szCs w:val="20"/>
              </w:rPr>
              <w:t>public–private partnership</w:t>
            </w:r>
          </w:p>
        </w:tc>
        <w:tc>
          <w:tcPr>
            <w:tcW w:w="1417" w:type="pct"/>
          </w:tcPr>
          <w:p w14:paraId="002D5F85" w14:textId="77777777" w:rsidR="00B062ED" w:rsidRPr="00781D3C" w:rsidRDefault="00B062ED" w:rsidP="001202ED">
            <w:pPr>
              <w:pStyle w:val="BodyCopy"/>
              <w:spacing w:before="80" w:after="80"/>
              <w:rPr>
                <w:sz w:val="18"/>
                <w:szCs w:val="20"/>
              </w:rPr>
            </w:pPr>
            <w:r w:rsidRPr="00781D3C">
              <w:rPr>
                <w:sz w:val="18"/>
                <w:szCs w:val="20"/>
              </w:rPr>
              <w:t>In the event of early termination of a PPP (including contract buy-outs), costs incurred by government (less any revenues received) should be included in the model and recovered through road charges.</w:t>
            </w:r>
          </w:p>
        </w:tc>
        <w:tc>
          <w:tcPr>
            <w:tcW w:w="3026" w:type="pct"/>
          </w:tcPr>
          <w:p w14:paraId="67B62397" w14:textId="0A392A32" w:rsidR="00B062ED" w:rsidRPr="00781D3C" w:rsidRDefault="00B062ED" w:rsidP="001202ED">
            <w:pPr>
              <w:pStyle w:val="BodyCopy"/>
              <w:spacing w:before="80" w:after="80"/>
              <w:rPr>
                <w:sz w:val="18"/>
                <w:szCs w:val="20"/>
              </w:rPr>
            </w:pPr>
            <w:r w:rsidRPr="00781D3C">
              <w:rPr>
                <w:sz w:val="18"/>
                <w:szCs w:val="20"/>
              </w:rPr>
              <w:t>Early termination of a PPP may occur for several reasons, including (but not limited to) default by the private sector participant(s), force majeure or a discretionary choice made by a government. These are legitimate costs incurred by government and should be recovered through road charges, less any revenue received by the relevant government (</w:t>
            </w:r>
            <w:r w:rsidR="00B25452">
              <w:rPr>
                <w:sz w:val="18"/>
                <w:szCs w:val="20"/>
              </w:rPr>
              <w:t>e.g.</w:t>
            </w:r>
            <w:r w:rsidRPr="00781D3C">
              <w:rPr>
                <w:sz w:val="18"/>
                <w:szCs w:val="20"/>
              </w:rPr>
              <w:t xml:space="preserve"> payments from the private sector participant(s) or insurance payouts). This treatment is consistent with the first and second proposed principles.</w:t>
            </w:r>
          </w:p>
        </w:tc>
      </w:tr>
    </w:tbl>
    <w:p w14:paraId="4BEEC610" w14:textId="77777777" w:rsidR="000B626C" w:rsidRDefault="000B626C" w:rsidP="009C4F05">
      <w:pPr>
        <w:pStyle w:val="BodyCopy"/>
      </w:pPr>
    </w:p>
    <w:p w14:paraId="7A4A2B78" w14:textId="77777777" w:rsidR="000B626C" w:rsidRDefault="000B626C" w:rsidP="009C4F05">
      <w:pPr>
        <w:pStyle w:val="BodyCopy"/>
      </w:pPr>
    </w:p>
    <w:p w14:paraId="5D0A1AB3" w14:textId="01DC44DB" w:rsidR="000B626C" w:rsidRDefault="000B626C" w:rsidP="009C4F05">
      <w:pPr>
        <w:pStyle w:val="BodyCopy"/>
        <w:sectPr w:rsidR="000B626C" w:rsidSect="000B626C">
          <w:pgSz w:w="16840" w:h="11907" w:orient="landscape" w:code="9"/>
          <w:pgMar w:top="1440" w:right="851" w:bottom="1440" w:left="1985" w:header="283" w:footer="1134" w:gutter="0"/>
          <w:cols w:space="720"/>
          <w:docGrid w:linePitch="272"/>
        </w:sectPr>
      </w:pPr>
    </w:p>
    <w:p w14:paraId="03DE8B22" w14:textId="02CD6797" w:rsidR="003239BE" w:rsidRPr="000660B4" w:rsidRDefault="00D8285A" w:rsidP="00AF7B68">
      <w:pPr>
        <w:pStyle w:val="Head1-Appendix"/>
        <w:tabs>
          <w:tab w:val="num" w:pos="2552"/>
        </w:tabs>
        <w:ind w:left="2552" w:hanging="2552"/>
      </w:pPr>
      <w:bookmarkStart w:id="2417" w:name="_Ref59630113"/>
      <w:bookmarkStart w:id="2418" w:name="_Toc86158513"/>
      <w:r>
        <w:lastRenderedPageBreak/>
        <w:t>How the PAYGO model works</w:t>
      </w:r>
      <w:bookmarkEnd w:id="2417"/>
      <w:bookmarkEnd w:id="2418"/>
    </w:p>
    <w:p w14:paraId="49E6DC44" w14:textId="7510C77F" w:rsidR="005A1D51" w:rsidRPr="001F3EEC" w:rsidRDefault="00F86A42" w:rsidP="005A1D51">
      <w:pPr>
        <w:pStyle w:val="Heading2"/>
        <w:numPr>
          <w:ilvl w:val="0"/>
          <w:numId w:val="0"/>
        </w:numPr>
        <w:ind w:left="454" w:hanging="454"/>
        <w:rPr>
          <w:color w:val="auto"/>
          <w:sz w:val="44"/>
        </w:rPr>
      </w:pPr>
      <w:bookmarkStart w:id="2419" w:name="_Toc86158514"/>
      <w:r>
        <w:t>Overview</w:t>
      </w:r>
      <w:bookmarkEnd w:id="2419"/>
    </w:p>
    <w:p w14:paraId="566D78D9" w14:textId="00C15A97" w:rsidR="009F7227" w:rsidRPr="009F7227" w:rsidRDefault="002126A6" w:rsidP="008A7D42">
      <w:pPr>
        <w:pStyle w:val="Heading3"/>
        <w:numPr>
          <w:ilvl w:val="0"/>
          <w:numId w:val="0"/>
        </w:numPr>
        <w:ind w:left="720" w:hanging="720"/>
      </w:pPr>
      <w:bookmarkStart w:id="2420" w:name="_Toc86158515"/>
      <w:r w:rsidRPr="002126A6">
        <w:t>The National Transport Commission’s responsibilities</w:t>
      </w:r>
      <w:bookmarkEnd w:id="2420"/>
    </w:p>
    <w:p w14:paraId="1FC24448" w14:textId="4E1471B1" w:rsidR="00AF677D" w:rsidRPr="00AF677D" w:rsidRDefault="00B43F60" w:rsidP="00AF677D">
      <w:pPr>
        <w:pStyle w:val="BodyCopy"/>
      </w:pPr>
      <w:r w:rsidRPr="00B43F60">
        <w:t xml:space="preserve">The National Transport Commission (NTC) has ongoing responsibilities for recommending heavy vehicle charges to the </w:t>
      </w:r>
      <w:r w:rsidR="006762F7" w:rsidRPr="006762F7">
        <w:t>Infrastructure and Transport Ministers’ Meeting</w:t>
      </w:r>
      <w:r w:rsidR="00755764">
        <w:t xml:space="preserve"> (ITMM)</w:t>
      </w:r>
      <w:r w:rsidRPr="00B43F60">
        <w:t>. These charges are intended to apply nationally and are set to fully recover the share of road construction and maintenance costs that can be allocated to heavy vehicles.</w:t>
      </w:r>
      <w:r w:rsidR="00A07266" w:rsidRPr="00AF677D">
        <w:t xml:space="preserve"> </w:t>
      </w:r>
    </w:p>
    <w:p w14:paraId="50CF1851" w14:textId="56E0168D" w:rsidR="00B12E4A" w:rsidRPr="00B12E4A" w:rsidRDefault="00B22CE6" w:rsidP="008A7D42">
      <w:pPr>
        <w:pStyle w:val="Heading3"/>
        <w:numPr>
          <w:ilvl w:val="0"/>
          <w:numId w:val="0"/>
        </w:numPr>
        <w:ind w:left="720" w:hanging="720"/>
      </w:pPr>
      <w:bookmarkStart w:id="2421" w:name="_Toc86158516"/>
      <w:r w:rsidRPr="00B22CE6">
        <w:t xml:space="preserve">Charges </w:t>
      </w:r>
      <w:r w:rsidR="006C1FE6">
        <w:t xml:space="preserve">that </w:t>
      </w:r>
      <w:r w:rsidRPr="00B22CE6">
        <w:t>apply to heavy vehicles</w:t>
      </w:r>
      <w:bookmarkEnd w:id="2421"/>
    </w:p>
    <w:p w14:paraId="7E04B639" w14:textId="77777777" w:rsidR="008A7D42" w:rsidRDefault="008A7D42" w:rsidP="008A7D42">
      <w:pPr>
        <w:pStyle w:val="BodyCopy"/>
      </w:pPr>
      <w:r>
        <w:t>All heavy vehicles in Australia are charged an annual registration fee and a road user charge (RUC) levied on each litre of diesel fuel. These charges are determined according to a charging framework known as the pay-as-you-go (PAYGO) methodology. The primary objective of PAYGO is to deliver a nationally consistent set of heavy vehicle charges that efficiently recover the cost of providing and maintaining the road network.</w:t>
      </w:r>
    </w:p>
    <w:p w14:paraId="15CFAD09" w14:textId="77777777" w:rsidR="008A7D42" w:rsidRDefault="008A7D42" w:rsidP="008A7D42">
      <w:pPr>
        <w:pStyle w:val="BodyCopy"/>
      </w:pPr>
      <w:r>
        <w:t>Heavy vehicle charges recover the capital and operational costs of building and maintaining the Australian road network allocated to heavy vehicles. These charges consist of:</w:t>
      </w:r>
    </w:p>
    <w:p w14:paraId="5B2DDD5A" w14:textId="1D6E2A56" w:rsidR="008A7D42" w:rsidRDefault="008A7D42" w:rsidP="008A7D42">
      <w:pPr>
        <w:pStyle w:val="List-bulletlvl1"/>
      </w:pPr>
      <w:r>
        <w:t xml:space="preserve">the RUC levied on fuel used by heavy vehicles, administered and collected by the </w:t>
      </w:r>
      <w:r w:rsidR="00B009F5">
        <w:t xml:space="preserve">Commonwealth </w:t>
      </w:r>
      <w:r>
        <w:t>Government</w:t>
      </w:r>
    </w:p>
    <w:p w14:paraId="2E2BFA2A" w14:textId="57797244" w:rsidR="008A7D42" w:rsidRDefault="008A7D42" w:rsidP="008A7D42">
      <w:pPr>
        <w:pStyle w:val="List-bulletlvl1"/>
      </w:pPr>
      <w:r>
        <w:t>registration charges for heavy vehicles administered and collected by state and territory governments.</w:t>
      </w:r>
    </w:p>
    <w:p w14:paraId="718E1F2E" w14:textId="4A3E39F1" w:rsidR="00307A2F" w:rsidRPr="00307A2F" w:rsidRDefault="00DF7AE2" w:rsidP="00307A2F">
      <w:pPr>
        <w:pStyle w:val="Heading3"/>
        <w:numPr>
          <w:ilvl w:val="0"/>
          <w:numId w:val="0"/>
        </w:numPr>
        <w:ind w:left="720" w:hanging="720"/>
      </w:pPr>
      <w:bookmarkStart w:id="2422" w:name="_Toc86158517"/>
      <w:r w:rsidRPr="00DF7AE2">
        <w:t>Legislative framework</w:t>
      </w:r>
      <w:bookmarkEnd w:id="2422"/>
    </w:p>
    <w:p w14:paraId="5C6C0EAF" w14:textId="4634325A" w:rsidR="001E1587" w:rsidRDefault="001E1587" w:rsidP="001E1587">
      <w:pPr>
        <w:pStyle w:val="BodyCopy"/>
      </w:pPr>
      <w:r>
        <w:t xml:space="preserve">In relation to the RUC, the </w:t>
      </w:r>
      <w:r w:rsidRPr="001E1587">
        <w:rPr>
          <w:i/>
          <w:iCs/>
        </w:rPr>
        <w:t>Fuel Tax Act 2006</w:t>
      </w:r>
      <w:r>
        <w:t xml:space="preserve"> requires that the Commonwealth Minister for Transport determine</w:t>
      </w:r>
      <w:r w:rsidR="006C1FE6">
        <w:t>s</w:t>
      </w:r>
      <w:r>
        <w:t xml:space="preserve"> the amount of RUC paid by heavy vehicle operators. The </w:t>
      </w:r>
      <w:r w:rsidRPr="00CD6B04">
        <w:t>Fuel Tax Act</w:t>
      </w:r>
      <w:r w:rsidRPr="001E1587">
        <w:rPr>
          <w:i/>
          <w:iCs/>
        </w:rPr>
        <w:t xml:space="preserve"> </w:t>
      </w:r>
      <w:r>
        <w:t xml:space="preserve">obliges the </w:t>
      </w:r>
      <w:r w:rsidR="006C1FE6">
        <w:t>m</w:t>
      </w:r>
      <w:r>
        <w:t xml:space="preserve">inister to consult before increasing the RUC. This must be in the form of public consultation for at least 60 days on a document that contains the proposed increased rate of RUC and any information that was relied on in determining the proposed increased rate. </w:t>
      </w:r>
    </w:p>
    <w:p w14:paraId="387C49C8" w14:textId="4DB08958" w:rsidR="001E1587" w:rsidRDefault="001E1587" w:rsidP="001E1587">
      <w:pPr>
        <w:pStyle w:val="BodyCopy"/>
      </w:pPr>
      <w:r>
        <w:t xml:space="preserve">The </w:t>
      </w:r>
      <w:r w:rsidRPr="00CD6B04">
        <w:t>Fuel Tax Act</w:t>
      </w:r>
      <w:r w:rsidRPr="001E1587">
        <w:rPr>
          <w:i/>
          <w:iCs/>
        </w:rPr>
        <w:t xml:space="preserve"> </w:t>
      </w:r>
      <w:r>
        <w:t xml:space="preserve">then requires the </w:t>
      </w:r>
      <w:r w:rsidR="006C1FE6">
        <w:t>m</w:t>
      </w:r>
      <w:r>
        <w:t xml:space="preserve">inister to consider any comments received </w:t>
      </w:r>
      <w:r w:rsidR="0020792C">
        <w:t>(</w:t>
      </w:r>
      <w:r>
        <w:t xml:space="preserve">within the period specified by the </w:t>
      </w:r>
      <w:r w:rsidR="006C1FE6">
        <w:t>t</w:t>
      </w:r>
      <w:r>
        <w:t xml:space="preserve">ransport </w:t>
      </w:r>
      <w:r w:rsidR="006C1FE6">
        <w:t>m</w:t>
      </w:r>
      <w:r>
        <w:t>inister</w:t>
      </w:r>
      <w:r w:rsidR="0020792C">
        <w:t>)</w:t>
      </w:r>
      <w:r>
        <w:t xml:space="preserve"> from the public in relation to the proposed increased rate.</w:t>
      </w:r>
    </w:p>
    <w:p w14:paraId="13276150" w14:textId="5E193CF6" w:rsidR="001E1587" w:rsidRDefault="001E1587" w:rsidP="001E1587">
      <w:pPr>
        <w:pStyle w:val="BodyCopy"/>
      </w:pPr>
      <w:r>
        <w:t xml:space="preserve">In relation to the registration charge, the </w:t>
      </w:r>
      <w:r w:rsidRPr="001E1587">
        <w:rPr>
          <w:i/>
          <w:iCs/>
        </w:rPr>
        <w:t>National Transport Commission Act 2003</w:t>
      </w:r>
      <w:r>
        <w:t xml:space="preserve"> and the </w:t>
      </w:r>
      <w:r w:rsidRPr="00CD6B04">
        <w:rPr>
          <w:i/>
          <w:iCs/>
        </w:rPr>
        <w:t>Inter</w:t>
      </w:r>
      <w:r w:rsidR="0020792C">
        <w:rPr>
          <w:i/>
          <w:iCs/>
        </w:rPr>
        <w:t>g</w:t>
      </w:r>
      <w:r w:rsidRPr="00CD6B04">
        <w:rPr>
          <w:i/>
          <w:iCs/>
        </w:rPr>
        <w:t>overnmental Agreement on Regulatory and Operational Reform in Road, Rail and Intermodal Transport</w:t>
      </w:r>
      <w:r>
        <w:t xml:space="preserve"> provide the authority for the NTC to recommend registration charges for heavy vehicles to </w:t>
      </w:r>
      <w:r w:rsidR="00755764">
        <w:t>ITMM</w:t>
      </w:r>
      <w:r>
        <w:t>.</w:t>
      </w:r>
    </w:p>
    <w:p w14:paraId="68CD03DD" w14:textId="0944A0F5" w:rsidR="001E1587" w:rsidRDefault="00F247C2" w:rsidP="001E1587">
      <w:pPr>
        <w:pStyle w:val="BodyCopy"/>
      </w:pPr>
      <w:r>
        <w:t>ITMM</w:t>
      </w:r>
      <w:r w:rsidR="001E1587">
        <w:t xml:space="preserve"> periodically determines the process to calculate charges that are to be applied to heavy vehicles. The process, known as a determination, combines the requirements of developing the RUC and the registration charges into a single consistent process that also calculates the amount that charges must be adjusted each year to maintain cost recovery, known as PAYGO. </w:t>
      </w:r>
    </w:p>
    <w:p w14:paraId="1C1A3245" w14:textId="223AE915" w:rsidR="001E1587" w:rsidRDefault="001E1587" w:rsidP="001E1587">
      <w:pPr>
        <w:pStyle w:val="BodyCopy"/>
      </w:pPr>
      <w:r>
        <w:t xml:space="preserve">Section 52 of the </w:t>
      </w:r>
      <w:r w:rsidRPr="00CD6B04">
        <w:rPr>
          <w:iCs/>
        </w:rPr>
        <w:t>National Transport Commission Act</w:t>
      </w:r>
      <w:r w:rsidRPr="00FD4930">
        <w:rPr>
          <w:i/>
        </w:rPr>
        <w:t xml:space="preserve"> </w:t>
      </w:r>
      <w:r>
        <w:t xml:space="preserve">provides that the Governor-General may make regulations, not inconsistent with the Act, prescribing all matters required or </w:t>
      </w:r>
      <w:r>
        <w:lastRenderedPageBreak/>
        <w:t xml:space="preserve">permitted by the Act to be prescribed or necessary or convenient to be prescribed for carrying out or giving effect to the Act. </w:t>
      </w:r>
    </w:p>
    <w:p w14:paraId="3D9A675E" w14:textId="4734B3A6" w:rsidR="00F35EE2" w:rsidRPr="00F35EE2" w:rsidRDefault="001E1587" w:rsidP="00F35EE2">
      <w:pPr>
        <w:pStyle w:val="BodyCopy"/>
      </w:pPr>
      <w:r>
        <w:t xml:space="preserve">The Heavy Vehicle Charges Model Law contains the schedules of heavy vehicle registration charges agreed by </w:t>
      </w:r>
      <w:r w:rsidR="00873601">
        <w:t>ITMM</w:t>
      </w:r>
      <w:r>
        <w:t xml:space="preserve">. The </w:t>
      </w:r>
      <w:r w:rsidR="0020792C">
        <w:t>m</w:t>
      </w:r>
      <w:r>
        <w:t xml:space="preserve">odel </w:t>
      </w:r>
      <w:r w:rsidR="0020792C">
        <w:t>l</w:t>
      </w:r>
      <w:r>
        <w:t xml:space="preserve">aw also describes the methodology for calculating an annual adjustment for charges in subsequent years. The charges have legislative force once the </w:t>
      </w:r>
      <w:r w:rsidR="0020792C">
        <w:t>m</w:t>
      </w:r>
      <w:r>
        <w:t xml:space="preserve">odel </w:t>
      </w:r>
      <w:r w:rsidR="0020792C">
        <w:t>l</w:t>
      </w:r>
      <w:r>
        <w:t>aw is adopted by states and territories.</w:t>
      </w:r>
    </w:p>
    <w:p w14:paraId="729052BB" w14:textId="6BF7CCE8" w:rsidR="0030026A" w:rsidRPr="0030026A" w:rsidRDefault="00E84066" w:rsidP="00E84066">
      <w:pPr>
        <w:pStyle w:val="Heading2"/>
        <w:numPr>
          <w:ilvl w:val="0"/>
          <w:numId w:val="0"/>
        </w:numPr>
        <w:ind w:left="454" w:hanging="454"/>
      </w:pPr>
      <w:bookmarkStart w:id="2423" w:name="_Toc86158518"/>
      <w:r w:rsidRPr="00E84066">
        <w:t>Original PAYGO objectives</w:t>
      </w:r>
      <w:bookmarkEnd w:id="2423"/>
    </w:p>
    <w:p w14:paraId="0A0AFF24" w14:textId="44403EAD" w:rsidR="00C939F2" w:rsidRDefault="00C939F2" w:rsidP="00C939F2">
      <w:pPr>
        <w:pStyle w:val="BodyCopy"/>
      </w:pPr>
      <w:r>
        <w:t>PAYGO was originally set up to provide a nationally consistent approach to heavy vehicle charges. Before PAYGO, individual state and territory governments would set their own charges. The basis for these charges varied significantly. In some states, charges varied with the gross mass of vehicles</w:t>
      </w:r>
      <w:r w:rsidR="001A61EF">
        <w:t>,</w:t>
      </w:r>
      <w:r>
        <w:t xml:space="preserve"> while in others they were based on tare mass or on a combination of vehicle characteristics (including engine bore diameter).</w:t>
      </w:r>
    </w:p>
    <w:p w14:paraId="62EAC119" w14:textId="77777777" w:rsidR="00C939F2" w:rsidRDefault="00C939F2" w:rsidP="00C939F2">
      <w:pPr>
        <w:pStyle w:val="BodyCopy"/>
      </w:pPr>
      <w:r>
        <w:t>Despite all operators having access to all roads in Australia, an operator’s competitive position often depended on their garaging address rather than on the underlying efficiency of the business.</w:t>
      </w:r>
    </w:p>
    <w:p w14:paraId="62FEBEB0" w14:textId="77777777" w:rsidR="00C939F2" w:rsidRDefault="00C939F2" w:rsidP="00C939F2">
      <w:pPr>
        <w:pStyle w:val="BodyCopy"/>
      </w:pPr>
      <w:r>
        <w:t xml:space="preserve">The first national heavy vehicle charges aimed to apply, for the first time, uniform charges to the same vehicle type regardless of the jurisdiction in which it was registered. </w:t>
      </w:r>
    </w:p>
    <w:p w14:paraId="61E64146" w14:textId="2C6103AC" w:rsidR="00C939F2" w:rsidRDefault="00C939F2" w:rsidP="00C939F2">
      <w:pPr>
        <w:pStyle w:val="BodyCopy"/>
      </w:pPr>
      <w:r>
        <w:t xml:space="preserve">The brief given to the then National Road Transport Commission under the Heavy Vehicle Agreement defined five charging principles that required the </w:t>
      </w:r>
      <w:r w:rsidR="005D40CD">
        <w:t xml:space="preserve">commission </w:t>
      </w:r>
      <w:r>
        <w:t>to set charges:</w:t>
      </w:r>
    </w:p>
    <w:p w14:paraId="59630461" w14:textId="0AED1F2D" w:rsidR="00C939F2" w:rsidRDefault="00C939F2" w:rsidP="00C939F2">
      <w:pPr>
        <w:pStyle w:val="List-bulletlvl1"/>
      </w:pPr>
      <w:r>
        <w:t>to fully recover distributed road costs while minimising over-recovery from any vehicle class, thereby achieving full recovery of all road costs</w:t>
      </w:r>
    </w:p>
    <w:p w14:paraId="46ABD0EF" w14:textId="61226938" w:rsidR="00C939F2" w:rsidRDefault="00C939F2" w:rsidP="00C939F2">
      <w:pPr>
        <w:pStyle w:val="List-bulletlvl1"/>
      </w:pPr>
      <w:r>
        <w:t>adopting a common methodology</w:t>
      </w:r>
    </w:p>
    <w:p w14:paraId="487B368B" w14:textId="40C2CD14" w:rsidR="00C939F2" w:rsidRDefault="00C939F2" w:rsidP="00C939F2">
      <w:pPr>
        <w:pStyle w:val="List-bulletlvl1"/>
      </w:pPr>
      <w:r>
        <w:t>to determine and collect charges in a way that achieves a reasonable balance between administrative simplicity, efficiency and equity in the charging structure</w:t>
      </w:r>
    </w:p>
    <w:p w14:paraId="39E8448B" w14:textId="3D116EE5" w:rsidR="00C939F2" w:rsidRDefault="00C939F2" w:rsidP="00C939F2">
      <w:pPr>
        <w:pStyle w:val="List-bulletlvl1"/>
      </w:pPr>
      <w:r>
        <w:t>to improve pricing, leading to a better allocation of resources, with investment decisions on equipment and infrastructure being based on more relevant demand signals</w:t>
      </w:r>
    </w:p>
    <w:p w14:paraId="16648125" w14:textId="34A8ADF7" w:rsidR="00E84066" w:rsidRPr="00E84066" w:rsidRDefault="00C939F2" w:rsidP="00C939F2">
      <w:pPr>
        <w:pStyle w:val="List-bulletlvl1"/>
      </w:pPr>
      <w:r>
        <w:t>to minimise the incentive for operators to ‘shop around’ for lower charges and undermine the integrity of the national charging system.</w:t>
      </w:r>
    </w:p>
    <w:p w14:paraId="0CFA97BD" w14:textId="2EA34256" w:rsidR="002708FD" w:rsidRDefault="00E325EF" w:rsidP="00E325EF">
      <w:pPr>
        <w:pStyle w:val="Heading2"/>
        <w:numPr>
          <w:ilvl w:val="0"/>
          <w:numId w:val="0"/>
        </w:numPr>
        <w:ind w:left="454" w:hanging="454"/>
      </w:pPr>
      <w:bookmarkStart w:id="2424" w:name="_Toc86158519"/>
      <w:bookmarkEnd w:id="2416"/>
      <w:r>
        <w:t>The pricing principles</w:t>
      </w:r>
      <w:bookmarkEnd w:id="2424"/>
    </w:p>
    <w:p w14:paraId="07A5BAA6" w14:textId="772362B1" w:rsidR="002708FD" w:rsidRPr="002708FD" w:rsidRDefault="00146ADA" w:rsidP="002708FD">
      <w:pPr>
        <w:pStyle w:val="BodyCopy"/>
      </w:pPr>
      <w:r>
        <w:t>Predecessors of ITMM have set</w:t>
      </w:r>
      <w:r w:rsidR="006B79EE">
        <w:t xml:space="preserve"> pricing</w:t>
      </w:r>
      <w:r>
        <w:t xml:space="preserve"> principles for the NTC in making its recommendations to ministers. These pricing principles are discussed in section</w:t>
      </w:r>
      <w:r w:rsidR="00873601">
        <w:t xml:space="preserve"> </w:t>
      </w:r>
      <w:r w:rsidR="00873601">
        <w:fldChar w:fldCharType="begin"/>
      </w:r>
      <w:r w:rsidR="00873601">
        <w:instrText xml:space="preserve"> REF _Ref59019317 \r \h </w:instrText>
      </w:r>
      <w:r w:rsidR="00873601">
        <w:fldChar w:fldCharType="separate"/>
      </w:r>
      <w:r w:rsidR="00225EEA">
        <w:t>2.1.1</w:t>
      </w:r>
      <w:r w:rsidR="00873601">
        <w:fldChar w:fldCharType="end"/>
      </w:r>
      <w:r>
        <w:t>.</w:t>
      </w:r>
    </w:p>
    <w:p w14:paraId="10C427BB" w14:textId="576CA271" w:rsidR="00D976A6" w:rsidRDefault="000A5AA3" w:rsidP="000A5AA3">
      <w:pPr>
        <w:pStyle w:val="Heading2"/>
        <w:numPr>
          <w:ilvl w:val="0"/>
          <w:numId w:val="0"/>
        </w:numPr>
        <w:ind w:left="454" w:hanging="454"/>
      </w:pPr>
      <w:bookmarkStart w:id="2425" w:name="_Toc86158520"/>
      <w:r>
        <w:t>How PAYGO works</w:t>
      </w:r>
      <w:bookmarkEnd w:id="2425"/>
    </w:p>
    <w:p w14:paraId="42BEC7D7" w14:textId="1ACD314A" w:rsidR="00FD510D" w:rsidRPr="00907FF5" w:rsidRDefault="00030CA4" w:rsidP="00FD510D">
      <w:pPr>
        <w:pStyle w:val="BodyText1"/>
      </w:pPr>
      <w:r w:rsidRPr="00030CA4">
        <w:t xml:space="preserve">Each year, jurisdictions provide the NTC with a completed road expenditure template </w:t>
      </w:r>
      <w:r w:rsidR="001A61EF">
        <w:t>that</w:t>
      </w:r>
      <w:r w:rsidR="001A61EF" w:rsidRPr="00030CA4">
        <w:t xml:space="preserve"> </w:t>
      </w:r>
      <w:r w:rsidRPr="00030CA4">
        <w:t xml:space="preserve">covers all road construction and maintenance costs (light and heavy vehicles). A cost base is then established with the heavy vehicle portion recovered via heavy vehicle charges. </w:t>
      </w:r>
      <w:r w:rsidR="00226AFF">
        <w:fldChar w:fldCharType="begin"/>
      </w:r>
      <w:r w:rsidR="00226AFF">
        <w:instrText xml:space="preserve"> REF _Ref57628570 \r \h </w:instrText>
      </w:r>
      <w:r w:rsidR="00226AFF">
        <w:fldChar w:fldCharType="separate"/>
      </w:r>
      <w:r w:rsidR="00225EEA">
        <w:t>Figure 11</w:t>
      </w:r>
      <w:r w:rsidR="00226AFF">
        <w:fldChar w:fldCharType="end"/>
      </w:r>
      <w:r w:rsidR="00226AFF">
        <w:t xml:space="preserve"> </w:t>
      </w:r>
      <w:r w:rsidRPr="00030CA4">
        <w:t>provides an overview of the existing PAYGO system.</w:t>
      </w:r>
    </w:p>
    <w:p w14:paraId="7549009C" w14:textId="2EA17709" w:rsidR="00030CA4" w:rsidRPr="00907FF5" w:rsidRDefault="00751DCC" w:rsidP="00030CA4">
      <w:pPr>
        <w:pStyle w:val="Figuretitle"/>
      </w:pPr>
      <w:bookmarkStart w:id="2426" w:name="_Ref57628570"/>
      <w:bookmarkStart w:id="2427" w:name="_Toc59436191"/>
      <w:bookmarkStart w:id="2428" w:name="_Toc86158538"/>
      <w:r>
        <w:lastRenderedPageBreak/>
        <w:t>Overview of the current PAYGO system</w:t>
      </w:r>
      <w:bookmarkEnd w:id="2426"/>
      <w:bookmarkEnd w:id="2427"/>
      <w:bookmarkEnd w:id="2428"/>
    </w:p>
    <w:p w14:paraId="2534B508" w14:textId="08A4E0BC" w:rsidR="00AA6D50" w:rsidRDefault="00AD66BB" w:rsidP="00E35DEB">
      <w:pPr>
        <w:spacing w:before="0" w:after="0"/>
      </w:pPr>
      <w:r>
        <w:rPr>
          <w:noProof/>
          <w:lang w:eastAsia="en-AU"/>
        </w:rPr>
        <w:drawing>
          <wp:inline distT="0" distB="0" distL="0" distR="0" wp14:anchorId="384E4A0A" wp14:editId="0967B5E7">
            <wp:extent cx="5732145" cy="2600558"/>
            <wp:effectExtent l="0" t="0" r="0" b="9525"/>
            <wp:docPr id="79" name="Picture 79" descr="Overview of the PAYGO system. Historical road costs are allocated to a heavy vehicle cost base and light vehicle cost base through the cost allocation process. The heavy vehicle cost base is recovered through the RUC (which is collected by the Commonwealth government) and the roads component of registration charges (which is collected by state and territory governments). The regulatory component of registration charges is set to recover the NHVR's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Overview of the PAYGO system. Historical road costs are allocated to a heavy vehicle cost base and light vehicle cost base through the cost allocation process. The heavy vehicle cost base is recovered through the RUC (which is collected by the Commonwealth government) and the roads component of registration charges (which is collected by state and territory governments). The regulatory component of registration charges is set to recover the NHVR's budg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2600558"/>
                    </a:xfrm>
                    <a:prstGeom prst="rect">
                      <a:avLst/>
                    </a:prstGeom>
                    <a:noFill/>
                  </pic:spPr>
                </pic:pic>
              </a:graphicData>
            </a:graphic>
          </wp:inline>
        </w:drawing>
      </w:r>
    </w:p>
    <w:p w14:paraId="59FAF717" w14:textId="67F7440A" w:rsidR="00AA6D50" w:rsidRDefault="00AA6D50" w:rsidP="00E35DEB">
      <w:pPr>
        <w:spacing w:before="0" w:after="0"/>
      </w:pPr>
    </w:p>
    <w:p w14:paraId="13FA2C45" w14:textId="1592AD1A" w:rsidR="00AA6D50" w:rsidRDefault="00226AFF" w:rsidP="007E2914">
      <w:pPr>
        <w:pStyle w:val="BodyCopy"/>
      </w:pPr>
      <w:r>
        <w:fldChar w:fldCharType="begin"/>
      </w:r>
      <w:r>
        <w:instrText xml:space="preserve"> REF _Ref81996807 \r \h </w:instrText>
      </w:r>
      <w:r>
        <w:fldChar w:fldCharType="separate"/>
      </w:r>
      <w:r w:rsidR="00225EEA">
        <w:t>Figure 12</w:t>
      </w:r>
      <w:r>
        <w:fldChar w:fldCharType="end"/>
      </w:r>
      <w:r w:rsidR="00574A97">
        <w:t xml:space="preserve"> </w:t>
      </w:r>
      <w:r w:rsidR="007E2914" w:rsidRPr="007E2914">
        <w:t xml:space="preserve">illustrates how the NTC processes this information and makes recommendations to </w:t>
      </w:r>
      <w:r w:rsidR="00873601">
        <w:t>ITMM</w:t>
      </w:r>
      <w:r w:rsidR="007E2914" w:rsidRPr="007E2914">
        <w:t>. The NTC’s charge recommendations are non-binding.</w:t>
      </w:r>
    </w:p>
    <w:p w14:paraId="33E8BDEA" w14:textId="5EA5DC4B" w:rsidR="004B2499" w:rsidRPr="004B2499" w:rsidRDefault="004D516D" w:rsidP="004D516D">
      <w:pPr>
        <w:pStyle w:val="Figuretitle"/>
      </w:pPr>
      <w:bookmarkStart w:id="2429" w:name="_Toc59436192"/>
      <w:bookmarkStart w:id="2430" w:name="_Ref63688233"/>
      <w:bookmarkStart w:id="2431" w:name="_Ref81996807"/>
      <w:bookmarkStart w:id="2432" w:name="_Toc86158539"/>
      <w:r w:rsidRPr="004D516D">
        <w:t>Overview of existing PAYGO regulatory process</w:t>
      </w:r>
      <w:bookmarkEnd w:id="2429"/>
      <w:bookmarkEnd w:id="2430"/>
      <w:bookmarkEnd w:id="2431"/>
      <w:bookmarkEnd w:id="2432"/>
    </w:p>
    <w:p w14:paraId="2F902BDB" w14:textId="4FCDEF51" w:rsidR="00F40CB2" w:rsidRPr="00F40CB2" w:rsidRDefault="00AD66BB" w:rsidP="00F40CB2">
      <w:pPr>
        <w:pStyle w:val="BodyCopy"/>
      </w:pPr>
      <w:r>
        <w:rPr>
          <w:noProof/>
          <w:lang w:eastAsia="en-AU"/>
        </w:rPr>
        <w:drawing>
          <wp:inline distT="0" distB="0" distL="0" distR="0" wp14:anchorId="2A62DDE7" wp14:editId="6A833F97">
            <wp:extent cx="5561507" cy="2628900"/>
            <wp:effectExtent l="0" t="0" r="0" b="0"/>
            <wp:docPr id="126" name="Picture 126" descr="Overview of existing PAYGO regulatory process. Jurisdictions report historic road expenditure, which the NTC uses to calculate a heavy vehicle cost base and provide advice on heavy vehicle charges to ministers. Ministers then decide on heavy vehicle charges at 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Overview of existing PAYGO regulatory process. Jurisdictions report historic road expenditure, which the NTC uses to calculate a heavy vehicle cost base and provide advice on heavy vehicle charges to ministers. Ministers then decide on heavy vehicle charges at ITM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0502" cy="2642606"/>
                    </a:xfrm>
                    <a:prstGeom prst="rect">
                      <a:avLst/>
                    </a:prstGeom>
                    <a:noFill/>
                  </pic:spPr>
                </pic:pic>
              </a:graphicData>
            </a:graphic>
          </wp:inline>
        </w:drawing>
      </w:r>
    </w:p>
    <w:p w14:paraId="6E07B04E" w14:textId="368AA321" w:rsidR="00A061C4" w:rsidRDefault="00A061C4" w:rsidP="00A92E15">
      <w:pPr>
        <w:pStyle w:val="Heading2"/>
        <w:numPr>
          <w:ilvl w:val="0"/>
          <w:numId w:val="0"/>
        </w:numPr>
        <w:ind w:left="454" w:hanging="454"/>
      </w:pPr>
      <w:bookmarkStart w:id="2433" w:name="_Toc86158521"/>
      <w:r>
        <w:t>Calculating the cost base</w:t>
      </w:r>
      <w:bookmarkEnd w:id="2433"/>
    </w:p>
    <w:p w14:paraId="549C2E36" w14:textId="210FF15B" w:rsidR="005E7D70" w:rsidRDefault="005E7D70" w:rsidP="005E7D70">
      <w:pPr>
        <w:pStyle w:val="BodyCopy"/>
      </w:pPr>
      <w:r>
        <w:t>Under PAYGO</w:t>
      </w:r>
      <w:r w:rsidR="007613CA">
        <w:t>,</w:t>
      </w:r>
      <w:r>
        <w:t xml:space="preserve"> both capital and operating expenditure are recovered in the year they are incurred (subject to averaging). </w:t>
      </w:r>
    </w:p>
    <w:p w14:paraId="06A5A2F7" w14:textId="579925A4" w:rsidR="005E7D70" w:rsidRDefault="005E7D70" w:rsidP="005E7D70">
      <w:pPr>
        <w:pStyle w:val="BodyCopy"/>
      </w:pPr>
      <w:r>
        <w:t xml:space="preserve">The cost base is calculated by taking a </w:t>
      </w:r>
      <w:r w:rsidR="007613CA">
        <w:t>seven</w:t>
      </w:r>
      <w:r>
        <w:t>-year average of the historic</w:t>
      </w:r>
      <w:r w:rsidR="007613CA">
        <w:t>al</w:t>
      </w:r>
      <w:r>
        <w:t xml:space="preserve"> financial costs of providing roads.</w:t>
      </w:r>
      <w:r w:rsidR="005D3098">
        <w:rPr>
          <w:rStyle w:val="FootnoteReference"/>
        </w:rPr>
        <w:footnoteReference w:id="29"/>
      </w:r>
      <w:r>
        <w:t xml:space="preserve"> The system was designed to recover the financial cost of roads on the assumption that the financial cost was a reasonable approximation of the economic cost. </w:t>
      </w:r>
    </w:p>
    <w:p w14:paraId="1B699867" w14:textId="6F231A3F" w:rsidR="005E7D70" w:rsidRDefault="005E7D70" w:rsidP="005E7D70">
      <w:pPr>
        <w:pStyle w:val="BodyCopy"/>
      </w:pPr>
      <w:r>
        <w:lastRenderedPageBreak/>
        <w:t>The key difference between financial and economic costs is that under a financial cost recovery approach, capital costs are recovered in the period in which the expenditure takes place. Under economic cost recovery, capital costs are depreciated and recovered over the life of the asset.</w:t>
      </w:r>
    </w:p>
    <w:p w14:paraId="3D086383" w14:textId="77777777" w:rsidR="005E7D70" w:rsidRDefault="005E7D70" w:rsidP="005E7D70">
      <w:pPr>
        <w:pStyle w:val="BodyCopy"/>
      </w:pPr>
      <w:r>
        <w:t>The assumption that the financial cost is equal to the economic cost was based on the following criteria being met:</w:t>
      </w:r>
    </w:p>
    <w:p w14:paraId="05DE65FF" w14:textId="55918568" w:rsidR="005E7D70" w:rsidRDefault="005E7D70" w:rsidP="006646CD">
      <w:pPr>
        <w:pStyle w:val="List-bulletlvl1"/>
      </w:pPr>
      <w:r>
        <w:t>the network is neither expanding nor contracting, nor is the pavement or bridge condition changing significantly</w:t>
      </w:r>
    </w:p>
    <w:p w14:paraId="3FFB8D1A" w14:textId="108A1BE0" w:rsidR="005E7D70" w:rsidRDefault="005E7D70" w:rsidP="006646CD">
      <w:pPr>
        <w:pStyle w:val="List-bulletlvl1"/>
      </w:pPr>
      <w:r>
        <w:t>network-wide expenditure does not fluctuate markedly over time</w:t>
      </w:r>
    </w:p>
    <w:p w14:paraId="3060F164" w14:textId="64574390" w:rsidR="005E7D70" w:rsidRDefault="005E7D70" w:rsidP="006646CD">
      <w:pPr>
        <w:pStyle w:val="List-bulletlvl1"/>
      </w:pPr>
      <w:r>
        <w:t>traffic growth is relatively steady.</w:t>
      </w:r>
    </w:p>
    <w:p w14:paraId="4A20405B" w14:textId="2945EF94" w:rsidR="00F65161" w:rsidRPr="00F65161" w:rsidRDefault="00A92E15" w:rsidP="00F65161">
      <w:pPr>
        <w:pStyle w:val="BodyCopy"/>
      </w:pPr>
      <w:r>
        <w:t xml:space="preserve">Over the </w:t>
      </w:r>
      <w:r w:rsidR="007613CA">
        <w:t>p</w:t>
      </w:r>
      <w:r>
        <w:t>ast decade, these conditions have tended not to hold, and the cost base and charges have been quite volatile.</w:t>
      </w:r>
    </w:p>
    <w:p w14:paraId="3300A4A3" w14:textId="2EAC2486" w:rsidR="00A92E15" w:rsidRPr="00A061C4" w:rsidRDefault="00CA4E5E" w:rsidP="00A92E15">
      <w:pPr>
        <w:pStyle w:val="Heading2"/>
        <w:numPr>
          <w:ilvl w:val="0"/>
          <w:numId w:val="0"/>
        </w:numPr>
        <w:ind w:left="454" w:hanging="454"/>
      </w:pPr>
      <w:bookmarkStart w:id="2434" w:name="_Toc86158522"/>
      <w:r>
        <w:t>The PAYGO model’s c</w:t>
      </w:r>
      <w:r w:rsidR="00BC56AC">
        <w:t xml:space="preserve">ross-subsidy check </w:t>
      </w:r>
      <w:r w:rsidR="00485D14">
        <w:t>and its</w:t>
      </w:r>
      <w:r w:rsidR="00A92E15">
        <w:t xml:space="preserve"> limitations</w:t>
      </w:r>
      <w:bookmarkEnd w:id="2434"/>
    </w:p>
    <w:p w14:paraId="43DA553E" w14:textId="7B04C2ED" w:rsidR="001D234C" w:rsidRDefault="00160434" w:rsidP="00A92E15">
      <w:pPr>
        <w:pStyle w:val="BodyCopy"/>
      </w:pPr>
      <w:r>
        <w:t>The PAYGO model has a built</w:t>
      </w:r>
      <w:r w:rsidR="0034456A">
        <w:t>-</w:t>
      </w:r>
      <w:r>
        <w:t xml:space="preserve">in </w:t>
      </w:r>
      <w:r w:rsidR="0034456A">
        <w:t xml:space="preserve">module to </w:t>
      </w:r>
      <w:r>
        <w:t xml:space="preserve">check </w:t>
      </w:r>
      <w:r w:rsidR="00CF5E21">
        <w:t>there are no cross-subsidies</w:t>
      </w:r>
      <w:r w:rsidR="00331CDF">
        <w:t>,</w:t>
      </w:r>
      <w:r w:rsidR="00CF5E21">
        <w:t xml:space="preserve"> </w:t>
      </w:r>
      <w:r w:rsidR="001863A2">
        <w:t>in</w:t>
      </w:r>
      <w:r w:rsidR="00077644">
        <w:t xml:space="preserve"> </w:t>
      </w:r>
      <w:r w:rsidR="009D3E64">
        <w:t xml:space="preserve">order to </w:t>
      </w:r>
      <w:r w:rsidR="00077644">
        <w:t>compl</w:t>
      </w:r>
      <w:r w:rsidR="009D3E64">
        <w:t>y</w:t>
      </w:r>
      <w:r w:rsidR="00077644">
        <w:t xml:space="preserve"> with the pricing principles</w:t>
      </w:r>
      <w:r w:rsidR="003236FB">
        <w:t>.</w:t>
      </w:r>
      <w:r w:rsidR="00077644">
        <w:t xml:space="preserve"> </w:t>
      </w:r>
      <w:r w:rsidR="003236FB">
        <w:t>It</w:t>
      </w:r>
      <w:r w:rsidR="00C94A7A">
        <w:t xml:space="preserve"> </w:t>
      </w:r>
      <w:r w:rsidR="00CF5E21">
        <w:t xml:space="preserve">involves checking whether </w:t>
      </w:r>
      <w:r w:rsidR="00B31FCB">
        <w:t xml:space="preserve">the </w:t>
      </w:r>
      <w:r w:rsidR="00BB0AE9">
        <w:t xml:space="preserve">‘average vehicle’ </w:t>
      </w:r>
      <w:r w:rsidR="00765B2C">
        <w:t>in a vehicle class</w:t>
      </w:r>
      <w:r w:rsidR="00A32A2F">
        <w:t xml:space="preserve"> pays</w:t>
      </w:r>
      <w:r w:rsidR="00F10924">
        <w:t xml:space="preserve"> enough in charges (</w:t>
      </w:r>
      <w:r w:rsidR="00494A4A">
        <w:t xml:space="preserve">both </w:t>
      </w:r>
      <w:r w:rsidR="00F10924">
        <w:t>registration and RUC</w:t>
      </w:r>
      <w:r w:rsidR="000934A9">
        <w:rPr>
          <w:rStyle w:val="FootnoteReference"/>
        </w:rPr>
        <w:footnoteReference w:id="30"/>
      </w:r>
      <w:r w:rsidR="00067DA8">
        <w:t xml:space="preserve">) such that they </w:t>
      </w:r>
      <w:r w:rsidR="00B223C7">
        <w:t>contribute</w:t>
      </w:r>
      <w:r w:rsidR="00E876A5">
        <w:t xml:space="preserve"> an amount greater than or equal to</w:t>
      </w:r>
      <w:r w:rsidR="00067DA8">
        <w:t xml:space="preserve"> the </w:t>
      </w:r>
      <w:r w:rsidR="00A55213">
        <w:t xml:space="preserve">average </w:t>
      </w:r>
      <w:r w:rsidR="00067DA8">
        <w:t xml:space="preserve">attributable costs for </w:t>
      </w:r>
      <w:r w:rsidR="00A55213">
        <w:t>each</w:t>
      </w:r>
      <w:r w:rsidR="00067DA8">
        <w:t xml:space="preserve"> vehicle in that vehicle class.</w:t>
      </w:r>
      <w:r w:rsidR="0065428C">
        <w:t xml:space="preserve"> </w:t>
      </w:r>
      <w:r w:rsidR="008A6CF5">
        <w:t>A</w:t>
      </w:r>
      <w:r w:rsidR="0065428C">
        <w:t>ttributable costs</w:t>
      </w:r>
      <w:r w:rsidR="005F7439">
        <w:t xml:space="preserve"> are those that </w:t>
      </w:r>
      <w:r w:rsidR="00FD438C">
        <w:t>can be</w:t>
      </w:r>
      <w:r w:rsidR="005F7439">
        <w:t xml:space="preserve"> directly associated </w:t>
      </w:r>
      <w:r w:rsidR="00FD438C">
        <w:t xml:space="preserve">with heavy vehicles based on the four </w:t>
      </w:r>
      <w:r w:rsidR="009C669E">
        <w:t>cost</w:t>
      </w:r>
      <w:r w:rsidR="00FD438C">
        <w:t xml:space="preserve"> allocators</w:t>
      </w:r>
      <w:r w:rsidR="001D234C">
        <w:t xml:space="preserve"> in the cost allocation matrix</w:t>
      </w:r>
      <w:r w:rsidR="008A6CF5">
        <w:t>.</w:t>
      </w:r>
      <w:r w:rsidR="00FD438C">
        <w:rPr>
          <w:rStyle w:val="FootnoteReference"/>
        </w:rPr>
        <w:footnoteReference w:id="31"/>
      </w:r>
      <w:r w:rsidR="008A6CF5">
        <w:t xml:space="preserve"> </w:t>
      </w:r>
    </w:p>
    <w:p w14:paraId="4D54AC1D" w14:textId="6A42CD0C" w:rsidR="0065428C" w:rsidRDefault="008A6CF5" w:rsidP="00A92E15">
      <w:pPr>
        <w:pStyle w:val="BodyCopy"/>
      </w:pPr>
      <w:r>
        <w:t>In addition</w:t>
      </w:r>
      <w:r w:rsidR="00F36311">
        <w:t xml:space="preserve"> to each vehicle class recovering at least its attributable costs, the pricing principles also require that heavy vehicles in aggregate recover their</w:t>
      </w:r>
      <w:r w:rsidR="00662191">
        <w:t xml:space="preserve"> share of common (or non-attributable) costs</w:t>
      </w:r>
      <w:r w:rsidR="00C91253">
        <w:t xml:space="preserve">, such that </w:t>
      </w:r>
      <w:r w:rsidR="001A582B">
        <w:t xml:space="preserve">overall the charges paid </w:t>
      </w:r>
      <w:r w:rsidR="001500EA">
        <w:t xml:space="preserve">by </w:t>
      </w:r>
      <w:r w:rsidR="00110038">
        <w:t>the entire heavy vehicle fleet</w:t>
      </w:r>
      <w:r w:rsidR="001500EA">
        <w:t xml:space="preserve"> </w:t>
      </w:r>
      <w:r w:rsidR="001A582B">
        <w:t xml:space="preserve">recover the heavy vehicle cost base (and therefore heavy vehicles </w:t>
      </w:r>
      <w:r w:rsidR="00C91253">
        <w:t>are not being su</w:t>
      </w:r>
      <w:r w:rsidR="0016487C">
        <w:t xml:space="preserve">bsidised by </w:t>
      </w:r>
      <w:r w:rsidR="00965432">
        <w:t>other sources, such as</w:t>
      </w:r>
      <w:r w:rsidR="0016487C">
        <w:t xml:space="preserve"> light vehicles</w:t>
      </w:r>
      <w:r w:rsidR="00965432">
        <w:t xml:space="preserve"> or governments</w:t>
      </w:r>
      <w:r w:rsidR="001A582B">
        <w:t>)</w:t>
      </w:r>
      <w:r w:rsidR="0016487C">
        <w:t>.</w:t>
      </w:r>
    </w:p>
    <w:p w14:paraId="1E62EE31" w14:textId="53D6E9AA" w:rsidR="0067630D" w:rsidRDefault="00A92E15" w:rsidP="00A92E15">
      <w:pPr>
        <w:pStyle w:val="BodyCopy"/>
      </w:pPr>
      <w:r>
        <w:t xml:space="preserve">The </w:t>
      </w:r>
      <w:r w:rsidR="004374FA">
        <w:t>current charge</w:t>
      </w:r>
      <w:r w:rsidR="00DA34FA">
        <w:t>-</w:t>
      </w:r>
      <w:r w:rsidR="004374FA">
        <w:t>setting framework relies on two component</w:t>
      </w:r>
      <w:r w:rsidR="00BC56AC">
        <w:t>s for recovering road-related costs: registration charges and the RUC.</w:t>
      </w:r>
      <w:r w:rsidR="00D95BD5">
        <w:rPr>
          <w:rStyle w:val="FootnoteReference"/>
        </w:rPr>
        <w:footnoteReference w:id="32"/>
      </w:r>
      <w:r w:rsidR="0016487C">
        <w:t xml:space="preserve"> This gives limited </w:t>
      </w:r>
      <w:r w:rsidR="008918AF">
        <w:t xml:space="preserve">ability to adjust the </w:t>
      </w:r>
      <w:r w:rsidR="00B052A3">
        <w:t>charges paid by a particular vehicle class given that</w:t>
      </w:r>
      <w:r w:rsidR="0067630D">
        <w:t>:</w:t>
      </w:r>
    </w:p>
    <w:p w14:paraId="3F38BAEC" w14:textId="04774CF9" w:rsidR="00AA6D50" w:rsidRDefault="00655CF6" w:rsidP="00FF14AA">
      <w:pPr>
        <w:pStyle w:val="List-bulletlvl1"/>
      </w:pPr>
      <w:r>
        <w:t xml:space="preserve">all heavy vehicles pay the same rate of </w:t>
      </w:r>
      <w:r w:rsidR="00D90936">
        <w:t xml:space="preserve">RUC </w:t>
      </w:r>
      <w:r>
        <w:t>(in cents per litre)</w:t>
      </w:r>
    </w:p>
    <w:p w14:paraId="1D8B7FE5" w14:textId="774ED835" w:rsidR="00D80405" w:rsidRPr="00D80405" w:rsidRDefault="007936A0" w:rsidP="00D80405">
      <w:pPr>
        <w:pStyle w:val="List-bulletlvl1"/>
      </w:pPr>
      <w:r>
        <w:t xml:space="preserve">particularly among the articulated fleet, modularity means that a particular </w:t>
      </w:r>
      <w:r w:rsidR="00FA2A0A">
        <w:t xml:space="preserve">vehicle component may appear </w:t>
      </w:r>
      <w:r w:rsidR="00854E5F">
        <w:t>in a range of different vehicle classes.</w:t>
      </w:r>
      <w:r w:rsidR="00C0635D">
        <w:rPr>
          <w:rStyle w:val="FootnoteReference"/>
        </w:rPr>
        <w:footnoteReference w:id="33"/>
      </w:r>
      <w:r w:rsidR="0065092E">
        <w:t xml:space="preserve"> </w:t>
      </w:r>
    </w:p>
    <w:p w14:paraId="6E8E9D13" w14:textId="03C2EA47" w:rsidR="00C0635D" w:rsidRDefault="00122184" w:rsidP="00C0635D">
      <w:pPr>
        <w:pStyle w:val="BodyCopy"/>
      </w:pPr>
      <w:r>
        <w:t xml:space="preserve">Due to these </w:t>
      </w:r>
      <w:r w:rsidR="00710A4D">
        <w:t>points,</w:t>
      </w:r>
      <w:r w:rsidR="003C4E05">
        <w:t xml:space="preserve"> some vehicle combinations may pay </w:t>
      </w:r>
      <w:r w:rsidR="00510A19">
        <w:t xml:space="preserve">total charges </w:t>
      </w:r>
      <w:r w:rsidR="003C4E05">
        <w:t>only slightly above their attributable costs</w:t>
      </w:r>
      <w:r w:rsidR="00B63F6C">
        <w:t>,</w:t>
      </w:r>
      <w:r w:rsidR="00B25452">
        <w:t xml:space="preserve"> </w:t>
      </w:r>
      <w:r w:rsidR="001B46A7">
        <w:t xml:space="preserve">meaning that </w:t>
      </w:r>
      <w:r w:rsidR="00B21349">
        <w:t xml:space="preserve">although </w:t>
      </w:r>
      <w:r w:rsidR="001B46A7">
        <w:t xml:space="preserve">they are not being </w:t>
      </w:r>
      <w:r w:rsidR="00B21349">
        <w:t xml:space="preserve">cross-subsidised, they are making </w:t>
      </w:r>
      <w:r w:rsidR="001A563A">
        <w:t>a relatively small contribution towards common costs. By contrast</w:t>
      </w:r>
      <w:r w:rsidR="008844D6">
        <w:t>,</w:t>
      </w:r>
      <w:r w:rsidR="001A563A">
        <w:t xml:space="preserve"> other </w:t>
      </w:r>
      <w:r w:rsidR="00A16B19">
        <w:t xml:space="preserve">heavy </w:t>
      </w:r>
      <w:r w:rsidR="001A563A">
        <w:t>vehicle classes</w:t>
      </w:r>
      <w:r w:rsidR="008844D6">
        <w:t xml:space="preserve"> will </w:t>
      </w:r>
      <w:r w:rsidR="00E65A74">
        <w:t>pay charges significantly higher than their attributable costs</w:t>
      </w:r>
      <w:r w:rsidR="0091496F">
        <w:t xml:space="preserve">, meaning </w:t>
      </w:r>
      <w:r w:rsidR="0091496F">
        <w:lastRenderedPageBreak/>
        <w:t>they are</w:t>
      </w:r>
      <w:r w:rsidR="008844D6">
        <w:t xml:space="preserve"> mak</w:t>
      </w:r>
      <w:r w:rsidR="0091496F">
        <w:t>ing</w:t>
      </w:r>
      <w:r w:rsidR="008844D6">
        <w:t xml:space="preserve"> a greater contribution to</w:t>
      </w:r>
      <w:r w:rsidR="0091496F">
        <w:t>wards recovering the</w:t>
      </w:r>
      <w:r w:rsidR="008844D6">
        <w:t xml:space="preserve"> </w:t>
      </w:r>
      <w:r w:rsidR="0084535B">
        <w:t>heavy vehicle industry’s share of</w:t>
      </w:r>
      <w:r w:rsidR="008844D6">
        <w:t xml:space="preserve"> common costs</w:t>
      </w:r>
      <w:r w:rsidR="0084535B">
        <w:t>.</w:t>
      </w:r>
    </w:p>
    <w:p w14:paraId="16CCA4E9" w14:textId="5A222AEA" w:rsidR="009739F8" w:rsidRDefault="00B45316" w:rsidP="00C0635D">
      <w:pPr>
        <w:pStyle w:val="BodyCopy"/>
      </w:pPr>
      <w:r>
        <w:t>In summary, d</w:t>
      </w:r>
      <w:r w:rsidR="00084A3E">
        <w:t xml:space="preserve">ifferent vehicle classes will make </w:t>
      </w:r>
      <w:r w:rsidR="00F947C5">
        <w:t xml:space="preserve">relatively high or low contributions towards recovering the share of </w:t>
      </w:r>
      <w:r w:rsidR="008F5560">
        <w:t xml:space="preserve">overall </w:t>
      </w:r>
      <w:r w:rsidR="00F947C5">
        <w:t>common costs</w:t>
      </w:r>
      <w:r w:rsidR="008F5560">
        <w:t xml:space="preserve"> assigned to heavy vehicles</w:t>
      </w:r>
      <w:r w:rsidR="006A1EA1">
        <w:t xml:space="preserve"> under the PAYGO model’s cross-subsidy check. However</w:t>
      </w:r>
      <w:r w:rsidR="008F5560">
        <w:t>,</w:t>
      </w:r>
      <w:r w:rsidR="00AE1591">
        <w:t xml:space="preserve"> this is largely unavoidable (given the </w:t>
      </w:r>
      <w:r w:rsidR="00BA790D">
        <w:t xml:space="preserve">modularity of the fleet </w:t>
      </w:r>
      <w:r w:rsidR="000C2D53">
        <w:t xml:space="preserve">and the </w:t>
      </w:r>
      <w:r w:rsidR="00624279">
        <w:t xml:space="preserve">limited </w:t>
      </w:r>
      <w:r w:rsidR="000C2D53">
        <w:t>ability</w:t>
      </w:r>
      <w:r w:rsidR="00BA790D">
        <w:t xml:space="preserve"> to adjust charges</w:t>
      </w:r>
      <w:r w:rsidR="001607B3">
        <w:t xml:space="preserve"> </w:t>
      </w:r>
      <w:r w:rsidR="00D574A4">
        <w:t>for individual vehicle classes</w:t>
      </w:r>
      <w:r w:rsidR="001607B3">
        <w:t xml:space="preserve"> as a result) and </w:t>
      </w:r>
      <w:r w:rsidR="008A2664">
        <w:t xml:space="preserve">is </w:t>
      </w:r>
      <w:r w:rsidR="00E113F9">
        <w:t xml:space="preserve">not </w:t>
      </w:r>
      <w:r w:rsidR="001C0B77">
        <w:t xml:space="preserve">a problem </w:t>
      </w:r>
      <w:r w:rsidR="00B63F6C">
        <w:t xml:space="preserve">in </w:t>
      </w:r>
      <w:r w:rsidR="00DB5BC1">
        <w:t>regard to the pricing principles (</w:t>
      </w:r>
      <w:r w:rsidR="000C0D50">
        <w:t xml:space="preserve">as </w:t>
      </w:r>
      <w:r w:rsidR="00C90414">
        <w:t>cross</w:t>
      </w:r>
      <w:r w:rsidR="00876D5B">
        <w:t xml:space="preserve">-subsidies </w:t>
      </w:r>
      <w:r w:rsidR="00011A6C">
        <w:t>between heavy vehicle classes have been</w:t>
      </w:r>
      <w:r w:rsidR="00876D5B">
        <w:t xml:space="preserve"> avoided and </w:t>
      </w:r>
      <w:r w:rsidR="00011A6C">
        <w:t>overall</w:t>
      </w:r>
      <w:r w:rsidR="00876D5B">
        <w:t xml:space="preserve"> cost recovery is achieved</w:t>
      </w:r>
      <w:r w:rsidR="00011A6C">
        <w:t xml:space="preserve"> from heavy vehicles). </w:t>
      </w:r>
      <w:r w:rsidR="00BE3921">
        <w:t xml:space="preserve">In </w:t>
      </w:r>
      <w:r w:rsidR="0001267E">
        <w:t xml:space="preserve">the </w:t>
      </w:r>
      <w:r w:rsidR="00BE3921">
        <w:t>fut</w:t>
      </w:r>
      <w:r w:rsidR="0001267E">
        <w:t>ure, under alternative</w:t>
      </w:r>
      <w:r w:rsidR="00011A6C">
        <w:t xml:space="preserve"> charge setting</w:t>
      </w:r>
      <w:r w:rsidR="0001267E">
        <w:t xml:space="preserve"> mechanisms being considered under Heavy Vehicle Road Reform, it may be possible to </w:t>
      </w:r>
      <w:r w:rsidR="00F77358">
        <w:t>consider</w:t>
      </w:r>
      <w:r w:rsidR="008D3A3C">
        <w:t xml:space="preserve"> alternative charge</w:t>
      </w:r>
      <w:r w:rsidR="00B63F6C">
        <w:t>-</w:t>
      </w:r>
      <w:r w:rsidR="008D3A3C">
        <w:t>setting approaches</w:t>
      </w:r>
      <w:r w:rsidR="006B312B">
        <w:t xml:space="preserve"> that achieve a more equitable sharing of common costs across different heavy</w:t>
      </w:r>
      <w:r w:rsidR="005C4276">
        <w:t xml:space="preserve"> vehicle classes if this is considered desirable</w:t>
      </w:r>
      <w:r w:rsidR="009739F8">
        <w:t>.</w:t>
      </w:r>
    </w:p>
    <w:p w14:paraId="5758301E" w14:textId="77777777" w:rsidR="00940A6C" w:rsidRDefault="00940A6C" w:rsidP="00C0635D">
      <w:pPr>
        <w:pStyle w:val="BodyCopy"/>
      </w:pPr>
    </w:p>
    <w:p w14:paraId="2DDA51B5" w14:textId="77777777" w:rsidR="00940A6C" w:rsidRDefault="00940A6C" w:rsidP="0080052B">
      <w:pPr>
        <w:pStyle w:val="BodyCopy"/>
        <w:sectPr w:rsidR="00940A6C" w:rsidSect="000B626C">
          <w:pgSz w:w="11907" w:h="16840" w:code="9"/>
          <w:pgMar w:top="851" w:right="1440" w:bottom="1985" w:left="1440" w:header="283" w:footer="1134" w:gutter="0"/>
          <w:cols w:space="720"/>
          <w:docGrid w:linePitch="272"/>
        </w:sectPr>
      </w:pPr>
    </w:p>
    <w:p w14:paraId="4EADF740" w14:textId="2A9C92CC" w:rsidR="009739F8" w:rsidRDefault="002608A8" w:rsidP="00940A6C">
      <w:pPr>
        <w:pStyle w:val="Head1-Appendix"/>
      </w:pPr>
      <w:bookmarkStart w:id="2435" w:name="_Ref82157916"/>
      <w:bookmarkStart w:id="2436" w:name="_Toc86158523"/>
      <w:r w:rsidRPr="00CF7C5F">
        <w:lastRenderedPageBreak/>
        <w:t>Summary</w:t>
      </w:r>
      <w:r>
        <w:t xml:space="preserve"> of submissions</w:t>
      </w:r>
      <w:r w:rsidR="0053645E">
        <w:t xml:space="preserve"> o</w:t>
      </w:r>
      <w:r w:rsidR="00C35ABA">
        <w:t>n</w:t>
      </w:r>
      <w:r w:rsidR="0053645E">
        <w:t xml:space="preserve"> the C-RIS</w:t>
      </w:r>
      <w:bookmarkEnd w:id="2435"/>
      <w:bookmarkEnd w:id="2436"/>
    </w:p>
    <w:p w14:paraId="63931076" w14:textId="7FD67994" w:rsidR="001015AB" w:rsidRDefault="00756E1D" w:rsidP="001015AB">
      <w:pPr>
        <w:pStyle w:val="BodyCopy"/>
      </w:pPr>
      <w:r>
        <w:t>The table below outlines submissions</w:t>
      </w:r>
      <w:r w:rsidR="0053645E">
        <w:t xml:space="preserve"> in response to the C-RIS (grouped by question/theme)</w:t>
      </w:r>
      <w:r>
        <w:t xml:space="preserve"> and the NTC’s responses.</w:t>
      </w:r>
    </w:p>
    <w:p w14:paraId="2BC2696F" w14:textId="5B9DE8A7" w:rsidR="002821CA" w:rsidRDefault="002E3792" w:rsidP="00357D40">
      <w:pPr>
        <w:pStyle w:val="Tabletitle"/>
      </w:pPr>
      <w:bookmarkStart w:id="2437" w:name="_Toc86158580"/>
      <w:r>
        <w:t xml:space="preserve">Summary of submissions and </w:t>
      </w:r>
      <w:r w:rsidR="000A0414">
        <w:t xml:space="preserve">the </w:t>
      </w:r>
      <w:r>
        <w:t>NTC</w:t>
      </w:r>
      <w:r w:rsidR="000A0414">
        <w:t>’s</w:t>
      </w:r>
      <w:r>
        <w:t xml:space="preserve"> responses</w:t>
      </w:r>
      <w:bookmarkEnd w:id="2437"/>
    </w:p>
    <w:tbl>
      <w:tblPr>
        <w:tblStyle w:val="NTCtable"/>
        <w:tblW w:w="14112" w:type="dxa"/>
        <w:tblLayout w:type="fixed"/>
        <w:tblCellMar>
          <w:top w:w="17" w:type="dxa"/>
          <w:left w:w="17" w:type="dxa"/>
          <w:bottom w:w="17" w:type="dxa"/>
          <w:right w:w="17" w:type="dxa"/>
        </w:tblCellMar>
        <w:tblLook w:val="04A0" w:firstRow="1" w:lastRow="0" w:firstColumn="1" w:lastColumn="0" w:noHBand="0" w:noVBand="1"/>
      </w:tblPr>
      <w:tblGrid>
        <w:gridCol w:w="1166"/>
        <w:gridCol w:w="902"/>
        <w:gridCol w:w="1171"/>
        <w:gridCol w:w="7201"/>
        <w:gridCol w:w="3600"/>
        <w:gridCol w:w="72"/>
      </w:tblGrid>
      <w:tr w:rsidR="00F74539" w:rsidRPr="008F31E5" w14:paraId="68C01E9D" w14:textId="77777777" w:rsidTr="00FE2CF6">
        <w:trPr>
          <w:cnfStyle w:val="100000000000" w:firstRow="1" w:lastRow="0" w:firstColumn="0" w:lastColumn="0" w:oddVBand="0" w:evenVBand="0" w:oddHBand="0" w:evenHBand="0" w:firstRowFirstColumn="0" w:firstRowLastColumn="0" w:lastRowFirstColumn="0" w:lastRowLastColumn="0"/>
        </w:trPr>
        <w:tc>
          <w:tcPr>
            <w:tcW w:w="1166" w:type="dxa"/>
          </w:tcPr>
          <w:p w14:paraId="2DC9F050" w14:textId="3D8F8B27" w:rsidR="006C3715" w:rsidRPr="00FE2CF6" w:rsidRDefault="006C3715" w:rsidP="008F31E5">
            <w:pPr>
              <w:pStyle w:val="BodyCopy"/>
              <w:spacing w:before="60" w:after="60"/>
              <w:rPr>
                <w:b/>
                <w:bCs/>
                <w:sz w:val="18"/>
                <w:szCs w:val="20"/>
              </w:rPr>
            </w:pPr>
            <w:r w:rsidRPr="00FE2CF6">
              <w:rPr>
                <w:b/>
                <w:bCs/>
                <w:sz w:val="18"/>
                <w:szCs w:val="20"/>
              </w:rPr>
              <w:t>Stakeholder</w:t>
            </w:r>
          </w:p>
        </w:tc>
        <w:tc>
          <w:tcPr>
            <w:tcW w:w="902" w:type="dxa"/>
          </w:tcPr>
          <w:p w14:paraId="3714FAFD" w14:textId="3E207433" w:rsidR="006C3715" w:rsidRPr="00FE2CF6" w:rsidRDefault="006C3715" w:rsidP="008F31E5">
            <w:pPr>
              <w:pStyle w:val="BodyCopy"/>
              <w:spacing w:before="60" w:after="60"/>
              <w:rPr>
                <w:b/>
                <w:bCs/>
                <w:sz w:val="18"/>
                <w:szCs w:val="20"/>
              </w:rPr>
            </w:pPr>
            <w:r w:rsidRPr="00FE2CF6">
              <w:rPr>
                <w:b/>
                <w:bCs/>
                <w:sz w:val="18"/>
                <w:szCs w:val="20"/>
              </w:rPr>
              <w:t>Question no.</w:t>
            </w:r>
          </w:p>
        </w:tc>
        <w:tc>
          <w:tcPr>
            <w:tcW w:w="1171" w:type="dxa"/>
          </w:tcPr>
          <w:p w14:paraId="3AED9227" w14:textId="218EFFF8" w:rsidR="006C3715" w:rsidRPr="00FE2CF6" w:rsidRDefault="006C3715" w:rsidP="008F31E5">
            <w:pPr>
              <w:pStyle w:val="BodyCopy"/>
              <w:spacing w:before="60" w:after="60"/>
              <w:rPr>
                <w:b/>
                <w:bCs/>
                <w:sz w:val="18"/>
                <w:szCs w:val="20"/>
              </w:rPr>
            </w:pPr>
            <w:r w:rsidRPr="00FE2CF6">
              <w:rPr>
                <w:b/>
                <w:bCs/>
                <w:sz w:val="18"/>
                <w:szCs w:val="20"/>
              </w:rPr>
              <w:t>Theme</w:t>
            </w:r>
          </w:p>
        </w:tc>
        <w:tc>
          <w:tcPr>
            <w:tcW w:w="7201" w:type="dxa"/>
          </w:tcPr>
          <w:p w14:paraId="470CBEA1" w14:textId="446B19BB" w:rsidR="006C3715" w:rsidRPr="00FE2CF6" w:rsidRDefault="006C3715" w:rsidP="008F31E5">
            <w:pPr>
              <w:pStyle w:val="BodyCopy"/>
              <w:spacing w:before="60" w:after="60"/>
              <w:rPr>
                <w:b/>
                <w:bCs/>
                <w:sz w:val="18"/>
                <w:szCs w:val="20"/>
              </w:rPr>
            </w:pPr>
            <w:r w:rsidRPr="00FE2CF6">
              <w:rPr>
                <w:b/>
                <w:bCs/>
                <w:sz w:val="18"/>
                <w:szCs w:val="20"/>
              </w:rPr>
              <w:t>Extract</w:t>
            </w:r>
          </w:p>
        </w:tc>
        <w:tc>
          <w:tcPr>
            <w:tcW w:w="3672" w:type="dxa"/>
            <w:gridSpan w:val="2"/>
          </w:tcPr>
          <w:p w14:paraId="4EFA05DF" w14:textId="15FDD2F7" w:rsidR="006C3715" w:rsidRPr="00FE2CF6" w:rsidRDefault="004015A5" w:rsidP="008F31E5">
            <w:pPr>
              <w:pStyle w:val="BodyCopy"/>
              <w:spacing w:before="60" w:after="60"/>
              <w:rPr>
                <w:b/>
                <w:bCs/>
                <w:sz w:val="18"/>
                <w:szCs w:val="20"/>
              </w:rPr>
            </w:pPr>
            <w:r w:rsidRPr="00FE2CF6">
              <w:rPr>
                <w:b/>
                <w:bCs/>
                <w:sz w:val="18"/>
                <w:szCs w:val="20"/>
              </w:rPr>
              <w:t xml:space="preserve">NTC </w:t>
            </w:r>
            <w:r w:rsidR="00D864B6" w:rsidRPr="00FE2CF6">
              <w:rPr>
                <w:b/>
                <w:bCs/>
                <w:sz w:val="18"/>
                <w:szCs w:val="20"/>
              </w:rPr>
              <w:t>r</w:t>
            </w:r>
            <w:r w:rsidRPr="00FE2CF6">
              <w:rPr>
                <w:b/>
                <w:bCs/>
                <w:sz w:val="18"/>
                <w:szCs w:val="20"/>
              </w:rPr>
              <w:t>esponse</w:t>
            </w:r>
          </w:p>
        </w:tc>
      </w:tr>
      <w:tr w:rsidR="00F74539" w:rsidRPr="008F31E5" w14:paraId="4B141C9B" w14:textId="77777777" w:rsidTr="00FE2CF6">
        <w:tc>
          <w:tcPr>
            <w:tcW w:w="1166" w:type="dxa"/>
          </w:tcPr>
          <w:p w14:paraId="2D636EBD" w14:textId="27AE4C43"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5A9C0C3F" w14:textId="06634043" w:rsidR="0070512E" w:rsidRPr="008F31E5" w:rsidRDefault="0070512E" w:rsidP="008F31E5">
            <w:pPr>
              <w:pStyle w:val="BodyCopy"/>
              <w:spacing w:before="60" w:after="60"/>
              <w:rPr>
                <w:sz w:val="18"/>
                <w:szCs w:val="20"/>
              </w:rPr>
            </w:pPr>
            <w:r w:rsidRPr="008F31E5">
              <w:rPr>
                <w:sz w:val="18"/>
                <w:szCs w:val="20"/>
              </w:rPr>
              <w:t>1</w:t>
            </w:r>
          </w:p>
        </w:tc>
        <w:tc>
          <w:tcPr>
            <w:tcW w:w="1171" w:type="dxa"/>
          </w:tcPr>
          <w:p w14:paraId="2F8EA095" w14:textId="08442FA7" w:rsidR="0070512E" w:rsidRPr="008F31E5" w:rsidRDefault="0070512E" w:rsidP="008F31E5">
            <w:pPr>
              <w:pStyle w:val="BodyCopy"/>
              <w:spacing w:before="60" w:after="60"/>
              <w:rPr>
                <w:sz w:val="18"/>
                <w:szCs w:val="20"/>
              </w:rPr>
            </w:pPr>
            <w:r w:rsidRPr="008F31E5">
              <w:rPr>
                <w:sz w:val="18"/>
                <w:szCs w:val="20"/>
              </w:rPr>
              <w:t>Expenditure template and accountability</w:t>
            </w:r>
          </w:p>
        </w:tc>
        <w:tc>
          <w:tcPr>
            <w:tcW w:w="7201" w:type="dxa"/>
          </w:tcPr>
          <w:p w14:paraId="7681F7CD" w14:textId="77777777" w:rsidR="00494648" w:rsidRDefault="0070512E" w:rsidP="008F31E5">
            <w:pPr>
              <w:pStyle w:val="BodyCopy"/>
              <w:spacing w:before="60" w:after="60"/>
              <w:rPr>
                <w:sz w:val="18"/>
                <w:szCs w:val="20"/>
              </w:rPr>
            </w:pPr>
            <w:r w:rsidRPr="008F31E5">
              <w:rPr>
                <w:sz w:val="18"/>
                <w:szCs w:val="20"/>
              </w:rPr>
              <w:t>The ATA agrees with the NTC’s recommendation to continue using the PAYGO expenditure categories.</w:t>
            </w:r>
          </w:p>
          <w:p w14:paraId="002A6606" w14:textId="7EFDE1AC" w:rsidR="00193E2E" w:rsidRDefault="0070512E" w:rsidP="008F31E5">
            <w:pPr>
              <w:pStyle w:val="BodyCopy"/>
              <w:spacing w:before="60" w:after="60"/>
              <w:rPr>
                <w:sz w:val="18"/>
                <w:szCs w:val="20"/>
              </w:rPr>
            </w:pPr>
            <w:r w:rsidRPr="008F31E5">
              <w:rPr>
                <w:sz w:val="18"/>
                <w:szCs w:val="20"/>
              </w:rPr>
              <w:br/>
              <w:t>The NTC expenditure template should be amended to require each organisation’s CEO or equivalent to certify that the major projects included in categories F1, F2 and F3</w:t>
            </w:r>
            <w:r w:rsidR="005A378F">
              <w:rPr>
                <w:sz w:val="18"/>
                <w:szCs w:val="20"/>
              </w:rPr>
              <w:t>:</w:t>
            </w:r>
          </w:p>
          <w:p w14:paraId="04A69AC8" w14:textId="594523B2" w:rsidR="00193E2E" w:rsidRDefault="0070512E" w:rsidP="00193E2E">
            <w:pPr>
              <w:pStyle w:val="BodyCopy"/>
              <w:numPr>
                <w:ilvl w:val="3"/>
                <w:numId w:val="63"/>
              </w:numPr>
              <w:spacing w:before="60" w:after="60"/>
              <w:ind w:left="168" w:hanging="168"/>
              <w:rPr>
                <w:sz w:val="18"/>
                <w:szCs w:val="20"/>
              </w:rPr>
            </w:pPr>
            <w:r w:rsidRPr="008F31E5">
              <w:rPr>
                <w:sz w:val="18"/>
                <w:szCs w:val="20"/>
              </w:rPr>
              <w:t>have been endorsed by an independent infrastructure agency such as Infrastructure Australia</w:t>
            </w:r>
          </w:p>
          <w:p w14:paraId="02F0433F" w14:textId="3F52D1DF" w:rsidR="00193E2E" w:rsidRDefault="0070512E" w:rsidP="00193E2E">
            <w:pPr>
              <w:pStyle w:val="BodyCopy"/>
              <w:numPr>
                <w:ilvl w:val="3"/>
                <w:numId w:val="63"/>
              </w:numPr>
              <w:spacing w:before="60" w:after="60"/>
              <w:ind w:left="168" w:hanging="168"/>
              <w:rPr>
                <w:sz w:val="18"/>
                <w:szCs w:val="20"/>
              </w:rPr>
            </w:pPr>
            <w:r w:rsidRPr="008F31E5">
              <w:rPr>
                <w:sz w:val="18"/>
                <w:szCs w:val="20"/>
              </w:rPr>
              <w:t>are based on integrated transport planning, including trucking industry and community consultation</w:t>
            </w:r>
          </w:p>
          <w:p w14:paraId="674A38AB" w14:textId="60C43EBF" w:rsidR="00193E2E" w:rsidRDefault="00193E2E" w:rsidP="00193E2E">
            <w:pPr>
              <w:pStyle w:val="BodyCopy"/>
              <w:numPr>
                <w:ilvl w:val="3"/>
                <w:numId w:val="63"/>
              </w:numPr>
              <w:spacing w:before="60" w:after="60"/>
              <w:ind w:left="168" w:hanging="168"/>
              <w:rPr>
                <w:sz w:val="18"/>
                <w:szCs w:val="20"/>
              </w:rPr>
            </w:pPr>
            <w:r w:rsidRPr="008F31E5">
              <w:rPr>
                <w:sz w:val="18"/>
                <w:szCs w:val="20"/>
              </w:rPr>
              <w:t>include rest areas and access improvements in project planning and delivery</w:t>
            </w:r>
            <w:r>
              <w:rPr>
                <w:sz w:val="18"/>
                <w:szCs w:val="20"/>
              </w:rPr>
              <w:t>.</w:t>
            </w:r>
          </w:p>
          <w:p w14:paraId="1519F533" w14:textId="3C1C2636" w:rsidR="00193E2E" w:rsidRDefault="0070512E" w:rsidP="00193E2E">
            <w:pPr>
              <w:pStyle w:val="BodyCopy"/>
              <w:spacing w:before="60" w:after="60"/>
              <w:rPr>
                <w:sz w:val="18"/>
                <w:szCs w:val="20"/>
              </w:rPr>
            </w:pPr>
            <w:r w:rsidRPr="008F31E5">
              <w:rPr>
                <w:sz w:val="18"/>
                <w:szCs w:val="20"/>
              </w:rPr>
              <w:br/>
              <w:t>The ATA’s concerns about the PAYGO expenditure inputs go beyond auditing or reviewing the data. PAYGO is entirely driven by governments’ spending decisions, and requires heavy vehicle operators to pay</w:t>
            </w:r>
            <w:r w:rsidR="005A378F">
              <w:rPr>
                <w:sz w:val="18"/>
                <w:szCs w:val="20"/>
              </w:rPr>
              <w:t>:</w:t>
            </w:r>
          </w:p>
          <w:p w14:paraId="35268139" w14:textId="77777777" w:rsidR="00193E2E" w:rsidRDefault="0070512E" w:rsidP="00193E2E">
            <w:pPr>
              <w:pStyle w:val="BodyCopy"/>
              <w:numPr>
                <w:ilvl w:val="3"/>
                <w:numId w:val="63"/>
              </w:numPr>
              <w:spacing w:before="60" w:after="60"/>
              <w:ind w:left="168" w:hanging="168"/>
              <w:rPr>
                <w:sz w:val="18"/>
                <w:szCs w:val="20"/>
              </w:rPr>
            </w:pPr>
            <w:r w:rsidRPr="008F31E5">
              <w:rPr>
                <w:sz w:val="18"/>
                <w:szCs w:val="20"/>
              </w:rPr>
              <w:t>an outsize share of the cost of road investments that are not freight priorities</w:t>
            </w:r>
          </w:p>
          <w:p w14:paraId="0DB349DA" w14:textId="195482DC" w:rsidR="0070512E" w:rsidRPr="008F31E5" w:rsidRDefault="0070512E" w:rsidP="00193E2E">
            <w:pPr>
              <w:pStyle w:val="BodyCopy"/>
              <w:numPr>
                <w:ilvl w:val="3"/>
                <w:numId w:val="63"/>
              </w:numPr>
              <w:spacing w:before="60" w:after="60"/>
              <w:ind w:left="168" w:hanging="168"/>
              <w:rPr>
                <w:sz w:val="18"/>
                <w:szCs w:val="20"/>
              </w:rPr>
            </w:pPr>
            <w:r w:rsidRPr="008F31E5">
              <w:rPr>
                <w:sz w:val="18"/>
                <w:szCs w:val="20"/>
              </w:rPr>
              <w:t>higher costs due to inadequate project assessment and selection.</w:t>
            </w:r>
          </w:p>
        </w:tc>
        <w:tc>
          <w:tcPr>
            <w:tcW w:w="3672" w:type="dxa"/>
            <w:gridSpan w:val="2"/>
          </w:tcPr>
          <w:p w14:paraId="3224DBE1" w14:textId="3EFCE56B" w:rsidR="0070512E" w:rsidRPr="008F31E5" w:rsidRDefault="0070512E" w:rsidP="008F31E5">
            <w:pPr>
              <w:pStyle w:val="BodyCopy"/>
              <w:spacing w:before="60" w:after="60"/>
              <w:rPr>
                <w:sz w:val="18"/>
                <w:szCs w:val="20"/>
              </w:rPr>
            </w:pPr>
            <w:r w:rsidRPr="008F31E5">
              <w:rPr>
                <w:sz w:val="18"/>
                <w:szCs w:val="20"/>
              </w:rPr>
              <w:t>Noted. Regarding the proposal for additional measures to road agencies</w:t>
            </w:r>
            <w:r w:rsidR="00052D7C">
              <w:rPr>
                <w:sz w:val="18"/>
                <w:szCs w:val="20"/>
              </w:rPr>
              <w:t>’</w:t>
            </w:r>
            <w:r w:rsidRPr="008F31E5">
              <w:rPr>
                <w:sz w:val="18"/>
                <w:szCs w:val="20"/>
              </w:rPr>
              <w:t xml:space="preserve"> sign-off, the NTC proposes that some measures to confirm projects had been subject to external review, where required by existing rules, could be explored for future expenditure submissions. The most likely outcome of such measures would be to provide reassurance to stakeholders rather than changing the amount of expenditure reported. </w:t>
            </w:r>
            <w:r w:rsidRPr="008F31E5">
              <w:rPr>
                <w:sz w:val="18"/>
                <w:szCs w:val="20"/>
              </w:rPr>
              <w:br/>
            </w:r>
            <w:r w:rsidRPr="008F31E5">
              <w:rPr>
                <w:sz w:val="18"/>
                <w:szCs w:val="20"/>
              </w:rPr>
              <w:br/>
              <w:t>The road network needs to be built to accommodate the needs of both light and heavy vehicles. Given the highly aggregated nature of the PAYGO model, and the national application of heavy vehicle charges, it is inevitable that some cross-subsidies between vehicle classes occurs on a project basis. However, compared internationally, the percentage of total expenditure allocated to heavy vehicles is conservative.</w:t>
            </w:r>
            <w:r w:rsidR="009E61AA">
              <w:rPr>
                <w:sz w:val="18"/>
                <w:szCs w:val="20"/>
              </w:rPr>
              <w:t xml:space="preserve"> </w:t>
            </w:r>
          </w:p>
        </w:tc>
      </w:tr>
      <w:tr w:rsidR="00F74539" w:rsidRPr="008F31E5" w14:paraId="404D26CF" w14:textId="77777777" w:rsidTr="00FE2CF6">
        <w:tc>
          <w:tcPr>
            <w:tcW w:w="1166" w:type="dxa"/>
          </w:tcPr>
          <w:p w14:paraId="5D9A464A" w14:textId="64B06EB9"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028778E0" w14:textId="28A4F3A1" w:rsidR="0070512E" w:rsidRPr="008F31E5" w:rsidRDefault="0070512E" w:rsidP="008F31E5">
            <w:pPr>
              <w:pStyle w:val="BodyCopy"/>
              <w:spacing w:before="60" w:after="60"/>
              <w:rPr>
                <w:sz w:val="18"/>
                <w:szCs w:val="20"/>
              </w:rPr>
            </w:pPr>
            <w:r w:rsidRPr="008F31E5">
              <w:rPr>
                <w:sz w:val="18"/>
                <w:szCs w:val="20"/>
              </w:rPr>
              <w:t>1</w:t>
            </w:r>
          </w:p>
        </w:tc>
        <w:tc>
          <w:tcPr>
            <w:tcW w:w="1171" w:type="dxa"/>
          </w:tcPr>
          <w:p w14:paraId="2234E3BF" w14:textId="3AE4E14D" w:rsidR="0070512E" w:rsidRPr="008F31E5" w:rsidRDefault="0070512E" w:rsidP="008F31E5">
            <w:pPr>
              <w:pStyle w:val="BodyCopy"/>
              <w:spacing w:before="60" w:after="60"/>
              <w:rPr>
                <w:sz w:val="18"/>
                <w:szCs w:val="20"/>
              </w:rPr>
            </w:pPr>
            <w:r w:rsidRPr="008F31E5">
              <w:rPr>
                <w:sz w:val="18"/>
                <w:szCs w:val="20"/>
              </w:rPr>
              <w:t>Expenditure template and accountability</w:t>
            </w:r>
          </w:p>
        </w:tc>
        <w:tc>
          <w:tcPr>
            <w:tcW w:w="7201" w:type="dxa"/>
          </w:tcPr>
          <w:p w14:paraId="6211DCF8" w14:textId="3B02CC81" w:rsidR="0070512E" w:rsidRPr="008F31E5" w:rsidRDefault="0070512E" w:rsidP="008F31E5">
            <w:pPr>
              <w:pStyle w:val="BodyCopy"/>
              <w:spacing w:before="60" w:after="60"/>
              <w:rPr>
                <w:sz w:val="18"/>
                <w:szCs w:val="20"/>
              </w:rPr>
            </w:pPr>
            <w:r w:rsidRPr="008F31E5">
              <w:rPr>
                <w:sz w:val="18"/>
                <w:szCs w:val="20"/>
              </w:rPr>
              <w:t>Agree. This determination is a transitional one and the Heavy Vehicle Road Reform process should be the place for deciding future charging methodologies and how they operate.</w:t>
            </w:r>
          </w:p>
        </w:tc>
        <w:tc>
          <w:tcPr>
            <w:tcW w:w="3672" w:type="dxa"/>
            <w:gridSpan w:val="2"/>
          </w:tcPr>
          <w:p w14:paraId="62570AFB" w14:textId="6B6A7614"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5A03C674" w14:textId="77777777" w:rsidTr="00FE2CF6">
        <w:tc>
          <w:tcPr>
            <w:tcW w:w="1166" w:type="dxa"/>
          </w:tcPr>
          <w:p w14:paraId="6AD6B50E" w14:textId="5F948B84"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49ECBC77" w14:textId="5B231E2F" w:rsidR="0070512E" w:rsidRPr="008F31E5" w:rsidRDefault="0070512E" w:rsidP="008F31E5">
            <w:pPr>
              <w:pStyle w:val="BodyCopy"/>
              <w:spacing w:before="60" w:after="60"/>
              <w:rPr>
                <w:sz w:val="18"/>
                <w:szCs w:val="20"/>
              </w:rPr>
            </w:pPr>
            <w:r w:rsidRPr="008F31E5">
              <w:rPr>
                <w:sz w:val="18"/>
                <w:szCs w:val="20"/>
              </w:rPr>
              <w:t>1</w:t>
            </w:r>
          </w:p>
        </w:tc>
        <w:tc>
          <w:tcPr>
            <w:tcW w:w="1171" w:type="dxa"/>
          </w:tcPr>
          <w:p w14:paraId="1A070E1B" w14:textId="79A41352" w:rsidR="0070512E" w:rsidRPr="008F31E5" w:rsidRDefault="0070512E" w:rsidP="008F31E5">
            <w:pPr>
              <w:pStyle w:val="BodyCopy"/>
              <w:spacing w:before="60" w:after="60"/>
              <w:rPr>
                <w:sz w:val="18"/>
                <w:szCs w:val="20"/>
              </w:rPr>
            </w:pPr>
            <w:r w:rsidRPr="008F31E5">
              <w:rPr>
                <w:sz w:val="18"/>
                <w:szCs w:val="20"/>
              </w:rPr>
              <w:t>Expenditure template and accountability</w:t>
            </w:r>
          </w:p>
        </w:tc>
        <w:tc>
          <w:tcPr>
            <w:tcW w:w="7201" w:type="dxa"/>
          </w:tcPr>
          <w:p w14:paraId="1BB4D25D" w14:textId="28BA9C2F" w:rsidR="0070512E" w:rsidRPr="008F31E5" w:rsidRDefault="0070512E" w:rsidP="008F31E5">
            <w:pPr>
              <w:pStyle w:val="BodyCopy"/>
              <w:spacing w:before="60" w:after="60"/>
              <w:rPr>
                <w:sz w:val="18"/>
                <w:szCs w:val="20"/>
              </w:rPr>
            </w:pPr>
            <w:r w:rsidRPr="008F31E5">
              <w:rPr>
                <w:sz w:val="18"/>
                <w:szCs w:val="20"/>
              </w:rPr>
              <w:t>NatRoad supports the development of an FLCB</w:t>
            </w:r>
            <w:r w:rsidR="005A378F">
              <w:rPr>
                <w:sz w:val="18"/>
                <w:szCs w:val="20"/>
              </w:rPr>
              <w:t xml:space="preserve"> </w:t>
            </w:r>
            <w:r w:rsidRPr="008F31E5">
              <w:rPr>
                <w:sz w:val="18"/>
                <w:szCs w:val="20"/>
              </w:rPr>
              <w:t>...</w:t>
            </w:r>
            <w:r w:rsidR="005A378F">
              <w:rPr>
                <w:sz w:val="18"/>
                <w:szCs w:val="20"/>
              </w:rPr>
              <w:t xml:space="preserve"> </w:t>
            </w:r>
            <w:r w:rsidRPr="008F31E5">
              <w:rPr>
                <w:sz w:val="18"/>
                <w:szCs w:val="20"/>
              </w:rPr>
              <w:t>However, in the current analysis it does not appear that there would be a translation of the FLCB model potentially used by the NTC to the model used in the HVRR process.</w:t>
            </w:r>
            <w:r w:rsidRPr="008F31E5">
              <w:rPr>
                <w:sz w:val="18"/>
                <w:szCs w:val="20"/>
              </w:rPr>
              <w:br/>
            </w:r>
            <w:r w:rsidRPr="008F31E5">
              <w:rPr>
                <w:sz w:val="18"/>
                <w:szCs w:val="20"/>
              </w:rPr>
              <w:br/>
            </w:r>
            <w:r w:rsidRPr="008F31E5">
              <w:rPr>
                <w:sz w:val="18"/>
                <w:szCs w:val="20"/>
              </w:rPr>
              <w:lastRenderedPageBreak/>
              <w:t xml:space="preserve">The complexities and costs involved in applying the NTC prototype FLCB model, having regard to the fact that it may not be used as part of HVRR, weigh against moving away from the current PAYGO model. In essence, it’s a question of </w:t>
            </w:r>
            <w:r w:rsidR="00052D7C">
              <w:rPr>
                <w:sz w:val="18"/>
                <w:szCs w:val="20"/>
              </w:rPr>
              <w:t>‘</w:t>
            </w:r>
            <w:r w:rsidRPr="008F31E5">
              <w:rPr>
                <w:sz w:val="18"/>
                <w:szCs w:val="20"/>
              </w:rPr>
              <w:t>the devil you know</w:t>
            </w:r>
            <w:r w:rsidR="00052D7C">
              <w:rPr>
                <w:sz w:val="18"/>
                <w:szCs w:val="20"/>
              </w:rPr>
              <w:t>’</w:t>
            </w:r>
            <w:r w:rsidRPr="008F31E5">
              <w:rPr>
                <w:sz w:val="18"/>
                <w:szCs w:val="20"/>
              </w:rPr>
              <w:t>. In addition if the FLCB devised by the NTC cannot be guaranteed to be utilised in the HVRR process then devoting resources to its implementation is not warranted.</w:t>
            </w:r>
          </w:p>
        </w:tc>
        <w:tc>
          <w:tcPr>
            <w:tcW w:w="3672" w:type="dxa"/>
            <w:gridSpan w:val="2"/>
          </w:tcPr>
          <w:p w14:paraId="02F7083D" w14:textId="0FBE5590" w:rsidR="0070512E" w:rsidRPr="008F31E5" w:rsidRDefault="0070512E" w:rsidP="008F31E5">
            <w:pPr>
              <w:pStyle w:val="BodyCopy"/>
              <w:spacing w:before="60" w:after="60"/>
              <w:rPr>
                <w:sz w:val="18"/>
                <w:szCs w:val="20"/>
              </w:rPr>
            </w:pPr>
            <w:r w:rsidRPr="008F31E5">
              <w:rPr>
                <w:sz w:val="18"/>
                <w:szCs w:val="20"/>
              </w:rPr>
              <w:lastRenderedPageBreak/>
              <w:t>Noted</w:t>
            </w:r>
            <w:r w:rsidR="00321E50">
              <w:rPr>
                <w:sz w:val="18"/>
                <w:szCs w:val="20"/>
              </w:rPr>
              <w:t>.</w:t>
            </w:r>
          </w:p>
        </w:tc>
      </w:tr>
      <w:tr w:rsidR="00F74539" w:rsidRPr="008F31E5" w14:paraId="28D6C381" w14:textId="77777777" w:rsidTr="00FE2CF6">
        <w:tc>
          <w:tcPr>
            <w:tcW w:w="1166" w:type="dxa"/>
          </w:tcPr>
          <w:p w14:paraId="5DE1361E" w14:textId="60B93EC3"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23E615E9" w14:textId="6D49E1D7" w:rsidR="0070512E" w:rsidRPr="008F31E5" w:rsidRDefault="0070512E" w:rsidP="008F31E5">
            <w:pPr>
              <w:pStyle w:val="BodyCopy"/>
              <w:spacing w:before="60" w:after="60"/>
              <w:rPr>
                <w:sz w:val="18"/>
                <w:szCs w:val="20"/>
              </w:rPr>
            </w:pPr>
            <w:r w:rsidRPr="008F31E5">
              <w:rPr>
                <w:sz w:val="18"/>
                <w:szCs w:val="20"/>
              </w:rPr>
              <w:t>1</w:t>
            </w:r>
          </w:p>
        </w:tc>
        <w:tc>
          <w:tcPr>
            <w:tcW w:w="1171" w:type="dxa"/>
          </w:tcPr>
          <w:p w14:paraId="4CE34C88" w14:textId="26863484" w:rsidR="0070512E" w:rsidRPr="008F31E5" w:rsidRDefault="0070512E" w:rsidP="008F31E5">
            <w:pPr>
              <w:pStyle w:val="BodyCopy"/>
              <w:spacing w:before="60" w:after="60"/>
              <w:rPr>
                <w:sz w:val="18"/>
                <w:szCs w:val="20"/>
              </w:rPr>
            </w:pPr>
            <w:r w:rsidRPr="008F31E5">
              <w:rPr>
                <w:sz w:val="18"/>
                <w:szCs w:val="20"/>
              </w:rPr>
              <w:t>Expenditure template and accountability</w:t>
            </w:r>
          </w:p>
        </w:tc>
        <w:tc>
          <w:tcPr>
            <w:tcW w:w="7201" w:type="dxa"/>
          </w:tcPr>
          <w:p w14:paraId="46FBE2C9" w14:textId="53D16BB6" w:rsidR="0070512E" w:rsidRPr="008F31E5" w:rsidRDefault="0070512E" w:rsidP="008F31E5">
            <w:pPr>
              <w:pStyle w:val="BodyCopy"/>
              <w:spacing w:before="60" w:after="60"/>
              <w:rPr>
                <w:sz w:val="18"/>
                <w:szCs w:val="20"/>
              </w:rPr>
            </w:pPr>
            <w:r w:rsidRPr="008F31E5">
              <w:rPr>
                <w:sz w:val="18"/>
                <w:szCs w:val="20"/>
              </w:rPr>
              <w:t>The current expenditure categories provide a known qualification of data that enables the NTC to recommend a determination using the current PAYGO model. While we suggest that introducing further categories nominated under a Forward Looking Cost Base (FLCB) model could reduce some administrative costs, it remains unclear how many benefits could be realised. Until the NTC can rigorously test and evaluate the FLCB model, the PAYGO model should be used as the basis for calculating and recommending the determination.</w:t>
            </w:r>
          </w:p>
        </w:tc>
        <w:tc>
          <w:tcPr>
            <w:tcW w:w="3672" w:type="dxa"/>
            <w:gridSpan w:val="2"/>
          </w:tcPr>
          <w:p w14:paraId="483809A4" w14:textId="45DF7FF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DD387EA" w14:textId="77777777" w:rsidTr="00FE2CF6">
        <w:tc>
          <w:tcPr>
            <w:tcW w:w="1166" w:type="dxa"/>
          </w:tcPr>
          <w:p w14:paraId="5216E70E" w14:textId="3DA9A9B0" w:rsidR="0070512E" w:rsidRPr="008F31E5" w:rsidRDefault="0070512E" w:rsidP="008F31E5">
            <w:pPr>
              <w:pStyle w:val="BodyCopy"/>
              <w:spacing w:before="60" w:after="60"/>
              <w:rPr>
                <w:sz w:val="18"/>
                <w:szCs w:val="20"/>
              </w:rPr>
            </w:pPr>
            <w:r w:rsidRPr="008F31E5">
              <w:rPr>
                <w:sz w:val="18"/>
                <w:szCs w:val="20"/>
              </w:rPr>
              <w:t>The Chartered Institute of Logistics and Transport Australia (CILTA)</w:t>
            </w:r>
          </w:p>
        </w:tc>
        <w:tc>
          <w:tcPr>
            <w:tcW w:w="902" w:type="dxa"/>
          </w:tcPr>
          <w:p w14:paraId="53AAF0F5" w14:textId="4669DD1B" w:rsidR="0070512E" w:rsidRPr="008F31E5" w:rsidRDefault="0070512E" w:rsidP="008F31E5">
            <w:pPr>
              <w:pStyle w:val="BodyCopy"/>
              <w:spacing w:before="60" w:after="60"/>
              <w:rPr>
                <w:sz w:val="18"/>
                <w:szCs w:val="20"/>
              </w:rPr>
            </w:pPr>
            <w:r w:rsidRPr="008F31E5">
              <w:rPr>
                <w:sz w:val="18"/>
                <w:szCs w:val="20"/>
              </w:rPr>
              <w:t>1</w:t>
            </w:r>
          </w:p>
        </w:tc>
        <w:tc>
          <w:tcPr>
            <w:tcW w:w="1171" w:type="dxa"/>
          </w:tcPr>
          <w:p w14:paraId="5FEABDEB" w14:textId="05996C05" w:rsidR="0070512E" w:rsidRPr="008F31E5" w:rsidRDefault="0070512E" w:rsidP="008F31E5">
            <w:pPr>
              <w:pStyle w:val="BodyCopy"/>
              <w:spacing w:before="60" w:after="60"/>
              <w:rPr>
                <w:sz w:val="18"/>
                <w:szCs w:val="20"/>
              </w:rPr>
            </w:pPr>
            <w:r w:rsidRPr="008F31E5">
              <w:rPr>
                <w:sz w:val="18"/>
                <w:szCs w:val="20"/>
              </w:rPr>
              <w:t>Expenditure template and accountability</w:t>
            </w:r>
          </w:p>
        </w:tc>
        <w:tc>
          <w:tcPr>
            <w:tcW w:w="7201" w:type="dxa"/>
          </w:tcPr>
          <w:p w14:paraId="4B84D52F" w14:textId="241E1031" w:rsidR="0070512E" w:rsidRPr="008F31E5" w:rsidRDefault="0070512E" w:rsidP="008F31E5">
            <w:pPr>
              <w:pStyle w:val="BodyCopy"/>
              <w:spacing w:before="60" w:after="60"/>
              <w:rPr>
                <w:sz w:val="18"/>
                <w:szCs w:val="20"/>
              </w:rPr>
            </w:pPr>
            <w:r w:rsidRPr="008F31E5">
              <w:rPr>
                <w:sz w:val="18"/>
                <w:szCs w:val="20"/>
              </w:rPr>
              <w:t>Road depreciation often comes up as an idea in road pricing discussions. However, full road rehabilitation is actually the sum of all depreciation since the last rehabilitation. Periodic maintenance should be separated from rehabilitation in pricing,</w:t>
            </w:r>
          </w:p>
        </w:tc>
        <w:tc>
          <w:tcPr>
            <w:tcW w:w="3672" w:type="dxa"/>
            <w:gridSpan w:val="2"/>
          </w:tcPr>
          <w:p w14:paraId="41F34CBB" w14:textId="2A3DB73F" w:rsidR="0070512E" w:rsidRPr="008F31E5" w:rsidRDefault="0070512E" w:rsidP="008F31E5">
            <w:pPr>
              <w:pStyle w:val="BodyCopy"/>
              <w:spacing w:before="60" w:after="60"/>
              <w:rPr>
                <w:sz w:val="18"/>
                <w:szCs w:val="20"/>
              </w:rPr>
            </w:pPr>
            <w:r w:rsidRPr="008F31E5">
              <w:rPr>
                <w:sz w:val="18"/>
                <w:szCs w:val="20"/>
              </w:rPr>
              <w:t>Expenditure is collected separately but charges are not based on any individual expenditure category, and changes to the charging mechanism fall outside the scope of this charges determination.</w:t>
            </w:r>
          </w:p>
        </w:tc>
      </w:tr>
      <w:tr w:rsidR="00F74539" w:rsidRPr="008F31E5" w14:paraId="4F976B62" w14:textId="77777777" w:rsidTr="00FE2CF6">
        <w:tc>
          <w:tcPr>
            <w:tcW w:w="1166" w:type="dxa"/>
          </w:tcPr>
          <w:p w14:paraId="2711D7A7" w14:textId="30DF9F87" w:rsidR="0070512E" w:rsidRPr="008F31E5" w:rsidRDefault="0070512E" w:rsidP="008F31E5">
            <w:pPr>
              <w:pStyle w:val="BodyCopy"/>
              <w:spacing w:before="60" w:after="60"/>
              <w:rPr>
                <w:sz w:val="18"/>
                <w:szCs w:val="20"/>
              </w:rPr>
            </w:pPr>
            <w:r w:rsidRPr="008F31E5">
              <w:rPr>
                <w:sz w:val="18"/>
                <w:szCs w:val="20"/>
              </w:rPr>
              <w:t>ALC</w:t>
            </w:r>
          </w:p>
        </w:tc>
        <w:tc>
          <w:tcPr>
            <w:tcW w:w="902" w:type="dxa"/>
          </w:tcPr>
          <w:p w14:paraId="728AEB9F" w14:textId="66543324" w:rsidR="0070512E" w:rsidRPr="008F31E5" w:rsidRDefault="0070512E" w:rsidP="008F31E5">
            <w:pPr>
              <w:pStyle w:val="BodyCopy"/>
              <w:spacing w:before="60" w:after="60"/>
              <w:rPr>
                <w:sz w:val="18"/>
                <w:szCs w:val="20"/>
              </w:rPr>
            </w:pPr>
            <w:r w:rsidRPr="008F31E5">
              <w:rPr>
                <w:sz w:val="18"/>
                <w:szCs w:val="20"/>
              </w:rPr>
              <w:t>2</w:t>
            </w:r>
          </w:p>
        </w:tc>
        <w:tc>
          <w:tcPr>
            <w:tcW w:w="1171" w:type="dxa"/>
          </w:tcPr>
          <w:p w14:paraId="567E1751" w14:textId="055CA175"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3E514F46" w14:textId="305FF0EF" w:rsidR="0070512E" w:rsidRPr="008F31E5" w:rsidRDefault="0070512E" w:rsidP="008F31E5">
            <w:pPr>
              <w:pStyle w:val="BodyCopy"/>
              <w:spacing w:before="60" w:after="60"/>
              <w:rPr>
                <w:sz w:val="18"/>
                <w:szCs w:val="20"/>
              </w:rPr>
            </w:pPr>
            <w:r w:rsidRPr="008F31E5">
              <w:rPr>
                <w:sz w:val="18"/>
                <w:szCs w:val="20"/>
              </w:rPr>
              <w:t>Finally, as discussed in Table 6 of the RIS it is appropriate to change the guidelines in relation to toll roads, to require the reporting of government revenue received from tolls so there is full knowledge as to how much heavy vehicles operators have to pay for the use of toll roads.</w:t>
            </w:r>
          </w:p>
        </w:tc>
        <w:tc>
          <w:tcPr>
            <w:tcW w:w="3672" w:type="dxa"/>
            <w:gridSpan w:val="2"/>
          </w:tcPr>
          <w:p w14:paraId="505B09E5" w14:textId="1CABB76B"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5113FA7" w14:textId="77777777" w:rsidTr="00FE2CF6">
        <w:tc>
          <w:tcPr>
            <w:tcW w:w="1166" w:type="dxa"/>
          </w:tcPr>
          <w:p w14:paraId="7EFF7C98" w14:textId="0DF7C8AD"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2A5BC5F0" w14:textId="473AE038" w:rsidR="0070512E" w:rsidRPr="008F31E5" w:rsidRDefault="0070512E" w:rsidP="008F31E5">
            <w:pPr>
              <w:pStyle w:val="BodyCopy"/>
              <w:spacing w:before="60" w:after="60"/>
              <w:rPr>
                <w:sz w:val="18"/>
                <w:szCs w:val="20"/>
              </w:rPr>
            </w:pPr>
            <w:r w:rsidRPr="008F31E5">
              <w:rPr>
                <w:sz w:val="18"/>
                <w:szCs w:val="20"/>
              </w:rPr>
              <w:t>2</w:t>
            </w:r>
          </w:p>
        </w:tc>
        <w:tc>
          <w:tcPr>
            <w:tcW w:w="1171" w:type="dxa"/>
          </w:tcPr>
          <w:p w14:paraId="1DC53F43" w14:textId="7E3E1556"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110FC54E" w14:textId="1801FFF9" w:rsidR="00193E2E" w:rsidRDefault="0070512E" w:rsidP="008F31E5">
            <w:pPr>
              <w:pStyle w:val="BodyCopy"/>
              <w:spacing w:before="60" w:after="60"/>
              <w:rPr>
                <w:sz w:val="18"/>
                <w:szCs w:val="20"/>
              </w:rPr>
            </w:pPr>
            <w:r w:rsidRPr="008F31E5">
              <w:rPr>
                <w:sz w:val="18"/>
                <w:szCs w:val="20"/>
              </w:rPr>
              <w:t>The NTC should not proceed with option 5 in table 6 of the RIS. Toll roads and financing models should not be included in the heavy vehicle cost base.</w:t>
            </w:r>
            <w:r w:rsidRPr="008F31E5">
              <w:rPr>
                <w:sz w:val="18"/>
                <w:szCs w:val="20"/>
              </w:rPr>
              <w:br/>
            </w:r>
            <w:r w:rsidRPr="008F31E5">
              <w:rPr>
                <w:sz w:val="18"/>
                <w:szCs w:val="20"/>
              </w:rPr>
              <w:br/>
              <w:t>If the NTC does proceed with option 5, the cost of toll relief should be allocated to light vehicles in the PAYGO process and not form part of the heavy vehicle cost base.</w:t>
            </w:r>
            <w:r w:rsidRPr="008F31E5">
              <w:rPr>
                <w:sz w:val="18"/>
                <w:szCs w:val="20"/>
              </w:rPr>
              <w:br/>
            </w:r>
            <w:r w:rsidRPr="008F31E5">
              <w:rPr>
                <w:sz w:val="18"/>
                <w:szCs w:val="20"/>
              </w:rPr>
              <w:br/>
              <w:t>The ATA holds significant concerns about the NTC’s preferred option, option 5, because it would</w:t>
            </w:r>
            <w:r w:rsidR="005A378F">
              <w:rPr>
                <w:sz w:val="18"/>
                <w:szCs w:val="20"/>
              </w:rPr>
              <w:t>:</w:t>
            </w:r>
          </w:p>
          <w:p w14:paraId="04DDD1F5" w14:textId="79B0B8D6" w:rsidR="00193E2E" w:rsidRDefault="0070512E" w:rsidP="00193E2E">
            <w:pPr>
              <w:pStyle w:val="BodyCopy"/>
              <w:numPr>
                <w:ilvl w:val="3"/>
                <w:numId w:val="63"/>
              </w:numPr>
              <w:spacing w:before="60" w:after="60"/>
              <w:ind w:left="168" w:hanging="168"/>
              <w:rPr>
                <w:sz w:val="18"/>
                <w:szCs w:val="20"/>
              </w:rPr>
            </w:pPr>
            <w:r w:rsidRPr="008F31E5">
              <w:rPr>
                <w:sz w:val="18"/>
                <w:szCs w:val="20"/>
              </w:rPr>
              <w:t>ignore the existing tolls paid by heavy vehicles, which vastly exceed the marginal cost of their road wear</w:t>
            </w:r>
          </w:p>
          <w:p w14:paraId="3318B439" w14:textId="7F4A2B6C" w:rsidR="0070512E" w:rsidRPr="008F31E5" w:rsidRDefault="0070512E" w:rsidP="00193E2E">
            <w:pPr>
              <w:pStyle w:val="BodyCopy"/>
              <w:numPr>
                <w:ilvl w:val="3"/>
                <w:numId w:val="63"/>
              </w:numPr>
              <w:spacing w:before="60" w:after="60"/>
              <w:ind w:left="168" w:hanging="168"/>
              <w:rPr>
                <w:sz w:val="18"/>
                <w:szCs w:val="20"/>
              </w:rPr>
            </w:pPr>
            <w:r w:rsidRPr="008F31E5">
              <w:rPr>
                <w:sz w:val="18"/>
                <w:szCs w:val="20"/>
              </w:rPr>
              <w:t>could result in light vehicle toll relief paid out of government revenue being inappropriately attributed to heavy vehicles.</w:t>
            </w:r>
          </w:p>
        </w:tc>
        <w:tc>
          <w:tcPr>
            <w:tcW w:w="3672" w:type="dxa"/>
            <w:gridSpan w:val="2"/>
          </w:tcPr>
          <w:p w14:paraId="55C6C21A" w14:textId="4A8E75F1" w:rsidR="0070512E" w:rsidRPr="008F31E5" w:rsidRDefault="0070512E" w:rsidP="008F31E5">
            <w:pPr>
              <w:pStyle w:val="BodyCopy"/>
              <w:spacing w:before="60" w:after="60"/>
              <w:rPr>
                <w:sz w:val="18"/>
                <w:szCs w:val="20"/>
              </w:rPr>
            </w:pPr>
            <w:r w:rsidRPr="008F31E5">
              <w:rPr>
                <w:sz w:val="18"/>
                <w:szCs w:val="20"/>
              </w:rPr>
              <w:t xml:space="preserve">Noted. The level of tolls set by private sector operators is out of scope for this determination </w:t>
            </w:r>
            <w:r w:rsidR="00494648">
              <w:rPr>
                <w:sz w:val="18"/>
                <w:szCs w:val="20"/>
              </w:rPr>
              <w:t>because</w:t>
            </w:r>
            <w:r w:rsidR="00494648" w:rsidRPr="008F31E5">
              <w:rPr>
                <w:sz w:val="18"/>
                <w:szCs w:val="20"/>
              </w:rPr>
              <w:t xml:space="preserve"> </w:t>
            </w:r>
            <w:r w:rsidRPr="008F31E5">
              <w:rPr>
                <w:sz w:val="18"/>
                <w:szCs w:val="20"/>
              </w:rPr>
              <w:t>these matters are generally determined through contractual arrangements between governments and the toll road owner/operator. The focus of this workstream is to achieve recovery of governments</w:t>
            </w:r>
            <w:r w:rsidR="00494648">
              <w:rPr>
                <w:sz w:val="18"/>
                <w:szCs w:val="20"/>
              </w:rPr>
              <w:t>’</w:t>
            </w:r>
            <w:r w:rsidRPr="008F31E5">
              <w:rPr>
                <w:sz w:val="18"/>
                <w:szCs w:val="20"/>
              </w:rPr>
              <w:t xml:space="preserve"> net costs on roads. As noted in the C-RIS, governments may incur costs on tolled roads, without which the tolls might otherwise have been set at a higher level to achieve recovery of that road</w:t>
            </w:r>
            <w:r w:rsidR="00494648">
              <w:rPr>
                <w:sz w:val="18"/>
                <w:szCs w:val="20"/>
              </w:rPr>
              <w:t>’</w:t>
            </w:r>
            <w:r w:rsidRPr="008F31E5">
              <w:rPr>
                <w:sz w:val="18"/>
                <w:szCs w:val="20"/>
              </w:rPr>
              <w:t xml:space="preserve">s costs. However, the NTC accepts that light vehicle toll relief should not be included in </w:t>
            </w:r>
            <w:r w:rsidRPr="008F31E5">
              <w:rPr>
                <w:sz w:val="18"/>
                <w:szCs w:val="20"/>
              </w:rPr>
              <w:lastRenderedPageBreak/>
              <w:t>governments</w:t>
            </w:r>
            <w:r w:rsidR="00896D7E">
              <w:rPr>
                <w:sz w:val="18"/>
                <w:szCs w:val="20"/>
              </w:rPr>
              <w:t>’</w:t>
            </w:r>
            <w:r w:rsidRPr="008F31E5">
              <w:rPr>
                <w:sz w:val="18"/>
                <w:szCs w:val="20"/>
              </w:rPr>
              <w:t xml:space="preserve"> costs for toll roads (noting that such expenditure has not been reported by any jurisdiction in their 2020</w:t>
            </w:r>
            <w:r w:rsidR="00052D7C">
              <w:rPr>
                <w:sz w:val="18"/>
                <w:szCs w:val="20"/>
              </w:rPr>
              <w:t>–</w:t>
            </w:r>
            <w:r w:rsidRPr="008F31E5">
              <w:rPr>
                <w:sz w:val="18"/>
                <w:szCs w:val="20"/>
              </w:rPr>
              <w:t>21 expenditure return) and the NTC can clarify this in future versions of the expenditure guidelines.</w:t>
            </w:r>
          </w:p>
        </w:tc>
      </w:tr>
      <w:tr w:rsidR="00F74539" w:rsidRPr="008F31E5" w14:paraId="35DDBD81" w14:textId="77777777" w:rsidTr="00FE2CF6">
        <w:tc>
          <w:tcPr>
            <w:tcW w:w="1166" w:type="dxa"/>
          </w:tcPr>
          <w:p w14:paraId="41C3CC33" w14:textId="75DA4506"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0F7D94E6" w14:textId="38B88CA6" w:rsidR="0070512E" w:rsidRPr="008F31E5" w:rsidRDefault="0070512E" w:rsidP="008F31E5">
            <w:pPr>
              <w:pStyle w:val="BodyCopy"/>
              <w:spacing w:before="60" w:after="60"/>
              <w:rPr>
                <w:sz w:val="18"/>
                <w:szCs w:val="20"/>
              </w:rPr>
            </w:pPr>
            <w:r w:rsidRPr="008F31E5">
              <w:rPr>
                <w:sz w:val="18"/>
                <w:szCs w:val="20"/>
              </w:rPr>
              <w:t>2</w:t>
            </w:r>
          </w:p>
        </w:tc>
        <w:tc>
          <w:tcPr>
            <w:tcW w:w="1171" w:type="dxa"/>
          </w:tcPr>
          <w:p w14:paraId="5FC60342" w14:textId="3E5D8112"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4A77F4A9" w14:textId="1071AD06" w:rsidR="0070512E" w:rsidRPr="008F31E5" w:rsidRDefault="0070512E" w:rsidP="008F31E5">
            <w:pPr>
              <w:pStyle w:val="BodyCopy"/>
              <w:spacing w:before="60" w:after="60"/>
              <w:rPr>
                <w:sz w:val="18"/>
                <w:szCs w:val="20"/>
              </w:rPr>
            </w:pPr>
            <w:r w:rsidRPr="008F31E5">
              <w:rPr>
                <w:sz w:val="18"/>
                <w:szCs w:val="20"/>
              </w:rPr>
              <w:t>Agree that this option is most consistent with PAYGO.</w:t>
            </w:r>
          </w:p>
        </w:tc>
        <w:tc>
          <w:tcPr>
            <w:tcW w:w="3672" w:type="dxa"/>
            <w:gridSpan w:val="2"/>
          </w:tcPr>
          <w:p w14:paraId="76F1D0A2" w14:textId="0AEA1CC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DA6F9C2" w14:textId="77777777" w:rsidTr="00FE2CF6">
        <w:tc>
          <w:tcPr>
            <w:tcW w:w="1166" w:type="dxa"/>
          </w:tcPr>
          <w:p w14:paraId="16BBD203" w14:textId="5196EF84"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3E746FE4" w14:textId="1AF8A103" w:rsidR="0070512E" w:rsidRPr="008F31E5" w:rsidRDefault="0070512E" w:rsidP="008F31E5">
            <w:pPr>
              <w:pStyle w:val="BodyCopy"/>
              <w:spacing w:before="60" w:after="60"/>
              <w:rPr>
                <w:sz w:val="18"/>
                <w:szCs w:val="20"/>
              </w:rPr>
            </w:pPr>
            <w:r w:rsidRPr="008F31E5">
              <w:rPr>
                <w:sz w:val="18"/>
                <w:szCs w:val="20"/>
              </w:rPr>
              <w:t>2</w:t>
            </w:r>
          </w:p>
        </w:tc>
        <w:tc>
          <w:tcPr>
            <w:tcW w:w="1171" w:type="dxa"/>
          </w:tcPr>
          <w:p w14:paraId="13F55D84" w14:textId="74EE62F8"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471142B5" w14:textId="3477D765" w:rsidR="0070512E" w:rsidRPr="008F31E5" w:rsidRDefault="0070512E" w:rsidP="008F31E5">
            <w:pPr>
              <w:pStyle w:val="BodyCopy"/>
              <w:spacing w:before="60" w:after="60"/>
              <w:rPr>
                <w:sz w:val="18"/>
                <w:szCs w:val="20"/>
              </w:rPr>
            </w:pPr>
            <w:r w:rsidRPr="008F31E5">
              <w:rPr>
                <w:sz w:val="18"/>
                <w:szCs w:val="20"/>
              </w:rPr>
              <w:t>NatRoad does not support Option 5 in Table 6 as the best way to treat innovative funding and financing under PAYGO</w:t>
            </w:r>
            <w:r w:rsidR="005A378F">
              <w:rPr>
                <w:sz w:val="18"/>
                <w:szCs w:val="20"/>
              </w:rPr>
              <w:t xml:space="preserve"> </w:t>
            </w:r>
            <w:r w:rsidRPr="008F31E5">
              <w:rPr>
                <w:sz w:val="18"/>
                <w:szCs w:val="20"/>
              </w:rPr>
              <w:t>...</w:t>
            </w:r>
            <w:r w:rsidRPr="008F31E5">
              <w:rPr>
                <w:sz w:val="18"/>
                <w:szCs w:val="20"/>
              </w:rPr>
              <w:br/>
            </w:r>
            <w:r w:rsidRPr="008F31E5">
              <w:rPr>
                <w:sz w:val="18"/>
                <w:szCs w:val="20"/>
              </w:rPr>
              <w:br/>
              <w:t xml:space="preserve">NatRoad’s view is that the manner of identifying the </w:t>
            </w:r>
            <w:r w:rsidR="00052D7C">
              <w:rPr>
                <w:sz w:val="18"/>
                <w:szCs w:val="20"/>
              </w:rPr>
              <w:t>‘</w:t>
            </w:r>
            <w:r w:rsidRPr="008F31E5">
              <w:rPr>
                <w:sz w:val="18"/>
                <w:szCs w:val="20"/>
              </w:rPr>
              <w:t>net cost</w:t>
            </w:r>
            <w:r w:rsidR="00052D7C">
              <w:rPr>
                <w:sz w:val="18"/>
                <w:szCs w:val="20"/>
              </w:rPr>
              <w:t>’</w:t>
            </w:r>
            <w:r w:rsidRPr="008F31E5">
              <w:rPr>
                <w:sz w:val="18"/>
                <w:szCs w:val="20"/>
              </w:rPr>
              <w:t xml:space="preserve"> to government at any particular time would be difficult and variable. This is acknowledged in the CRIS where the notes in Option 5 indicate </w:t>
            </w:r>
            <w:r w:rsidR="00052D7C">
              <w:rPr>
                <w:sz w:val="18"/>
                <w:szCs w:val="20"/>
              </w:rPr>
              <w:t>‘</w:t>
            </w:r>
            <w:r w:rsidRPr="008F31E5">
              <w:rPr>
                <w:sz w:val="18"/>
                <w:szCs w:val="20"/>
              </w:rPr>
              <w:t>Some types of innovative funding and financing will be difficult to foresee and/or develop detailed guidance for ahead of time.</w:t>
            </w:r>
            <w:r w:rsidR="00052D7C">
              <w:rPr>
                <w:sz w:val="18"/>
                <w:szCs w:val="20"/>
              </w:rPr>
              <w:t>’</w:t>
            </w:r>
            <w:r w:rsidRPr="008F31E5">
              <w:rPr>
                <w:sz w:val="18"/>
                <w:szCs w:val="20"/>
              </w:rPr>
              <w:br/>
            </w:r>
            <w:r w:rsidRPr="008F31E5">
              <w:rPr>
                <w:sz w:val="18"/>
                <w:szCs w:val="20"/>
              </w:rPr>
              <w:br/>
              <w:t xml:space="preserve">Further, the data and its impact on the cost base is not able to be considered as part of the CRIS: </w:t>
            </w:r>
            <w:r w:rsidR="00052D7C">
              <w:rPr>
                <w:sz w:val="18"/>
                <w:szCs w:val="20"/>
              </w:rPr>
              <w:t>‘</w:t>
            </w:r>
            <w:r w:rsidRPr="008F31E5">
              <w:rPr>
                <w:sz w:val="18"/>
                <w:szCs w:val="20"/>
              </w:rPr>
              <w:t>It is not possible to estimate by how much the proposed approach under option 5 would change the heavy vehicle cost base going forward.</w:t>
            </w:r>
            <w:r w:rsidR="00052D7C">
              <w:rPr>
                <w:sz w:val="18"/>
                <w:szCs w:val="20"/>
              </w:rPr>
              <w:t>’</w:t>
            </w:r>
            <w:r w:rsidRPr="008F31E5">
              <w:rPr>
                <w:sz w:val="18"/>
                <w:szCs w:val="20"/>
              </w:rPr>
              <w:t xml:space="preserve"> NatRoad cannot therefore support a proposal designed to further allocate costs to the industry in a manner, and to an extent, not able to be properly assessed or calculated and therefore our answer to question 2 is </w:t>
            </w:r>
            <w:r w:rsidR="00052D7C">
              <w:rPr>
                <w:sz w:val="18"/>
                <w:szCs w:val="20"/>
              </w:rPr>
              <w:t>‘</w:t>
            </w:r>
            <w:r w:rsidRPr="008F31E5">
              <w:rPr>
                <w:sz w:val="18"/>
                <w:szCs w:val="20"/>
              </w:rPr>
              <w:t>No.</w:t>
            </w:r>
            <w:r w:rsidR="00052D7C">
              <w:rPr>
                <w:sz w:val="18"/>
                <w:szCs w:val="20"/>
              </w:rPr>
              <w:t>’</w:t>
            </w:r>
          </w:p>
        </w:tc>
        <w:tc>
          <w:tcPr>
            <w:tcW w:w="3672" w:type="dxa"/>
            <w:gridSpan w:val="2"/>
          </w:tcPr>
          <w:p w14:paraId="7C38E49B" w14:textId="525F9182" w:rsidR="0070512E" w:rsidRPr="008F31E5" w:rsidRDefault="0070512E" w:rsidP="008F31E5">
            <w:pPr>
              <w:pStyle w:val="BodyCopy"/>
              <w:spacing w:before="60" w:after="60"/>
              <w:rPr>
                <w:sz w:val="18"/>
                <w:szCs w:val="20"/>
              </w:rPr>
            </w:pPr>
            <w:r w:rsidRPr="008F31E5">
              <w:rPr>
                <w:sz w:val="18"/>
                <w:szCs w:val="20"/>
              </w:rPr>
              <w:t>Guidance for particular projects may need to be developed to take into account unique circumstances. The recommended high-level principles provide guidance on the intended approach to be developed for these specific circumstances. None of the technical changes in the C-RIS can be quantified precisely in future years since they will depend on unknown future expenditure and usage. However, the intention of the proposal is to capture any government costs on roads (less any revenue received by governments from them).</w:t>
            </w:r>
          </w:p>
        </w:tc>
      </w:tr>
      <w:tr w:rsidR="00F74539" w:rsidRPr="008F31E5" w14:paraId="34EE1E79" w14:textId="77777777" w:rsidTr="00FE2CF6">
        <w:tc>
          <w:tcPr>
            <w:tcW w:w="1166" w:type="dxa"/>
          </w:tcPr>
          <w:p w14:paraId="79C84D3B" w14:textId="266F6A01"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1447D4C3" w14:textId="4F45A85C" w:rsidR="0070512E" w:rsidRPr="008F31E5" w:rsidRDefault="0070512E" w:rsidP="008F31E5">
            <w:pPr>
              <w:pStyle w:val="BodyCopy"/>
              <w:spacing w:before="60" w:after="60"/>
              <w:rPr>
                <w:sz w:val="18"/>
                <w:szCs w:val="20"/>
              </w:rPr>
            </w:pPr>
            <w:r w:rsidRPr="008F31E5">
              <w:rPr>
                <w:sz w:val="18"/>
                <w:szCs w:val="20"/>
              </w:rPr>
              <w:t>2</w:t>
            </w:r>
          </w:p>
        </w:tc>
        <w:tc>
          <w:tcPr>
            <w:tcW w:w="1171" w:type="dxa"/>
          </w:tcPr>
          <w:p w14:paraId="22B9E7ED" w14:textId="26774BB9"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51033395" w14:textId="5FC8C60B" w:rsidR="0070512E" w:rsidRPr="008F31E5" w:rsidRDefault="0070512E" w:rsidP="008F31E5">
            <w:pPr>
              <w:pStyle w:val="BodyCopy"/>
              <w:spacing w:before="60" w:after="60"/>
              <w:rPr>
                <w:sz w:val="18"/>
                <w:szCs w:val="20"/>
              </w:rPr>
            </w:pPr>
            <w:r w:rsidRPr="008F31E5">
              <w:rPr>
                <w:sz w:val="18"/>
                <w:szCs w:val="20"/>
              </w:rPr>
              <w:t>Option 5 in Table 6 presents a strong narrative justifying the benefits of changing the guidelines to properly account for tolled roads and any other types of innovative funding or finance models used by governments that change the timing or nature of expenditure incurred or revenues received by government. Net road related costs incurred by government would be identified in this option and could be included in the PAYGO cost recovery system. This option represents greater accuracy as a treatment approach for known innovative funding and finance; however, we note that none of the options presented can address all types of innovative funding and financing. As new innovative funding and financing approaches are identified, the NHVR recommends that the approaches are reviewed and considered for inclusion.</w:t>
            </w:r>
          </w:p>
        </w:tc>
        <w:tc>
          <w:tcPr>
            <w:tcW w:w="3672" w:type="dxa"/>
            <w:gridSpan w:val="2"/>
          </w:tcPr>
          <w:p w14:paraId="02DEB5B9" w14:textId="375DF911"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58C9543" w14:textId="77777777" w:rsidTr="00FE2CF6">
        <w:tc>
          <w:tcPr>
            <w:tcW w:w="1166" w:type="dxa"/>
          </w:tcPr>
          <w:p w14:paraId="2E13DE81" w14:textId="1B42740B"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4B4BBD79" w14:textId="3E58BB12" w:rsidR="0070512E" w:rsidRPr="008F31E5" w:rsidRDefault="0070512E" w:rsidP="008F31E5">
            <w:pPr>
              <w:pStyle w:val="BodyCopy"/>
              <w:spacing w:before="60" w:after="60"/>
              <w:rPr>
                <w:sz w:val="18"/>
                <w:szCs w:val="20"/>
              </w:rPr>
            </w:pPr>
            <w:r w:rsidRPr="008F31E5">
              <w:rPr>
                <w:sz w:val="18"/>
                <w:szCs w:val="20"/>
              </w:rPr>
              <w:t>3</w:t>
            </w:r>
          </w:p>
        </w:tc>
        <w:tc>
          <w:tcPr>
            <w:tcW w:w="1171" w:type="dxa"/>
          </w:tcPr>
          <w:p w14:paraId="33B0B728" w14:textId="3BE468DA"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 xml:space="preserve">reatment of innovative funding and </w:t>
            </w:r>
            <w:r w:rsidRPr="008F31E5">
              <w:rPr>
                <w:sz w:val="18"/>
                <w:szCs w:val="20"/>
              </w:rPr>
              <w:lastRenderedPageBreak/>
              <w:t>financing methods</w:t>
            </w:r>
          </w:p>
        </w:tc>
        <w:tc>
          <w:tcPr>
            <w:tcW w:w="7201" w:type="dxa"/>
          </w:tcPr>
          <w:p w14:paraId="1D6F3819" w14:textId="346275A1" w:rsidR="0070512E" w:rsidRPr="008F31E5" w:rsidRDefault="0070512E" w:rsidP="008F31E5">
            <w:pPr>
              <w:pStyle w:val="BodyCopy"/>
              <w:spacing w:before="60" w:after="60"/>
              <w:rPr>
                <w:sz w:val="18"/>
                <w:szCs w:val="20"/>
              </w:rPr>
            </w:pPr>
            <w:r w:rsidRPr="008F31E5">
              <w:rPr>
                <w:sz w:val="18"/>
                <w:szCs w:val="20"/>
              </w:rPr>
              <w:lastRenderedPageBreak/>
              <w:t>No opinion.</w:t>
            </w:r>
          </w:p>
        </w:tc>
        <w:tc>
          <w:tcPr>
            <w:tcW w:w="3672" w:type="dxa"/>
            <w:gridSpan w:val="2"/>
          </w:tcPr>
          <w:p w14:paraId="4EC7E442" w14:textId="2B28CB5B"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8569CC4" w14:textId="77777777" w:rsidTr="00FE2CF6">
        <w:tc>
          <w:tcPr>
            <w:tcW w:w="1166" w:type="dxa"/>
          </w:tcPr>
          <w:p w14:paraId="5D470AA6" w14:textId="5F6A8F01"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09705DF2" w14:textId="6D0D7FB9" w:rsidR="0070512E" w:rsidRPr="008F31E5" w:rsidRDefault="0070512E" w:rsidP="008F31E5">
            <w:pPr>
              <w:pStyle w:val="BodyCopy"/>
              <w:spacing w:before="60" w:after="60"/>
              <w:rPr>
                <w:sz w:val="18"/>
                <w:szCs w:val="20"/>
              </w:rPr>
            </w:pPr>
            <w:r w:rsidRPr="008F31E5">
              <w:rPr>
                <w:sz w:val="18"/>
                <w:szCs w:val="20"/>
              </w:rPr>
              <w:t>3</w:t>
            </w:r>
          </w:p>
        </w:tc>
        <w:tc>
          <w:tcPr>
            <w:tcW w:w="1171" w:type="dxa"/>
          </w:tcPr>
          <w:p w14:paraId="36D0C603" w14:textId="452D4BFB"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0249244E" w14:textId="40476EF7" w:rsidR="0070512E" w:rsidRPr="008F31E5" w:rsidRDefault="0070512E" w:rsidP="008F31E5">
            <w:pPr>
              <w:pStyle w:val="BodyCopy"/>
              <w:spacing w:before="60" w:after="60"/>
              <w:rPr>
                <w:sz w:val="18"/>
                <w:szCs w:val="20"/>
              </w:rPr>
            </w:pPr>
            <w:r w:rsidRPr="008F31E5">
              <w:rPr>
                <w:sz w:val="18"/>
                <w:szCs w:val="20"/>
              </w:rPr>
              <w:t>The better view, we contend, would be to exclude from the cost base all road financing costs and all revenue raised via tolls or through the agency of tailored funding mechanisms. This is our response to Question 3.</w:t>
            </w:r>
          </w:p>
        </w:tc>
        <w:tc>
          <w:tcPr>
            <w:tcW w:w="3672" w:type="dxa"/>
            <w:gridSpan w:val="2"/>
          </w:tcPr>
          <w:p w14:paraId="4B027530" w14:textId="570E3527"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B9AC984" w14:textId="77777777" w:rsidTr="00FE2CF6">
        <w:tc>
          <w:tcPr>
            <w:tcW w:w="1166" w:type="dxa"/>
          </w:tcPr>
          <w:p w14:paraId="6DC8CC03" w14:textId="15FCFE5F"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4B4793DD" w14:textId="39E9C269" w:rsidR="0070512E" w:rsidRPr="008F31E5" w:rsidRDefault="0070512E" w:rsidP="008F31E5">
            <w:pPr>
              <w:pStyle w:val="BodyCopy"/>
              <w:spacing w:before="60" w:after="60"/>
              <w:rPr>
                <w:sz w:val="18"/>
                <w:szCs w:val="20"/>
              </w:rPr>
            </w:pPr>
            <w:r w:rsidRPr="008F31E5">
              <w:rPr>
                <w:sz w:val="18"/>
                <w:szCs w:val="20"/>
              </w:rPr>
              <w:t>3</w:t>
            </w:r>
          </w:p>
        </w:tc>
        <w:tc>
          <w:tcPr>
            <w:tcW w:w="1171" w:type="dxa"/>
          </w:tcPr>
          <w:p w14:paraId="14005A08" w14:textId="27C6EE1D"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6C8AA917" w14:textId="0F78CC88" w:rsidR="0070512E" w:rsidRPr="008F31E5" w:rsidRDefault="0070512E" w:rsidP="008F31E5">
            <w:pPr>
              <w:pStyle w:val="BodyCopy"/>
              <w:spacing w:before="60" w:after="60"/>
              <w:rPr>
                <w:sz w:val="18"/>
                <w:szCs w:val="20"/>
              </w:rPr>
            </w:pPr>
            <w:r w:rsidRPr="008F31E5">
              <w:rPr>
                <w:sz w:val="18"/>
                <w:szCs w:val="20"/>
              </w:rPr>
              <w:t>The NHVR is not in a position to offer any further views on treatment of innovative funding and finance.</w:t>
            </w:r>
          </w:p>
        </w:tc>
        <w:tc>
          <w:tcPr>
            <w:tcW w:w="3672" w:type="dxa"/>
            <w:gridSpan w:val="2"/>
          </w:tcPr>
          <w:p w14:paraId="1E85BC70" w14:textId="571A03D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DDA3721" w14:textId="77777777" w:rsidTr="00FE2CF6">
        <w:tc>
          <w:tcPr>
            <w:tcW w:w="1166" w:type="dxa"/>
          </w:tcPr>
          <w:p w14:paraId="4C31829A" w14:textId="25B7304B"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226C29E2" w14:textId="57D406B1" w:rsidR="0070512E" w:rsidRPr="008F31E5" w:rsidRDefault="0070512E" w:rsidP="008F31E5">
            <w:pPr>
              <w:pStyle w:val="BodyCopy"/>
              <w:spacing w:before="60" w:after="60"/>
              <w:rPr>
                <w:sz w:val="18"/>
                <w:szCs w:val="20"/>
              </w:rPr>
            </w:pPr>
            <w:r w:rsidRPr="008F31E5">
              <w:rPr>
                <w:sz w:val="18"/>
                <w:szCs w:val="20"/>
              </w:rPr>
              <w:t>4</w:t>
            </w:r>
          </w:p>
        </w:tc>
        <w:tc>
          <w:tcPr>
            <w:tcW w:w="1171" w:type="dxa"/>
          </w:tcPr>
          <w:p w14:paraId="2A8F9812" w14:textId="44A6C3AA"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61C9C3A1" w14:textId="284B25DF" w:rsidR="0070512E" w:rsidRPr="008F31E5" w:rsidRDefault="0070512E" w:rsidP="008F31E5">
            <w:pPr>
              <w:pStyle w:val="BodyCopy"/>
              <w:spacing w:before="60" w:after="60"/>
              <w:rPr>
                <w:sz w:val="18"/>
                <w:szCs w:val="20"/>
              </w:rPr>
            </w:pPr>
            <w:r w:rsidRPr="008F31E5">
              <w:rPr>
                <w:sz w:val="18"/>
                <w:szCs w:val="20"/>
              </w:rPr>
              <w:t>Only if no HVs can use the road(s) in question.</w:t>
            </w:r>
          </w:p>
        </w:tc>
        <w:tc>
          <w:tcPr>
            <w:tcW w:w="3672" w:type="dxa"/>
            <w:gridSpan w:val="2"/>
          </w:tcPr>
          <w:p w14:paraId="1462D035" w14:textId="1C13284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CB92373" w14:textId="77777777" w:rsidTr="00FE2CF6">
        <w:tc>
          <w:tcPr>
            <w:tcW w:w="1166" w:type="dxa"/>
          </w:tcPr>
          <w:p w14:paraId="2781B778" w14:textId="7FC48668"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36683F33" w14:textId="7C119840" w:rsidR="0070512E" w:rsidRPr="008F31E5" w:rsidRDefault="0070512E" w:rsidP="008F31E5">
            <w:pPr>
              <w:pStyle w:val="BodyCopy"/>
              <w:spacing w:before="60" w:after="60"/>
              <w:rPr>
                <w:sz w:val="18"/>
                <w:szCs w:val="20"/>
              </w:rPr>
            </w:pPr>
            <w:r w:rsidRPr="008F31E5">
              <w:rPr>
                <w:sz w:val="18"/>
                <w:szCs w:val="20"/>
              </w:rPr>
              <w:t>4</w:t>
            </w:r>
          </w:p>
        </w:tc>
        <w:tc>
          <w:tcPr>
            <w:tcW w:w="1171" w:type="dxa"/>
          </w:tcPr>
          <w:p w14:paraId="584D61BD" w14:textId="4E677813"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2BAB842D" w14:textId="65F892C8" w:rsidR="0070512E" w:rsidRPr="008F31E5" w:rsidRDefault="0070512E" w:rsidP="008F31E5">
            <w:pPr>
              <w:pStyle w:val="BodyCopy"/>
              <w:spacing w:before="60" w:after="60"/>
              <w:rPr>
                <w:sz w:val="18"/>
                <w:szCs w:val="20"/>
              </w:rPr>
            </w:pPr>
            <w:r w:rsidRPr="008F31E5">
              <w:rPr>
                <w:sz w:val="18"/>
                <w:szCs w:val="20"/>
              </w:rPr>
              <w:t>The answer to question 4 is yes: put simply heavy vehicles should not have to pay for the cost of roads that they are prohibited from using and/or where they pay for the use of that road via a toll. In addition, roads that various classes of truck are unable to access should not be paid for either: the whole basis of the system is intended to be one of user pays. It is therefore axiomatic that if use is proscribed then payment should not be required.</w:t>
            </w:r>
          </w:p>
        </w:tc>
        <w:tc>
          <w:tcPr>
            <w:tcW w:w="3672" w:type="dxa"/>
            <w:gridSpan w:val="2"/>
          </w:tcPr>
          <w:p w14:paraId="6DFA7721" w14:textId="25FDE4D8" w:rsidR="0070512E" w:rsidRPr="008F31E5" w:rsidRDefault="0070512E" w:rsidP="008F31E5">
            <w:pPr>
              <w:pStyle w:val="BodyCopy"/>
              <w:spacing w:before="60" w:after="60"/>
              <w:rPr>
                <w:sz w:val="18"/>
                <w:szCs w:val="20"/>
              </w:rPr>
            </w:pPr>
            <w:r w:rsidRPr="008F31E5">
              <w:rPr>
                <w:sz w:val="18"/>
                <w:szCs w:val="20"/>
              </w:rPr>
              <w:t>Noted. In principle this change could be factored into the expenditure guidelines, but it is not clear how readily road agencies can easily identify such expenditure. Even if this change did occur, there is no way to verify how much effect it would have under current auditing arrangements.</w:t>
            </w:r>
          </w:p>
        </w:tc>
      </w:tr>
      <w:tr w:rsidR="00F74539" w:rsidRPr="008F31E5" w14:paraId="5CF7B099" w14:textId="77777777" w:rsidTr="00FE2CF6">
        <w:tc>
          <w:tcPr>
            <w:tcW w:w="1166" w:type="dxa"/>
          </w:tcPr>
          <w:p w14:paraId="2591D35D" w14:textId="316549D4"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66664F6E" w14:textId="4A0ADB4A" w:rsidR="0070512E" w:rsidRPr="008F31E5" w:rsidRDefault="0070512E" w:rsidP="008F31E5">
            <w:pPr>
              <w:pStyle w:val="BodyCopy"/>
              <w:spacing w:before="60" w:after="60"/>
              <w:rPr>
                <w:sz w:val="18"/>
                <w:szCs w:val="20"/>
              </w:rPr>
            </w:pPr>
            <w:r w:rsidRPr="008F31E5">
              <w:rPr>
                <w:sz w:val="18"/>
                <w:szCs w:val="20"/>
              </w:rPr>
              <w:t>4</w:t>
            </w:r>
          </w:p>
        </w:tc>
        <w:tc>
          <w:tcPr>
            <w:tcW w:w="1171" w:type="dxa"/>
          </w:tcPr>
          <w:p w14:paraId="7E021516" w14:textId="5B89492B"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t</w:t>
            </w:r>
            <w:r w:rsidRPr="008F31E5">
              <w:rPr>
                <w:sz w:val="18"/>
                <w:szCs w:val="20"/>
              </w:rPr>
              <w:t>reatment of innovative funding and financing methods</w:t>
            </w:r>
          </w:p>
        </w:tc>
        <w:tc>
          <w:tcPr>
            <w:tcW w:w="7201" w:type="dxa"/>
          </w:tcPr>
          <w:p w14:paraId="30EFDCF0" w14:textId="0C23FA65" w:rsidR="0070512E" w:rsidRPr="008F31E5" w:rsidRDefault="0070512E" w:rsidP="008F31E5">
            <w:pPr>
              <w:pStyle w:val="BodyCopy"/>
              <w:spacing w:before="60" w:after="60"/>
              <w:rPr>
                <w:sz w:val="18"/>
                <w:szCs w:val="20"/>
              </w:rPr>
            </w:pPr>
            <w:r w:rsidRPr="008F31E5">
              <w:rPr>
                <w:sz w:val="18"/>
                <w:szCs w:val="20"/>
              </w:rPr>
              <w:t>The NHVR supports in principle the notion to amend the guidelines in cases where roads have been identified that heavy vehicles cannot use. However, it is critical that, before expenditure guidelines are amended to remove a particular road, the said road is in fact a road that excludes heavy vehicle usage.</w:t>
            </w:r>
            <w:r w:rsidRPr="008F31E5">
              <w:rPr>
                <w:sz w:val="18"/>
                <w:szCs w:val="20"/>
              </w:rPr>
              <w:br/>
            </w:r>
            <w:r w:rsidRPr="008F31E5">
              <w:rPr>
                <w:sz w:val="18"/>
                <w:szCs w:val="20"/>
              </w:rPr>
              <w:br/>
              <w:t>For example, the C-RIS suggests Pennant Hills Road (a 15-kilometre section of the Cumberland Highway) should not be reported for reasons stated in Question 4. However, one article suggests Pennant Hills Road supports a significant number (approximately 5,000) heavy vehicle movements per day. Further, Pennant Hills Road is designated for up to 25/26m B-Double Route (see Figure 1 for details).</w:t>
            </w:r>
          </w:p>
        </w:tc>
        <w:tc>
          <w:tcPr>
            <w:tcW w:w="3672" w:type="dxa"/>
            <w:gridSpan w:val="2"/>
          </w:tcPr>
          <w:p w14:paraId="7CFBA50C" w14:textId="10081A5C" w:rsidR="0070512E" w:rsidRPr="008F31E5" w:rsidRDefault="0070512E" w:rsidP="008F31E5">
            <w:pPr>
              <w:pStyle w:val="BodyCopy"/>
              <w:spacing w:before="60" w:after="60"/>
              <w:rPr>
                <w:sz w:val="18"/>
                <w:szCs w:val="20"/>
              </w:rPr>
            </w:pPr>
            <w:r w:rsidRPr="008F31E5">
              <w:rPr>
                <w:sz w:val="18"/>
                <w:szCs w:val="20"/>
              </w:rPr>
              <w:t xml:space="preserve">Noted. This specific example (Pennant Hills Road) was raised by several industry participants at workshops held prior to the release of the </w:t>
            </w:r>
            <w:r w:rsidR="009F0713">
              <w:rPr>
                <w:sz w:val="18"/>
                <w:szCs w:val="20"/>
              </w:rPr>
              <w:t>c</w:t>
            </w:r>
            <w:r w:rsidRPr="008F31E5">
              <w:rPr>
                <w:sz w:val="18"/>
                <w:szCs w:val="20"/>
              </w:rPr>
              <w:t>onsultation RIS. The NTC acknowledges that certain heavy vehicles are permitted to use Pennant Hills Road, as indicated by the NHVR, including: a truck or bus 12.5 m long or less and 2.8 m clearance height or less; a truck or bus exceeding these dimensions but with a delivery or pick</w:t>
            </w:r>
            <w:r w:rsidR="009F0713">
              <w:rPr>
                <w:sz w:val="18"/>
                <w:szCs w:val="20"/>
              </w:rPr>
              <w:t>-</w:t>
            </w:r>
            <w:r w:rsidRPr="008F31E5">
              <w:rPr>
                <w:sz w:val="18"/>
                <w:szCs w:val="20"/>
              </w:rPr>
              <w:t xml:space="preserve">up destination only accessible by Pennant Hills </w:t>
            </w:r>
            <w:r w:rsidRPr="008F31E5">
              <w:rPr>
                <w:sz w:val="18"/>
                <w:szCs w:val="20"/>
              </w:rPr>
              <w:lastRenderedPageBreak/>
              <w:t>Road; vehicles transporting a placard load of dangerous goods; and/or an oversize vehicle operating under a Class 1 permit or notice approved to use Pennant Hills Road.</w:t>
            </w:r>
            <w:r w:rsidRPr="008F31E5">
              <w:rPr>
                <w:sz w:val="18"/>
                <w:szCs w:val="20"/>
              </w:rPr>
              <w:br/>
            </w:r>
            <w:r w:rsidRPr="008F31E5">
              <w:rPr>
                <w:sz w:val="18"/>
                <w:szCs w:val="20"/>
              </w:rPr>
              <w:br/>
              <w:t>While there are some roads that are not accessible for heavy vehicles, expenditure on these roads are unlikely to have a material effect on the heavy vehicle cost base. Many of these roads are likely to be local roads where the current approach of excluding significant proportions of costs already reduce the amount of relevant expenditure included in the cost base.</w:t>
            </w:r>
            <w:r w:rsidR="009E61AA">
              <w:rPr>
                <w:sz w:val="18"/>
                <w:szCs w:val="20"/>
              </w:rPr>
              <w:t xml:space="preserve"> </w:t>
            </w:r>
          </w:p>
        </w:tc>
      </w:tr>
      <w:tr w:rsidR="00F74539" w:rsidRPr="008F31E5" w14:paraId="17E6A04B" w14:textId="77777777" w:rsidTr="00FE2CF6">
        <w:tc>
          <w:tcPr>
            <w:tcW w:w="1166" w:type="dxa"/>
          </w:tcPr>
          <w:p w14:paraId="253EC582" w14:textId="15CE2236"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742BE397" w14:textId="1D8B9275" w:rsidR="0070512E" w:rsidRPr="008F31E5" w:rsidRDefault="0070512E" w:rsidP="008F31E5">
            <w:pPr>
              <w:pStyle w:val="BodyCopy"/>
              <w:spacing w:before="60" w:after="60"/>
              <w:rPr>
                <w:sz w:val="18"/>
                <w:szCs w:val="20"/>
              </w:rPr>
            </w:pPr>
            <w:r w:rsidRPr="008F31E5">
              <w:rPr>
                <w:sz w:val="18"/>
                <w:szCs w:val="20"/>
              </w:rPr>
              <w:t>5</w:t>
            </w:r>
          </w:p>
        </w:tc>
        <w:tc>
          <w:tcPr>
            <w:tcW w:w="1171" w:type="dxa"/>
          </w:tcPr>
          <w:p w14:paraId="52C7101D" w14:textId="7301965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–u</w:t>
            </w:r>
            <w:r w:rsidRPr="008F31E5">
              <w:rPr>
                <w:sz w:val="18"/>
                <w:szCs w:val="20"/>
              </w:rPr>
              <w:t>sage data</w:t>
            </w:r>
          </w:p>
        </w:tc>
        <w:tc>
          <w:tcPr>
            <w:tcW w:w="7201" w:type="dxa"/>
          </w:tcPr>
          <w:p w14:paraId="39C216E8" w14:textId="5B49B235" w:rsidR="0070512E" w:rsidRPr="008F31E5" w:rsidRDefault="0070512E" w:rsidP="008F31E5">
            <w:pPr>
              <w:pStyle w:val="BodyCopy"/>
              <w:spacing w:before="60" w:after="60"/>
              <w:rPr>
                <w:sz w:val="18"/>
                <w:szCs w:val="20"/>
              </w:rPr>
            </w:pPr>
            <w:r w:rsidRPr="008F31E5">
              <w:rPr>
                <w:sz w:val="18"/>
                <w:szCs w:val="20"/>
              </w:rPr>
              <w:t>Usage data will be critical for whatever future road user charging system is put in place, so its collection should be continued. Mass, distance, location-based charging is the future and telematics should assist the data collection process, which should be organised around moving in this future direction.</w:t>
            </w:r>
          </w:p>
        </w:tc>
        <w:tc>
          <w:tcPr>
            <w:tcW w:w="3672" w:type="dxa"/>
            <w:gridSpan w:val="2"/>
          </w:tcPr>
          <w:p w14:paraId="65F58B1C" w14:textId="11E6CB5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9DD3767" w14:textId="77777777" w:rsidTr="00FE2CF6">
        <w:tc>
          <w:tcPr>
            <w:tcW w:w="1166" w:type="dxa"/>
          </w:tcPr>
          <w:p w14:paraId="05A01F09" w14:textId="20031D14"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6AD3622D" w14:textId="0E7E4D8D" w:rsidR="0070512E" w:rsidRPr="008F31E5" w:rsidRDefault="0070512E" w:rsidP="008F31E5">
            <w:pPr>
              <w:pStyle w:val="BodyCopy"/>
              <w:spacing w:before="60" w:after="60"/>
              <w:rPr>
                <w:sz w:val="18"/>
                <w:szCs w:val="20"/>
              </w:rPr>
            </w:pPr>
            <w:r w:rsidRPr="008F31E5">
              <w:rPr>
                <w:sz w:val="18"/>
                <w:szCs w:val="20"/>
              </w:rPr>
              <w:t>5</w:t>
            </w:r>
          </w:p>
        </w:tc>
        <w:tc>
          <w:tcPr>
            <w:tcW w:w="1171" w:type="dxa"/>
          </w:tcPr>
          <w:p w14:paraId="4A6A443E" w14:textId="62710B3A"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u</w:t>
            </w:r>
            <w:r w:rsidRPr="008F31E5">
              <w:rPr>
                <w:sz w:val="18"/>
                <w:szCs w:val="20"/>
              </w:rPr>
              <w:t>sage data</w:t>
            </w:r>
          </w:p>
        </w:tc>
        <w:tc>
          <w:tcPr>
            <w:tcW w:w="7201" w:type="dxa"/>
          </w:tcPr>
          <w:p w14:paraId="69C8EDF1" w14:textId="036C4508" w:rsidR="0070512E" w:rsidRPr="008F31E5" w:rsidRDefault="0070512E" w:rsidP="008F31E5">
            <w:pPr>
              <w:pStyle w:val="BodyCopy"/>
              <w:spacing w:before="60" w:after="60"/>
              <w:rPr>
                <w:sz w:val="18"/>
                <w:szCs w:val="20"/>
              </w:rPr>
            </w:pPr>
            <w:r w:rsidRPr="008F31E5">
              <w:rPr>
                <w:sz w:val="18"/>
                <w:szCs w:val="20"/>
              </w:rPr>
              <w:t>The answer is simple: the NTC and/or the jurisdictions should pay for the continuation of the SMVU. If that does not occur then an inflation</w:t>
            </w:r>
            <w:r w:rsidR="005A378F">
              <w:rPr>
                <w:sz w:val="18"/>
                <w:szCs w:val="20"/>
              </w:rPr>
              <w:t>-</w:t>
            </w:r>
            <w:r w:rsidRPr="008F31E5">
              <w:rPr>
                <w:sz w:val="18"/>
                <w:szCs w:val="20"/>
              </w:rPr>
              <w:t>based indexation of the current HV</w:t>
            </w:r>
            <w:r w:rsidR="00494648">
              <w:rPr>
                <w:sz w:val="18"/>
                <w:szCs w:val="20"/>
              </w:rPr>
              <w:t xml:space="preserve"> [heavy vehicle]</w:t>
            </w:r>
            <w:r w:rsidRPr="008F31E5">
              <w:rPr>
                <w:sz w:val="18"/>
                <w:szCs w:val="20"/>
              </w:rPr>
              <w:t xml:space="preserve"> charges, as proposed in paragraph 4 above, makes even more sense. Assuming that data will need to be tailored to operate the charges model that results from the HVRR process, then the sort of source data needed to feed into that model will become more important than transfusing blood into the near-corpse of the PAYGO model via an alternative source to the SMVU. It is anticipated that data of the kind generated by the SMVU will be needed under the HVRR system.</w:t>
            </w:r>
          </w:p>
        </w:tc>
        <w:tc>
          <w:tcPr>
            <w:tcW w:w="3672" w:type="dxa"/>
            <w:gridSpan w:val="2"/>
          </w:tcPr>
          <w:p w14:paraId="5C5D1436" w14:textId="5E1433CE" w:rsidR="0070512E" w:rsidRPr="008F31E5" w:rsidRDefault="0070512E" w:rsidP="008F31E5">
            <w:pPr>
              <w:pStyle w:val="BodyCopy"/>
              <w:spacing w:before="60" w:after="60"/>
              <w:rPr>
                <w:sz w:val="18"/>
                <w:szCs w:val="20"/>
              </w:rPr>
            </w:pPr>
            <w:r w:rsidRPr="008F31E5">
              <w:rPr>
                <w:sz w:val="18"/>
                <w:szCs w:val="20"/>
              </w:rPr>
              <w:t>Noted. DITRDC is currently involved in developing approaches for an alternative data source.</w:t>
            </w:r>
          </w:p>
        </w:tc>
      </w:tr>
      <w:tr w:rsidR="00F74539" w:rsidRPr="008F31E5" w14:paraId="4FC0D4B0" w14:textId="77777777" w:rsidTr="00FE2CF6">
        <w:tc>
          <w:tcPr>
            <w:tcW w:w="1166" w:type="dxa"/>
          </w:tcPr>
          <w:p w14:paraId="36A357D0" w14:textId="327F493B"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336CA7E5" w14:textId="1E71D2CC" w:rsidR="0070512E" w:rsidRPr="008F31E5" w:rsidRDefault="0070512E" w:rsidP="008F31E5">
            <w:pPr>
              <w:pStyle w:val="BodyCopy"/>
              <w:spacing w:before="60" w:after="60"/>
              <w:rPr>
                <w:sz w:val="18"/>
                <w:szCs w:val="20"/>
              </w:rPr>
            </w:pPr>
            <w:r w:rsidRPr="008F31E5">
              <w:rPr>
                <w:sz w:val="18"/>
                <w:szCs w:val="20"/>
              </w:rPr>
              <w:t>5</w:t>
            </w:r>
          </w:p>
        </w:tc>
        <w:tc>
          <w:tcPr>
            <w:tcW w:w="1171" w:type="dxa"/>
          </w:tcPr>
          <w:p w14:paraId="6A71D428" w14:textId="4138B8B6" w:rsidR="0070512E" w:rsidRPr="008F31E5" w:rsidRDefault="0070512E" w:rsidP="008F31E5">
            <w:pPr>
              <w:pStyle w:val="BodyCopy"/>
              <w:spacing w:before="60" w:after="60"/>
              <w:rPr>
                <w:sz w:val="18"/>
                <w:szCs w:val="20"/>
              </w:rPr>
            </w:pPr>
            <w:r w:rsidRPr="008F31E5">
              <w:rPr>
                <w:sz w:val="18"/>
                <w:szCs w:val="20"/>
              </w:rPr>
              <w:t xml:space="preserve">PAYGO </w:t>
            </w:r>
            <w:r w:rsidR="00321E50">
              <w:rPr>
                <w:sz w:val="18"/>
                <w:szCs w:val="20"/>
              </w:rPr>
              <w:t>–</w:t>
            </w:r>
            <w:r w:rsidRPr="008F31E5">
              <w:rPr>
                <w:sz w:val="18"/>
                <w:szCs w:val="20"/>
              </w:rPr>
              <w:t xml:space="preserve"> </w:t>
            </w:r>
            <w:r w:rsidR="00321E50">
              <w:rPr>
                <w:sz w:val="18"/>
                <w:szCs w:val="20"/>
              </w:rPr>
              <w:t>u</w:t>
            </w:r>
            <w:r w:rsidRPr="008F31E5">
              <w:rPr>
                <w:sz w:val="18"/>
                <w:szCs w:val="20"/>
              </w:rPr>
              <w:t>sage data</w:t>
            </w:r>
          </w:p>
        </w:tc>
        <w:tc>
          <w:tcPr>
            <w:tcW w:w="7201" w:type="dxa"/>
          </w:tcPr>
          <w:p w14:paraId="2BE4E5D0" w14:textId="70C69352" w:rsidR="0070512E" w:rsidRPr="008F31E5" w:rsidRDefault="0070512E" w:rsidP="008F31E5">
            <w:pPr>
              <w:pStyle w:val="BodyCopy"/>
              <w:spacing w:before="60" w:after="60"/>
              <w:rPr>
                <w:sz w:val="18"/>
                <w:szCs w:val="20"/>
              </w:rPr>
            </w:pPr>
            <w:r w:rsidRPr="008F31E5">
              <w:rPr>
                <w:sz w:val="18"/>
                <w:szCs w:val="20"/>
              </w:rPr>
              <w:t>The NHVR supports the continued use of the PAYGO model to determine heavy vehicle charges until a more effective model can be properly tested. We note that while the Survey of Motor Vehicle Usage (SMVU) data ceased in 2020, likely affecting the PAYGO model’s longer</w:t>
            </w:r>
            <w:r w:rsidR="005A378F">
              <w:rPr>
                <w:sz w:val="18"/>
                <w:szCs w:val="20"/>
              </w:rPr>
              <w:t xml:space="preserve"> </w:t>
            </w:r>
            <w:r w:rsidRPr="008F31E5">
              <w:rPr>
                <w:sz w:val="18"/>
                <w:szCs w:val="20"/>
              </w:rPr>
              <w:t>term accuracy in calculating costs, a viable alternative model has yet to be tested and endorsed. Until such time, while the PAYGO model is used, the NTC should work with ABS to find an alternative and reliable supplier of usage data.</w:t>
            </w:r>
          </w:p>
        </w:tc>
        <w:tc>
          <w:tcPr>
            <w:tcW w:w="3672" w:type="dxa"/>
            <w:gridSpan w:val="2"/>
          </w:tcPr>
          <w:p w14:paraId="075129E4" w14:textId="45BA55D2"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3EA99EB2" w14:textId="77777777" w:rsidTr="00FE2CF6">
        <w:tc>
          <w:tcPr>
            <w:tcW w:w="1166" w:type="dxa"/>
          </w:tcPr>
          <w:p w14:paraId="33AC3B01" w14:textId="5829226A"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716071BF" w14:textId="0FB094E9" w:rsidR="0070512E" w:rsidRPr="008F31E5" w:rsidRDefault="0070512E" w:rsidP="008F31E5">
            <w:pPr>
              <w:pStyle w:val="BodyCopy"/>
              <w:spacing w:before="60" w:after="60"/>
              <w:rPr>
                <w:sz w:val="18"/>
                <w:szCs w:val="20"/>
              </w:rPr>
            </w:pPr>
            <w:r w:rsidRPr="008F31E5">
              <w:rPr>
                <w:sz w:val="18"/>
                <w:szCs w:val="20"/>
              </w:rPr>
              <w:t>5</w:t>
            </w:r>
          </w:p>
        </w:tc>
        <w:tc>
          <w:tcPr>
            <w:tcW w:w="1171" w:type="dxa"/>
          </w:tcPr>
          <w:p w14:paraId="1BF8AB2B" w14:textId="02CD935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Usage data</w:t>
            </w:r>
          </w:p>
        </w:tc>
        <w:tc>
          <w:tcPr>
            <w:tcW w:w="7201" w:type="dxa"/>
          </w:tcPr>
          <w:p w14:paraId="2DCB50FC" w14:textId="0362179D" w:rsidR="0070512E" w:rsidRPr="008F31E5" w:rsidRDefault="0070512E" w:rsidP="008F31E5">
            <w:pPr>
              <w:pStyle w:val="BodyCopy"/>
              <w:spacing w:before="60" w:after="60"/>
              <w:rPr>
                <w:sz w:val="18"/>
                <w:szCs w:val="20"/>
              </w:rPr>
            </w:pPr>
            <w:r w:rsidRPr="008F31E5">
              <w:rPr>
                <w:sz w:val="18"/>
                <w:szCs w:val="20"/>
              </w:rPr>
              <w:t>The PAYGO model relies on SMVU usage data to calculate costs. It is essential that usage data remains available to access. The NHVR encourages the NTC to work with the ABS to find an alternative and reliable supplier of usage data.</w:t>
            </w:r>
            <w:r w:rsidRPr="008F31E5">
              <w:rPr>
                <w:sz w:val="18"/>
                <w:szCs w:val="20"/>
              </w:rPr>
              <w:br/>
            </w:r>
            <w:r w:rsidRPr="008F31E5">
              <w:rPr>
                <w:sz w:val="18"/>
                <w:szCs w:val="20"/>
              </w:rPr>
              <w:br/>
              <w:t xml:space="preserve">In doing so, the NHVR would strongly recommend that whatever solution to accessing </w:t>
            </w:r>
            <w:r w:rsidRPr="008F31E5">
              <w:rPr>
                <w:sz w:val="18"/>
                <w:szCs w:val="20"/>
              </w:rPr>
              <w:lastRenderedPageBreak/>
              <w:t>related data is agreed upon, that the cost to capture this information is not passed on to industry (and if it is, at a very minimal cost).</w:t>
            </w:r>
          </w:p>
        </w:tc>
        <w:tc>
          <w:tcPr>
            <w:tcW w:w="3672" w:type="dxa"/>
            <w:gridSpan w:val="2"/>
          </w:tcPr>
          <w:p w14:paraId="6BEEAE82" w14:textId="4CD5B645" w:rsidR="0070512E" w:rsidRPr="008F31E5" w:rsidRDefault="0070512E" w:rsidP="008F31E5">
            <w:pPr>
              <w:pStyle w:val="BodyCopy"/>
              <w:spacing w:before="60" w:after="60"/>
              <w:rPr>
                <w:sz w:val="18"/>
                <w:szCs w:val="20"/>
              </w:rPr>
            </w:pPr>
            <w:r w:rsidRPr="008F31E5">
              <w:rPr>
                <w:sz w:val="18"/>
                <w:szCs w:val="20"/>
              </w:rPr>
              <w:lastRenderedPageBreak/>
              <w:t>Noted. The funding approach for any future dataset would need to be determined once it was available.</w:t>
            </w:r>
          </w:p>
        </w:tc>
      </w:tr>
      <w:tr w:rsidR="00F74539" w:rsidRPr="008F31E5" w14:paraId="16D75848" w14:textId="77777777" w:rsidTr="00FE2CF6">
        <w:tc>
          <w:tcPr>
            <w:tcW w:w="1166" w:type="dxa"/>
          </w:tcPr>
          <w:p w14:paraId="0C39FB0B" w14:textId="3D1A2F60"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27608973" w14:textId="044D55FC" w:rsidR="0070512E" w:rsidRPr="008F31E5" w:rsidRDefault="0070512E" w:rsidP="008F31E5">
            <w:pPr>
              <w:pStyle w:val="BodyCopy"/>
              <w:spacing w:before="60" w:after="60"/>
              <w:rPr>
                <w:sz w:val="18"/>
                <w:szCs w:val="20"/>
              </w:rPr>
            </w:pPr>
            <w:r w:rsidRPr="008F31E5">
              <w:rPr>
                <w:sz w:val="18"/>
                <w:szCs w:val="20"/>
              </w:rPr>
              <w:t>6</w:t>
            </w:r>
          </w:p>
        </w:tc>
        <w:tc>
          <w:tcPr>
            <w:tcW w:w="1171" w:type="dxa"/>
          </w:tcPr>
          <w:p w14:paraId="3D85B9F3" w14:textId="00D88EFD"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DE229F">
              <w:rPr>
                <w:sz w:val="18"/>
                <w:szCs w:val="20"/>
              </w:rPr>
              <w:t>u</w:t>
            </w:r>
            <w:r w:rsidRPr="008F31E5">
              <w:rPr>
                <w:sz w:val="18"/>
                <w:szCs w:val="20"/>
              </w:rPr>
              <w:t>sage data</w:t>
            </w:r>
          </w:p>
        </w:tc>
        <w:tc>
          <w:tcPr>
            <w:tcW w:w="7201" w:type="dxa"/>
          </w:tcPr>
          <w:p w14:paraId="4E3B6975" w14:textId="6530A266" w:rsidR="0070512E" w:rsidRPr="008F31E5" w:rsidRDefault="0070512E" w:rsidP="008F31E5">
            <w:pPr>
              <w:pStyle w:val="BodyCopy"/>
              <w:spacing w:before="60" w:after="60"/>
              <w:rPr>
                <w:sz w:val="18"/>
                <w:szCs w:val="20"/>
              </w:rPr>
            </w:pPr>
            <w:r w:rsidRPr="008F31E5">
              <w:rPr>
                <w:sz w:val="18"/>
                <w:szCs w:val="20"/>
              </w:rPr>
              <w:t>Contract the ABS to do the work, to keep them engaged and with a consistent approach.</w:t>
            </w:r>
          </w:p>
        </w:tc>
        <w:tc>
          <w:tcPr>
            <w:tcW w:w="3672" w:type="dxa"/>
            <w:gridSpan w:val="2"/>
          </w:tcPr>
          <w:p w14:paraId="58498099" w14:textId="3DBE4132"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939A49F" w14:textId="77777777" w:rsidTr="00FE2CF6">
        <w:tc>
          <w:tcPr>
            <w:tcW w:w="1166" w:type="dxa"/>
          </w:tcPr>
          <w:p w14:paraId="5E628ECE" w14:textId="30983ACF"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060D6E13" w14:textId="25E865E3" w:rsidR="0070512E" w:rsidRPr="008F31E5" w:rsidRDefault="0070512E" w:rsidP="008F31E5">
            <w:pPr>
              <w:pStyle w:val="BodyCopy"/>
              <w:spacing w:before="60" w:after="60"/>
              <w:rPr>
                <w:sz w:val="18"/>
                <w:szCs w:val="20"/>
              </w:rPr>
            </w:pPr>
            <w:r w:rsidRPr="008F31E5">
              <w:rPr>
                <w:sz w:val="18"/>
                <w:szCs w:val="20"/>
              </w:rPr>
              <w:t>6</w:t>
            </w:r>
          </w:p>
        </w:tc>
        <w:tc>
          <w:tcPr>
            <w:tcW w:w="1171" w:type="dxa"/>
          </w:tcPr>
          <w:p w14:paraId="4C447E55" w14:textId="2EF88F46"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sage data</w:t>
            </w:r>
          </w:p>
        </w:tc>
        <w:tc>
          <w:tcPr>
            <w:tcW w:w="7201" w:type="dxa"/>
          </w:tcPr>
          <w:p w14:paraId="7AAF5BE4" w14:textId="5F299EA4" w:rsidR="0070512E" w:rsidRPr="008F31E5" w:rsidRDefault="0070512E" w:rsidP="008F31E5">
            <w:pPr>
              <w:pStyle w:val="BodyCopy"/>
              <w:spacing w:before="60" w:after="60"/>
              <w:rPr>
                <w:sz w:val="18"/>
                <w:szCs w:val="20"/>
              </w:rPr>
            </w:pPr>
            <w:r w:rsidRPr="008F31E5">
              <w:rPr>
                <w:sz w:val="18"/>
                <w:szCs w:val="20"/>
              </w:rPr>
              <w:t>The NHVR is aware that Automated Number Plate Recognition (ANPR) cameras are used to record vehicle data in metro and non-metro locations. The NHVR receives heavy vehicle sighting data for key freight routes, typically in non-metro areas. Using the GPS location of the camera, and the registration plate reading, the NHVR can calculate:</w:t>
            </w:r>
            <w:r w:rsidRPr="008F31E5">
              <w:rPr>
                <w:sz w:val="18"/>
                <w:szCs w:val="20"/>
              </w:rPr>
              <w:br/>
              <w:t>a. Vehicle classifications using the NTC charge code and PAYGO classification by matching with the registration record for the sighted vehicle</w:t>
            </w:r>
            <w:r w:rsidRPr="008F31E5">
              <w:rPr>
                <w:sz w:val="18"/>
                <w:szCs w:val="20"/>
              </w:rPr>
              <w:br/>
              <w:t>b. Distance travelled by a registered vehicle based on multiple sightings of that vehicle through the national camera network e.g. distance from Camera A to Camera B to Camera C and so on.</w:t>
            </w:r>
            <w:r w:rsidRPr="008F31E5">
              <w:rPr>
                <w:sz w:val="18"/>
                <w:szCs w:val="20"/>
              </w:rPr>
              <w:br/>
              <w:t>c. Vehicle classes average distance travelled in a 12-month period through the camera network (calculated using the above data)</w:t>
            </w:r>
            <w:r w:rsidR="005A378F">
              <w:rPr>
                <w:sz w:val="18"/>
                <w:szCs w:val="20"/>
              </w:rPr>
              <w:t>.</w:t>
            </w:r>
            <w:r w:rsidRPr="008F31E5">
              <w:rPr>
                <w:sz w:val="18"/>
                <w:szCs w:val="20"/>
              </w:rPr>
              <w:br/>
            </w:r>
            <w:r w:rsidRPr="008F31E5">
              <w:rPr>
                <w:sz w:val="18"/>
                <w:szCs w:val="20"/>
              </w:rPr>
              <w:br/>
              <w:t>Methods to extrapolate the known distance travelled to the likely distance travelled by vehicles would need to be investigated. Garage postcode of the registered vehicle, or ASIC industry code for example, may be useful attributes to apply an extrapolation.</w:t>
            </w:r>
            <w:r w:rsidRPr="008F31E5">
              <w:rPr>
                <w:sz w:val="18"/>
                <w:szCs w:val="20"/>
              </w:rPr>
              <w:br/>
            </w:r>
            <w:r w:rsidRPr="008F31E5">
              <w:rPr>
                <w:sz w:val="18"/>
                <w:szCs w:val="20"/>
              </w:rPr>
              <w:br/>
              <w:t>The NHVR receives over 4.5 million vehicle sightings a month across 106 cameras. If we received additional sightings feeds, particularly in metro areas, the survey could be quite comprehensive, with rolling data available at any time, not just as a result of a defined survey. It would also leverage existing investment already made by road agencies in ANPR technology.</w:t>
            </w:r>
            <w:r w:rsidRPr="008F31E5">
              <w:rPr>
                <w:sz w:val="18"/>
                <w:szCs w:val="20"/>
              </w:rPr>
              <w:br/>
            </w:r>
            <w:r w:rsidRPr="008F31E5">
              <w:rPr>
                <w:sz w:val="18"/>
                <w:szCs w:val="20"/>
              </w:rPr>
              <w:br/>
              <w:t>The NHVR believes there could be an opportunity for the NTC to work with our technology team to explore opportunities to use this data which may, to some extent, compensate for the loss of SMVU data.</w:t>
            </w:r>
            <w:r w:rsidRPr="008F31E5">
              <w:rPr>
                <w:sz w:val="18"/>
                <w:szCs w:val="20"/>
              </w:rPr>
              <w:br/>
            </w:r>
            <w:r w:rsidRPr="008F31E5">
              <w:rPr>
                <w:sz w:val="18"/>
                <w:szCs w:val="20"/>
              </w:rPr>
              <w:br/>
              <w:t xml:space="preserve">The NHVR also recognises the advancement of heavy vehicle data derived from telematics, which potentially could be used as a replacement source for usage data. The NHVR is aware that a significant number of road operators use telematics to manage their fleets. The use of telematics is growing in Australia and worldwide. According to a study, </w:t>
            </w:r>
            <w:r w:rsidR="00052D7C">
              <w:rPr>
                <w:sz w:val="18"/>
                <w:szCs w:val="20"/>
              </w:rPr>
              <w:t>‘</w:t>
            </w:r>
            <w:r w:rsidRPr="008F31E5">
              <w:rPr>
                <w:sz w:val="18"/>
                <w:szCs w:val="20"/>
              </w:rPr>
              <w:t>the number of fleet management systems in active use in Australia and New Zealand is forecasted to grow at a CAGR of 16.4 per cent from almost 0.8 million units at the end of 2017 to nearly 1.7 million by 2022.</w:t>
            </w:r>
            <w:r w:rsidR="00052D7C">
              <w:rPr>
                <w:sz w:val="18"/>
                <w:szCs w:val="20"/>
              </w:rPr>
              <w:t>’</w:t>
            </w:r>
            <w:r w:rsidRPr="008F31E5">
              <w:rPr>
                <w:sz w:val="18"/>
                <w:szCs w:val="20"/>
              </w:rPr>
              <w:br/>
            </w:r>
            <w:r w:rsidRPr="008F31E5">
              <w:rPr>
                <w:sz w:val="18"/>
                <w:szCs w:val="20"/>
              </w:rPr>
              <w:br/>
              <w:t xml:space="preserve">However, the willingness for road operators to provide this information to government or statutory organisations remains unclear. Governments would need to work with industry </w:t>
            </w:r>
            <w:r w:rsidRPr="008F31E5">
              <w:rPr>
                <w:sz w:val="18"/>
                <w:szCs w:val="20"/>
              </w:rPr>
              <w:lastRenderedPageBreak/>
              <w:t>and road managers to understand how to leverage industry data and the incentives that would be provided to industry in return.</w:t>
            </w:r>
          </w:p>
        </w:tc>
        <w:tc>
          <w:tcPr>
            <w:tcW w:w="3672" w:type="dxa"/>
            <w:gridSpan w:val="2"/>
          </w:tcPr>
          <w:p w14:paraId="346531F0" w14:textId="2E247BEA" w:rsidR="0070512E" w:rsidRPr="008F31E5" w:rsidRDefault="0070512E" w:rsidP="008F31E5">
            <w:pPr>
              <w:pStyle w:val="BodyCopy"/>
              <w:spacing w:before="60" w:after="60"/>
              <w:rPr>
                <w:sz w:val="18"/>
                <w:szCs w:val="20"/>
              </w:rPr>
            </w:pPr>
            <w:r w:rsidRPr="008F31E5">
              <w:rPr>
                <w:sz w:val="18"/>
                <w:szCs w:val="20"/>
              </w:rPr>
              <w:lastRenderedPageBreak/>
              <w:t>Noted. The NTC will consider this in any future work on replacing usage data currently sourced through the ABS SMVU.</w:t>
            </w:r>
            <w:r w:rsidR="009E61AA">
              <w:rPr>
                <w:sz w:val="18"/>
                <w:szCs w:val="20"/>
              </w:rPr>
              <w:t xml:space="preserve"> </w:t>
            </w:r>
          </w:p>
        </w:tc>
      </w:tr>
      <w:tr w:rsidR="00F74539" w:rsidRPr="008F31E5" w14:paraId="7F9E3485" w14:textId="77777777" w:rsidTr="00FE2CF6">
        <w:tc>
          <w:tcPr>
            <w:tcW w:w="1166" w:type="dxa"/>
          </w:tcPr>
          <w:p w14:paraId="236D38D6" w14:textId="5B14F53C"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302A31C0" w14:textId="5F9977ED" w:rsidR="0070512E" w:rsidRPr="008F31E5" w:rsidRDefault="0070512E" w:rsidP="008F31E5">
            <w:pPr>
              <w:pStyle w:val="BodyCopy"/>
              <w:spacing w:before="60" w:after="60"/>
              <w:rPr>
                <w:sz w:val="18"/>
                <w:szCs w:val="20"/>
              </w:rPr>
            </w:pPr>
            <w:r w:rsidRPr="008F31E5">
              <w:rPr>
                <w:sz w:val="18"/>
                <w:szCs w:val="20"/>
              </w:rPr>
              <w:t>7</w:t>
            </w:r>
          </w:p>
        </w:tc>
        <w:tc>
          <w:tcPr>
            <w:tcW w:w="1171" w:type="dxa"/>
          </w:tcPr>
          <w:p w14:paraId="5DC35B94" w14:textId="49842D1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eview of equivalent standard axle values</w:t>
            </w:r>
          </w:p>
        </w:tc>
        <w:tc>
          <w:tcPr>
            <w:tcW w:w="7201" w:type="dxa"/>
          </w:tcPr>
          <w:p w14:paraId="2A9D2BE3" w14:textId="0F87019A" w:rsidR="0070512E" w:rsidRPr="008F31E5" w:rsidRDefault="0070512E" w:rsidP="008F31E5">
            <w:pPr>
              <w:pStyle w:val="BodyCopy"/>
              <w:spacing w:before="60" w:after="60"/>
              <w:rPr>
                <w:sz w:val="18"/>
                <w:szCs w:val="20"/>
              </w:rPr>
            </w:pPr>
            <w:r w:rsidRPr="008F31E5">
              <w:rPr>
                <w:sz w:val="18"/>
                <w:szCs w:val="20"/>
              </w:rPr>
              <w:t>[Supports] The update of ESA values based on analysis of truck usage using current data rather than 25</w:t>
            </w:r>
            <w:r w:rsidR="005A378F">
              <w:rPr>
                <w:sz w:val="18"/>
                <w:szCs w:val="20"/>
              </w:rPr>
              <w:t>-</w:t>
            </w:r>
            <w:r w:rsidRPr="008F31E5">
              <w:rPr>
                <w:sz w:val="18"/>
                <w:szCs w:val="20"/>
              </w:rPr>
              <w:t>year</w:t>
            </w:r>
            <w:r w:rsidR="005A378F">
              <w:rPr>
                <w:sz w:val="18"/>
                <w:szCs w:val="20"/>
              </w:rPr>
              <w:t>-</w:t>
            </w:r>
            <w:r w:rsidRPr="008F31E5">
              <w:rPr>
                <w:sz w:val="18"/>
                <w:szCs w:val="20"/>
              </w:rPr>
              <w:t>old data</w:t>
            </w:r>
          </w:p>
        </w:tc>
        <w:tc>
          <w:tcPr>
            <w:tcW w:w="3672" w:type="dxa"/>
            <w:gridSpan w:val="2"/>
          </w:tcPr>
          <w:p w14:paraId="6AA96540" w14:textId="63441709"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12702B0" w14:textId="77777777" w:rsidTr="00FE2CF6">
        <w:tc>
          <w:tcPr>
            <w:tcW w:w="1166" w:type="dxa"/>
          </w:tcPr>
          <w:p w14:paraId="7351BE36" w14:textId="4E10D710"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21FB0D0A" w14:textId="1D9A9D5C" w:rsidR="0070512E" w:rsidRPr="008F31E5" w:rsidRDefault="0070512E" w:rsidP="008F31E5">
            <w:pPr>
              <w:pStyle w:val="BodyCopy"/>
              <w:spacing w:before="60" w:after="60"/>
              <w:rPr>
                <w:sz w:val="18"/>
                <w:szCs w:val="20"/>
              </w:rPr>
            </w:pPr>
            <w:r w:rsidRPr="008F31E5">
              <w:rPr>
                <w:sz w:val="18"/>
                <w:szCs w:val="20"/>
              </w:rPr>
              <w:t>7</w:t>
            </w:r>
          </w:p>
        </w:tc>
        <w:tc>
          <w:tcPr>
            <w:tcW w:w="1171" w:type="dxa"/>
          </w:tcPr>
          <w:p w14:paraId="372FF001" w14:textId="187D142B"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eview of equivalent standard axle values</w:t>
            </w:r>
          </w:p>
        </w:tc>
        <w:tc>
          <w:tcPr>
            <w:tcW w:w="7201" w:type="dxa"/>
          </w:tcPr>
          <w:p w14:paraId="5339B2BF" w14:textId="69166775" w:rsidR="002C0902" w:rsidRDefault="0070512E" w:rsidP="008F31E5">
            <w:pPr>
              <w:pStyle w:val="BodyCopy"/>
              <w:spacing w:before="60" w:after="60"/>
              <w:rPr>
                <w:sz w:val="18"/>
                <w:szCs w:val="20"/>
              </w:rPr>
            </w:pPr>
            <w:r w:rsidRPr="008F31E5">
              <w:rPr>
                <w:sz w:val="18"/>
                <w:szCs w:val="20"/>
              </w:rPr>
              <w:t>The ESA and AGM values recommended in the PTT report should be adopted, subject to resolving</w:t>
            </w:r>
            <w:r w:rsidR="005A378F">
              <w:rPr>
                <w:sz w:val="18"/>
                <w:szCs w:val="20"/>
              </w:rPr>
              <w:t>:</w:t>
            </w:r>
          </w:p>
          <w:p w14:paraId="1AD91818" w14:textId="77777777" w:rsidR="002C0902" w:rsidRDefault="0070512E" w:rsidP="002C0902">
            <w:pPr>
              <w:pStyle w:val="BodyCopy"/>
              <w:numPr>
                <w:ilvl w:val="3"/>
                <w:numId w:val="63"/>
              </w:numPr>
              <w:spacing w:before="60" w:after="60"/>
              <w:ind w:left="168" w:hanging="168"/>
              <w:rPr>
                <w:sz w:val="18"/>
                <w:szCs w:val="20"/>
              </w:rPr>
            </w:pPr>
            <w:r w:rsidRPr="008F31E5">
              <w:rPr>
                <w:sz w:val="18"/>
                <w:szCs w:val="20"/>
              </w:rPr>
              <w:t>light vehicle ESAs</w:t>
            </w:r>
          </w:p>
          <w:p w14:paraId="61B4C7CE" w14:textId="77777777" w:rsidR="002C0902" w:rsidRDefault="0070512E" w:rsidP="002C0902">
            <w:pPr>
              <w:pStyle w:val="BodyCopy"/>
              <w:numPr>
                <w:ilvl w:val="3"/>
                <w:numId w:val="63"/>
              </w:numPr>
              <w:spacing w:before="60" w:after="60"/>
              <w:ind w:left="168" w:hanging="168"/>
              <w:rPr>
                <w:sz w:val="18"/>
                <w:szCs w:val="20"/>
              </w:rPr>
            </w:pPr>
            <w:r w:rsidRPr="008F31E5">
              <w:rPr>
                <w:sz w:val="18"/>
                <w:szCs w:val="20"/>
              </w:rPr>
              <w:t>ESAs for RFS equipped heavy vehicles.</w:t>
            </w:r>
          </w:p>
          <w:p w14:paraId="02554E22" w14:textId="77777777" w:rsidR="002C0902" w:rsidRDefault="002C0902" w:rsidP="002C0902">
            <w:pPr>
              <w:pStyle w:val="BodyCopy"/>
              <w:spacing w:before="60" w:after="60"/>
              <w:rPr>
                <w:sz w:val="18"/>
                <w:szCs w:val="20"/>
              </w:rPr>
            </w:pPr>
          </w:p>
          <w:p w14:paraId="40558340" w14:textId="7279E8A0" w:rsidR="002C0902" w:rsidRDefault="0070512E" w:rsidP="002C0902">
            <w:pPr>
              <w:pStyle w:val="BodyCopy"/>
              <w:spacing w:before="60" w:after="60"/>
              <w:rPr>
                <w:sz w:val="18"/>
                <w:szCs w:val="20"/>
              </w:rPr>
            </w:pPr>
            <w:r w:rsidRPr="008F31E5">
              <w:rPr>
                <w:sz w:val="18"/>
                <w:szCs w:val="20"/>
              </w:rPr>
              <w:t>...</w:t>
            </w:r>
            <w:r w:rsidR="002C0902">
              <w:rPr>
                <w:sz w:val="18"/>
                <w:szCs w:val="20"/>
              </w:rPr>
              <w:t xml:space="preserve"> </w:t>
            </w:r>
            <w:r w:rsidRPr="008F31E5">
              <w:rPr>
                <w:sz w:val="18"/>
                <w:szCs w:val="20"/>
              </w:rPr>
              <w:t>We do, however, have technical concerns about</w:t>
            </w:r>
            <w:r w:rsidR="005A378F">
              <w:rPr>
                <w:sz w:val="18"/>
                <w:szCs w:val="20"/>
              </w:rPr>
              <w:t>:</w:t>
            </w:r>
          </w:p>
          <w:p w14:paraId="20C4A2BF" w14:textId="2FDB15A0" w:rsidR="002C0902" w:rsidRDefault="0070512E" w:rsidP="002C0902">
            <w:pPr>
              <w:pStyle w:val="BodyCopy"/>
              <w:numPr>
                <w:ilvl w:val="3"/>
                <w:numId w:val="63"/>
              </w:numPr>
              <w:spacing w:before="60" w:after="60"/>
              <w:ind w:left="168" w:hanging="168"/>
              <w:rPr>
                <w:sz w:val="18"/>
                <w:szCs w:val="20"/>
              </w:rPr>
            </w:pPr>
            <w:r w:rsidRPr="008F31E5">
              <w:rPr>
                <w:sz w:val="18"/>
                <w:szCs w:val="20"/>
              </w:rPr>
              <w:t>the allocation of ESAs to light vehicles</w:t>
            </w:r>
          </w:p>
          <w:p w14:paraId="2775F8C8" w14:textId="373EE7AC" w:rsidR="002C0902" w:rsidRDefault="0070512E" w:rsidP="002C0902">
            <w:pPr>
              <w:pStyle w:val="BodyCopy"/>
              <w:numPr>
                <w:ilvl w:val="3"/>
                <w:numId w:val="63"/>
              </w:numPr>
              <w:spacing w:before="60" w:after="60"/>
              <w:ind w:left="168" w:hanging="168"/>
              <w:rPr>
                <w:sz w:val="18"/>
                <w:szCs w:val="20"/>
              </w:rPr>
            </w:pPr>
            <w:r w:rsidRPr="008F31E5">
              <w:rPr>
                <w:sz w:val="18"/>
                <w:szCs w:val="20"/>
              </w:rPr>
              <w:t>the need to discount heavy vehicle ESAs to reflect the use of road friendly suspension systems</w:t>
            </w:r>
          </w:p>
          <w:p w14:paraId="4517391E" w14:textId="285B5D63" w:rsidR="0070512E" w:rsidRPr="008F31E5" w:rsidRDefault="0070512E" w:rsidP="002C0902">
            <w:pPr>
              <w:pStyle w:val="BodyCopy"/>
              <w:numPr>
                <w:ilvl w:val="3"/>
                <w:numId w:val="63"/>
              </w:numPr>
              <w:spacing w:before="60" w:after="60"/>
              <w:ind w:left="168" w:hanging="168"/>
              <w:rPr>
                <w:sz w:val="18"/>
                <w:szCs w:val="20"/>
              </w:rPr>
            </w:pPr>
            <w:r w:rsidRPr="008F31E5">
              <w:rPr>
                <w:sz w:val="18"/>
                <w:szCs w:val="20"/>
              </w:rPr>
              <w:t>other minor issues related to the ESA calculations, which could be resolved bilaterally between PTT and the ATA engineering team.</w:t>
            </w:r>
          </w:p>
        </w:tc>
        <w:tc>
          <w:tcPr>
            <w:tcW w:w="3672" w:type="dxa"/>
            <w:gridSpan w:val="2"/>
          </w:tcPr>
          <w:p w14:paraId="26F71D2D" w14:textId="29CF6BA0" w:rsidR="0070512E" w:rsidRPr="008F31E5" w:rsidRDefault="0070512E" w:rsidP="008F31E5">
            <w:pPr>
              <w:pStyle w:val="BodyCopy"/>
              <w:spacing w:before="60" w:after="60"/>
              <w:rPr>
                <w:sz w:val="18"/>
                <w:szCs w:val="20"/>
              </w:rPr>
            </w:pPr>
            <w:r w:rsidRPr="008F31E5">
              <w:rPr>
                <w:sz w:val="18"/>
                <w:szCs w:val="20"/>
              </w:rPr>
              <w:t xml:space="preserve">We note the feedback provided on the revised ESA values. After further discussion with the consultant, the alternative light vehicle values provided by the ATA cannot be substituted for the values recommended by PTT without causing the relative ESAs between other vehicle classes to become implausible. Previously, the ESA values for cars and passenger vans were set to zero. From this perspective, the proposed values are an improvement. Overall, we are confident that the revised ESAs are an improvement </w:t>
            </w:r>
            <w:r w:rsidR="00DE229F">
              <w:rPr>
                <w:sz w:val="18"/>
                <w:szCs w:val="20"/>
              </w:rPr>
              <w:t>on</w:t>
            </w:r>
            <w:r w:rsidR="00DE229F" w:rsidRPr="008F31E5">
              <w:rPr>
                <w:sz w:val="18"/>
                <w:szCs w:val="20"/>
              </w:rPr>
              <w:t xml:space="preserve"> </w:t>
            </w:r>
            <w:r w:rsidRPr="008F31E5">
              <w:rPr>
                <w:sz w:val="18"/>
                <w:szCs w:val="20"/>
              </w:rPr>
              <w:t>historic</w:t>
            </w:r>
            <w:r w:rsidR="00DE229F">
              <w:rPr>
                <w:sz w:val="18"/>
                <w:szCs w:val="20"/>
              </w:rPr>
              <w:t>al</w:t>
            </w:r>
            <w:r w:rsidRPr="008F31E5">
              <w:rPr>
                <w:sz w:val="18"/>
                <w:szCs w:val="20"/>
              </w:rPr>
              <w:t xml:space="preserve"> ESAs. Therefore, we recommend to use the revised ESAs calculated by PTT for now, with the option to investigate and refine the light vehicle values further in the future. We note that this will not have an impact on actual heavy vehicle charges under the recommended three-year fixed price path.</w:t>
            </w:r>
            <w:r w:rsidR="009E61AA">
              <w:rPr>
                <w:sz w:val="18"/>
                <w:szCs w:val="20"/>
              </w:rPr>
              <w:t xml:space="preserve"> </w:t>
            </w:r>
          </w:p>
        </w:tc>
      </w:tr>
      <w:tr w:rsidR="00F74539" w:rsidRPr="008F31E5" w14:paraId="308E3179" w14:textId="77777777" w:rsidTr="00FE2CF6">
        <w:tc>
          <w:tcPr>
            <w:tcW w:w="1166" w:type="dxa"/>
          </w:tcPr>
          <w:p w14:paraId="009F14C0" w14:textId="77175999"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71EBB222" w14:textId="4F93993A" w:rsidR="0070512E" w:rsidRPr="008F31E5" w:rsidRDefault="0070512E" w:rsidP="008F31E5">
            <w:pPr>
              <w:pStyle w:val="BodyCopy"/>
              <w:spacing w:before="60" w:after="60"/>
              <w:rPr>
                <w:sz w:val="18"/>
                <w:szCs w:val="20"/>
              </w:rPr>
            </w:pPr>
            <w:r w:rsidRPr="008F31E5">
              <w:rPr>
                <w:sz w:val="18"/>
                <w:szCs w:val="20"/>
              </w:rPr>
              <w:t>7</w:t>
            </w:r>
          </w:p>
        </w:tc>
        <w:tc>
          <w:tcPr>
            <w:tcW w:w="1171" w:type="dxa"/>
          </w:tcPr>
          <w:p w14:paraId="7A1DBEE1" w14:textId="73D46698"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eview of equivalent standard axle values</w:t>
            </w:r>
          </w:p>
        </w:tc>
        <w:tc>
          <w:tcPr>
            <w:tcW w:w="7201" w:type="dxa"/>
          </w:tcPr>
          <w:p w14:paraId="6230C522" w14:textId="7716C71C" w:rsidR="0070512E" w:rsidRPr="008F31E5" w:rsidRDefault="0070512E" w:rsidP="008F31E5">
            <w:pPr>
              <w:pStyle w:val="BodyCopy"/>
              <w:spacing w:before="60" w:after="60"/>
              <w:rPr>
                <w:sz w:val="18"/>
                <w:szCs w:val="20"/>
              </w:rPr>
            </w:pPr>
            <w:r w:rsidRPr="008F31E5">
              <w:rPr>
                <w:sz w:val="18"/>
                <w:szCs w:val="20"/>
              </w:rPr>
              <w:t>Cost allocation should be based on economic cost drivers, which will often need a strong engineering base, and the best such estimates should always be used. Given that there is a difference in the allocation proportions as between the NTC approach and that used in Option C (the Victorian approach), there can be no certainty that the NTC approach is correct. The substantial increase in bus charges that follows from applying the changed NTC assumptions about ESA-kms, as illustrated in this submission, should be recognised and steps taken to mitigate this adverse impact, given the demonstrated uncertainties in the ESA-km values, as between the NTC approach and the Victorian approach in the report. A major review of the whole cost allocation process is needed.</w:t>
            </w:r>
          </w:p>
        </w:tc>
        <w:tc>
          <w:tcPr>
            <w:tcW w:w="3672" w:type="dxa"/>
            <w:gridSpan w:val="2"/>
          </w:tcPr>
          <w:p w14:paraId="04078BE3" w14:textId="6E781D93" w:rsidR="0070512E" w:rsidRPr="008F31E5" w:rsidRDefault="0070512E" w:rsidP="008F31E5">
            <w:pPr>
              <w:pStyle w:val="BodyCopy"/>
              <w:spacing w:before="60" w:after="60"/>
              <w:rPr>
                <w:sz w:val="18"/>
                <w:szCs w:val="20"/>
              </w:rPr>
            </w:pPr>
            <w:r w:rsidRPr="008F31E5">
              <w:rPr>
                <w:sz w:val="18"/>
                <w:szCs w:val="20"/>
              </w:rPr>
              <w:t xml:space="preserve">Noted. It is not clear whether further research would deliver a definitive answer on cost allocation, regardless of whether an engineering or econometric approach is used. All cost allocation approaches generally involve a degree of judgement which is one of the reasons it is difficult to find consensus on this issue. </w:t>
            </w:r>
          </w:p>
        </w:tc>
      </w:tr>
      <w:tr w:rsidR="00F74539" w:rsidRPr="008F31E5" w14:paraId="74A46A81" w14:textId="77777777" w:rsidTr="00FE2CF6">
        <w:tc>
          <w:tcPr>
            <w:tcW w:w="1166" w:type="dxa"/>
          </w:tcPr>
          <w:p w14:paraId="5A0CB6AA" w14:textId="55D54C26"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34C86B14" w14:textId="6C6A38DC" w:rsidR="0070512E" w:rsidRPr="008F31E5" w:rsidRDefault="0070512E" w:rsidP="008F31E5">
            <w:pPr>
              <w:pStyle w:val="BodyCopy"/>
              <w:spacing w:before="60" w:after="60"/>
              <w:rPr>
                <w:sz w:val="18"/>
                <w:szCs w:val="20"/>
              </w:rPr>
            </w:pPr>
            <w:r w:rsidRPr="008F31E5">
              <w:rPr>
                <w:sz w:val="18"/>
                <w:szCs w:val="20"/>
              </w:rPr>
              <w:t>7</w:t>
            </w:r>
          </w:p>
        </w:tc>
        <w:tc>
          <w:tcPr>
            <w:tcW w:w="1171" w:type="dxa"/>
          </w:tcPr>
          <w:p w14:paraId="07C0B782" w14:textId="6F573C4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 xml:space="preserve">eview of equivalent </w:t>
            </w:r>
            <w:r w:rsidRPr="008F31E5">
              <w:rPr>
                <w:sz w:val="18"/>
                <w:szCs w:val="20"/>
              </w:rPr>
              <w:lastRenderedPageBreak/>
              <w:t>standard axle values</w:t>
            </w:r>
          </w:p>
        </w:tc>
        <w:tc>
          <w:tcPr>
            <w:tcW w:w="7201" w:type="dxa"/>
          </w:tcPr>
          <w:p w14:paraId="074CB685" w14:textId="3A76FA40" w:rsidR="0070512E" w:rsidRPr="008F31E5" w:rsidRDefault="0070512E" w:rsidP="008F31E5">
            <w:pPr>
              <w:pStyle w:val="BodyCopy"/>
              <w:spacing w:before="60" w:after="60"/>
              <w:rPr>
                <w:sz w:val="18"/>
                <w:szCs w:val="20"/>
              </w:rPr>
            </w:pPr>
            <w:r w:rsidRPr="008F31E5">
              <w:rPr>
                <w:sz w:val="18"/>
                <w:szCs w:val="20"/>
              </w:rPr>
              <w:lastRenderedPageBreak/>
              <w:t xml:space="preserve">The CRIS and the PAYGO methodology does not refer to the SAR methodology in assessing pavement damage. The design traffic loading for flexible pavement design is – for each relevant damage type – the total number of Standard Axle Repetitions (SAR) </w:t>
            </w:r>
            <w:r w:rsidRPr="008F31E5">
              <w:rPr>
                <w:sz w:val="18"/>
                <w:szCs w:val="20"/>
              </w:rPr>
              <w:lastRenderedPageBreak/>
              <w:t>during the design period which cause the same damage as the cumulative traffic. Without that element the use of ESA data by itself is, we contend, not indicative of real world experience, a matter made clear in Queensland where the SAR concept has supplemented the ESA calculations on this basis</w:t>
            </w:r>
            <w:r w:rsidR="005A378F">
              <w:rPr>
                <w:sz w:val="18"/>
                <w:szCs w:val="20"/>
              </w:rPr>
              <w:t xml:space="preserve"> </w:t>
            </w:r>
            <w:r w:rsidRPr="008F31E5">
              <w:rPr>
                <w:sz w:val="18"/>
                <w:szCs w:val="20"/>
              </w:rPr>
              <w:t>...</w:t>
            </w:r>
            <w:r w:rsidRPr="008F31E5">
              <w:rPr>
                <w:sz w:val="18"/>
                <w:szCs w:val="20"/>
              </w:rPr>
              <w:br/>
            </w:r>
            <w:r w:rsidRPr="008F31E5">
              <w:rPr>
                <w:sz w:val="18"/>
                <w:szCs w:val="20"/>
              </w:rPr>
              <w:br/>
              <w:t>NatRoad continues to reject the assumption that heavy vehicles are responsible for close to 100% of pavement damage, especially in light of the fact that the re-examination foreshadowed in the above quoted paragraph that is now announced as being undertaken via the discussion in the CRIS, has led to the outcome that the heavy vehicle sector ESA</w:t>
            </w:r>
            <w:r w:rsidR="009E61AA">
              <w:rPr>
                <w:sz w:val="18"/>
                <w:szCs w:val="20"/>
              </w:rPr>
              <w:t>-</w:t>
            </w:r>
            <w:r w:rsidRPr="008F31E5">
              <w:rPr>
                <w:sz w:val="18"/>
                <w:szCs w:val="20"/>
              </w:rPr>
              <w:t>km attributable cost are recommended to be increased from 94 per cent currently to 99 per cent.</w:t>
            </w:r>
            <w:r w:rsidR="008B4A42">
              <w:rPr>
                <w:sz w:val="18"/>
                <w:szCs w:val="20"/>
              </w:rPr>
              <w:t xml:space="preserve"> T</w:t>
            </w:r>
            <w:r w:rsidRPr="008F31E5">
              <w:rPr>
                <w:sz w:val="18"/>
                <w:szCs w:val="20"/>
              </w:rPr>
              <w:t xml:space="preserve">he assumptions that lead to this outcome are that articulated and light vehicles are now attributed an ESA value. But this analysis is controversial, especially as it does not encompass matters such as </w:t>
            </w:r>
            <w:r w:rsidR="00052D7C">
              <w:rPr>
                <w:sz w:val="18"/>
                <w:szCs w:val="20"/>
              </w:rPr>
              <w:t>‘</w:t>
            </w:r>
            <w:r w:rsidRPr="008F31E5">
              <w:rPr>
                <w:sz w:val="18"/>
                <w:szCs w:val="20"/>
              </w:rPr>
              <w:t>road friendly suspension</w:t>
            </w:r>
            <w:r w:rsidR="00052D7C">
              <w:rPr>
                <w:sz w:val="18"/>
                <w:szCs w:val="20"/>
              </w:rPr>
              <w:t>’</w:t>
            </w:r>
            <w:r w:rsidRPr="008F31E5">
              <w:rPr>
                <w:sz w:val="18"/>
                <w:szCs w:val="20"/>
              </w:rPr>
              <w:t xml:space="preserve"> or other damage ameliorating technology. In addition, the underlying assumption that roads built for heavy vehicles will not be damaged by light vehicle traffic, we believe, does not hold, as clearly volume of traffic is a relevant variable and the volume of light vehicle traffic must be taken into account</w:t>
            </w:r>
            <w:r w:rsidR="005A378F">
              <w:rPr>
                <w:sz w:val="18"/>
                <w:szCs w:val="20"/>
              </w:rPr>
              <w:t xml:space="preserve"> </w:t>
            </w:r>
            <w:r w:rsidRPr="008F31E5">
              <w:rPr>
                <w:sz w:val="18"/>
                <w:szCs w:val="20"/>
              </w:rPr>
              <w:t>...</w:t>
            </w:r>
            <w:r w:rsidRPr="008F31E5">
              <w:rPr>
                <w:sz w:val="18"/>
                <w:szCs w:val="20"/>
              </w:rPr>
              <w:br/>
            </w:r>
            <w:r w:rsidRPr="008F31E5">
              <w:rPr>
                <w:sz w:val="18"/>
                <w:szCs w:val="20"/>
              </w:rPr>
              <w:br/>
              <w:t>Rather than rely on a change that increases costs to the heavy vehicle sector, NatRoad’s view is, as previously articulated in this submission, that the current charges plus inflation should be used until HVRR is introduced. This view is further reinforced by the controversy around ESA and SAR values with the need to ensure that HVRR is underpinned by the most robust and up-to-date research and methodologies about pavement damage. That work requires a great more detailed research and analysis that better reflects the actual damage caused by trucks, along the lines of the outcomes reflected in the ATA’s Truck Impact Chart.</w:t>
            </w:r>
            <w:r w:rsidRPr="008F31E5">
              <w:rPr>
                <w:sz w:val="18"/>
                <w:szCs w:val="20"/>
              </w:rPr>
              <w:br/>
            </w:r>
            <w:r w:rsidRPr="008F31E5">
              <w:rPr>
                <w:sz w:val="18"/>
                <w:szCs w:val="20"/>
              </w:rPr>
              <w:br/>
              <w:t>Our answer to question 7 therefore is no, use the former ESA values until the parameters for an HVRR FLCB are established and better accompanying work on pavement damage is done that reflects real world experience. That is particularly the case in light of the difference between the PAYGO model’s ESA</w:t>
            </w:r>
            <w:r w:rsidR="005A378F">
              <w:rPr>
                <w:sz w:val="18"/>
                <w:szCs w:val="20"/>
              </w:rPr>
              <w:t>-</w:t>
            </w:r>
            <w:r w:rsidRPr="008F31E5">
              <w:rPr>
                <w:sz w:val="18"/>
                <w:szCs w:val="20"/>
              </w:rPr>
              <w:t>km calculations and cost allocation being based on the entire road network being sealed, when, as the below discussion shows, only about 40% of the network is sealed.</w:t>
            </w:r>
          </w:p>
        </w:tc>
        <w:tc>
          <w:tcPr>
            <w:tcW w:w="3672" w:type="dxa"/>
            <w:gridSpan w:val="2"/>
          </w:tcPr>
          <w:p w14:paraId="2502B9F3" w14:textId="00B67DC2" w:rsidR="0070512E" w:rsidRPr="008F31E5" w:rsidRDefault="0070512E" w:rsidP="008F31E5">
            <w:pPr>
              <w:pStyle w:val="BodyCopy"/>
              <w:spacing w:before="60" w:after="60"/>
              <w:rPr>
                <w:sz w:val="18"/>
                <w:szCs w:val="20"/>
              </w:rPr>
            </w:pPr>
            <w:r w:rsidRPr="008F31E5">
              <w:rPr>
                <w:sz w:val="18"/>
                <w:szCs w:val="20"/>
              </w:rPr>
              <w:lastRenderedPageBreak/>
              <w:t xml:space="preserve">Light vehicle traffic is taken into account, and the total number of ESA-km for light vehicles has actually increased using the new values </w:t>
            </w:r>
            <w:r w:rsidRPr="008F31E5">
              <w:rPr>
                <w:sz w:val="18"/>
                <w:szCs w:val="20"/>
              </w:rPr>
              <w:lastRenderedPageBreak/>
              <w:t>(87.3</w:t>
            </w:r>
            <w:r w:rsidR="009E61AA">
              <w:rPr>
                <w:sz w:val="18"/>
                <w:szCs w:val="20"/>
              </w:rPr>
              <w:t xml:space="preserve"> </w:t>
            </w:r>
            <w:r w:rsidRPr="008F31E5">
              <w:rPr>
                <w:sz w:val="18"/>
                <w:szCs w:val="20"/>
              </w:rPr>
              <w:t>m ESA-km rather than 72.8</w:t>
            </w:r>
            <w:r w:rsidR="009E61AA">
              <w:rPr>
                <w:sz w:val="18"/>
                <w:szCs w:val="20"/>
              </w:rPr>
              <w:t xml:space="preserve"> </w:t>
            </w:r>
            <w:r w:rsidRPr="008F31E5">
              <w:rPr>
                <w:sz w:val="18"/>
                <w:szCs w:val="20"/>
              </w:rPr>
              <w:t>m). The reason for the increase from 94</w:t>
            </w:r>
            <w:r w:rsidR="009E61AA">
              <w:rPr>
                <w:sz w:val="18"/>
                <w:szCs w:val="20"/>
              </w:rPr>
              <w:t xml:space="preserve"> per cent</w:t>
            </w:r>
            <w:r w:rsidRPr="008F31E5">
              <w:rPr>
                <w:sz w:val="18"/>
                <w:szCs w:val="20"/>
              </w:rPr>
              <w:t xml:space="preserve"> to 99</w:t>
            </w:r>
            <w:r w:rsidR="009E61AA">
              <w:rPr>
                <w:sz w:val="18"/>
                <w:szCs w:val="20"/>
              </w:rPr>
              <w:t xml:space="preserve"> per cent</w:t>
            </w:r>
            <w:r w:rsidRPr="008F31E5">
              <w:rPr>
                <w:sz w:val="18"/>
                <w:szCs w:val="20"/>
              </w:rPr>
              <w:t xml:space="preserve"> of ESA-km by </w:t>
            </w:r>
            <w:r w:rsidR="009E61AA">
              <w:rPr>
                <w:sz w:val="18"/>
                <w:szCs w:val="20"/>
              </w:rPr>
              <w:t>heavy vehicle</w:t>
            </w:r>
            <w:r w:rsidRPr="008F31E5">
              <w:rPr>
                <w:sz w:val="18"/>
                <w:szCs w:val="20"/>
              </w:rPr>
              <w:t xml:space="preserve">s simply reflects the large increase in ESAs for </w:t>
            </w:r>
            <w:r w:rsidR="009E61AA">
              <w:rPr>
                <w:sz w:val="18"/>
                <w:szCs w:val="20"/>
              </w:rPr>
              <w:t>heavy vehicle</w:t>
            </w:r>
            <w:r w:rsidR="009E61AA" w:rsidRPr="008F31E5">
              <w:rPr>
                <w:sz w:val="18"/>
                <w:szCs w:val="20"/>
              </w:rPr>
              <w:t>s</w:t>
            </w:r>
            <w:r w:rsidRPr="008F31E5">
              <w:rPr>
                <w:sz w:val="18"/>
                <w:szCs w:val="20"/>
              </w:rPr>
              <w:t xml:space="preserve">, correcting what was previously an under-representation of their ESAs (e.g. based on outdated data). </w:t>
            </w:r>
            <w:r w:rsidRPr="008F31E5">
              <w:rPr>
                <w:sz w:val="18"/>
                <w:szCs w:val="20"/>
              </w:rPr>
              <w:br/>
            </w:r>
            <w:r w:rsidRPr="008F31E5">
              <w:rPr>
                <w:sz w:val="18"/>
                <w:szCs w:val="20"/>
              </w:rPr>
              <w:br/>
              <w:t xml:space="preserve">In addition, it is only the attributable costs (using the ESA-km allocator) that have the strong allocation to </w:t>
            </w:r>
            <w:r w:rsidR="009E61AA">
              <w:rPr>
                <w:sz w:val="18"/>
                <w:szCs w:val="20"/>
              </w:rPr>
              <w:t>heavy vehicle</w:t>
            </w:r>
            <w:r w:rsidRPr="008F31E5">
              <w:rPr>
                <w:sz w:val="18"/>
                <w:szCs w:val="20"/>
              </w:rPr>
              <w:t>s. There remains a significant proportion of common (non-attributable) costs for road rehabilitation and periodic maintenance that are allocated based on VKT.</w:t>
            </w:r>
          </w:p>
        </w:tc>
      </w:tr>
      <w:tr w:rsidR="00F74539" w:rsidRPr="008F31E5" w14:paraId="4CB3B56D" w14:textId="77777777" w:rsidTr="00FE2CF6">
        <w:tc>
          <w:tcPr>
            <w:tcW w:w="1166" w:type="dxa"/>
          </w:tcPr>
          <w:p w14:paraId="6296BEC9" w14:textId="72D73A86" w:rsidR="0070512E" w:rsidRPr="008F31E5" w:rsidRDefault="0070512E" w:rsidP="008F31E5">
            <w:pPr>
              <w:pStyle w:val="BodyCopy"/>
              <w:spacing w:before="60" w:after="60"/>
              <w:rPr>
                <w:sz w:val="18"/>
                <w:szCs w:val="20"/>
              </w:rPr>
            </w:pPr>
            <w:r w:rsidRPr="008F31E5">
              <w:rPr>
                <w:sz w:val="18"/>
                <w:szCs w:val="20"/>
              </w:rPr>
              <w:lastRenderedPageBreak/>
              <w:t>NHVR</w:t>
            </w:r>
          </w:p>
        </w:tc>
        <w:tc>
          <w:tcPr>
            <w:tcW w:w="902" w:type="dxa"/>
          </w:tcPr>
          <w:p w14:paraId="4C2222D3" w14:textId="42143440" w:rsidR="0070512E" w:rsidRPr="008F31E5" w:rsidRDefault="0070512E" w:rsidP="008F31E5">
            <w:pPr>
              <w:pStyle w:val="BodyCopy"/>
              <w:spacing w:before="60" w:after="60"/>
              <w:rPr>
                <w:sz w:val="18"/>
                <w:szCs w:val="20"/>
              </w:rPr>
            </w:pPr>
            <w:r w:rsidRPr="008F31E5">
              <w:rPr>
                <w:sz w:val="18"/>
                <w:szCs w:val="20"/>
              </w:rPr>
              <w:t>7</w:t>
            </w:r>
          </w:p>
        </w:tc>
        <w:tc>
          <w:tcPr>
            <w:tcW w:w="1171" w:type="dxa"/>
          </w:tcPr>
          <w:p w14:paraId="549ED184" w14:textId="5D1536E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eview of equivalent standard axle values</w:t>
            </w:r>
          </w:p>
        </w:tc>
        <w:tc>
          <w:tcPr>
            <w:tcW w:w="7201" w:type="dxa"/>
          </w:tcPr>
          <w:p w14:paraId="6BD89F20" w14:textId="4A0C2CC1" w:rsidR="0070512E" w:rsidRPr="008F31E5" w:rsidRDefault="0070512E" w:rsidP="008F31E5">
            <w:pPr>
              <w:pStyle w:val="BodyCopy"/>
              <w:spacing w:before="60" w:after="60"/>
              <w:rPr>
                <w:sz w:val="18"/>
                <w:szCs w:val="20"/>
              </w:rPr>
            </w:pPr>
            <w:r w:rsidRPr="008F31E5">
              <w:rPr>
                <w:sz w:val="18"/>
                <w:szCs w:val="20"/>
              </w:rPr>
              <w:t>The NHVR supports the use of updated ESA values to improve the accuracy of the PAYGO model.</w:t>
            </w:r>
          </w:p>
        </w:tc>
        <w:tc>
          <w:tcPr>
            <w:tcW w:w="3672" w:type="dxa"/>
            <w:gridSpan w:val="2"/>
          </w:tcPr>
          <w:p w14:paraId="705D7739" w14:textId="3637E0B6"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ACCCD00" w14:textId="77777777" w:rsidTr="00FE2CF6">
        <w:tc>
          <w:tcPr>
            <w:tcW w:w="1166" w:type="dxa"/>
          </w:tcPr>
          <w:p w14:paraId="2543E9D8" w14:textId="45ED1606" w:rsidR="0070512E" w:rsidRPr="008F31E5" w:rsidRDefault="0070512E" w:rsidP="008F31E5">
            <w:pPr>
              <w:pStyle w:val="BodyCopy"/>
              <w:spacing w:before="60" w:after="60"/>
              <w:rPr>
                <w:sz w:val="18"/>
                <w:szCs w:val="20"/>
              </w:rPr>
            </w:pPr>
            <w:r w:rsidRPr="008F31E5">
              <w:rPr>
                <w:sz w:val="18"/>
                <w:szCs w:val="20"/>
              </w:rPr>
              <w:lastRenderedPageBreak/>
              <w:t>Philip Laird</w:t>
            </w:r>
          </w:p>
        </w:tc>
        <w:tc>
          <w:tcPr>
            <w:tcW w:w="902" w:type="dxa"/>
          </w:tcPr>
          <w:p w14:paraId="396ED5BE" w14:textId="1C255D7C" w:rsidR="0070512E" w:rsidRPr="008F31E5" w:rsidRDefault="0070512E" w:rsidP="008F31E5">
            <w:pPr>
              <w:pStyle w:val="BodyCopy"/>
              <w:spacing w:before="60" w:after="60"/>
              <w:rPr>
                <w:sz w:val="18"/>
                <w:szCs w:val="20"/>
              </w:rPr>
            </w:pPr>
            <w:r w:rsidRPr="008F31E5">
              <w:rPr>
                <w:sz w:val="18"/>
                <w:szCs w:val="20"/>
              </w:rPr>
              <w:t>7</w:t>
            </w:r>
          </w:p>
        </w:tc>
        <w:tc>
          <w:tcPr>
            <w:tcW w:w="1171" w:type="dxa"/>
          </w:tcPr>
          <w:p w14:paraId="6C0A9E6E" w14:textId="4F2946FD"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eview of equivalent standard axle values</w:t>
            </w:r>
          </w:p>
        </w:tc>
        <w:tc>
          <w:tcPr>
            <w:tcW w:w="7201" w:type="dxa"/>
          </w:tcPr>
          <w:p w14:paraId="6E6CDBF1" w14:textId="501DCCAB" w:rsidR="0070512E" w:rsidRPr="008F31E5" w:rsidRDefault="0070512E" w:rsidP="008F31E5">
            <w:pPr>
              <w:pStyle w:val="BodyCopy"/>
              <w:spacing w:before="60" w:after="60"/>
              <w:rPr>
                <w:sz w:val="18"/>
                <w:szCs w:val="20"/>
              </w:rPr>
            </w:pPr>
            <w:r w:rsidRPr="008F31E5">
              <w:rPr>
                <w:sz w:val="18"/>
                <w:szCs w:val="20"/>
              </w:rPr>
              <w:t>Overall, the continued use of parameters including vehicle kilometres, weighted vehicle kilometres, passenger car equivalents and equivalent standard axles (revised as suggested in the report to reflect increasing weights) is supported.</w:t>
            </w:r>
          </w:p>
        </w:tc>
        <w:tc>
          <w:tcPr>
            <w:tcW w:w="3672" w:type="dxa"/>
            <w:gridSpan w:val="2"/>
          </w:tcPr>
          <w:p w14:paraId="613EA1A9" w14:textId="55AA2C9C"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0AEB8FA6" w14:textId="77777777" w:rsidTr="00FE2CF6">
        <w:tc>
          <w:tcPr>
            <w:tcW w:w="1166" w:type="dxa"/>
          </w:tcPr>
          <w:p w14:paraId="5DE15576" w14:textId="3372BB06"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28986F41" w14:textId="6080168B" w:rsidR="0070512E" w:rsidRPr="008F31E5" w:rsidRDefault="0070512E" w:rsidP="008F31E5">
            <w:pPr>
              <w:pStyle w:val="BodyCopy"/>
              <w:spacing w:before="60" w:after="60"/>
              <w:rPr>
                <w:sz w:val="18"/>
                <w:szCs w:val="20"/>
              </w:rPr>
            </w:pPr>
            <w:r w:rsidRPr="008F31E5">
              <w:rPr>
                <w:sz w:val="18"/>
                <w:szCs w:val="20"/>
              </w:rPr>
              <w:t>8</w:t>
            </w:r>
          </w:p>
        </w:tc>
        <w:tc>
          <w:tcPr>
            <w:tcW w:w="1171" w:type="dxa"/>
          </w:tcPr>
          <w:p w14:paraId="7AF0CCDA" w14:textId="31220068"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c</w:t>
            </w:r>
            <w:r w:rsidRPr="008F31E5">
              <w:rPr>
                <w:sz w:val="18"/>
                <w:szCs w:val="20"/>
              </w:rPr>
              <w:t>ost allocation</w:t>
            </w:r>
          </w:p>
        </w:tc>
        <w:tc>
          <w:tcPr>
            <w:tcW w:w="7201" w:type="dxa"/>
          </w:tcPr>
          <w:p w14:paraId="02EFC8E6" w14:textId="19B1C4B8" w:rsidR="0070512E" w:rsidRPr="008F31E5" w:rsidRDefault="0070512E" w:rsidP="008F31E5">
            <w:pPr>
              <w:pStyle w:val="BodyCopy"/>
              <w:spacing w:before="60" w:after="60"/>
              <w:rPr>
                <w:sz w:val="18"/>
                <w:szCs w:val="20"/>
              </w:rPr>
            </w:pPr>
            <w:r w:rsidRPr="008F31E5">
              <w:rPr>
                <w:sz w:val="18"/>
                <w:szCs w:val="20"/>
              </w:rPr>
              <w:t>ARTC has previously provided extensive submissions to the NTC on the issues of cost allocation to heavy vehicles. ARTC’s position has highlighted a concern with the effective treatment of heavy vehicles as the incremental user of roads which delivers a lower allocation than if heavy vehicles were treated as an equal user of the network with light vehicles.</w:t>
            </w:r>
            <w:r w:rsidRPr="008F31E5">
              <w:rPr>
                <w:sz w:val="18"/>
                <w:szCs w:val="20"/>
              </w:rPr>
              <w:br/>
            </w:r>
            <w:r w:rsidRPr="008F31E5">
              <w:rPr>
                <w:sz w:val="18"/>
                <w:szCs w:val="20"/>
              </w:rPr>
              <w:br/>
              <w:t>The 2017 analysis from HoustonKemp provided as part of the consultation confirms this position; noting this was provided to confirm the efficient nature of the PAYGO model given the recovery of costs is between the incremental and standalone cost of the infrastructure. Further noting that this analysis was undertaken in 2017, however</w:t>
            </w:r>
            <w:r w:rsidR="00E80126">
              <w:rPr>
                <w:sz w:val="18"/>
                <w:szCs w:val="20"/>
              </w:rPr>
              <w:t>,</w:t>
            </w:r>
            <w:r w:rsidRPr="008F31E5">
              <w:rPr>
                <w:sz w:val="18"/>
                <w:szCs w:val="20"/>
              </w:rPr>
              <w:t xml:space="preserve"> the key conclusions were that the </w:t>
            </w:r>
            <w:r w:rsidR="00052D7C">
              <w:rPr>
                <w:sz w:val="18"/>
                <w:szCs w:val="20"/>
              </w:rPr>
              <w:t>‘</w:t>
            </w:r>
            <w:r w:rsidRPr="008F31E5">
              <w:rPr>
                <w:sz w:val="18"/>
                <w:szCs w:val="20"/>
              </w:rPr>
              <w:t>true</w:t>
            </w:r>
            <w:r w:rsidR="00052D7C">
              <w:rPr>
                <w:sz w:val="18"/>
                <w:szCs w:val="20"/>
              </w:rPr>
              <w:t>’</w:t>
            </w:r>
            <w:r w:rsidRPr="008F31E5">
              <w:rPr>
                <w:sz w:val="18"/>
                <w:szCs w:val="20"/>
              </w:rPr>
              <w:t xml:space="preserve"> incremental cost base in 2017 was $2.3b and standalone was $7.4b. Whilst revenue was at $3b in 2015</w:t>
            </w:r>
            <w:r w:rsidR="005A378F">
              <w:rPr>
                <w:sz w:val="18"/>
                <w:szCs w:val="20"/>
              </w:rPr>
              <w:t>–</w:t>
            </w:r>
            <w:r w:rsidRPr="008F31E5">
              <w:rPr>
                <w:sz w:val="18"/>
                <w:szCs w:val="20"/>
              </w:rPr>
              <w:t>16, with revenue freezes and leakages, this gap would be significantly lower now; confirming ARTC’s longstanding position that heavy vehicles are treated as the incremental user of the road network</w:t>
            </w:r>
            <w:r w:rsidR="005A378F">
              <w:rPr>
                <w:sz w:val="18"/>
                <w:szCs w:val="20"/>
              </w:rPr>
              <w:t xml:space="preserve"> </w:t>
            </w:r>
            <w:r w:rsidRPr="008F31E5">
              <w:rPr>
                <w:sz w:val="18"/>
                <w:szCs w:val="20"/>
              </w:rPr>
              <w:t>...</w:t>
            </w:r>
            <w:r w:rsidRPr="008F31E5">
              <w:rPr>
                <w:sz w:val="18"/>
                <w:szCs w:val="20"/>
              </w:rPr>
              <w:br/>
            </w:r>
            <w:r w:rsidRPr="008F31E5">
              <w:rPr>
                <w:sz w:val="18"/>
                <w:szCs w:val="20"/>
              </w:rPr>
              <w:br/>
              <w:t>...</w:t>
            </w:r>
            <w:r w:rsidR="005A378F">
              <w:rPr>
                <w:sz w:val="18"/>
                <w:szCs w:val="20"/>
              </w:rPr>
              <w:t xml:space="preserve"> </w:t>
            </w:r>
            <w:r w:rsidRPr="008F31E5">
              <w:rPr>
                <w:sz w:val="18"/>
                <w:szCs w:val="20"/>
              </w:rPr>
              <w:t>The combined effect of the lack of an access framework, the failure to charge for the true costs of heavy vehicle usage, the under recover of even incremental cost bases and the excess consumption so caused is to drive a market failure in the freight transport market.</w:t>
            </w:r>
          </w:p>
        </w:tc>
        <w:tc>
          <w:tcPr>
            <w:tcW w:w="3672" w:type="dxa"/>
            <w:gridSpan w:val="2"/>
          </w:tcPr>
          <w:p w14:paraId="43FAE337" w14:textId="40E2DDE3" w:rsidR="0070512E" w:rsidRPr="008F31E5" w:rsidRDefault="0070512E" w:rsidP="008F31E5">
            <w:pPr>
              <w:pStyle w:val="BodyCopy"/>
              <w:spacing w:before="60" w:after="60"/>
              <w:rPr>
                <w:sz w:val="18"/>
                <w:szCs w:val="20"/>
              </w:rPr>
            </w:pPr>
            <w:r w:rsidRPr="008F31E5">
              <w:rPr>
                <w:sz w:val="18"/>
                <w:szCs w:val="20"/>
              </w:rPr>
              <w:t>Noted. However, the NTC considers that the proposed allocation of costs between light and heavy vehicle lies broadly within the efficient range, and therefore is unlikely to be the cause of any market failure in the freight transport market.</w:t>
            </w:r>
          </w:p>
        </w:tc>
      </w:tr>
      <w:tr w:rsidR="00F74539" w:rsidRPr="008F31E5" w14:paraId="487F18BB" w14:textId="77777777" w:rsidTr="00FE2CF6">
        <w:tc>
          <w:tcPr>
            <w:tcW w:w="1166" w:type="dxa"/>
          </w:tcPr>
          <w:p w14:paraId="09F2958C" w14:textId="537D9CA9"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3A5FBEDA" w14:textId="2CEDAAB0" w:rsidR="0070512E" w:rsidRPr="008F31E5" w:rsidRDefault="0070512E" w:rsidP="008F31E5">
            <w:pPr>
              <w:pStyle w:val="BodyCopy"/>
              <w:spacing w:before="60" w:after="60"/>
              <w:rPr>
                <w:sz w:val="18"/>
                <w:szCs w:val="20"/>
              </w:rPr>
            </w:pPr>
            <w:r w:rsidRPr="008F31E5">
              <w:rPr>
                <w:sz w:val="18"/>
                <w:szCs w:val="20"/>
              </w:rPr>
              <w:t>8</w:t>
            </w:r>
          </w:p>
        </w:tc>
        <w:tc>
          <w:tcPr>
            <w:tcW w:w="1171" w:type="dxa"/>
          </w:tcPr>
          <w:p w14:paraId="0629845F" w14:textId="01FDB82E"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c</w:t>
            </w:r>
            <w:r w:rsidRPr="008F31E5">
              <w:rPr>
                <w:sz w:val="18"/>
                <w:szCs w:val="20"/>
              </w:rPr>
              <w:t>ost allocation</w:t>
            </w:r>
          </w:p>
        </w:tc>
        <w:tc>
          <w:tcPr>
            <w:tcW w:w="7201" w:type="dxa"/>
          </w:tcPr>
          <w:p w14:paraId="01C7D575" w14:textId="1238EF24" w:rsidR="0070512E" w:rsidRPr="008F31E5" w:rsidRDefault="0070512E" w:rsidP="008F31E5">
            <w:pPr>
              <w:pStyle w:val="BodyCopy"/>
              <w:spacing w:before="60" w:after="60"/>
              <w:rPr>
                <w:sz w:val="18"/>
                <w:szCs w:val="20"/>
              </w:rPr>
            </w:pPr>
            <w:r w:rsidRPr="008F31E5">
              <w:rPr>
                <w:sz w:val="18"/>
                <w:szCs w:val="20"/>
              </w:rPr>
              <w:t>The PAYGO cost allocation matrix should not be amended in this determination.</w:t>
            </w:r>
            <w:r w:rsidRPr="008F31E5">
              <w:rPr>
                <w:sz w:val="18"/>
                <w:szCs w:val="20"/>
              </w:rPr>
              <w:br/>
            </w:r>
            <w:r w:rsidRPr="008F31E5">
              <w:rPr>
                <w:sz w:val="18"/>
                <w:szCs w:val="20"/>
              </w:rPr>
              <w:br/>
              <w:t>...</w:t>
            </w:r>
            <w:r w:rsidR="005A378F">
              <w:rPr>
                <w:sz w:val="18"/>
                <w:szCs w:val="20"/>
              </w:rPr>
              <w:t xml:space="preserve"> </w:t>
            </w:r>
            <w:r w:rsidRPr="008F31E5">
              <w:rPr>
                <w:sz w:val="18"/>
                <w:szCs w:val="20"/>
              </w:rPr>
              <w:t>HoustonKemp concluded that it would be reasonable to maintain the existing allocation approach in the PAYGO matrix, and pointedly said—</w:t>
            </w:r>
            <w:r w:rsidRPr="008F31E5">
              <w:rPr>
                <w:sz w:val="18"/>
                <w:szCs w:val="20"/>
              </w:rPr>
              <w:br/>
              <w:t>in our opinion there exists no strong evidence for departing from the existing approach to allocating ‘road pavement and shoulder maintenance’ costs at this time.</w:t>
            </w:r>
            <w:r w:rsidRPr="008F31E5">
              <w:rPr>
                <w:sz w:val="18"/>
                <w:szCs w:val="20"/>
              </w:rPr>
              <w:br/>
            </w:r>
            <w:r w:rsidRPr="008F31E5">
              <w:rPr>
                <w:sz w:val="18"/>
                <w:szCs w:val="20"/>
              </w:rPr>
              <w:br/>
              <w:t>The cost allocations for expenditure category B2 should not be changed</w:t>
            </w:r>
            <w:r w:rsidR="005A378F">
              <w:rPr>
                <w:sz w:val="18"/>
                <w:szCs w:val="20"/>
              </w:rPr>
              <w:t xml:space="preserve"> </w:t>
            </w:r>
            <w:r w:rsidRPr="008F31E5">
              <w:rPr>
                <w:sz w:val="18"/>
                <w:szCs w:val="20"/>
              </w:rPr>
              <w:t>...</w:t>
            </w:r>
            <w:r w:rsidRPr="008F31E5">
              <w:rPr>
                <w:sz w:val="18"/>
                <w:szCs w:val="20"/>
              </w:rPr>
              <w:br/>
            </w:r>
            <w:r w:rsidRPr="008F31E5">
              <w:rPr>
                <w:sz w:val="18"/>
                <w:szCs w:val="20"/>
              </w:rPr>
              <w:br/>
              <w:t>...</w:t>
            </w:r>
            <w:r w:rsidR="005A378F">
              <w:rPr>
                <w:sz w:val="18"/>
                <w:szCs w:val="20"/>
              </w:rPr>
              <w:t xml:space="preserve"> </w:t>
            </w:r>
            <w:r w:rsidRPr="008F31E5">
              <w:rPr>
                <w:sz w:val="18"/>
                <w:szCs w:val="20"/>
              </w:rPr>
              <w:t>The Victorian estimates should not be used in the 2021 determination, but the ATA acknowledges that they may, with further development, be a valuable contribution to the future debate about heavy vehicle charging.</w:t>
            </w:r>
          </w:p>
        </w:tc>
        <w:tc>
          <w:tcPr>
            <w:tcW w:w="3672" w:type="dxa"/>
            <w:gridSpan w:val="2"/>
          </w:tcPr>
          <w:p w14:paraId="6A548BAB" w14:textId="6E09C128"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74FB61C" w14:textId="77777777" w:rsidTr="00FE2CF6">
        <w:tc>
          <w:tcPr>
            <w:tcW w:w="1166" w:type="dxa"/>
          </w:tcPr>
          <w:p w14:paraId="4EE4A735" w14:textId="14EFE42D"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34EF7DF6" w14:textId="34B9F3C3" w:rsidR="0070512E" w:rsidRPr="008F31E5" w:rsidRDefault="0070512E" w:rsidP="008F31E5">
            <w:pPr>
              <w:pStyle w:val="BodyCopy"/>
              <w:spacing w:before="60" w:after="60"/>
              <w:rPr>
                <w:sz w:val="18"/>
                <w:szCs w:val="20"/>
              </w:rPr>
            </w:pPr>
            <w:r w:rsidRPr="008F31E5">
              <w:rPr>
                <w:sz w:val="18"/>
                <w:szCs w:val="20"/>
              </w:rPr>
              <w:t>8</w:t>
            </w:r>
          </w:p>
        </w:tc>
        <w:tc>
          <w:tcPr>
            <w:tcW w:w="1171" w:type="dxa"/>
          </w:tcPr>
          <w:p w14:paraId="62C01ACF" w14:textId="571CC3D2"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c</w:t>
            </w:r>
            <w:r w:rsidRPr="008F31E5">
              <w:rPr>
                <w:sz w:val="18"/>
                <w:szCs w:val="20"/>
              </w:rPr>
              <w:t>ost allocation</w:t>
            </w:r>
          </w:p>
        </w:tc>
        <w:tc>
          <w:tcPr>
            <w:tcW w:w="7201" w:type="dxa"/>
          </w:tcPr>
          <w:p w14:paraId="7ED16C3C" w14:textId="4A05725C" w:rsidR="0070512E" w:rsidRPr="008F31E5" w:rsidRDefault="0070512E" w:rsidP="008F31E5">
            <w:pPr>
              <w:pStyle w:val="BodyCopy"/>
              <w:spacing w:before="60" w:after="60"/>
              <w:rPr>
                <w:sz w:val="18"/>
                <w:szCs w:val="20"/>
              </w:rPr>
            </w:pPr>
            <w:r w:rsidRPr="008F31E5">
              <w:rPr>
                <w:sz w:val="18"/>
                <w:szCs w:val="20"/>
              </w:rPr>
              <w:t>Yes, provided that a review of the ESA-km process is undertaken. Implementation pathways are of greater concern, as discussed below.</w:t>
            </w:r>
          </w:p>
        </w:tc>
        <w:tc>
          <w:tcPr>
            <w:tcW w:w="3672" w:type="dxa"/>
            <w:gridSpan w:val="2"/>
          </w:tcPr>
          <w:p w14:paraId="43322F5C" w14:textId="0744173E"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557C47B" w14:textId="77777777" w:rsidTr="00FE2CF6">
        <w:tc>
          <w:tcPr>
            <w:tcW w:w="1166" w:type="dxa"/>
          </w:tcPr>
          <w:p w14:paraId="480A3A45" w14:textId="52115196" w:rsidR="0070512E" w:rsidRPr="008F31E5" w:rsidRDefault="0070512E" w:rsidP="008F31E5">
            <w:pPr>
              <w:pStyle w:val="BodyCopy"/>
              <w:spacing w:before="60" w:after="60"/>
              <w:rPr>
                <w:sz w:val="18"/>
                <w:szCs w:val="20"/>
              </w:rPr>
            </w:pPr>
            <w:r w:rsidRPr="008F31E5">
              <w:rPr>
                <w:sz w:val="18"/>
                <w:szCs w:val="20"/>
              </w:rPr>
              <w:lastRenderedPageBreak/>
              <w:t>NatRoad</w:t>
            </w:r>
          </w:p>
        </w:tc>
        <w:tc>
          <w:tcPr>
            <w:tcW w:w="902" w:type="dxa"/>
          </w:tcPr>
          <w:p w14:paraId="4B6A4AB3" w14:textId="5CC940CD" w:rsidR="0070512E" w:rsidRPr="008F31E5" w:rsidRDefault="0070512E" w:rsidP="008F31E5">
            <w:pPr>
              <w:pStyle w:val="BodyCopy"/>
              <w:spacing w:before="60" w:after="60"/>
              <w:rPr>
                <w:sz w:val="18"/>
                <w:szCs w:val="20"/>
              </w:rPr>
            </w:pPr>
            <w:r w:rsidRPr="008F31E5">
              <w:rPr>
                <w:sz w:val="18"/>
                <w:szCs w:val="20"/>
              </w:rPr>
              <w:t>8</w:t>
            </w:r>
          </w:p>
        </w:tc>
        <w:tc>
          <w:tcPr>
            <w:tcW w:w="1171" w:type="dxa"/>
          </w:tcPr>
          <w:p w14:paraId="47C08281" w14:textId="533568BD"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c</w:t>
            </w:r>
            <w:r w:rsidRPr="008F31E5">
              <w:rPr>
                <w:sz w:val="18"/>
                <w:szCs w:val="20"/>
              </w:rPr>
              <w:t>ost allocation</w:t>
            </w:r>
          </w:p>
        </w:tc>
        <w:tc>
          <w:tcPr>
            <w:tcW w:w="7201" w:type="dxa"/>
          </w:tcPr>
          <w:p w14:paraId="6D83D8A8" w14:textId="33B2B323" w:rsidR="005A378F" w:rsidRDefault="0070512E" w:rsidP="008F31E5">
            <w:pPr>
              <w:pStyle w:val="BodyCopy"/>
              <w:spacing w:before="60" w:after="60"/>
              <w:rPr>
                <w:sz w:val="18"/>
                <w:szCs w:val="20"/>
              </w:rPr>
            </w:pPr>
            <w:r w:rsidRPr="008F31E5">
              <w:rPr>
                <w:sz w:val="18"/>
                <w:szCs w:val="20"/>
              </w:rPr>
              <w:t>We agree with the observation in the C</w:t>
            </w:r>
            <w:r w:rsidR="00E80126">
              <w:rPr>
                <w:sz w:val="18"/>
                <w:szCs w:val="20"/>
              </w:rPr>
              <w:t>-</w:t>
            </w:r>
            <w:r w:rsidRPr="008F31E5">
              <w:rPr>
                <w:sz w:val="18"/>
                <w:szCs w:val="20"/>
              </w:rPr>
              <w:t xml:space="preserve">RIS that </w:t>
            </w:r>
            <w:r w:rsidR="00052D7C">
              <w:rPr>
                <w:sz w:val="18"/>
                <w:szCs w:val="20"/>
              </w:rPr>
              <w:t>‘</w:t>
            </w:r>
            <w:r w:rsidRPr="008F31E5">
              <w:rPr>
                <w:sz w:val="18"/>
                <w:szCs w:val="20"/>
              </w:rPr>
              <w:t>the motivation for considering change may include that some options may be more accurate than others. On the other hand, the value of added precision is likely to be limited by the highly averaged nature of heavy vehicle charges.</w:t>
            </w:r>
            <w:r w:rsidR="00052D7C">
              <w:rPr>
                <w:sz w:val="18"/>
                <w:szCs w:val="20"/>
              </w:rPr>
              <w:t>’</w:t>
            </w:r>
          </w:p>
          <w:p w14:paraId="3F5B61A9" w14:textId="6121ABD3" w:rsidR="0070512E" w:rsidRPr="008F31E5" w:rsidRDefault="0070512E" w:rsidP="008F31E5">
            <w:pPr>
              <w:pStyle w:val="BodyCopy"/>
              <w:spacing w:before="60" w:after="60"/>
              <w:rPr>
                <w:sz w:val="18"/>
                <w:szCs w:val="20"/>
              </w:rPr>
            </w:pPr>
            <w:r w:rsidRPr="008F31E5">
              <w:rPr>
                <w:sz w:val="18"/>
                <w:szCs w:val="20"/>
              </w:rPr>
              <w:br/>
              <w:t>This is another fundamental problem with the extant cost models: that high level of averaging is not necessarily reflective of reality.</w:t>
            </w:r>
            <w:r w:rsidRPr="008F31E5">
              <w:rPr>
                <w:sz w:val="18"/>
                <w:szCs w:val="20"/>
              </w:rPr>
              <w:br/>
            </w:r>
            <w:r w:rsidRPr="008F31E5">
              <w:rPr>
                <w:sz w:val="18"/>
                <w:szCs w:val="20"/>
              </w:rPr>
              <w:br/>
              <w:t xml:space="preserve">...The three options show respectively an estimated gap or shortfall of 10.7% (current method), 14.1% (modified current) and 21.3% (new </w:t>
            </w:r>
            <w:r w:rsidR="00E80126">
              <w:rPr>
                <w:sz w:val="18"/>
                <w:szCs w:val="20"/>
              </w:rPr>
              <w:t xml:space="preserve">– </w:t>
            </w:r>
            <w:r w:rsidRPr="008F31E5">
              <w:rPr>
                <w:sz w:val="18"/>
                <w:szCs w:val="20"/>
              </w:rPr>
              <w:t>the Victorian model). If translated to the proposed determination, these levels of increase are all well beyond what the industry is able to absorb, a key consideration in answering question 8 and in reinforcing the NatRoad solution to the problem of how to set heavy vehicle charges until the HVRR model can be implemented.</w:t>
            </w:r>
            <w:r w:rsidRPr="008F31E5">
              <w:rPr>
                <w:sz w:val="18"/>
                <w:szCs w:val="20"/>
              </w:rPr>
              <w:br/>
            </w:r>
            <w:r w:rsidRPr="008F31E5">
              <w:rPr>
                <w:sz w:val="18"/>
                <w:szCs w:val="20"/>
              </w:rPr>
              <w:br/>
              <w:t>In the NatRoad submission dated 12 March 2021 to the NTC on heavy vehicle charges we emphasised the inability of the industry to absorb cost increases. In particular, the pandemic conditions are still entrenched and economic fragility cannot be underestimated. Conditions remain precarious, especially in light of the now extended NSW/Greater Sydney and Victorian lock downs. We continue to rely on the March 2021 submission.</w:t>
            </w:r>
            <w:r w:rsidRPr="008F31E5">
              <w:rPr>
                <w:sz w:val="18"/>
                <w:szCs w:val="20"/>
              </w:rPr>
              <w:br/>
            </w:r>
            <w:r w:rsidRPr="008F31E5">
              <w:rPr>
                <w:sz w:val="18"/>
                <w:szCs w:val="20"/>
              </w:rPr>
              <w:br/>
              <w:t>Annual growth over the past 5 years has been estimated as minus 3.2%, with the industry profit margin at 2.4%. Accordingly, even with the NatRoad suggestion that the current charges be indexed for inflation annually or be indexed at the lower fixed percentage proffered by the NTC, many industry members will be adversely affected even by this increase because it is an increase in operating costs that they have little or no ability to absorb or pass on to customers.</w:t>
            </w:r>
            <w:r w:rsidRPr="008F31E5">
              <w:rPr>
                <w:sz w:val="18"/>
                <w:szCs w:val="20"/>
              </w:rPr>
              <w:br/>
            </w:r>
            <w:r w:rsidRPr="008F31E5">
              <w:rPr>
                <w:sz w:val="18"/>
                <w:szCs w:val="20"/>
              </w:rPr>
              <w:br/>
              <w:t>Accordingly, the NatRoad answer to Question 8 is utilise the current model and apply the solution proposed in paragraph 4 of this submission. Increasing costs by the percentage figures shown in paragraph 45 of this submission would have an adverse effect on NatRoad’s members, particularly its smaller members.</w:t>
            </w:r>
          </w:p>
        </w:tc>
        <w:tc>
          <w:tcPr>
            <w:tcW w:w="3672" w:type="dxa"/>
            <w:gridSpan w:val="2"/>
          </w:tcPr>
          <w:p w14:paraId="2FBE5F38" w14:textId="7D5125C8"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5EE8E836" w14:textId="77777777" w:rsidTr="00FE2CF6">
        <w:tc>
          <w:tcPr>
            <w:tcW w:w="1166" w:type="dxa"/>
          </w:tcPr>
          <w:p w14:paraId="0319740F" w14:textId="7D73CD04"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028620F8" w14:textId="2FC7E4D2" w:rsidR="0070512E" w:rsidRPr="008F31E5" w:rsidRDefault="0070512E" w:rsidP="008F31E5">
            <w:pPr>
              <w:pStyle w:val="BodyCopy"/>
              <w:spacing w:before="60" w:after="60"/>
              <w:rPr>
                <w:sz w:val="18"/>
                <w:szCs w:val="20"/>
              </w:rPr>
            </w:pPr>
            <w:r w:rsidRPr="008F31E5">
              <w:rPr>
                <w:sz w:val="18"/>
                <w:szCs w:val="20"/>
              </w:rPr>
              <w:t>8</w:t>
            </w:r>
          </w:p>
        </w:tc>
        <w:tc>
          <w:tcPr>
            <w:tcW w:w="1171" w:type="dxa"/>
          </w:tcPr>
          <w:p w14:paraId="6EAB8271" w14:textId="2E4CC597"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c</w:t>
            </w:r>
            <w:r w:rsidRPr="008F31E5">
              <w:rPr>
                <w:sz w:val="18"/>
                <w:szCs w:val="20"/>
              </w:rPr>
              <w:t>ost allocation</w:t>
            </w:r>
          </w:p>
        </w:tc>
        <w:tc>
          <w:tcPr>
            <w:tcW w:w="7201" w:type="dxa"/>
          </w:tcPr>
          <w:p w14:paraId="44B80A4E" w14:textId="1C4F1385" w:rsidR="0070512E" w:rsidRPr="008F31E5" w:rsidRDefault="0070512E" w:rsidP="008F31E5">
            <w:pPr>
              <w:pStyle w:val="BodyCopy"/>
              <w:spacing w:before="60" w:after="60"/>
              <w:rPr>
                <w:sz w:val="18"/>
                <w:szCs w:val="20"/>
              </w:rPr>
            </w:pPr>
            <w:r w:rsidRPr="008F31E5">
              <w:rPr>
                <w:sz w:val="18"/>
                <w:szCs w:val="20"/>
              </w:rPr>
              <w:t>The NHVR understands that the bridge stock in Victoria is, on average, older in years; that the average span length of the bridges is longer; and that there is a higher proportion of simply supported bridges than bridge structures across most of Australia. Consequently, it could be assumed that the cost to maintain, rehabilitate or improve bridge structures in Victoria is likely to be greater.</w:t>
            </w:r>
            <w:r w:rsidRPr="008F31E5">
              <w:rPr>
                <w:sz w:val="18"/>
                <w:szCs w:val="20"/>
              </w:rPr>
              <w:br/>
            </w:r>
            <w:r w:rsidRPr="008F31E5">
              <w:rPr>
                <w:sz w:val="18"/>
                <w:szCs w:val="20"/>
              </w:rPr>
              <w:br/>
              <w:t xml:space="preserve">Bridge costs would contribute to the overall engineering pavement costs estimated in the </w:t>
            </w:r>
            <w:r w:rsidRPr="008F31E5">
              <w:rPr>
                <w:sz w:val="18"/>
                <w:szCs w:val="20"/>
              </w:rPr>
              <w:lastRenderedPageBreak/>
              <w:t>VIC DTF/DOT model. This may explain why the VIC DTF/DOT cost allocators reflect a higher cost base, by up to more than 10 per cent, than either the current or modified current heavy vehicle cost base. The NHVR is uncertain if pavement design standards in Victoria are different from other jurisdictions, and the characteristics of bridge stock in Victoria as outlined above could be a potential reason for cost differences compared to the other cost case approaches.</w:t>
            </w:r>
            <w:r w:rsidRPr="008F31E5">
              <w:rPr>
                <w:sz w:val="18"/>
                <w:szCs w:val="20"/>
              </w:rPr>
              <w:br/>
            </w:r>
            <w:r w:rsidRPr="008F31E5">
              <w:rPr>
                <w:sz w:val="18"/>
                <w:szCs w:val="20"/>
              </w:rPr>
              <w:br/>
              <w:t>The NHVR supports this determination being centred on the ‘current’ or ‘modified current’ heavy vehicle cost base approach. For reasons stated, the NHVR would have some concerns if the VIC DTF/DOT cost allocators approach was considered in this determination.</w:t>
            </w:r>
          </w:p>
        </w:tc>
        <w:tc>
          <w:tcPr>
            <w:tcW w:w="3672" w:type="dxa"/>
            <w:gridSpan w:val="2"/>
          </w:tcPr>
          <w:p w14:paraId="63701BD7" w14:textId="578E2DEA"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7FEC6EDB" w14:textId="77777777" w:rsidTr="00FE2CF6">
        <w:tc>
          <w:tcPr>
            <w:tcW w:w="1166" w:type="dxa"/>
          </w:tcPr>
          <w:p w14:paraId="2821490B" w14:textId="5E8D1760" w:rsidR="0070512E" w:rsidRPr="008F31E5" w:rsidRDefault="0070512E" w:rsidP="008F31E5">
            <w:pPr>
              <w:pStyle w:val="BodyCopy"/>
              <w:spacing w:before="60" w:after="60"/>
              <w:rPr>
                <w:sz w:val="18"/>
                <w:szCs w:val="20"/>
              </w:rPr>
            </w:pPr>
            <w:r w:rsidRPr="008F31E5">
              <w:rPr>
                <w:sz w:val="18"/>
                <w:szCs w:val="20"/>
              </w:rPr>
              <w:t>ALRTA</w:t>
            </w:r>
          </w:p>
        </w:tc>
        <w:tc>
          <w:tcPr>
            <w:tcW w:w="902" w:type="dxa"/>
          </w:tcPr>
          <w:p w14:paraId="1FFBF447" w14:textId="22A218CB" w:rsidR="0070512E" w:rsidRPr="008F31E5" w:rsidRDefault="0070512E" w:rsidP="008F31E5">
            <w:pPr>
              <w:pStyle w:val="BodyCopy"/>
              <w:spacing w:before="60" w:after="60"/>
              <w:rPr>
                <w:sz w:val="18"/>
                <w:szCs w:val="20"/>
              </w:rPr>
            </w:pPr>
            <w:r w:rsidRPr="008F31E5">
              <w:rPr>
                <w:sz w:val="18"/>
                <w:szCs w:val="20"/>
              </w:rPr>
              <w:t>9</w:t>
            </w:r>
          </w:p>
        </w:tc>
        <w:tc>
          <w:tcPr>
            <w:tcW w:w="1171" w:type="dxa"/>
          </w:tcPr>
          <w:p w14:paraId="1FD713FF" w14:textId="300FBCEA"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MaxMan</w:t>
            </w:r>
          </w:p>
        </w:tc>
        <w:tc>
          <w:tcPr>
            <w:tcW w:w="7201" w:type="dxa"/>
          </w:tcPr>
          <w:p w14:paraId="1926ED10" w14:textId="20AC8F2A" w:rsidR="0070512E" w:rsidRPr="008F31E5" w:rsidRDefault="0070512E" w:rsidP="008F31E5">
            <w:pPr>
              <w:pStyle w:val="BodyCopy"/>
              <w:spacing w:before="60" w:after="60"/>
              <w:rPr>
                <w:sz w:val="18"/>
                <w:szCs w:val="20"/>
              </w:rPr>
            </w:pPr>
            <w:r w:rsidRPr="008F31E5">
              <w:rPr>
                <w:sz w:val="18"/>
                <w:szCs w:val="20"/>
              </w:rPr>
              <w:t>The removal of the MaxMan module with the continued waiving of road related charges for dollies. In our view, MaxMan is too complex and is not achieving the intended policy outcome. The dolly discount is a practical mechanism for simply applying an appropriately targeted discount for vehicles restricted to lower quality parts of the road network.</w:t>
            </w:r>
          </w:p>
        </w:tc>
        <w:tc>
          <w:tcPr>
            <w:tcW w:w="3672" w:type="dxa"/>
            <w:gridSpan w:val="2"/>
          </w:tcPr>
          <w:p w14:paraId="056146F9" w14:textId="651507B9"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3BF5699F" w14:textId="77777777" w:rsidTr="00FE2CF6">
        <w:tc>
          <w:tcPr>
            <w:tcW w:w="1166" w:type="dxa"/>
          </w:tcPr>
          <w:p w14:paraId="2C65D4CD" w14:textId="65C6A0B4"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59A17F15" w14:textId="3F9DE8AE" w:rsidR="0070512E" w:rsidRPr="008F31E5" w:rsidRDefault="0070512E" w:rsidP="008F31E5">
            <w:pPr>
              <w:pStyle w:val="BodyCopy"/>
              <w:spacing w:before="60" w:after="60"/>
              <w:rPr>
                <w:sz w:val="18"/>
                <w:szCs w:val="20"/>
              </w:rPr>
            </w:pPr>
            <w:r w:rsidRPr="008F31E5">
              <w:rPr>
                <w:sz w:val="18"/>
                <w:szCs w:val="20"/>
              </w:rPr>
              <w:t>9</w:t>
            </w:r>
          </w:p>
        </w:tc>
        <w:tc>
          <w:tcPr>
            <w:tcW w:w="1171" w:type="dxa"/>
          </w:tcPr>
          <w:p w14:paraId="239534D4" w14:textId="285CF1D1"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MaxMan</w:t>
            </w:r>
          </w:p>
        </w:tc>
        <w:tc>
          <w:tcPr>
            <w:tcW w:w="7201" w:type="dxa"/>
          </w:tcPr>
          <w:p w14:paraId="2E186795" w14:textId="3EAAF816" w:rsidR="0070512E" w:rsidRPr="008F31E5" w:rsidRDefault="0070512E" w:rsidP="008F31E5">
            <w:pPr>
              <w:pStyle w:val="BodyCopy"/>
              <w:spacing w:before="60" w:after="60"/>
              <w:rPr>
                <w:sz w:val="18"/>
                <w:szCs w:val="20"/>
              </w:rPr>
            </w:pPr>
            <w:r w:rsidRPr="008F31E5">
              <w:rPr>
                <w:sz w:val="18"/>
                <w:szCs w:val="20"/>
              </w:rPr>
              <w:t>[Supports] The removal of MaxMan from the model given its complexity does not provide any significant benefit</w:t>
            </w:r>
            <w:r w:rsidR="00E80126">
              <w:rPr>
                <w:sz w:val="18"/>
                <w:szCs w:val="20"/>
              </w:rPr>
              <w:t xml:space="preserve"> ...</w:t>
            </w:r>
          </w:p>
        </w:tc>
        <w:tc>
          <w:tcPr>
            <w:tcW w:w="3672" w:type="dxa"/>
            <w:gridSpan w:val="2"/>
          </w:tcPr>
          <w:p w14:paraId="794A8C4D" w14:textId="61316D3E"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4C2D4F3" w14:textId="77777777" w:rsidTr="00FE2CF6">
        <w:tc>
          <w:tcPr>
            <w:tcW w:w="1166" w:type="dxa"/>
          </w:tcPr>
          <w:p w14:paraId="50E1D825" w14:textId="101009A3"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032DE60D" w14:textId="27F4393F" w:rsidR="0070512E" w:rsidRPr="008F31E5" w:rsidRDefault="0070512E" w:rsidP="008F31E5">
            <w:pPr>
              <w:pStyle w:val="BodyCopy"/>
              <w:spacing w:before="60" w:after="60"/>
              <w:rPr>
                <w:sz w:val="18"/>
                <w:szCs w:val="20"/>
              </w:rPr>
            </w:pPr>
            <w:r w:rsidRPr="008F31E5">
              <w:rPr>
                <w:sz w:val="18"/>
                <w:szCs w:val="20"/>
              </w:rPr>
              <w:t>9</w:t>
            </w:r>
          </w:p>
        </w:tc>
        <w:tc>
          <w:tcPr>
            <w:tcW w:w="1171" w:type="dxa"/>
          </w:tcPr>
          <w:p w14:paraId="12DF35B3" w14:textId="5164F53D"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MaxMan</w:t>
            </w:r>
          </w:p>
        </w:tc>
        <w:tc>
          <w:tcPr>
            <w:tcW w:w="7201" w:type="dxa"/>
          </w:tcPr>
          <w:p w14:paraId="181BD79E" w14:textId="4F5C0B5B" w:rsidR="0070512E" w:rsidRPr="008F31E5" w:rsidRDefault="0070512E" w:rsidP="008F31E5">
            <w:pPr>
              <w:pStyle w:val="BodyCopy"/>
              <w:spacing w:before="60" w:after="60"/>
              <w:rPr>
                <w:sz w:val="18"/>
                <w:szCs w:val="20"/>
              </w:rPr>
            </w:pPr>
            <w:r w:rsidRPr="008F31E5">
              <w:rPr>
                <w:sz w:val="18"/>
                <w:szCs w:val="20"/>
              </w:rPr>
              <w:t>The ATA agrees that the MaxMan module should be removed from PAYGO</w:t>
            </w:r>
            <w:r w:rsidR="005A378F">
              <w:rPr>
                <w:sz w:val="18"/>
                <w:szCs w:val="20"/>
              </w:rPr>
              <w:t xml:space="preserve"> </w:t>
            </w:r>
            <w:r w:rsidRPr="008F31E5">
              <w:rPr>
                <w:sz w:val="18"/>
                <w:szCs w:val="20"/>
              </w:rPr>
              <w:t>…</w:t>
            </w:r>
            <w:r w:rsidRPr="008F31E5">
              <w:rPr>
                <w:sz w:val="18"/>
                <w:szCs w:val="20"/>
              </w:rPr>
              <w:br/>
            </w:r>
            <w:r w:rsidRPr="008F31E5">
              <w:rPr>
                <w:sz w:val="18"/>
                <w:szCs w:val="20"/>
              </w:rPr>
              <w:br/>
              <w:t>...</w:t>
            </w:r>
            <w:r w:rsidR="005A378F">
              <w:rPr>
                <w:sz w:val="18"/>
                <w:szCs w:val="20"/>
              </w:rPr>
              <w:t xml:space="preserve"> </w:t>
            </w:r>
            <w:r w:rsidRPr="008F31E5">
              <w:rPr>
                <w:sz w:val="18"/>
                <w:szCs w:val="20"/>
              </w:rPr>
              <w:t>The MaxMan module adds to the complexity of PAYGO and does the opposite of what it was intended to achieve. It should be removed.</w:t>
            </w:r>
          </w:p>
        </w:tc>
        <w:tc>
          <w:tcPr>
            <w:tcW w:w="3672" w:type="dxa"/>
            <w:gridSpan w:val="2"/>
          </w:tcPr>
          <w:p w14:paraId="7F2B8CBB" w14:textId="4038DB09"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CFDFEA9" w14:textId="77777777" w:rsidTr="00FE2CF6">
        <w:tc>
          <w:tcPr>
            <w:tcW w:w="1166" w:type="dxa"/>
          </w:tcPr>
          <w:p w14:paraId="0170413A" w14:textId="524E6970"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4A830478" w14:textId="5F44FE27" w:rsidR="0070512E" w:rsidRPr="008F31E5" w:rsidRDefault="0070512E" w:rsidP="008F31E5">
            <w:pPr>
              <w:pStyle w:val="BodyCopy"/>
              <w:spacing w:before="60" w:after="60"/>
              <w:rPr>
                <w:sz w:val="18"/>
                <w:szCs w:val="20"/>
              </w:rPr>
            </w:pPr>
            <w:r w:rsidRPr="008F31E5">
              <w:rPr>
                <w:sz w:val="18"/>
                <w:szCs w:val="20"/>
              </w:rPr>
              <w:t>9</w:t>
            </w:r>
          </w:p>
        </w:tc>
        <w:tc>
          <w:tcPr>
            <w:tcW w:w="1171" w:type="dxa"/>
          </w:tcPr>
          <w:p w14:paraId="1F4F447E" w14:textId="6174E3EB"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MaxMan</w:t>
            </w:r>
          </w:p>
        </w:tc>
        <w:tc>
          <w:tcPr>
            <w:tcW w:w="7201" w:type="dxa"/>
          </w:tcPr>
          <w:p w14:paraId="3F034CFF" w14:textId="201220CD" w:rsidR="0070512E" w:rsidRPr="008F31E5" w:rsidRDefault="0070512E" w:rsidP="008F31E5">
            <w:pPr>
              <w:pStyle w:val="BodyCopy"/>
              <w:spacing w:before="60" w:after="60"/>
              <w:rPr>
                <w:sz w:val="18"/>
                <w:szCs w:val="20"/>
              </w:rPr>
            </w:pPr>
            <w:r w:rsidRPr="008F31E5">
              <w:rPr>
                <w:sz w:val="18"/>
                <w:szCs w:val="20"/>
              </w:rPr>
              <w:t>Yes. The underlying rationale may not be relevant now.</w:t>
            </w:r>
          </w:p>
        </w:tc>
        <w:tc>
          <w:tcPr>
            <w:tcW w:w="3672" w:type="dxa"/>
            <w:gridSpan w:val="2"/>
          </w:tcPr>
          <w:p w14:paraId="7CADA774" w14:textId="6037B73E"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4FB645E" w14:textId="77777777" w:rsidTr="00FE2CF6">
        <w:tc>
          <w:tcPr>
            <w:tcW w:w="1166" w:type="dxa"/>
          </w:tcPr>
          <w:p w14:paraId="271F5411" w14:textId="252FC282"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77E8CC44" w14:textId="74D6F6F5" w:rsidR="0070512E" w:rsidRPr="008F31E5" w:rsidRDefault="0070512E" w:rsidP="008F31E5">
            <w:pPr>
              <w:pStyle w:val="BodyCopy"/>
              <w:spacing w:before="60" w:after="60"/>
              <w:rPr>
                <w:sz w:val="18"/>
                <w:szCs w:val="20"/>
              </w:rPr>
            </w:pPr>
            <w:r w:rsidRPr="008F31E5">
              <w:rPr>
                <w:sz w:val="18"/>
                <w:szCs w:val="20"/>
              </w:rPr>
              <w:t>9</w:t>
            </w:r>
          </w:p>
        </w:tc>
        <w:tc>
          <w:tcPr>
            <w:tcW w:w="1171" w:type="dxa"/>
          </w:tcPr>
          <w:p w14:paraId="38F14078" w14:textId="38FE5D8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MaxMan</w:t>
            </w:r>
          </w:p>
        </w:tc>
        <w:tc>
          <w:tcPr>
            <w:tcW w:w="7201" w:type="dxa"/>
          </w:tcPr>
          <w:p w14:paraId="1A430780" w14:textId="72812BCB" w:rsidR="0070512E" w:rsidRPr="008F31E5" w:rsidRDefault="0070512E" w:rsidP="008F31E5">
            <w:pPr>
              <w:pStyle w:val="BodyCopy"/>
              <w:spacing w:before="60" w:after="60"/>
              <w:rPr>
                <w:sz w:val="18"/>
                <w:szCs w:val="20"/>
              </w:rPr>
            </w:pPr>
            <w:r w:rsidRPr="008F31E5">
              <w:rPr>
                <w:sz w:val="18"/>
                <w:szCs w:val="20"/>
              </w:rPr>
              <w:t>The NatRoad strong position is that where any truck or combination can’t use a road, the cost of that road should not be applied to the heavy vehicle cost base for that vehicle or vehicle type.</w:t>
            </w:r>
            <w:r w:rsidRPr="008F31E5">
              <w:rPr>
                <w:sz w:val="18"/>
                <w:szCs w:val="20"/>
              </w:rPr>
              <w:br/>
            </w:r>
            <w:r w:rsidRPr="008F31E5">
              <w:rPr>
                <w:sz w:val="18"/>
                <w:szCs w:val="20"/>
              </w:rPr>
              <w:br/>
              <w:t>Whilst NatRoad generally holds to the view that no changes to the PAYGO model should be made in light of our suggested solution set out in paragraph 4, in this instance we would agree with the removal of MaxMan.</w:t>
            </w:r>
            <w:r w:rsidRPr="008F31E5">
              <w:rPr>
                <w:sz w:val="18"/>
                <w:szCs w:val="20"/>
              </w:rPr>
              <w:br/>
            </w:r>
            <w:r w:rsidRPr="008F31E5">
              <w:rPr>
                <w:sz w:val="18"/>
                <w:szCs w:val="20"/>
              </w:rPr>
              <w:br/>
              <w:t>Road trains are the only vehicle classes treated separately through the MaxMan system. No adjustment is made for any other vehicle classes, even though there are frequently restrictions preventing use or which constrain operators’ choices not to use other vehicle combinations in certain areas. That factor alone indicates that the model will not be adversely affected by the removal of MaxMan. This observation also emphasises the principle which underpins the stance taken in this submission: denial of access should mean that no payment for the relevant road’s construction applies to heavy vehicles.</w:t>
            </w:r>
          </w:p>
        </w:tc>
        <w:tc>
          <w:tcPr>
            <w:tcW w:w="3672" w:type="dxa"/>
            <w:gridSpan w:val="2"/>
          </w:tcPr>
          <w:p w14:paraId="18836D0E" w14:textId="7C1590F8"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3D68F0D6" w14:textId="77777777" w:rsidTr="00FE2CF6">
        <w:tc>
          <w:tcPr>
            <w:tcW w:w="1166" w:type="dxa"/>
          </w:tcPr>
          <w:p w14:paraId="3B46190E" w14:textId="3445C061" w:rsidR="0070512E" w:rsidRPr="008F31E5" w:rsidRDefault="0070512E" w:rsidP="008F31E5">
            <w:pPr>
              <w:pStyle w:val="BodyCopy"/>
              <w:spacing w:before="60" w:after="60"/>
              <w:rPr>
                <w:sz w:val="18"/>
                <w:szCs w:val="20"/>
              </w:rPr>
            </w:pPr>
            <w:r w:rsidRPr="008F31E5">
              <w:rPr>
                <w:sz w:val="18"/>
                <w:szCs w:val="20"/>
              </w:rPr>
              <w:lastRenderedPageBreak/>
              <w:t>NHVR</w:t>
            </w:r>
          </w:p>
        </w:tc>
        <w:tc>
          <w:tcPr>
            <w:tcW w:w="902" w:type="dxa"/>
          </w:tcPr>
          <w:p w14:paraId="0B3BFCB0" w14:textId="75CCF835" w:rsidR="0070512E" w:rsidRPr="008F31E5" w:rsidRDefault="0070512E" w:rsidP="008F31E5">
            <w:pPr>
              <w:pStyle w:val="BodyCopy"/>
              <w:spacing w:before="60" w:after="60"/>
              <w:rPr>
                <w:sz w:val="18"/>
                <w:szCs w:val="20"/>
              </w:rPr>
            </w:pPr>
            <w:r w:rsidRPr="008F31E5">
              <w:rPr>
                <w:sz w:val="18"/>
                <w:szCs w:val="20"/>
              </w:rPr>
              <w:t>9</w:t>
            </w:r>
          </w:p>
        </w:tc>
        <w:tc>
          <w:tcPr>
            <w:tcW w:w="1171" w:type="dxa"/>
          </w:tcPr>
          <w:p w14:paraId="1759B42C" w14:textId="60CA4D21"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MaxMan</w:t>
            </w:r>
          </w:p>
        </w:tc>
        <w:tc>
          <w:tcPr>
            <w:tcW w:w="7201" w:type="dxa"/>
          </w:tcPr>
          <w:p w14:paraId="6761B35B" w14:textId="57C4E4E3" w:rsidR="0070512E" w:rsidRPr="008F31E5" w:rsidRDefault="0070512E" w:rsidP="008F31E5">
            <w:pPr>
              <w:pStyle w:val="BodyCopy"/>
              <w:spacing w:before="60" w:after="60"/>
              <w:rPr>
                <w:sz w:val="18"/>
                <w:szCs w:val="20"/>
              </w:rPr>
            </w:pPr>
            <w:r w:rsidRPr="008F31E5">
              <w:rPr>
                <w:sz w:val="18"/>
                <w:szCs w:val="20"/>
              </w:rPr>
              <w:t>Agreed. The uptake of road trains has significantly increased over recent years, with greater access being approved for the use of A-</w:t>
            </w:r>
            <w:r w:rsidR="005A378F">
              <w:rPr>
                <w:sz w:val="18"/>
                <w:szCs w:val="20"/>
              </w:rPr>
              <w:t>d</w:t>
            </w:r>
            <w:r w:rsidRPr="008F31E5">
              <w:rPr>
                <w:sz w:val="18"/>
                <w:szCs w:val="20"/>
              </w:rPr>
              <w:t>oubles for containerised transport to and from ports. MaxMan offers no material value in differentiating cost in the broader context of the PAYGO model.</w:t>
            </w:r>
          </w:p>
        </w:tc>
        <w:tc>
          <w:tcPr>
            <w:tcW w:w="3672" w:type="dxa"/>
            <w:gridSpan w:val="2"/>
          </w:tcPr>
          <w:p w14:paraId="2A2A8CD1" w14:textId="74ECA6B6"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1EB6AB54" w14:textId="77777777" w:rsidTr="00FE2CF6">
        <w:tc>
          <w:tcPr>
            <w:tcW w:w="1166" w:type="dxa"/>
          </w:tcPr>
          <w:p w14:paraId="7DEC2372" w14:textId="72F22A31"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6718C738" w14:textId="535AF5F9" w:rsidR="0070512E" w:rsidRPr="008F31E5" w:rsidRDefault="0070512E" w:rsidP="008F31E5">
            <w:pPr>
              <w:pStyle w:val="BodyCopy"/>
              <w:spacing w:before="60" w:after="60"/>
              <w:rPr>
                <w:sz w:val="18"/>
                <w:szCs w:val="20"/>
              </w:rPr>
            </w:pPr>
            <w:r w:rsidRPr="008F31E5">
              <w:rPr>
                <w:sz w:val="18"/>
                <w:szCs w:val="20"/>
              </w:rPr>
              <w:t>10</w:t>
            </w:r>
          </w:p>
        </w:tc>
        <w:tc>
          <w:tcPr>
            <w:tcW w:w="1171" w:type="dxa"/>
          </w:tcPr>
          <w:p w14:paraId="3C9FA475" w14:textId="09F05BDD"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RUC leakage</w:t>
            </w:r>
          </w:p>
        </w:tc>
        <w:tc>
          <w:tcPr>
            <w:tcW w:w="7201" w:type="dxa"/>
          </w:tcPr>
          <w:p w14:paraId="649D16D2" w14:textId="410B6585" w:rsidR="002C0902" w:rsidRDefault="0070512E" w:rsidP="008F31E5">
            <w:pPr>
              <w:pStyle w:val="BodyCopy"/>
              <w:spacing w:before="60" w:after="60"/>
              <w:rPr>
                <w:sz w:val="18"/>
                <w:szCs w:val="20"/>
              </w:rPr>
            </w:pPr>
            <w:r w:rsidRPr="008F31E5">
              <w:rPr>
                <w:sz w:val="18"/>
                <w:szCs w:val="20"/>
              </w:rPr>
              <w:t>[Supports] The inclusion of the 4.8% revenue factor to reflect the impact of RUC exemptions and leakages be applied to ensure that the revenue target accurately reflects the cost base.</w:t>
            </w:r>
          </w:p>
          <w:p w14:paraId="419A340A" w14:textId="77777777" w:rsidR="002C0902" w:rsidRDefault="0070512E" w:rsidP="002C0902">
            <w:pPr>
              <w:pStyle w:val="BodyCopy"/>
              <w:numPr>
                <w:ilvl w:val="3"/>
                <w:numId w:val="63"/>
              </w:numPr>
              <w:spacing w:before="60" w:after="60"/>
              <w:ind w:left="168" w:hanging="168"/>
              <w:rPr>
                <w:sz w:val="18"/>
                <w:szCs w:val="20"/>
              </w:rPr>
            </w:pPr>
            <w:r w:rsidRPr="008F31E5">
              <w:rPr>
                <w:sz w:val="18"/>
                <w:szCs w:val="20"/>
              </w:rPr>
              <w:t>ARTC understands the revenue used in table 19 to highlight the estimated revenue gap does not account for this leakage.</w:t>
            </w:r>
          </w:p>
          <w:p w14:paraId="2D07D0A9" w14:textId="32ED076B" w:rsidR="002C0902" w:rsidRDefault="0070512E" w:rsidP="002C0902">
            <w:pPr>
              <w:pStyle w:val="BodyCopy"/>
              <w:numPr>
                <w:ilvl w:val="3"/>
                <w:numId w:val="63"/>
              </w:numPr>
              <w:spacing w:before="60" w:after="60"/>
              <w:ind w:left="168" w:hanging="168"/>
              <w:rPr>
                <w:sz w:val="18"/>
                <w:szCs w:val="20"/>
              </w:rPr>
            </w:pPr>
            <w:r w:rsidRPr="008F31E5">
              <w:rPr>
                <w:sz w:val="18"/>
                <w:szCs w:val="20"/>
              </w:rPr>
              <w:t>The current revenue gap to the (inadequate) allocated cost base is therefore 16.2% not 10.7%</w:t>
            </w:r>
            <w:r w:rsidR="002C0902">
              <w:rPr>
                <w:sz w:val="18"/>
                <w:szCs w:val="20"/>
              </w:rPr>
              <w:t>.</w:t>
            </w:r>
          </w:p>
          <w:p w14:paraId="5374F2AC" w14:textId="17030FF9" w:rsidR="0070512E" w:rsidRPr="008F31E5" w:rsidRDefault="0070512E" w:rsidP="002C0902">
            <w:pPr>
              <w:pStyle w:val="BodyCopy"/>
              <w:numPr>
                <w:ilvl w:val="3"/>
                <w:numId w:val="63"/>
              </w:numPr>
              <w:spacing w:before="60" w:after="60"/>
              <w:ind w:left="168" w:hanging="168"/>
              <w:rPr>
                <w:sz w:val="18"/>
                <w:szCs w:val="20"/>
              </w:rPr>
            </w:pPr>
            <w:r w:rsidRPr="008F31E5">
              <w:rPr>
                <w:sz w:val="18"/>
                <w:szCs w:val="20"/>
              </w:rPr>
              <w:t>As above, this under recovery of a cost base which minimi</w:t>
            </w:r>
            <w:r w:rsidR="005A378F">
              <w:rPr>
                <w:sz w:val="18"/>
                <w:szCs w:val="20"/>
              </w:rPr>
              <w:t>s</w:t>
            </w:r>
            <w:r w:rsidRPr="008F31E5">
              <w:rPr>
                <w:sz w:val="18"/>
                <w:szCs w:val="20"/>
              </w:rPr>
              <w:t>es the costs of road usage contributes to the market failure in the freight transport market, imposing significant externality costs to the Australian economy.</w:t>
            </w:r>
          </w:p>
        </w:tc>
        <w:tc>
          <w:tcPr>
            <w:tcW w:w="3672" w:type="dxa"/>
            <w:gridSpan w:val="2"/>
          </w:tcPr>
          <w:p w14:paraId="488E85FA" w14:textId="35C478BF"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D43F5AD" w14:textId="77777777" w:rsidTr="00FE2CF6">
        <w:tc>
          <w:tcPr>
            <w:tcW w:w="1166" w:type="dxa"/>
          </w:tcPr>
          <w:p w14:paraId="60D77162" w14:textId="4F499BA7"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44259B76" w14:textId="639B40E0" w:rsidR="0070512E" w:rsidRPr="008F31E5" w:rsidRDefault="0070512E" w:rsidP="008F31E5">
            <w:pPr>
              <w:pStyle w:val="BodyCopy"/>
              <w:spacing w:before="60" w:after="60"/>
              <w:rPr>
                <w:sz w:val="18"/>
                <w:szCs w:val="20"/>
              </w:rPr>
            </w:pPr>
            <w:r w:rsidRPr="008F31E5">
              <w:rPr>
                <w:sz w:val="18"/>
                <w:szCs w:val="20"/>
              </w:rPr>
              <w:t>10</w:t>
            </w:r>
          </w:p>
        </w:tc>
        <w:tc>
          <w:tcPr>
            <w:tcW w:w="1171" w:type="dxa"/>
          </w:tcPr>
          <w:p w14:paraId="71C9D60E" w14:textId="1A0DCB01"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RUC leakage</w:t>
            </w:r>
          </w:p>
        </w:tc>
        <w:tc>
          <w:tcPr>
            <w:tcW w:w="7201" w:type="dxa"/>
          </w:tcPr>
          <w:p w14:paraId="72DB7CB6" w14:textId="173FE029" w:rsidR="002C0902" w:rsidRDefault="0070512E" w:rsidP="008F31E5">
            <w:pPr>
              <w:pStyle w:val="BodyCopy"/>
              <w:spacing w:before="60" w:after="60"/>
              <w:rPr>
                <w:sz w:val="18"/>
                <w:szCs w:val="20"/>
              </w:rPr>
            </w:pPr>
            <w:r w:rsidRPr="008F31E5">
              <w:rPr>
                <w:sz w:val="18"/>
                <w:szCs w:val="20"/>
              </w:rPr>
              <w:t>The NTC should not adjust the SMVU fuel consumption estimates to take into account the RUC exemptions for auxiliary fuel use.</w:t>
            </w:r>
            <w:r w:rsidRPr="008F31E5">
              <w:rPr>
                <w:sz w:val="18"/>
                <w:szCs w:val="20"/>
              </w:rPr>
              <w:br/>
            </w:r>
            <w:r w:rsidRPr="008F31E5">
              <w:rPr>
                <w:sz w:val="18"/>
                <w:szCs w:val="20"/>
              </w:rPr>
              <w:br/>
              <w:t>If, however, the NTC decides to press on with approach 2, it should recalculate its estimates of auxiliary fuel use to</w:t>
            </w:r>
            <w:r w:rsidR="005A378F">
              <w:rPr>
                <w:sz w:val="18"/>
                <w:szCs w:val="20"/>
              </w:rPr>
              <w:t>:</w:t>
            </w:r>
          </w:p>
          <w:p w14:paraId="00F6E273" w14:textId="77777777" w:rsidR="002C0902" w:rsidRDefault="0070512E" w:rsidP="002C0902">
            <w:pPr>
              <w:pStyle w:val="BodyCopy"/>
              <w:numPr>
                <w:ilvl w:val="3"/>
                <w:numId w:val="63"/>
              </w:numPr>
              <w:spacing w:before="60" w:after="60"/>
              <w:ind w:left="168" w:hanging="168"/>
              <w:rPr>
                <w:sz w:val="18"/>
                <w:szCs w:val="20"/>
              </w:rPr>
            </w:pPr>
            <w:r w:rsidRPr="008F31E5">
              <w:rPr>
                <w:sz w:val="18"/>
                <w:szCs w:val="20"/>
              </w:rPr>
              <w:t>completely exclude fuel used in refrigerated trailers with separate tanks</w:t>
            </w:r>
          </w:p>
          <w:p w14:paraId="07CCFE3E" w14:textId="740548F1" w:rsidR="002C0902" w:rsidRDefault="0070512E" w:rsidP="002C0902">
            <w:pPr>
              <w:pStyle w:val="BodyCopy"/>
              <w:numPr>
                <w:ilvl w:val="3"/>
                <w:numId w:val="63"/>
              </w:numPr>
              <w:spacing w:before="60" w:after="60"/>
              <w:ind w:left="168" w:hanging="168"/>
              <w:rPr>
                <w:sz w:val="18"/>
                <w:szCs w:val="20"/>
              </w:rPr>
            </w:pPr>
            <w:r w:rsidRPr="008F31E5">
              <w:rPr>
                <w:sz w:val="18"/>
                <w:szCs w:val="20"/>
              </w:rPr>
              <w:t>use the BMHV rate of 1.6 per cent as a more representative rate.</w:t>
            </w:r>
            <w:r w:rsidRPr="008F31E5">
              <w:rPr>
                <w:sz w:val="18"/>
                <w:szCs w:val="20"/>
              </w:rPr>
              <w:br/>
            </w:r>
          </w:p>
          <w:p w14:paraId="6725CF45" w14:textId="4AF59D50" w:rsidR="0070512E" w:rsidRPr="008F31E5" w:rsidRDefault="0070512E" w:rsidP="008F31E5">
            <w:pPr>
              <w:pStyle w:val="BodyCopy"/>
              <w:spacing w:before="60" w:after="60"/>
              <w:rPr>
                <w:sz w:val="18"/>
                <w:szCs w:val="20"/>
              </w:rPr>
            </w:pPr>
            <w:r w:rsidRPr="008F31E5">
              <w:rPr>
                <w:sz w:val="18"/>
                <w:szCs w:val="20"/>
              </w:rPr>
              <w:t>An advantage of this approach is that would address many of the data quality concerns raised in the RIS.</w:t>
            </w:r>
            <w:r w:rsidRPr="008F31E5">
              <w:rPr>
                <w:sz w:val="18"/>
                <w:szCs w:val="20"/>
              </w:rPr>
              <w:br/>
            </w:r>
            <w:r w:rsidRPr="008F31E5">
              <w:rPr>
                <w:sz w:val="18"/>
                <w:szCs w:val="20"/>
              </w:rPr>
              <w:br/>
              <w:t>...</w:t>
            </w:r>
            <w:r w:rsidR="005A378F">
              <w:rPr>
                <w:sz w:val="18"/>
                <w:szCs w:val="20"/>
              </w:rPr>
              <w:t xml:space="preserve"> </w:t>
            </w:r>
            <w:r w:rsidRPr="008F31E5">
              <w:rPr>
                <w:sz w:val="18"/>
                <w:szCs w:val="20"/>
              </w:rPr>
              <w:t>The ATA’s assessment of approach 1 is set out in row 2 of table 2. The NTC assessment does not take into account a major advantage of retaining the status quo: it is internally consistent with the NTC’s recommended approach to registration charge concessions</w:t>
            </w:r>
            <w:r w:rsidR="005A378F">
              <w:rPr>
                <w:sz w:val="18"/>
                <w:szCs w:val="20"/>
              </w:rPr>
              <w:t xml:space="preserve"> </w:t>
            </w:r>
            <w:r w:rsidRPr="008F31E5">
              <w:rPr>
                <w:sz w:val="18"/>
                <w:szCs w:val="20"/>
              </w:rPr>
              <w:t>...</w:t>
            </w:r>
            <w:r w:rsidR="005A378F">
              <w:rPr>
                <w:sz w:val="18"/>
                <w:szCs w:val="20"/>
              </w:rPr>
              <w:t xml:space="preserve"> </w:t>
            </w:r>
            <w:r w:rsidRPr="008F31E5">
              <w:rPr>
                <w:sz w:val="18"/>
                <w:szCs w:val="20"/>
              </w:rPr>
              <w:t>There is no conceptual difference between the registration charge concessions and the RUC exemptions. They both represent a positive legislative or quasi-legislative decision to forgo revenue in favour of achieving a valued objective.</w:t>
            </w:r>
            <w:r w:rsidRPr="008F31E5">
              <w:rPr>
                <w:sz w:val="18"/>
                <w:szCs w:val="20"/>
              </w:rPr>
              <w:br/>
            </w:r>
            <w:r w:rsidRPr="008F31E5">
              <w:rPr>
                <w:sz w:val="18"/>
                <w:szCs w:val="20"/>
              </w:rPr>
              <w:br/>
              <w:t>The ATA’s assessment of approach 2 is summarised in row 4 of table 2. The NTC’s approach to recalculating the fuel consumption figure is not conservative. It would overestimate the fuel use that is now exempt from the road user charge and over recover the heavy vehicle cost base.</w:t>
            </w:r>
            <w:r w:rsidRPr="008F31E5">
              <w:rPr>
                <w:sz w:val="18"/>
                <w:szCs w:val="20"/>
              </w:rPr>
              <w:br/>
            </w:r>
            <w:r w:rsidRPr="008F31E5">
              <w:rPr>
                <w:sz w:val="18"/>
                <w:szCs w:val="20"/>
              </w:rPr>
              <w:br/>
              <w:t>...</w:t>
            </w:r>
            <w:r w:rsidR="005A378F">
              <w:rPr>
                <w:sz w:val="18"/>
                <w:szCs w:val="20"/>
              </w:rPr>
              <w:t xml:space="preserve"> </w:t>
            </w:r>
            <w:r w:rsidRPr="008F31E5">
              <w:rPr>
                <w:sz w:val="18"/>
                <w:szCs w:val="20"/>
              </w:rPr>
              <w:t xml:space="preserve">The 10 per cent rate for refrigerated vehicles includes all fuel used in the vehicles – </w:t>
            </w:r>
            <w:r w:rsidRPr="008F31E5">
              <w:rPr>
                <w:sz w:val="18"/>
                <w:szCs w:val="20"/>
              </w:rPr>
              <w:lastRenderedPageBreak/>
              <w:t>including fuel sourced from trailer fuel tanks. But this fuel use is not included in the SMVU fuel consumption figures, because the SMVU excludes trailers...</w:t>
            </w:r>
            <w:r w:rsidRPr="008F31E5">
              <w:rPr>
                <w:sz w:val="18"/>
                <w:szCs w:val="20"/>
              </w:rPr>
              <w:br/>
            </w:r>
            <w:r w:rsidRPr="008F31E5">
              <w:rPr>
                <w:sz w:val="18"/>
                <w:szCs w:val="20"/>
              </w:rPr>
              <w:br/>
              <w:t>...</w:t>
            </w:r>
            <w:r w:rsidR="005A378F">
              <w:rPr>
                <w:sz w:val="18"/>
                <w:szCs w:val="20"/>
              </w:rPr>
              <w:t xml:space="preserve"> </w:t>
            </w:r>
            <w:r w:rsidRPr="008F31E5">
              <w:rPr>
                <w:sz w:val="18"/>
                <w:szCs w:val="20"/>
              </w:rPr>
              <w:t>The NTC modelling assumes that all businesses who claim fuel tax credits claim for off-road use at the relevant percentage rate. In the ATA’s view, it is not reasonable to assume that small businesses are aware of their ability to claim auxiliary equipment exemptions. In fact, the ATO recently introduced the basic method for calculating fuel tax credits for heavy vehicles (BMHV) to address the underclaiming by small businesses. The BMHV includes a standard 1.6 per cent allowance for off road and auxiliary equipment.</w:t>
            </w:r>
          </w:p>
        </w:tc>
        <w:tc>
          <w:tcPr>
            <w:tcW w:w="3672" w:type="dxa"/>
            <w:gridSpan w:val="2"/>
          </w:tcPr>
          <w:p w14:paraId="308D7165" w14:textId="776287CD" w:rsidR="0070512E" w:rsidRPr="008F31E5" w:rsidRDefault="0070512E" w:rsidP="008F31E5">
            <w:pPr>
              <w:pStyle w:val="BodyCopy"/>
              <w:spacing w:before="60" w:after="60"/>
              <w:rPr>
                <w:sz w:val="18"/>
                <w:szCs w:val="20"/>
              </w:rPr>
            </w:pPr>
            <w:r w:rsidRPr="008F31E5">
              <w:rPr>
                <w:sz w:val="18"/>
                <w:szCs w:val="20"/>
              </w:rPr>
              <w:lastRenderedPageBreak/>
              <w:t xml:space="preserve">The NTC considers that there is a conceptual difference between registration charges and RUC exemptions. In the case of registration charges, the national charges are set with the aim of fully recovering a given proportion of the heavy vehicle cost base. States and territories then actively provide concessions to achieve defined goals. In terms of the RUC exemptions on fuel used in </w:t>
            </w:r>
            <w:r w:rsidR="003C71DC">
              <w:rPr>
                <w:sz w:val="18"/>
                <w:szCs w:val="20"/>
              </w:rPr>
              <w:t>auxiliary</w:t>
            </w:r>
            <w:r w:rsidR="003C71DC" w:rsidRPr="008F31E5">
              <w:rPr>
                <w:sz w:val="18"/>
                <w:szCs w:val="20"/>
              </w:rPr>
              <w:t xml:space="preserve"> </w:t>
            </w:r>
            <w:r w:rsidRPr="008F31E5">
              <w:rPr>
                <w:sz w:val="18"/>
                <w:szCs w:val="20"/>
              </w:rPr>
              <w:t xml:space="preserve">services, the issue is that the courts have found that RUC is not payable on this fuel. The result of this is that, historically, RUC was set using an amount of fuel use that was too high. The PAYGO model still has the objective of recovering a proportion of the identified heavy vehicle cost base from the amount of fuel that is subject to RUC. Therefore, adjusting the fuel use estimate for a conservative estimate of the amount of fuel not subject to RUC is appropriate. If we did not factor in this correction, the RUC would knowingly be set to not fully recover the identified cost base. However, we acknowledge that our original estimate of fuel used for </w:t>
            </w:r>
            <w:r w:rsidR="0002178E">
              <w:rPr>
                <w:sz w:val="18"/>
                <w:szCs w:val="20"/>
              </w:rPr>
              <w:t>auxiliar</w:t>
            </w:r>
            <w:r w:rsidR="0002178E" w:rsidRPr="008F31E5">
              <w:rPr>
                <w:sz w:val="18"/>
                <w:szCs w:val="20"/>
              </w:rPr>
              <w:t xml:space="preserve">y </w:t>
            </w:r>
            <w:r w:rsidRPr="008F31E5">
              <w:rPr>
                <w:sz w:val="18"/>
                <w:szCs w:val="20"/>
              </w:rPr>
              <w:t xml:space="preserve">purposes included fuel in </w:t>
            </w:r>
            <w:r w:rsidRPr="008F31E5">
              <w:rPr>
                <w:sz w:val="18"/>
                <w:szCs w:val="20"/>
              </w:rPr>
              <w:lastRenderedPageBreak/>
              <w:t xml:space="preserve">separate tanks in refrigerated trailers. We have since amended our estimate to correct this. As a result our estimate of the percentage of total fuel used for </w:t>
            </w:r>
            <w:r w:rsidR="00D926C1">
              <w:rPr>
                <w:sz w:val="18"/>
                <w:szCs w:val="20"/>
              </w:rPr>
              <w:t>auxiliary</w:t>
            </w:r>
            <w:r w:rsidR="00D926C1" w:rsidRPr="008F31E5">
              <w:rPr>
                <w:sz w:val="18"/>
                <w:szCs w:val="20"/>
              </w:rPr>
              <w:t xml:space="preserve"> </w:t>
            </w:r>
            <w:r w:rsidRPr="008F31E5">
              <w:rPr>
                <w:sz w:val="18"/>
                <w:szCs w:val="20"/>
              </w:rPr>
              <w:t xml:space="preserve">purposes has decreased from 4.8 per cent to 4.0 per cent. We believe the methodology underpinning this model is reasonable and likely to be conservative </w:t>
            </w:r>
            <w:r w:rsidR="003B03B2">
              <w:rPr>
                <w:sz w:val="18"/>
                <w:szCs w:val="20"/>
              </w:rPr>
              <w:t>because</w:t>
            </w:r>
            <w:r w:rsidR="003B03B2" w:rsidRPr="008F31E5">
              <w:rPr>
                <w:sz w:val="18"/>
                <w:szCs w:val="20"/>
              </w:rPr>
              <w:t xml:space="preserve"> </w:t>
            </w:r>
            <w:r w:rsidRPr="008F31E5">
              <w:rPr>
                <w:sz w:val="18"/>
                <w:szCs w:val="20"/>
              </w:rPr>
              <w:t>it assumes all operators claim ATO safe haven rates</w:t>
            </w:r>
            <w:r w:rsidR="003B03B2">
              <w:rPr>
                <w:sz w:val="18"/>
                <w:szCs w:val="20"/>
              </w:rPr>
              <w:t>,</w:t>
            </w:r>
            <w:r w:rsidRPr="008F31E5">
              <w:rPr>
                <w:sz w:val="18"/>
                <w:szCs w:val="20"/>
              </w:rPr>
              <w:t xml:space="preserve"> which reflect the minimum percentage eligible operators can claim.</w:t>
            </w:r>
          </w:p>
        </w:tc>
      </w:tr>
      <w:tr w:rsidR="00F74539" w:rsidRPr="008F31E5" w14:paraId="5A63990F" w14:textId="77777777" w:rsidTr="00FE2CF6">
        <w:tc>
          <w:tcPr>
            <w:tcW w:w="1166" w:type="dxa"/>
          </w:tcPr>
          <w:p w14:paraId="7334BA59" w14:textId="55E52744"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48DDD3A1" w14:textId="5614AF09" w:rsidR="0070512E" w:rsidRPr="008F31E5" w:rsidRDefault="0070512E" w:rsidP="008F31E5">
            <w:pPr>
              <w:pStyle w:val="BodyCopy"/>
              <w:spacing w:before="60" w:after="60"/>
              <w:rPr>
                <w:sz w:val="18"/>
                <w:szCs w:val="20"/>
              </w:rPr>
            </w:pPr>
            <w:r w:rsidRPr="008F31E5">
              <w:rPr>
                <w:sz w:val="18"/>
                <w:szCs w:val="20"/>
              </w:rPr>
              <w:t>10</w:t>
            </w:r>
          </w:p>
        </w:tc>
        <w:tc>
          <w:tcPr>
            <w:tcW w:w="1171" w:type="dxa"/>
          </w:tcPr>
          <w:p w14:paraId="010CA587" w14:textId="65CBE92A"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RUC leakage</w:t>
            </w:r>
          </w:p>
        </w:tc>
        <w:tc>
          <w:tcPr>
            <w:tcW w:w="7201" w:type="dxa"/>
          </w:tcPr>
          <w:p w14:paraId="5D36DDF2" w14:textId="197462F1" w:rsidR="0070512E" w:rsidRPr="008F31E5" w:rsidRDefault="0070512E" w:rsidP="008F31E5">
            <w:pPr>
              <w:pStyle w:val="BodyCopy"/>
              <w:spacing w:before="60" w:after="60"/>
              <w:rPr>
                <w:sz w:val="18"/>
                <w:szCs w:val="20"/>
              </w:rPr>
            </w:pPr>
            <w:r w:rsidRPr="008F31E5">
              <w:rPr>
                <w:sz w:val="18"/>
                <w:szCs w:val="20"/>
              </w:rPr>
              <w:t>The fuel use in question has nothing to do with road damage so should not be counted as part of the charging base, as a general principle.</w:t>
            </w:r>
          </w:p>
        </w:tc>
        <w:tc>
          <w:tcPr>
            <w:tcW w:w="3672" w:type="dxa"/>
            <w:gridSpan w:val="2"/>
          </w:tcPr>
          <w:p w14:paraId="1CED65B5" w14:textId="6CA6335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A2A8CF2" w14:textId="77777777" w:rsidTr="00FE2CF6">
        <w:tc>
          <w:tcPr>
            <w:tcW w:w="1166" w:type="dxa"/>
          </w:tcPr>
          <w:p w14:paraId="39F3B927" w14:textId="53202E20"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5612EBCD" w14:textId="728BC80E" w:rsidR="0070512E" w:rsidRPr="008F31E5" w:rsidRDefault="0070512E" w:rsidP="008F31E5">
            <w:pPr>
              <w:pStyle w:val="BodyCopy"/>
              <w:spacing w:before="60" w:after="60"/>
              <w:rPr>
                <w:sz w:val="18"/>
                <w:szCs w:val="20"/>
              </w:rPr>
            </w:pPr>
            <w:r w:rsidRPr="008F31E5">
              <w:rPr>
                <w:sz w:val="18"/>
                <w:szCs w:val="20"/>
              </w:rPr>
              <w:t>10</w:t>
            </w:r>
          </w:p>
        </w:tc>
        <w:tc>
          <w:tcPr>
            <w:tcW w:w="1171" w:type="dxa"/>
          </w:tcPr>
          <w:p w14:paraId="2EED011F" w14:textId="273732FA"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RUC leakage</w:t>
            </w:r>
          </w:p>
        </w:tc>
        <w:tc>
          <w:tcPr>
            <w:tcW w:w="7201" w:type="dxa"/>
          </w:tcPr>
          <w:p w14:paraId="5550E072" w14:textId="2979818F" w:rsidR="0070512E" w:rsidRPr="008F31E5" w:rsidRDefault="0070512E" w:rsidP="008F31E5">
            <w:pPr>
              <w:pStyle w:val="BodyCopy"/>
              <w:spacing w:before="60" w:after="60"/>
              <w:rPr>
                <w:sz w:val="18"/>
                <w:szCs w:val="20"/>
              </w:rPr>
            </w:pPr>
            <w:r w:rsidRPr="008F31E5">
              <w:rPr>
                <w:sz w:val="18"/>
                <w:szCs w:val="20"/>
              </w:rPr>
              <w:t xml:space="preserve">The short answer is </w:t>
            </w:r>
            <w:r w:rsidR="00052D7C">
              <w:rPr>
                <w:sz w:val="18"/>
                <w:szCs w:val="20"/>
              </w:rPr>
              <w:t>‘</w:t>
            </w:r>
            <w:r w:rsidRPr="008F31E5">
              <w:rPr>
                <w:sz w:val="18"/>
                <w:szCs w:val="20"/>
              </w:rPr>
              <w:t>No</w:t>
            </w:r>
            <w:r w:rsidR="00052D7C">
              <w:rPr>
                <w:sz w:val="18"/>
                <w:szCs w:val="20"/>
              </w:rPr>
              <w:t>’</w:t>
            </w:r>
            <w:r w:rsidRPr="008F31E5">
              <w:rPr>
                <w:sz w:val="18"/>
                <w:szCs w:val="20"/>
              </w:rPr>
              <w:t>. NatRoad has previously indicated to the NTC (and as recently as during the NatRoad webinar on 28 July 2021) that a comprehensive re-assessment of the fuel tax system should be undertaken as an urgent policy reform. We note that the NTC has concluded that changes to the road user charge as a tax base are out of scope in the current exercise.</w:t>
            </w:r>
            <w:r w:rsidRPr="008F31E5">
              <w:rPr>
                <w:sz w:val="18"/>
                <w:szCs w:val="20"/>
              </w:rPr>
              <w:br/>
            </w:r>
            <w:r w:rsidRPr="008F31E5">
              <w:rPr>
                <w:sz w:val="18"/>
                <w:szCs w:val="20"/>
              </w:rPr>
              <w:br/>
              <w:t>At the same time as reaching that latter conclusion, however, in the C</w:t>
            </w:r>
            <w:r w:rsidR="003B03B2">
              <w:rPr>
                <w:sz w:val="18"/>
                <w:szCs w:val="20"/>
              </w:rPr>
              <w:t>-</w:t>
            </w:r>
            <w:r w:rsidRPr="008F31E5">
              <w:rPr>
                <w:sz w:val="18"/>
                <w:szCs w:val="20"/>
              </w:rPr>
              <w:t xml:space="preserve">RIS the NTC sets out a critique of some aspects of the fuel tax regime claiming </w:t>
            </w:r>
            <w:r w:rsidR="00052D7C">
              <w:rPr>
                <w:sz w:val="18"/>
                <w:szCs w:val="20"/>
              </w:rPr>
              <w:t>‘</w:t>
            </w:r>
            <w:r w:rsidRPr="008F31E5">
              <w:rPr>
                <w:sz w:val="18"/>
                <w:szCs w:val="20"/>
              </w:rPr>
              <w:t>leakages</w:t>
            </w:r>
            <w:r w:rsidR="00052D7C">
              <w:rPr>
                <w:sz w:val="18"/>
                <w:szCs w:val="20"/>
              </w:rPr>
              <w:t>’</w:t>
            </w:r>
            <w:r w:rsidRPr="008F31E5">
              <w:rPr>
                <w:sz w:val="18"/>
                <w:szCs w:val="20"/>
              </w:rPr>
              <w:t xml:space="preserve"> from the fuel tax system that affect the cost base. Essentially, the NTC is saying that the system is losing revenue because of the proper, legal application of the fuel tax system. That analysis encompasses proposed legislative change, that is a change to the </w:t>
            </w:r>
            <w:r w:rsidRPr="008B4A42">
              <w:rPr>
                <w:i/>
                <w:iCs/>
                <w:sz w:val="18"/>
                <w:szCs w:val="20"/>
              </w:rPr>
              <w:t>Fuel Tax Act 2006</w:t>
            </w:r>
            <w:r w:rsidRPr="008F31E5">
              <w:rPr>
                <w:sz w:val="18"/>
                <w:szCs w:val="20"/>
              </w:rPr>
              <w:t xml:space="preserve"> (Cth) </w:t>
            </w:r>
            <w:r w:rsidR="00052D7C">
              <w:rPr>
                <w:sz w:val="18"/>
                <w:szCs w:val="20"/>
              </w:rPr>
              <w:t>‘</w:t>
            </w:r>
            <w:r w:rsidRPr="008F31E5">
              <w:rPr>
                <w:sz w:val="18"/>
                <w:szCs w:val="20"/>
              </w:rPr>
              <w:t>to make all fuel used on public roads subject to RUC (even if used for auxiliary equipment).</w:t>
            </w:r>
            <w:r w:rsidR="00052D7C">
              <w:rPr>
                <w:sz w:val="18"/>
                <w:szCs w:val="20"/>
              </w:rPr>
              <w:t>’</w:t>
            </w:r>
            <w:r w:rsidRPr="008F31E5">
              <w:rPr>
                <w:sz w:val="18"/>
                <w:szCs w:val="20"/>
              </w:rPr>
              <w:br/>
            </w:r>
            <w:r w:rsidRPr="008F31E5">
              <w:rPr>
                <w:sz w:val="18"/>
                <w:szCs w:val="20"/>
              </w:rPr>
              <w:br/>
              <w:t xml:space="preserve">The ATO recently released its tax gap analysis – the difference between the amount of tax collected and its assessment of what should have been collected. Overall, it shows a $31 billion gap (revenue which should have been collected if every taxpayer was fully compliant with the law). For fuel tax credits, it actually shows a negative gap of $7.1 million (meaning FTC was underclaimed by claimants, the opposite of a </w:t>
            </w:r>
            <w:r w:rsidR="00052D7C">
              <w:rPr>
                <w:sz w:val="18"/>
                <w:szCs w:val="20"/>
              </w:rPr>
              <w:t>‘</w:t>
            </w:r>
            <w:r w:rsidRPr="008F31E5">
              <w:rPr>
                <w:sz w:val="18"/>
                <w:szCs w:val="20"/>
              </w:rPr>
              <w:t>leak</w:t>
            </w:r>
            <w:r w:rsidR="00052D7C">
              <w:rPr>
                <w:sz w:val="18"/>
                <w:szCs w:val="20"/>
              </w:rPr>
              <w:t>’</w:t>
            </w:r>
            <w:r w:rsidRPr="008F31E5">
              <w:rPr>
                <w:sz w:val="18"/>
                <w:szCs w:val="20"/>
              </w:rPr>
              <w:t xml:space="preserve"> from the system). This latter finding accords with NatRoad’s view of the poor utility of the fuel tax credit system, a matter separately communicated to the NTC on 30 June 2021.</w:t>
            </w:r>
            <w:r w:rsidRPr="008F31E5">
              <w:rPr>
                <w:sz w:val="18"/>
                <w:szCs w:val="20"/>
              </w:rPr>
              <w:br/>
            </w:r>
            <w:r w:rsidRPr="008F31E5">
              <w:rPr>
                <w:sz w:val="18"/>
                <w:szCs w:val="20"/>
              </w:rPr>
              <w:br/>
              <w:t>Clearly, the fuel tax system is in need of reform, a matter that the Commonwealth has recognised</w:t>
            </w:r>
            <w:r w:rsidR="003B03B2">
              <w:rPr>
                <w:sz w:val="18"/>
                <w:szCs w:val="20"/>
              </w:rPr>
              <w:t xml:space="preserve"> </w:t>
            </w:r>
            <w:r w:rsidRPr="008F31E5">
              <w:rPr>
                <w:sz w:val="18"/>
                <w:szCs w:val="20"/>
              </w:rPr>
              <w:t>...</w:t>
            </w:r>
            <w:r w:rsidRPr="008F31E5">
              <w:rPr>
                <w:sz w:val="18"/>
                <w:szCs w:val="20"/>
              </w:rPr>
              <w:br/>
            </w:r>
            <w:r w:rsidRPr="008F31E5">
              <w:rPr>
                <w:sz w:val="18"/>
                <w:szCs w:val="20"/>
              </w:rPr>
              <w:br/>
              <w:t>Hence, the NTC has strayed into recommending a policy change, apparently out</w:t>
            </w:r>
            <w:r w:rsidR="003B03B2">
              <w:rPr>
                <w:sz w:val="18"/>
                <w:szCs w:val="20"/>
              </w:rPr>
              <w:t xml:space="preserve"> </w:t>
            </w:r>
            <w:r w:rsidRPr="008F31E5">
              <w:rPr>
                <w:sz w:val="18"/>
                <w:szCs w:val="20"/>
              </w:rPr>
              <w:t>of</w:t>
            </w:r>
            <w:r w:rsidR="003B03B2">
              <w:rPr>
                <w:sz w:val="18"/>
                <w:szCs w:val="20"/>
              </w:rPr>
              <w:t xml:space="preserve"> </w:t>
            </w:r>
            <w:r w:rsidRPr="008F31E5">
              <w:rPr>
                <w:sz w:val="18"/>
                <w:szCs w:val="20"/>
              </w:rPr>
              <w:t xml:space="preserve">scope in relation to underlying policy issues but still contemplated by the NTC. That policy </w:t>
            </w:r>
            <w:r w:rsidRPr="008F31E5">
              <w:rPr>
                <w:sz w:val="18"/>
                <w:szCs w:val="20"/>
              </w:rPr>
              <w:lastRenderedPageBreak/>
              <w:t xml:space="preserve">change would be biased against NatRoad members and other transport operators when a full review of the fuel tax system is a pressing reform and a matter that we believe the NTC should be advocating rather than the sort of reform proposed in the CRIS. There is no </w:t>
            </w:r>
            <w:r w:rsidR="00052D7C">
              <w:rPr>
                <w:sz w:val="18"/>
                <w:szCs w:val="20"/>
              </w:rPr>
              <w:t>‘</w:t>
            </w:r>
            <w:r w:rsidRPr="008F31E5">
              <w:rPr>
                <w:sz w:val="18"/>
                <w:szCs w:val="20"/>
              </w:rPr>
              <w:t>leakage</w:t>
            </w:r>
            <w:r w:rsidR="00052D7C">
              <w:rPr>
                <w:sz w:val="18"/>
                <w:szCs w:val="20"/>
              </w:rPr>
              <w:t>’</w:t>
            </w:r>
            <w:r w:rsidRPr="008F31E5">
              <w:rPr>
                <w:sz w:val="18"/>
                <w:szCs w:val="20"/>
              </w:rPr>
              <w:t xml:space="preserve"> per se, merely the application of current tax policy.</w:t>
            </w:r>
          </w:p>
        </w:tc>
        <w:tc>
          <w:tcPr>
            <w:tcW w:w="3672" w:type="dxa"/>
            <w:gridSpan w:val="2"/>
          </w:tcPr>
          <w:p w14:paraId="1ABF5B9E" w14:textId="4EB67A59" w:rsidR="0070512E" w:rsidRPr="008F31E5" w:rsidRDefault="0070512E" w:rsidP="008F31E5">
            <w:pPr>
              <w:pStyle w:val="BodyCopy"/>
              <w:spacing w:before="60" w:after="60"/>
              <w:rPr>
                <w:sz w:val="18"/>
                <w:szCs w:val="20"/>
              </w:rPr>
            </w:pPr>
            <w:r w:rsidRPr="008F31E5">
              <w:rPr>
                <w:sz w:val="18"/>
                <w:szCs w:val="20"/>
              </w:rPr>
              <w:lastRenderedPageBreak/>
              <w:t>While legislative change was included as a possible option in the analysis for completeness</w:t>
            </w:r>
            <w:r w:rsidR="003B03B2">
              <w:rPr>
                <w:sz w:val="18"/>
                <w:szCs w:val="20"/>
              </w:rPr>
              <w:t>,</w:t>
            </w:r>
            <w:r w:rsidRPr="008F31E5">
              <w:rPr>
                <w:sz w:val="18"/>
                <w:szCs w:val="20"/>
              </w:rPr>
              <w:t xml:space="preserve"> </w:t>
            </w:r>
            <w:r w:rsidR="003B03B2">
              <w:rPr>
                <w:sz w:val="18"/>
                <w:szCs w:val="20"/>
              </w:rPr>
              <w:t>i</w:t>
            </w:r>
            <w:r w:rsidRPr="008F31E5">
              <w:rPr>
                <w:sz w:val="18"/>
                <w:szCs w:val="20"/>
              </w:rPr>
              <w:t>t was not the recommended option. Also, the fact that there is a negative tax gap does not necessarily imply that there is no leakage from auxiliary equipment. It means that overall the ATO has estimated that claimants have under-claimed rebates for which they are eligible. The fuel tax credit expense runs to $8</w:t>
            </w:r>
            <w:r w:rsidR="003B03B2">
              <w:rPr>
                <w:sz w:val="18"/>
                <w:szCs w:val="20"/>
              </w:rPr>
              <w:t xml:space="preserve"> </w:t>
            </w:r>
            <w:r w:rsidRPr="008F31E5">
              <w:rPr>
                <w:sz w:val="18"/>
                <w:szCs w:val="20"/>
              </w:rPr>
              <w:t>b</w:t>
            </w:r>
            <w:r w:rsidR="003B03B2">
              <w:rPr>
                <w:sz w:val="18"/>
                <w:szCs w:val="20"/>
              </w:rPr>
              <w:t>illion</w:t>
            </w:r>
            <w:r w:rsidRPr="008F31E5">
              <w:rPr>
                <w:sz w:val="18"/>
                <w:szCs w:val="20"/>
              </w:rPr>
              <w:t xml:space="preserve"> a year and comprise</w:t>
            </w:r>
            <w:r w:rsidR="003B03B2">
              <w:rPr>
                <w:sz w:val="18"/>
                <w:szCs w:val="20"/>
              </w:rPr>
              <w:t>s</w:t>
            </w:r>
            <w:r w:rsidRPr="008F31E5">
              <w:rPr>
                <w:sz w:val="18"/>
                <w:szCs w:val="20"/>
              </w:rPr>
              <w:t xml:space="preserve"> various use cases, including the mining industry (see link below). The ATO's negative tax gap figure does not distinguish between the different use cases (including on-road use vs auxiliary equipment). For example, it could be that there is substantial leakage through auxiliary equipment, but this is more than offset by some miners not (fully) claiming what they are entitled to, resulting in a negative tax gap estimate by the ATO.</w:t>
            </w:r>
            <w:r w:rsidRPr="008F31E5">
              <w:rPr>
                <w:sz w:val="18"/>
                <w:szCs w:val="20"/>
              </w:rPr>
              <w:br/>
              <w:t xml:space="preserve">The key question for this determination is whether the NTC should correct the estimated fuel consumption from the SMVU to account for the proportion of the consumption on which RUC is not paid, given the uncertainty over the quality of the data (there are various assumptions involved and </w:t>
            </w:r>
            <w:r w:rsidRPr="008F31E5">
              <w:rPr>
                <w:sz w:val="18"/>
                <w:szCs w:val="20"/>
              </w:rPr>
              <w:lastRenderedPageBreak/>
              <w:t>the SMVU data itself may not be that reliable). However, the NTC considers that it has a responsibility to ensure, as far as possible, that its estimates of the total amount of fuel use on which RUC is paid are as accurate as possible. From this perspective, using a conservative estimate of the amount of fuel not subject to RUC is an appropriate solution.</w:t>
            </w:r>
            <w:r w:rsidRPr="008F31E5">
              <w:rPr>
                <w:sz w:val="18"/>
                <w:szCs w:val="20"/>
              </w:rPr>
              <w:br/>
            </w:r>
            <w:r w:rsidR="003B03B2">
              <w:rPr>
                <w:sz w:val="18"/>
                <w:szCs w:val="20"/>
              </w:rPr>
              <w:t>Link from The Australia Institute:</w:t>
            </w:r>
            <w:r w:rsidRPr="008F31E5">
              <w:rPr>
                <w:sz w:val="18"/>
                <w:szCs w:val="20"/>
              </w:rPr>
              <w:br/>
            </w:r>
            <w:hyperlink r:id="rId61" w:history="1">
              <w:r w:rsidRPr="003B03B2">
                <w:rPr>
                  <w:rStyle w:val="Hyperlink"/>
                  <w:sz w:val="18"/>
                  <w:szCs w:val="20"/>
                </w:rPr>
                <w:t>https://australiainstitute.org.au/post/and-the-award-for-biggest-fossil-fuel-subsidy-goes-to-the-fuel-tax-credit-scheme/</w:t>
              </w:r>
            </w:hyperlink>
          </w:p>
        </w:tc>
      </w:tr>
      <w:tr w:rsidR="00F74539" w:rsidRPr="008F31E5" w14:paraId="7FB1310C" w14:textId="77777777" w:rsidTr="00FE2CF6">
        <w:tc>
          <w:tcPr>
            <w:tcW w:w="1166" w:type="dxa"/>
          </w:tcPr>
          <w:p w14:paraId="0D6E03DF" w14:textId="149653F9" w:rsidR="0070512E" w:rsidRPr="008F31E5" w:rsidRDefault="0070512E" w:rsidP="008F31E5">
            <w:pPr>
              <w:pStyle w:val="BodyCopy"/>
              <w:spacing w:before="60" w:after="60"/>
              <w:rPr>
                <w:sz w:val="18"/>
                <w:szCs w:val="20"/>
              </w:rPr>
            </w:pPr>
            <w:r w:rsidRPr="008F31E5">
              <w:rPr>
                <w:sz w:val="18"/>
                <w:szCs w:val="20"/>
              </w:rPr>
              <w:lastRenderedPageBreak/>
              <w:t>NHVR</w:t>
            </w:r>
          </w:p>
        </w:tc>
        <w:tc>
          <w:tcPr>
            <w:tcW w:w="902" w:type="dxa"/>
          </w:tcPr>
          <w:p w14:paraId="50974153" w14:textId="7786AE7A" w:rsidR="0070512E" w:rsidRPr="008F31E5" w:rsidRDefault="0070512E" w:rsidP="008F31E5">
            <w:pPr>
              <w:pStyle w:val="BodyCopy"/>
              <w:spacing w:before="60" w:after="60"/>
              <w:rPr>
                <w:sz w:val="18"/>
                <w:szCs w:val="20"/>
              </w:rPr>
            </w:pPr>
            <w:r w:rsidRPr="008F31E5">
              <w:rPr>
                <w:sz w:val="18"/>
                <w:szCs w:val="20"/>
              </w:rPr>
              <w:t>10</w:t>
            </w:r>
          </w:p>
        </w:tc>
        <w:tc>
          <w:tcPr>
            <w:tcW w:w="1171" w:type="dxa"/>
          </w:tcPr>
          <w:p w14:paraId="55B1F9A6" w14:textId="4FAC3AC9"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RUC leakage</w:t>
            </w:r>
          </w:p>
        </w:tc>
        <w:tc>
          <w:tcPr>
            <w:tcW w:w="7201" w:type="dxa"/>
          </w:tcPr>
          <w:p w14:paraId="27C32FBF" w14:textId="42B88FA3" w:rsidR="0070512E" w:rsidRPr="008F31E5" w:rsidRDefault="0070512E" w:rsidP="008F31E5">
            <w:pPr>
              <w:pStyle w:val="BodyCopy"/>
              <w:spacing w:before="60" w:after="60"/>
              <w:rPr>
                <w:sz w:val="18"/>
                <w:szCs w:val="20"/>
              </w:rPr>
            </w:pPr>
            <w:r w:rsidRPr="008F31E5">
              <w:rPr>
                <w:sz w:val="18"/>
                <w:szCs w:val="20"/>
              </w:rPr>
              <w:t>Based on the argument presented in this section, it appears approach two offers the methodology to improve the accuracy of calculating fuel consumption for heavy vehicle transport. However, noting that this approach relies in part on an estimation of fuel consumption derived in part from SMVU data to recalculate the RUC, it presents a problem in terms of accuracy over the longer period given the ABS has stopped conducting the SMVU. The model will be less accurate the older the SMVU data gets.</w:t>
            </w:r>
          </w:p>
        </w:tc>
        <w:tc>
          <w:tcPr>
            <w:tcW w:w="3672" w:type="dxa"/>
            <w:gridSpan w:val="2"/>
          </w:tcPr>
          <w:p w14:paraId="060B6F15" w14:textId="7CD51C21"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156D114" w14:textId="77777777" w:rsidTr="00FE2CF6">
        <w:tc>
          <w:tcPr>
            <w:tcW w:w="1166" w:type="dxa"/>
          </w:tcPr>
          <w:p w14:paraId="4BB390F2" w14:textId="662042D5" w:rsidR="0070512E" w:rsidRPr="008F31E5" w:rsidRDefault="0070512E" w:rsidP="008F31E5">
            <w:pPr>
              <w:pStyle w:val="BodyCopy"/>
              <w:spacing w:before="60" w:after="60"/>
              <w:rPr>
                <w:sz w:val="18"/>
                <w:szCs w:val="20"/>
              </w:rPr>
            </w:pPr>
            <w:r w:rsidRPr="008F31E5">
              <w:rPr>
                <w:sz w:val="18"/>
                <w:szCs w:val="20"/>
              </w:rPr>
              <w:t>ALRTA</w:t>
            </w:r>
          </w:p>
        </w:tc>
        <w:tc>
          <w:tcPr>
            <w:tcW w:w="902" w:type="dxa"/>
          </w:tcPr>
          <w:p w14:paraId="42CC69DB" w14:textId="04E08605" w:rsidR="0070512E" w:rsidRPr="008F31E5" w:rsidRDefault="0070512E" w:rsidP="008F31E5">
            <w:pPr>
              <w:pStyle w:val="BodyCopy"/>
              <w:spacing w:before="60" w:after="60"/>
              <w:rPr>
                <w:sz w:val="18"/>
                <w:szCs w:val="20"/>
              </w:rPr>
            </w:pPr>
            <w:r w:rsidRPr="008F31E5">
              <w:rPr>
                <w:sz w:val="18"/>
                <w:szCs w:val="20"/>
              </w:rPr>
              <w:t>11</w:t>
            </w:r>
          </w:p>
        </w:tc>
        <w:tc>
          <w:tcPr>
            <w:tcW w:w="1171" w:type="dxa"/>
          </w:tcPr>
          <w:p w14:paraId="3705DD83" w14:textId="150B0B2E"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nsealed road travel discounts</w:t>
            </w:r>
          </w:p>
        </w:tc>
        <w:tc>
          <w:tcPr>
            <w:tcW w:w="7201" w:type="dxa"/>
          </w:tcPr>
          <w:p w14:paraId="770FB417" w14:textId="3D6B2EE4" w:rsidR="0070512E" w:rsidRPr="008F31E5" w:rsidRDefault="0070512E" w:rsidP="008F31E5">
            <w:pPr>
              <w:pStyle w:val="BodyCopy"/>
              <w:spacing w:before="60" w:after="60"/>
              <w:rPr>
                <w:sz w:val="18"/>
                <w:szCs w:val="20"/>
              </w:rPr>
            </w:pPr>
            <w:r w:rsidRPr="008F31E5">
              <w:rPr>
                <w:sz w:val="18"/>
                <w:szCs w:val="20"/>
              </w:rPr>
              <w:t>Continuation of an unsealed road travel discount and updating of the percentages used to calculate the discount. ALRTA supports retention of the unsealed road travel discount and is currently in the process of collecting member survey data for supply to the NTC.</w:t>
            </w:r>
          </w:p>
        </w:tc>
        <w:tc>
          <w:tcPr>
            <w:tcW w:w="3672" w:type="dxa"/>
            <w:gridSpan w:val="2"/>
          </w:tcPr>
          <w:p w14:paraId="307CDDD4" w14:textId="31F6AE93" w:rsidR="0070512E" w:rsidRPr="008F31E5" w:rsidRDefault="0070512E" w:rsidP="008F31E5">
            <w:pPr>
              <w:pStyle w:val="BodyCopy"/>
              <w:spacing w:before="60" w:after="60"/>
              <w:rPr>
                <w:sz w:val="18"/>
                <w:szCs w:val="20"/>
              </w:rPr>
            </w:pPr>
            <w:r w:rsidRPr="008F31E5">
              <w:rPr>
                <w:sz w:val="18"/>
                <w:szCs w:val="20"/>
              </w:rPr>
              <w:t>Noted. The NTC is recommending that the unsealed road discount be retained in its current form, with the potential to revise percentages if better quality information on the amount of unsealed road travel can be obtained.</w:t>
            </w:r>
          </w:p>
        </w:tc>
      </w:tr>
      <w:tr w:rsidR="00F74539" w:rsidRPr="008F31E5" w14:paraId="79D74D8C" w14:textId="77777777" w:rsidTr="00FE2CF6">
        <w:tc>
          <w:tcPr>
            <w:tcW w:w="1166" w:type="dxa"/>
          </w:tcPr>
          <w:p w14:paraId="3A9FB58C" w14:textId="7EB0DB3D"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1C048810" w14:textId="34821F7F" w:rsidR="0070512E" w:rsidRPr="008F31E5" w:rsidRDefault="0070512E" w:rsidP="008F31E5">
            <w:pPr>
              <w:pStyle w:val="BodyCopy"/>
              <w:spacing w:before="60" w:after="60"/>
              <w:rPr>
                <w:sz w:val="18"/>
                <w:szCs w:val="20"/>
              </w:rPr>
            </w:pPr>
            <w:r w:rsidRPr="008F31E5">
              <w:rPr>
                <w:sz w:val="18"/>
                <w:szCs w:val="20"/>
              </w:rPr>
              <w:t>11</w:t>
            </w:r>
          </w:p>
        </w:tc>
        <w:tc>
          <w:tcPr>
            <w:tcW w:w="1171" w:type="dxa"/>
          </w:tcPr>
          <w:p w14:paraId="74E49D3C" w14:textId="5BC36927"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nsealed road travel discounts</w:t>
            </w:r>
          </w:p>
        </w:tc>
        <w:tc>
          <w:tcPr>
            <w:tcW w:w="7201" w:type="dxa"/>
          </w:tcPr>
          <w:p w14:paraId="0170F552" w14:textId="53F2B007" w:rsidR="0070512E" w:rsidRPr="008F31E5" w:rsidRDefault="0070512E" w:rsidP="008F31E5">
            <w:pPr>
              <w:pStyle w:val="BodyCopy"/>
              <w:spacing w:before="60" w:after="60"/>
              <w:rPr>
                <w:sz w:val="18"/>
                <w:szCs w:val="20"/>
              </w:rPr>
            </w:pPr>
            <w:r w:rsidRPr="008F31E5">
              <w:rPr>
                <w:sz w:val="18"/>
                <w:szCs w:val="20"/>
              </w:rPr>
              <w:t>[Supports] The recommended review of unsealed travel road discounts</w:t>
            </w:r>
          </w:p>
        </w:tc>
        <w:tc>
          <w:tcPr>
            <w:tcW w:w="3672" w:type="dxa"/>
            <w:gridSpan w:val="2"/>
          </w:tcPr>
          <w:p w14:paraId="657FFB44" w14:textId="53FA9836"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AD3AB7C" w14:textId="77777777" w:rsidTr="00FE2CF6">
        <w:tc>
          <w:tcPr>
            <w:tcW w:w="1166" w:type="dxa"/>
          </w:tcPr>
          <w:p w14:paraId="53C6E41A" w14:textId="61D7A8A5"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1029972F" w14:textId="7EFF0F05" w:rsidR="0070512E" w:rsidRPr="008F31E5" w:rsidRDefault="0070512E" w:rsidP="008F31E5">
            <w:pPr>
              <w:pStyle w:val="BodyCopy"/>
              <w:spacing w:before="60" w:after="60"/>
              <w:rPr>
                <w:sz w:val="18"/>
                <w:szCs w:val="20"/>
              </w:rPr>
            </w:pPr>
            <w:r w:rsidRPr="008F31E5">
              <w:rPr>
                <w:sz w:val="18"/>
                <w:szCs w:val="20"/>
              </w:rPr>
              <w:t>11</w:t>
            </w:r>
          </w:p>
        </w:tc>
        <w:tc>
          <w:tcPr>
            <w:tcW w:w="1171" w:type="dxa"/>
          </w:tcPr>
          <w:p w14:paraId="2699A278" w14:textId="13CC9DED"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nsealed road travel discounts</w:t>
            </w:r>
          </w:p>
        </w:tc>
        <w:tc>
          <w:tcPr>
            <w:tcW w:w="7201" w:type="dxa"/>
          </w:tcPr>
          <w:p w14:paraId="6EFA9881" w14:textId="2057D629" w:rsidR="0070512E" w:rsidRPr="008F31E5" w:rsidRDefault="0070512E" w:rsidP="008F31E5">
            <w:pPr>
              <w:pStyle w:val="BodyCopy"/>
              <w:spacing w:before="60" w:after="60"/>
              <w:rPr>
                <w:sz w:val="18"/>
                <w:szCs w:val="20"/>
              </w:rPr>
            </w:pPr>
            <w:r w:rsidRPr="008F31E5">
              <w:rPr>
                <w:sz w:val="18"/>
                <w:szCs w:val="20"/>
              </w:rPr>
              <w:t>Yes. The NTC should retain the unsealed road travel discount, but its value should be reviewed based on evidence gathered through the 2021 unsealed road travel survey.</w:t>
            </w:r>
            <w:r w:rsidRPr="008F31E5">
              <w:rPr>
                <w:sz w:val="18"/>
                <w:szCs w:val="20"/>
              </w:rPr>
              <w:br/>
            </w:r>
            <w:r w:rsidRPr="008F31E5">
              <w:rPr>
                <w:sz w:val="18"/>
                <w:szCs w:val="20"/>
              </w:rPr>
              <w:br/>
              <w:t>The PAYGO model cost allocators assume that the entire road network is sealed. Of course, this is not the case. Some 66 per cent of the road network is unsealed, so the model includes a discount for road train and B-triple travel on these roads.</w:t>
            </w:r>
            <w:r w:rsidRPr="008F31E5">
              <w:rPr>
                <w:sz w:val="18"/>
                <w:szCs w:val="20"/>
              </w:rPr>
              <w:br/>
            </w:r>
            <w:r w:rsidRPr="008F31E5">
              <w:rPr>
                <w:sz w:val="18"/>
                <w:szCs w:val="20"/>
              </w:rPr>
              <w:br/>
              <w:t>In the RIS, the NTC argues that the discount addresses a legitimate issue concerning the PAYGO cost allocator assumption that the entire network can be treated as sealed, but that a new industry survey should be conducted to review its value.</w:t>
            </w:r>
            <w:r w:rsidRPr="008F31E5">
              <w:rPr>
                <w:sz w:val="18"/>
                <w:szCs w:val="20"/>
              </w:rPr>
              <w:br/>
            </w:r>
            <w:r w:rsidRPr="008F31E5">
              <w:rPr>
                <w:sz w:val="18"/>
                <w:szCs w:val="20"/>
              </w:rPr>
              <w:lastRenderedPageBreak/>
              <w:br/>
              <w:t>The ATA agrees with this approach. We provided the NTC with technical comments on its draft survey, and it has now been distributed through relevant ATA member associations.</w:t>
            </w:r>
          </w:p>
        </w:tc>
        <w:tc>
          <w:tcPr>
            <w:tcW w:w="3672" w:type="dxa"/>
            <w:gridSpan w:val="2"/>
          </w:tcPr>
          <w:p w14:paraId="1EB96E92" w14:textId="798D233D" w:rsidR="0070512E" w:rsidRPr="008F31E5" w:rsidRDefault="0070512E" w:rsidP="008F31E5">
            <w:pPr>
              <w:pStyle w:val="BodyCopy"/>
              <w:spacing w:before="60" w:after="60"/>
              <w:rPr>
                <w:sz w:val="18"/>
                <w:szCs w:val="20"/>
              </w:rPr>
            </w:pPr>
            <w:r w:rsidRPr="008F31E5">
              <w:rPr>
                <w:sz w:val="18"/>
                <w:szCs w:val="20"/>
              </w:rPr>
              <w:lastRenderedPageBreak/>
              <w:t>Noted. The NTC will investigate whether better information on travel on unsealed roads can be obtained in the future, either through a new survey or through a new source of data to replace the SMVU.</w:t>
            </w:r>
            <w:r w:rsidR="009E61AA">
              <w:rPr>
                <w:sz w:val="18"/>
                <w:szCs w:val="20"/>
              </w:rPr>
              <w:t xml:space="preserve"> </w:t>
            </w:r>
          </w:p>
        </w:tc>
      </w:tr>
      <w:tr w:rsidR="00F74539" w:rsidRPr="008F31E5" w14:paraId="0D45131A" w14:textId="77777777" w:rsidTr="00FE2CF6">
        <w:tc>
          <w:tcPr>
            <w:tcW w:w="1166" w:type="dxa"/>
          </w:tcPr>
          <w:p w14:paraId="356682B9" w14:textId="296DBAF4"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38B1C268" w14:textId="19F02263" w:rsidR="0070512E" w:rsidRPr="008F31E5" w:rsidRDefault="0070512E" w:rsidP="008F31E5">
            <w:pPr>
              <w:pStyle w:val="BodyCopy"/>
              <w:spacing w:before="60" w:after="60"/>
              <w:rPr>
                <w:sz w:val="18"/>
                <w:szCs w:val="20"/>
              </w:rPr>
            </w:pPr>
            <w:r w:rsidRPr="008F31E5">
              <w:rPr>
                <w:sz w:val="18"/>
                <w:szCs w:val="20"/>
              </w:rPr>
              <w:t>11</w:t>
            </w:r>
          </w:p>
        </w:tc>
        <w:tc>
          <w:tcPr>
            <w:tcW w:w="1171" w:type="dxa"/>
          </w:tcPr>
          <w:p w14:paraId="167BE966" w14:textId="1E2CE116"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nsealed road travel discounts</w:t>
            </w:r>
          </w:p>
        </w:tc>
        <w:tc>
          <w:tcPr>
            <w:tcW w:w="7201" w:type="dxa"/>
          </w:tcPr>
          <w:p w14:paraId="2AB5AAD3" w14:textId="23C4B2BF" w:rsidR="0070512E" w:rsidRPr="008F31E5" w:rsidRDefault="0070512E" w:rsidP="008F31E5">
            <w:pPr>
              <w:pStyle w:val="BodyCopy"/>
              <w:spacing w:before="60" w:after="60"/>
              <w:rPr>
                <w:sz w:val="18"/>
                <w:szCs w:val="20"/>
              </w:rPr>
            </w:pPr>
            <w:r w:rsidRPr="008F31E5">
              <w:rPr>
                <w:sz w:val="18"/>
                <w:szCs w:val="20"/>
              </w:rPr>
              <w:t>The cost base should accurately reflect road usage patterns, the damage associated therewith and the costs of rectification. All elements in the cost allocation process need to be refreshed on a regular basis. This is a longstanding example and should be refreshed.</w:t>
            </w:r>
          </w:p>
        </w:tc>
        <w:tc>
          <w:tcPr>
            <w:tcW w:w="3672" w:type="dxa"/>
            <w:gridSpan w:val="2"/>
          </w:tcPr>
          <w:p w14:paraId="1667200B" w14:textId="66796AAF"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54643DAB" w14:textId="77777777" w:rsidTr="00FE2CF6">
        <w:tc>
          <w:tcPr>
            <w:tcW w:w="1166" w:type="dxa"/>
          </w:tcPr>
          <w:p w14:paraId="2DFA7C67" w14:textId="71A9E387"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7D83387B" w14:textId="2C63F546" w:rsidR="0070512E" w:rsidRPr="008F31E5" w:rsidRDefault="0070512E" w:rsidP="008F31E5">
            <w:pPr>
              <w:pStyle w:val="BodyCopy"/>
              <w:spacing w:before="60" w:after="60"/>
              <w:rPr>
                <w:sz w:val="18"/>
                <w:szCs w:val="20"/>
              </w:rPr>
            </w:pPr>
            <w:r w:rsidRPr="008F31E5">
              <w:rPr>
                <w:sz w:val="18"/>
                <w:szCs w:val="20"/>
              </w:rPr>
              <w:t>11</w:t>
            </w:r>
          </w:p>
        </w:tc>
        <w:tc>
          <w:tcPr>
            <w:tcW w:w="1171" w:type="dxa"/>
          </w:tcPr>
          <w:p w14:paraId="2E1AC850" w14:textId="358450A6"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nsealed road travel discounts</w:t>
            </w:r>
          </w:p>
        </w:tc>
        <w:tc>
          <w:tcPr>
            <w:tcW w:w="7201" w:type="dxa"/>
          </w:tcPr>
          <w:p w14:paraId="548361D4" w14:textId="6534962A" w:rsidR="0070512E" w:rsidRPr="008F31E5" w:rsidRDefault="0070512E" w:rsidP="008F31E5">
            <w:pPr>
              <w:pStyle w:val="BodyCopy"/>
              <w:spacing w:before="60" w:after="60"/>
              <w:rPr>
                <w:sz w:val="18"/>
                <w:szCs w:val="20"/>
              </w:rPr>
            </w:pPr>
            <w:r w:rsidRPr="008F31E5">
              <w:rPr>
                <w:sz w:val="18"/>
                <w:szCs w:val="20"/>
              </w:rPr>
              <w:t>The discussion that leads to the posing of this question contains a statement that reveals another weakness/defect in the PAYGO model: The PAYGO model assumes that all the road network is sealed in the application of its cost allocators, which is particularly relevant to the ESA-km cost allocator.</w:t>
            </w:r>
            <w:r w:rsidRPr="008F31E5">
              <w:rPr>
                <w:sz w:val="18"/>
                <w:szCs w:val="20"/>
              </w:rPr>
              <w:br/>
            </w:r>
            <w:r w:rsidRPr="008F31E5">
              <w:rPr>
                <w:sz w:val="18"/>
                <w:szCs w:val="20"/>
              </w:rPr>
              <w:br/>
              <w:t>This is a brave assumption when in 2019 one expert estimated that around 500,000 km (60% of the total road network) of public roads are unsealed.</w:t>
            </w:r>
            <w:r w:rsidRPr="008F31E5">
              <w:rPr>
                <w:sz w:val="18"/>
                <w:szCs w:val="20"/>
              </w:rPr>
              <w:br/>
            </w:r>
            <w:r w:rsidRPr="008F31E5">
              <w:rPr>
                <w:sz w:val="18"/>
                <w:szCs w:val="20"/>
              </w:rPr>
              <w:br/>
              <w:t>...</w:t>
            </w:r>
            <w:r w:rsidR="005A378F">
              <w:rPr>
                <w:sz w:val="18"/>
                <w:szCs w:val="20"/>
              </w:rPr>
              <w:t xml:space="preserve"> </w:t>
            </w:r>
            <w:r w:rsidRPr="008F31E5">
              <w:rPr>
                <w:sz w:val="18"/>
                <w:szCs w:val="20"/>
              </w:rPr>
              <w:t>The discussion in the CRIS then shows the effects of applying the discount to road trains and B</w:t>
            </w:r>
            <w:r w:rsidR="003C7444">
              <w:rPr>
                <w:sz w:val="18"/>
                <w:szCs w:val="20"/>
              </w:rPr>
              <w:t>-</w:t>
            </w:r>
            <w:r w:rsidRPr="008F31E5">
              <w:rPr>
                <w:sz w:val="18"/>
                <w:szCs w:val="20"/>
              </w:rPr>
              <w:t>triples (the discount is not more widely applied) whether MaxMan is used or not. The result is that the attributable costs for these vehicle classes is 14</w:t>
            </w:r>
            <w:r w:rsidR="003C7444">
              <w:rPr>
                <w:sz w:val="18"/>
                <w:szCs w:val="20"/>
              </w:rPr>
              <w:t>–</w:t>
            </w:r>
            <w:r w:rsidRPr="008F31E5">
              <w:rPr>
                <w:sz w:val="18"/>
                <w:szCs w:val="20"/>
              </w:rPr>
              <w:t>17 per</w:t>
            </w:r>
            <w:r w:rsidR="003C7444">
              <w:rPr>
                <w:sz w:val="18"/>
                <w:szCs w:val="20"/>
              </w:rPr>
              <w:t xml:space="preserve"> </w:t>
            </w:r>
            <w:r w:rsidRPr="008F31E5">
              <w:rPr>
                <w:sz w:val="18"/>
                <w:szCs w:val="20"/>
              </w:rPr>
              <w:t>cent lower than would otherwise apply. The application of that discount is supported. But the discount should be better applied to not just the indicated vehicle types but to all journeys by heavy vehicles on unsealed roads.</w:t>
            </w:r>
            <w:r w:rsidRPr="008F31E5">
              <w:rPr>
                <w:sz w:val="18"/>
                <w:szCs w:val="20"/>
              </w:rPr>
              <w:br/>
            </w:r>
            <w:r w:rsidRPr="008F31E5">
              <w:rPr>
                <w:sz w:val="18"/>
                <w:szCs w:val="20"/>
              </w:rPr>
              <w:br/>
              <w:t>The use of a survey is supported (and was assisted by NatRoad in line with the request made by the NTC on 2 August 2021 and subsequently where we sought member feedback on a form of survey agreed by the NTC) and the process is supported so long as it leads to a fundamental reduction in heavy vehicle charges that better reflect the use of unsealed roads for all categories. That broader consideration should not, in any way, affect the discount provided to road trains or B</w:t>
            </w:r>
            <w:r w:rsidR="003C7444">
              <w:rPr>
                <w:sz w:val="18"/>
                <w:szCs w:val="20"/>
              </w:rPr>
              <w:t>-</w:t>
            </w:r>
            <w:r w:rsidRPr="008F31E5">
              <w:rPr>
                <w:sz w:val="18"/>
                <w:szCs w:val="20"/>
              </w:rPr>
              <w:t>triples and they should benefit from its application. Survey results will be communicated post the 31 August 2021 closing date for receipt of responses.</w:t>
            </w:r>
          </w:p>
        </w:tc>
        <w:tc>
          <w:tcPr>
            <w:tcW w:w="3672" w:type="dxa"/>
            <w:gridSpan w:val="2"/>
          </w:tcPr>
          <w:p w14:paraId="4F4CE7C5" w14:textId="4865FE04" w:rsidR="0070512E" w:rsidRPr="008F31E5" w:rsidRDefault="0070512E" w:rsidP="008F31E5">
            <w:pPr>
              <w:pStyle w:val="BodyCopy"/>
              <w:spacing w:before="60" w:after="60"/>
              <w:rPr>
                <w:sz w:val="18"/>
                <w:szCs w:val="20"/>
              </w:rPr>
            </w:pPr>
            <w:r w:rsidRPr="008F31E5">
              <w:rPr>
                <w:sz w:val="18"/>
                <w:szCs w:val="20"/>
              </w:rPr>
              <w:t>The use of these discounts doesn</w:t>
            </w:r>
            <w:r w:rsidR="003B03B2">
              <w:rPr>
                <w:sz w:val="18"/>
                <w:szCs w:val="20"/>
              </w:rPr>
              <w:t>’</w:t>
            </w:r>
            <w:r w:rsidRPr="008F31E5">
              <w:rPr>
                <w:sz w:val="18"/>
                <w:szCs w:val="20"/>
              </w:rPr>
              <w:t xml:space="preserve">t necessarily directly benefit the vehicles targeted by them (in terms of changing the relative charges compared with other vehicle classes). The discounts reduce the attributable costs for the affected vehicle classes (road trains and B-triples), as well as reducing the overall </w:t>
            </w:r>
            <w:r w:rsidR="00494648">
              <w:rPr>
                <w:sz w:val="18"/>
                <w:szCs w:val="20"/>
              </w:rPr>
              <w:t>heavy vehicle</w:t>
            </w:r>
            <w:r w:rsidR="00494648" w:rsidRPr="008F31E5">
              <w:rPr>
                <w:sz w:val="18"/>
                <w:szCs w:val="20"/>
              </w:rPr>
              <w:t xml:space="preserve"> </w:t>
            </w:r>
            <w:r w:rsidRPr="008F31E5">
              <w:rPr>
                <w:sz w:val="18"/>
                <w:szCs w:val="20"/>
              </w:rPr>
              <w:t xml:space="preserve">cost base. The revenue collected by road trains is well above the attributable cost </w:t>
            </w:r>
            <w:r w:rsidR="003C7444">
              <w:rPr>
                <w:sz w:val="18"/>
                <w:szCs w:val="20"/>
              </w:rPr>
              <w:t>‘</w:t>
            </w:r>
            <w:r w:rsidRPr="008F31E5">
              <w:rPr>
                <w:sz w:val="18"/>
                <w:szCs w:val="20"/>
              </w:rPr>
              <w:t>floor</w:t>
            </w:r>
            <w:r w:rsidR="003C7444">
              <w:rPr>
                <w:sz w:val="18"/>
                <w:szCs w:val="20"/>
              </w:rPr>
              <w:t>’</w:t>
            </w:r>
            <w:r w:rsidRPr="008F31E5">
              <w:rPr>
                <w:sz w:val="18"/>
                <w:szCs w:val="20"/>
              </w:rPr>
              <w:t xml:space="preserve">, meaning it is only through the latter mechanism that road trains actually benefit. Given that the attributable cost </w:t>
            </w:r>
            <w:r w:rsidR="003C7444">
              <w:rPr>
                <w:sz w:val="18"/>
                <w:szCs w:val="20"/>
              </w:rPr>
              <w:t>‘</w:t>
            </w:r>
            <w:r w:rsidRPr="008F31E5">
              <w:rPr>
                <w:sz w:val="18"/>
                <w:szCs w:val="20"/>
              </w:rPr>
              <w:t>floor</w:t>
            </w:r>
            <w:r w:rsidR="003C7444">
              <w:rPr>
                <w:sz w:val="18"/>
                <w:szCs w:val="20"/>
              </w:rPr>
              <w:t>’</w:t>
            </w:r>
            <w:r w:rsidRPr="008F31E5">
              <w:rPr>
                <w:sz w:val="18"/>
                <w:szCs w:val="20"/>
              </w:rPr>
              <w:t xml:space="preserve"> is non-binding, shifting it up or down slightly based on the unsealed road and CSO discount is relatively immaterial </w:t>
            </w:r>
            <w:r w:rsidR="003C7444">
              <w:rPr>
                <w:sz w:val="18"/>
                <w:szCs w:val="20"/>
              </w:rPr>
              <w:t>because</w:t>
            </w:r>
            <w:r w:rsidR="003C7444" w:rsidRPr="008F31E5">
              <w:rPr>
                <w:sz w:val="18"/>
                <w:szCs w:val="20"/>
              </w:rPr>
              <w:t xml:space="preserve"> </w:t>
            </w:r>
            <w:r w:rsidRPr="008F31E5">
              <w:rPr>
                <w:sz w:val="18"/>
                <w:szCs w:val="20"/>
              </w:rPr>
              <w:t xml:space="preserve">the relativities of charges for road trains will not change (the policy when recalculating charges is to generally scale all charges by the same amount to recover the new cost base target, and then alter relativities only if constraints regarding cross-subsidy checks are not met). Thus the small benefit is derived by both the unsealed road and CSO discounts reducing the overall </w:t>
            </w:r>
            <w:r w:rsidR="00494648">
              <w:rPr>
                <w:sz w:val="18"/>
                <w:szCs w:val="20"/>
              </w:rPr>
              <w:t>heavy vehicle</w:t>
            </w:r>
            <w:r w:rsidR="00494648" w:rsidRPr="008F31E5">
              <w:rPr>
                <w:sz w:val="18"/>
                <w:szCs w:val="20"/>
              </w:rPr>
              <w:t xml:space="preserve"> </w:t>
            </w:r>
            <w:r w:rsidRPr="008F31E5">
              <w:rPr>
                <w:sz w:val="18"/>
                <w:szCs w:val="20"/>
              </w:rPr>
              <w:t xml:space="preserve">cost base, with all </w:t>
            </w:r>
            <w:r w:rsidR="00494648">
              <w:rPr>
                <w:sz w:val="18"/>
                <w:szCs w:val="20"/>
              </w:rPr>
              <w:t>heavy vehicle</w:t>
            </w:r>
            <w:r w:rsidR="00494648" w:rsidRPr="008F31E5">
              <w:rPr>
                <w:sz w:val="18"/>
                <w:szCs w:val="20"/>
              </w:rPr>
              <w:t xml:space="preserve"> </w:t>
            </w:r>
            <w:r w:rsidRPr="008F31E5">
              <w:rPr>
                <w:sz w:val="18"/>
                <w:szCs w:val="20"/>
              </w:rPr>
              <w:t>charges scaled to slightly lower than they would otherwise be.</w:t>
            </w:r>
          </w:p>
        </w:tc>
      </w:tr>
      <w:tr w:rsidR="00F74539" w:rsidRPr="008F31E5" w14:paraId="0EE005EE" w14:textId="77777777" w:rsidTr="00FE2CF6">
        <w:tc>
          <w:tcPr>
            <w:tcW w:w="1166" w:type="dxa"/>
          </w:tcPr>
          <w:p w14:paraId="249E9F71" w14:textId="1D8A976C"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74576F1D" w14:textId="11C558F2" w:rsidR="0070512E" w:rsidRPr="008F31E5" w:rsidRDefault="0070512E" w:rsidP="008F31E5">
            <w:pPr>
              <w:pStyle w:val="BodyCopy"/>
              <w:spacing w:before="60" w:after="60"/>
              <w:rPr>
                <w:sz w:val="18"/>
                <w:szCs w:val="20"/>
              </w:rPr>
            </w:pPr>
            <w:r w:rsidRPr="008F31E5">
              <w:rPr>
                <w:sz w:val="18"/>
                <w:szCs w:val="20"/>
              </w:rPr>
              <w:t>11</w:t>
            </w:r>
          </w:p>
        </w:tc>
        <w:tc>
          <w:tcPr>
            <w:tcW w:w="1171" w:type="dxa"/>
          </w:tcPr>
          <w:p w14:paraId="594EAD29" w14:textId="4734DE0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u</w:t>
            </w:r>
            <w:r w:rsidRPr="008F31E5">
              <w:rPr>
                <w:sz w:val="18"/>
                <w:szCs w:val="20"/>
              </w:rPr>
              <w:t>nsealed road travel discounts</w:t>
            </w:r>
          </w:p>
        </w:tc>
        <w:tc>
          <w:tcPr>
            <w:tcW w:w="7201" w:type="dxa"/>
          </w:tcPr>
          <w:p w14:paraId="3A55E106" w14:textId="58420AE8" w:rsidR="0070512E" w:rsidRPr="008F31E5" w:rsidRDefault="0070512E" w:rsidP="008F31E5">
            <w:pPr>
              <w:pStyle w:val="BodyCopy"/>
              <w:spacing w:before="60" w:after="60"/>
              <w:rPr>
                <w:sz w:val="18"/>
                <w:szCs w:val="20"/>
              </w:rPr>
            </w:pPr>
            <w:r w:rsidRPr="008F31E5">
              <w:rPr>
                <w:sz w:val="18"/>
                <w:szCs w:val="20"/>
              </w:rPr>
              <w:t>Since the last unsealed travel discount has not been reviewed since 2005, the NHVR supports the NTC undertaking a new survey of industry in time for application to the final RIS. The survey results will inform the appropriate percentages to (or if it should) be applied for unsealed road travel discounts in the PAYGO model.</w:t>
            </w:r>
          </w:p>
        </w:tc>
        <w:tc>
          <w:tcPr>
            <w:tcW w:w="3672" w:type="dxa"/>
            <w:gridSpan w:val="2"/>
          </w:tcPr>
          <w:p w14:paraId="0BA688F0" w14:textId="76DE90D6"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9F6345E" w14:textId="77777777" w:rsidTr="00FE2CF6">
        <w:tc>
          <w:tcPr>
            <w:tcW w:w="1166" w:type="dxa"/>
          </w:tcPr>
          <w:p w14:paraId="43502B6A" w14:textId="68DFDAEE" w:rsidR="0070512E" w:rsidRPr="008F31E5" w:rsidRDefault="0070512E" w:rsidP="008F31E5">
            <w:pPr>
              <w:pStyle w:val="BodyCopy"/>
              <w:spacing w:before="60" w:after="60"/>
              <w:rPr>
                <w:sz w:val="18"/>
                <w:szCs w:val="20"/>
              </w:rPr>
            </w:pPr>
            <w:r w:rsidRPr="008F31E5">
              <w:rPr>
                <w:sz w:val="18"/>
                <w:szCs w:val="20"/>
              </w:rPr>
              <w:lastRenderedPageBreak/>
              <w:t>ALRTA</w:t>
            </w:r>
          </w:p>
        </w:tc>
        <w:tc>
          <w:tcPr>
            <w:tcW w:w="902" w:type="dxa"/>
          </w:tcPr>
          <w:p w14:paraId="759E64EF" w14:textId="5AF1FF93" w:rsidR="0070512E" w:rsidRPr="008F31E5" w:rsidRDefault="0070512E" w:rsidP="008F31E5">
            <w:pPr>
              <w:pStyle w:val="BodyCopy"/>
              <w:spacing w:before="60" w:after="60"/>
              <w:rPr>
                <w:sz w:val="18"/>
                <w:szCs w:val="20"/>
              </w:rPr>
            </w:pPr>
            <w:r w:rsidRPr="008F31E5">
              <w:rPr>
                <w:sz w:val="18"/>
                <w:szCs w:val="20"/>
              </w:rPr>
              <w:t>12</w:t>
            </w:r>
          </w:p>
        </w:tc>
        <w:tc>
          <w:tcPr>
            <w:tcW w:w="1171" w:type="dxa"/>
          </w:tcPr>
          <w:p w14:paraId="58932673" w14:textId="363D92CC"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CSO discounts</w:t>
            </w:r>
          </w:p>
        </w:tc>
        <w:tc>
          <w:tcPr>
            <w:tcW w:w="7201" w:type="dxa"/>
          </w:tcPr>
          <w:p w14:paraId="2036ECE9" w14:textId="78A93C98" w:rsidR="0070512E" w:rsidRPr="008F31E5" w:rsidRDefault="0070512E" w:rsidP="008F31E5">
            <w:pPr>
              <w:pStyle w:val="BodyCopy"/>
              <w:spacing w:before="60" w:after="60"/>
              <w:rPr>
                <w:sz w:val="18"/>
                <w:szCs w:val="20"/>
              </w:rPr>
            </w:pPr>
            <w:r w:rsidRPr="008F31E5">
              <w:rPr>
                <w:sz w:val="18"/>
                <w:szCs w:val="20"/>
              </w:rPr>
              <w:t>Continuation of community service obligation (CSO) discount for double and triple road trains. This is a minor, but important component of the PAYGO model, which must be maintained as a matter of principle. As NTC would be aware, CSO’s are a significant focus of the separate Heavy Vehicle Road Reform process. As such, it would be inappropriate to remove the CSO component from PAYGO at this time.</w:t>
            </w:r>
          </w:p>
        </w:tc>
        <w:tc>
          <w:tcPr>
            <w:tcW w:w="3672" w:type="dxa"/>
            <w:gridSpan w:val="2"/>
          </w:tcPr>
          <w:p w14:paraId="762B6608" w14:textId="53675A60" w:rsidR="0070512E" w:rsidRPr="008F31E5" w:rsidRDefault="0070512E" w:rsidP="008F31E5">
            <w:pPr>
              <w:pStyle w:val="BodyCopy"/>
              <w:spacing w:before="60" w:after="60"/>
              <w:rPr>
                <w:sz w:val="18"/>
                <w:szCs w:val="20"/>
              </w:rPr>
            </w:pPr>
            <w:r w:rsidRPr="008F31E5">
              <w:rPr>
                <w:sz w:val="18"/>
                <w:szCs w:val="20"/>
              </w:rPr>
              <w:t>Noted. See response to ATA submission on this issue.</w:t>
            </w:r>
          </w:p>
        </w:tc>
      </w:tr>
      <w:tr w:rsidR="00F74539" w:rsidRPr="008F31E5" w14:paraId="63DDF433" w14:textId="77777777" w:rsidTr="00FE2CF6">
        <w:tc>
          <w:tcPr>
            <w:tcW w:w="1166" w:type="dxa"/>
          </w:tcPr>
          <w:p w14:paraId="7543F6E7" w14:textId="6EDECE59"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4B63E664" w14:textId="10E68512" w:rsidR="0070512E" w:rsidRPr="008F31E5" w:rsidRDefault="0070512E" w:rsidP="008F31E5">
            <w:pPr>
              <w:pStyle w:val="BodyCopy"/>
              <w:spacing w:before="60" w:after="60"/>
              <w:rPr>
                <w:sz w:val="18"/>
                <w:szCs w:val="20"/>
              </w:rPr>
            </w:pPr>
            <w:r w:rsidRPr="008F31E5">
              <w:rPr>
                <w:sz w:val="18"/>
                <w:szCs w:val="20"/>
              </w:rPr>
              <w:t>12</w:t>
            </w:r>
          </w:p>
        </w:tc>
        <w:tc>
          <w:tcPr>
            <w:tcW w:w="1171" w:type="dxa"/>
          </w:tcPr>
          <w:p w14:paraId="528A6883" w14:textId="755D9C3F"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CSO discounts</w:t>
            </w:r>
          </w:p>
        </w:tc>
        <w:tc>
          <w:tcPr>
            <w:tcW w:w="7201" w:type="dxa"/>
          </w:tcPr>
          <w:p w14:paraId="22D84FCB" w14:textId="6A98ED8C" w:rsidR="0070512E" w:rsidRPr="008F31E5" w:rsidRDefault="0070512E" w:rsidP="008F31E5">
            <w:pPr>
              <w:pStyle w:val="BodyCopy"/>
              <w:spacing w:before="60" w:after="60"/>
              <w:rPr>
                <w:sz w:val="18"/>
                <w:szCs w:val="20"/>
              </w:rPr>
            </w:pPr>
            <w:r w:rsidRPr="008F31E5">
              <w:rPr>
                <w:sz w:val="18"/>
                <w:szCs w:val="20"/>
              </w:rPr>
              <w:t xml:space="preserve">[Supports] The removal of the CSO discount from PAYGO given the difficulty in assessing it; noting if </w:t>
            </w:r>
            <w:r w:rsidR="005A378F">
              <w:rPr>
                <w:sz w:val="18"/>
                <w:szCs w:val="20"/>
              </w:rPr>
              <w:t>g</w:t>
            </w:r>
            <w:r w:rsidRPr="008F31E5">
              <w:rPr>
                <w:sz w:val="18"/>
                <w:szCs w:val="20"/>
              </w:rPr>
              <w:t>overnments wish to apply a form of CSO payment, a more direct application of such a measure would be appropriate</w:t>
            </w:r>
            <w:r w:rsidR="003C7444">
              <w:rPr>
                <w:sz w:val="18"/>
                <w:szCs w:val="20"/>
              </w:rPr>
              <w:t>.</w:t>
            </w:r>
          </w:p>
        </w:tc>
        <w:tc>
          <w:tcPr>
            <w:tcW w:w="3672" w:type="dxa"/>
            <w:gridSpan w:val="2"/>
          </w:tcPr>
          <w:p w14:paraId="5F79EF4B" w14:textId="3F02FFC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810193F" w14:textId="77777777" w:rsidTr="00FE2CF6">
        <w:tc>
          <w:tcPr>
            <w:tcW w:w="1166" w:type="dxa"/>
          </w:tcPr>
          <w:p w14:paraId="54EE2E34" w14:textId="749F3021"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506F6D63" w14:textId="768BAEC5" w:rsidR="0070512E" w:rsidRPr="008F31E5" w:rsidRDefault="0070512E" w:rsidP="008F31E5">
            <w:pPr>
              <w:pStyle w:val="BodyCopy"/>
              <w:spacing w:before="60" w:after="60"/>
              <w:rPr>
                <w:sz w:val="18"/>
                <w:szCs w:val="20"/>
              </w:rPr>
            </w:pPr>
            <w:r w:rsidRPr="008F31E5">
              <w:rPr>
                <w:sz w:val="18"/>
                <w:szCs w:val="20"/>
              </w:rPr>
              <w:t>12</w:t>
            </w:r>
          </w:p>
        </w:tc>
        <w:tc>
          <w:tcPr>
            <w:tcW w:w="1171" w:type="dxa"/>
          </w:tcPr>
          <w:p w14:paraId="5DC44967" w14:textId="5ED30C2A"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CSO discounts</w:t>
            </w:r>
          </w:p>
        </w:tc>
        <w:tc>
          <w:tcPr>
            <w:tcW w:w="7201" w:type="dxa"/>
          </w:tcPr>
          <w:p w14:paraId="4E40D779" w14:textId="0D319FB4" w:rsidR="0070512E" w:rsidRPr="008F31E5" w:rsidRDefault="0070512E" w:rsidP="008F31E5">
            <w:pPr>
              <w:pStyle w:val="BodyCopy"/>
              <w:spacing w:before="60" w:after="60"/>
              <w:rPr>
                <w:sz w:val="18"/>
                <w:szCs w:val="20"/>
              </w:rPr>
            </w:pPr>
            <w:r w:rsidRPr="008F31E5">
              <w:rPr>
                <w:sz w:val="18"/>
                <w:szCs w:val="20"/>
              </w:rPr>
              <w:t>The CSO discount in the PAYGO model should not be discontinued. It should be retained and expanded, as part of a whole</w:t>
            </w:r>
            <w:r w:rsidR="003C7444">
              <w:rPr>
                <w:sz w:val="18"/>
                <w:szCs w:val="20"/>
              </w:rPr>
              <w:t>-</w:t>
            </w:r>
            <w:r w:rsidRPr="008F31E5">
              <w:rPr>
                <w:sz w:val="18"/>
                <w:szCs w:val="20"/>
              </w:rPr>
              <w:t>of</w:t>
            </w:r>
            <w:r w:rsidR="003C7444">
              <w:rPr>
                <w:sz w:val="18"/>
                <w:szCs w:val="20"/>
              </w:rPr>
              <w:t>-</w:t>
            </w:r>
            <w:r w:rsidRPr="008F31E5">
              <w:rPr>
                <w:sz w:val="18"/>
                <w:szCs w:val="20"/>
              </w:rPr>
              <w:t>government response to the report of the House of Representatives Indigenous Affairs Committee on food pricing and food security in remote Indigenous communities.</w:t>
            </w:r>
          </w:p>
        </w:tc>
        <w:tc>
          <w:tcPr>
            <w:tcW w:w="3672" w:type="dxa"/>
            <w:gridSpan w:val="2"/>
          </w:tcPr>
          <w:p w14:paraId="28971BBE" w14:textId="6F078B1A" w:rsidR="0070512E" w:rsidRPr="008F31E5" w:rsidRDefault="0070512E" w:rsidP="008F31E5">
            <w:pPr>
              <w:pStyle w:val="BodyCopy"/>
              <w:spacing w:before="60" w:after="60"/>
              <w:rPr>
                <w:sz w:val="18"/>
                <w:szCs w:val="20"/>
              </w:rPr>
            </w:pPr>
            <w:r w:rsidRPr="008F31E5">
              <w:rPr>
                <w:sz w:val="18"/>
                <w:szCs w:val="20"/>
              </w:rPr>
              <w:t>The NTC notes that the CSO discount has almost no direct bearing on the charges paid by road trains</w:t>
            </w:r>
            <w:r w:rsidR="003C7444">
              <w:rPr>
                <w:sz w:val="18"/>
                <w:szCs w:val="20"/>
              </w:rPr>
              <w:t xml:space="preserve"> because</w:t>
            </w:r>
            <w:r w:rsidRPr="008F31E5">
              <w:rPr>
                <w:sz w:val="18"/>
                <w:szCs w:val="20"/>
              </w:rPr>
              <w:t xml:space="preserve"> its effect in the PAYGO model is to slightly reduce the attributable cost for both classes of road trains (whose attributable cost is significantly below the amount of revenue collected through registration and RUC). In these circumstances, a slight increase or decrease to the attributable cost will have no direct effect on the registration charges paid by the vehicle class</w:t>
            </w:r>
            <w:r w:rsidR="003C7444">
              <w:rPr>
                <w:sz w:val="18"/>
                <w:szCs w:val="20"/>
              </w:rPr>
              <w:t xml:space="preserve"> because</w:t>
            </w:r>
            <w:r w:rsidRPr="008F31E5">
              <w:rPr>
                <w:sz w:val="18"/>
                <w:szCs w:val="20"/>
              </w:rPr>
              <w:t xml:space="preserve"> there is no need to alter the charging relativities in the model (to avoid cross-subsidisation). Instead, the impact of the CSO discount is to slightly reduce the overall heavy vehicle cost base, which (very slightly, given the magnitude of the CSO discount) reduces the charges paid across all heavy vehicle types.</w:t>
            </w:r>
            <w:r w:rsidRPr="008F31E5">
              <w:rPr>
                <w:sz w:val="18"/>
                <w:szCs w:val="20"/>
              </w:rPr>
              <w:br/>
            </w:r>
            <w:r w:rsidRPr="008F31E5">
              <w:rPr>
                <w:sz w:val="18"/>
                <w:szCs w:val="20"/>
              </w:rPr>
              <w:br/>
              <w:t>The NTC acknowledges the points made by the ATA and supporting evidence supplied. However, there are likely to be more effective and better targeted policy approaches by governments to help achieve these goals.</w:t>
            </w:r>
          </w:p>
        </w:tc>
      </w:tr>
      <w:tr w:rsidR="00F74539" w:rsidRPr="008F31E5" w14:paraId="3A689511" w14:textId="77777777" w:rsidTr="00FE2CF6">
        <w:tc>
          <w:tcPr>
            <w:tcW w:w="1166" w:type="dxa"/>
          </w:tcPr>
          <w:p w14:paraId="2CA55BD5" w14:textId="1A064F50"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5EC0BAF7" w14:textId="67BCB459" w:rsidR="0070512E" w:rsidRPr="008F31E5" w:rsidRDefault="0070512E" w:rsidP="008F31E5">
            <w:pPr>
              <w:pStyle w:val="BodyCopy"/>
              <w:spacing w:before="60" w:after="60"/>
              <w:rPr>
                <w:sz w:val="18"/>
                <w:szCs w:val="20"/>
              </w:rPr>
            </w:pPr>
            <w:r w:rsidRPr="008F31E5">
              <w:rPr>
                <w:sz w:val="18"/>
                <w:szCs w:val="20"/>
              </w:rPr>
              <w:t>12</w:t>
            </w:r>
          </w:p>
        </w:tc>
        <w:tc>
          <w:tcPr>
            <w:tcW w:w="1171" w:type="dxa"/>
          </w:tcPr>
          <w:p w14:paraId="22D1859A" w14:textId="4439156A"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CSO discounts</w:t>
            </w:r>
          </w:p>
        </w:tc>
        <w:tc>
          <w:tcPr>
            <w:tcW w:w="7201" w:type="dxa"/>
          </w:tcPr>
          <w:p w14:paraId="5AFF1FB0" w14:textId="1E20DA8C" w:rsidR="0070512E" w:rsidRPr="008F31E5" w:rsidRDefault="0070512E" w:rsidP="008F31E5">
            <w:pPr>
              <w:pStyle w:val="BodyCopy"/>
              <w:spacing w:before="60" w:after="60"/>
              <w:rPr>
                <w:sz w:val="18"/>
                <w:szCs w:val="20"/>
              </w:rPr>
            </w:pPr>
            <w:r w:rsidRPr="008F31E5">
              <w:rPr>
                <w:sz w:val="18"/>
                <w:szCs w:val="20"/>
              </w:rPr>
              <w:t>All potential external costs and benefits (and merit goods) of road use should be part of the way road use is priced and PT fares are set, not just access to remote and rural areas. Rather than assuming a CSO, specific research is needed to demonstrate the nature of the CSO, its scale and how it relates, or otherwise, to road access conditions. Road pricing reform, including CSOs/externalities, should be central to the NHVR process.</w:t>
            </w:r>
          </w:p>
        </w:tc>
        <w:tc>
          <w:tcPr>
            <w:tcW w:w="3672" w:type="dxa"/>
            <w:gridSpan w:val="2"/>
          </w:tcPr>
          <w:p w14:paraId="086F8C5E" w14:textId="5D9E64A1"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019BCA1" w14:textId="77777777" w:rsidTr="00FE2CF6">
        <w:tc>
          <w:tcPr>
            <w:tcW w:w="1166" w:type="dxa"/>
          </w:tcPr>
          <w:p w14:paraId="592B7960" w14:textId="7F1D6422" w:rsidR="0070512E" w:rsidRPr="008F31E5" w:rsidRDefault="0070512E" w:rsidP="008F31E5">
            <w:pPr>
              <w:pStyle w:val="BodyCopy"/>
              <w:spacing w:before="60" w:after="60"/>
              <w:rPr>
                <w:sz w:val="18"/>
                <w:szCs w:val="20"/>
              </w:rPr>
            </w:pPr>
            <w:r w:rsidRPr="008F31E5">
              <w:rPr>
                <w:sz w:val="18"/>
                <w:szCs w:val="20"/>
              </w:rPr>
              <w:lastRenderedPageBreak/>
              <w:t>NatRoad</w:t>
            </w:r>
          </w:p>
        </w:tc>
        <w:tc>
          <w:tcPr>
            <w:tcW w:w="902" w:type="dxa"/>
          </w:tcPr>
          <w:p w14:paraId="73DC4DA9" w14:textId="4D5FB30B" w:rsidR="0070512E" w:rsidRPr="008F31E5" w:rsidRDefault="0070512E" w:rsidP="008F31E5">
            <w:pPr>
              <w:pStyle w:val="BodyCopy"/>
              <w:spacing w:before="60" w:after="60"/>
              <w:rPr>
                <w:sz w:val="18"/>
                <w:szCs w:val="20"/>
              </w:rPr>
            </w:pPr>
            <w:r w:rsidRPr="008F31E5">
              <w:rPr>
                <w:sz w:val="18"/>
                <w:szCs w:val="20"/>
              </w:rPr>
              <w:t>12</w:t>
            </w:r>
          </w:p>
        </w:tc>
        <w:tc>
          <w:tcPr>
            <w:tcW w:w="1171" w:type="dxa"/>
          </w:tcPr>
          <w:p w14:paraId="659C3AE9" w14:textId="77BF44C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CSO discounts</w:t>
            </w:r>
          </w:p>
        </w:tc>
        <w:tc>
          <w:tcPr>
            <w:tcW w:w="7201" w:type="dxa"/>
          </w:tcPr>
          <w:p w14:paraId="358CF9DA" w14:textId="6D9E4E82" w:rsidR="0070512E" w:rsidRPr="008F31E5" w:rsidRDefault="0070512E" w:rsidP="008F31E5">
            <w:pPr>
              <w:pStyle w:val="BodyCopy"/>
              <w:spacing w:before="60" w:after="60"/>
              <w:rPr>
                <w:sz w:val="18"/>
                <w:szCs w:val="20"/>
              </w:rPr>
            </w:pPr>
            <w:r w:rsidRPr="008F31E5">
              <w:rPr>
                <w:sz w:val="18"/>
                <w:szCs w:val="20"/>
              </w:rPr>
              <w:t>The issue of community service obligations has already been touched on in this submission. NatRoad supports work being developed in this subject area that builds on the Austroads’ report, referenced in paragraph 14 of this submission. That work should form part of the HVRR process, noting that the relevant Austroads’ report sets out a number of bases on which policy might be advanced depending on a number of underlying assumptions.</w:t>
            </w:r>
            <w:r w:rsidRPr="008F31E5">
              <w:rPr>
                <w:sz w:val="18"/>
                <w:szCs w:val="20"/>
              </w:rPr>
              <w:br/>
            </w:r>
            <w:r w:rsidRPr="008F31E5">
              <w:rPr>
                <w:sz w:val="18"/>
                <w:szCs w:val="20"/>
              </w:rPr>
              <w:br/>
              <w:t>The work to best determine the philosophical and/or economic basis for the community service obligation is for the future. The NatRoad view for the present is that the policy basis set out in the CRIS for taking into account community service obligations is narrow and reactive. The CRIS notes that the matter was considered solely on the basis that a discount should apply to remote areas because road expenditure is often not warranted by traffic levels but is necessary to support these communities</w:t>
            </w:r>
            <w:r w:rsidR="005A378F">
              <w:rPr>
                <w:sz w:val="18"/>
                <w:szCs w:val="20"/>
              </w:rPr>
              <w:t xml:space="preserve"> </w:t>
            </w:r>
            <w:r w:rsidRPr="008F31E5">
              <w:rPr>
                <w:sz w:val="18"/>
                <w:szCs w:val="20"/>
              </w:rPr>
              <w:t>...</w:t>
            </w:r>
            <w:r w:rsidRPr="008F31E5">
              <w:rPr>
                <w:sz w:val="18"/>
                <w:szCs w:val="20"/>
              </w:rPr>
              <w:br/>
            </w:r>
            <w:r w:rsidRPr="008F31E5">
              <w:rPr>
                <w:sz w:val="18"/>
                <w:szCs w:val="20"/>
              </w:rPr>
              <w:br/>
              <w:t>...</w:t>
            </w:r>
            <w:r w:rsidR="005A378F">
              <w:rPr>
                <w:sz w:val="18"/>
                <w:szCs w:val="20"/>
              </w:rPr>
              <w:t xml:space="preserve"> </w:t>
            </w:r>
            <w:r w:rsidRPr="008F31E5">
              <w:rPr>
                <w:sz w:val="18"/>
                <w:szCs w:val="20"/>
              </w:rPr>
              <w:t>The difficulty in dealing with the issue of community service obligations arises because there is no agreed basis for applying those obligations amongst governments or amongst industry participants more generally. But that is not a reason to discontinue the application of the discount, as proposed by the NTC.</w:t>
            </w:r>
            <w:r w:rsidRPr="008F31E5">
              <w:rPr>
                <w:sz w:val="18"/>
                <w:szCs w:val="20"/>
              </w:rPr>
              <w:br/>
            </w:r>
            <w:r w:rsidRPr="008F31E5">
              <w:rPr>
                <w:sz w:val="18"/>
                <w:szCs w:val="20"/>
              </w:rPr>
              <w:br/>
              <w:t xml:space="preserve">Whilst the current discount is assessed as lowering the cost base by 2 per cent when compared with what it would otherwise be, that is also not a sufficient justification for its removal. NatRoad is of the firm view that the industry’s community service obligations have been highlighted in the current pandemic. There should remain at least the current discount for this element of the reality of the transport task. Hence, in answer to the question, we say </w:t>
            </w:r>
            <w:r w:rsidR="00052D7C">
              <w:rPr>
                <w:sz w:val="18"/>
                <w:szCs w:val="20"/>
              </w:rPr>
              <w:t>‘</w:t>
            </w:r>
            <w:r w:rsidRPr="008F31E5">
              <w:rPr>
                <w:sz w:val="18"/>
                <w:szCs w:val="20"/>
              </w:rPr>
              <w:t>No.</w:t>
            </w:r>
            <w:r w:rsidR="00052D7C">
              <w:rPr>
                <w:sz w:val="18"/>
                <w:szCs w:val="20"/>
              </w:rPr>
              <w:t>’</w:t>
            </w:r>
            <w:r w:rsidRPr="008F31E5">
              <w:rPr>
                <w:sz w:val="18"/>
                <w:szCs w:val="20"/>
              </w:rPr>
              <w:t xml:space="preserve"> We do not agree with the discontinuance of the relevant discount. Again, we would counsel against disturbing the current model given the solution we have proposed.</w:t>
            </w:r>
          </w:p>
        </w:tc>
        <w:tc>
          <w:tcPr>
            <w:tcW w:w="3672" w:type="dxa"/>
            <w:gridSpan w:val="2"/>
          </w:tcPr>
          <w:p w14:paraId="7C59E7AC" w14:textId="20874B7B"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9603BE4" w14:textId="77777777" w:rsidTr="00FE2CF6">
        <w:tc>
          <w:tcPr>
            <w:tcW w:w="1166" w:type="dxa"/>
          </w:tcPr>
          <w:p w14:paraId="16662BCE" w14:textId="259775C6"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68AB43F7" w14:textId="6B64785F" w:rsidR="0070512E" w:rsidRPr="008F31E5" w:rsidRDefault="0070512E" w:rsidP="008F31E5">
            <w:pPr>
              <w:pStyle w:val="BodyCopy"/>
              <w:spacing w:before="60" w:after="60"/>
              <w:rPr>
                <w:sz w:val="18"/>
                <w:szCs w:val="20"/>
              </w:rPr>
            </w:pPr>
            <w:r w:rsidRPr="008F31E5">
              <w:rPr>
                <w:sz w:val="18"/>
                <w:szCs w:val="20"/>
              </w:rPr>
              <w:t>12</w:t>
            </w:r>
          </w:p>
        </w:tc>
        <w:tc>
          <w:tcPr>
            <w:tcW w:w="1171" w:type="dxa"/>
          </w:tcPr>
          <w:p w14:paraId="0D5B5B89" w14:textId="4446DF3B"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Pr="008F31E5">
              <w:rPr>
                <w:sz w:val="18"/>
                <w:szCs w:val="20"/>
              </w:rPr>
              <w:t>CSO discounts</w:t>
            </w:r>
          </w:p>
        </w:tc>
        <w:tc>
          <w:tcPr>
            <w:tcW w:w="7201" w:type="dxa"/>
          </w:tcPr>
          <w:p w14:paraId="04D35377" w14:textId="09BB1D4F" w:rsidR="0070512E" w:rsidRPr="008F31E5" w:rsidRDefault="0070512E" w:rsidP="008F31E5">
            <w:pPr>
              <w:pStyle w:val="BodyCopy"/>
              <w:spacing w:before="60" w:after="60"/>
              <w:rPr>
                <w:sz w:val="18"/>
                <w:szCs w:val="20"/>
              </w:rPr>
            </w:pPr>
            <w:r w:rsidRPr="008F31E5">
              <w:rPr>
                <w:sz w:val="18"/>
                <w:szCs w:val="20"/>
              </w:rPr>
              <w:t>While the NTC estimates that the combined impact of the unsealed road travel discount and the CSO discount will lower the heavy vehicle cost base by about 2 per cent, it is worth noting that this is based on information that was last reviewed in 2005. The NHVR recommends that the NTC liaise with road authorities to identify current road expenditure that meets CSO criteria to update the PAYGO model, and then determine if the CSO discount will make a material difference to the cost base.</w:t>
            </w:r>
          </w:p>
        </w:tc>
        <w:tc>
          <w:tcPr>
            <w:tcW w:w="3672" w:type="dxa"/>
            <w:gridSpan w:val="2"/>
          </w:tcPr>
          <w:p w14:paraId="3A35B4A7" w14:textId="0167831B"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31B072D" w14:textId="77777777" w:rsidTr="00FE2CF6">
        <w:tc>
          <w:tcPr>
            <w:tcW w:w="1166" w:type="dxa"/>
          </w:tcPr>
          <w:p w14:paraId="3BE66FC5" w14:textId="3E8DE580"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125ABF85" w14:textId="086ACA61" w:rsidR="0070512E" w:rsidRPr="008F31E5" w:rsidRDefault="0070512E" w:rsidP="008F31E5">
            <w:pPr>
              <w:pStyle w:val="BodyCopy"/>
              <w:spacing w:before="60" w:after="60"/>
              <w:rPr>
                <w:sz w:val="18"/>
                <w:szCs w:val="20"/>
              </w:rPr>
            </w:pPr>
            <w:r w:rsidRPr="008F31E5">
              <w:rPr>
                <w:sz w:val="18"/>
                <w:szCs w:val="20"/>
              </w:rPr>
              <w:t>13</w:t>
            </w:r>
          </w:p>
        </w:tc>
        <w:tc>
          <w:tcPr>
            <w:tcW w:w="1171" w:type="dxa"/>
          </w:tcPr>
          <w:p w14:paraId="3E721AD2" w14:textId="2BE5FB3C"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h</w:t>
            </w:r>
            <w:r w:rsidRPr="008F31E5">
              <w:rPr>
                <w:sz w:val="18"/>
                <w:szCs w:val="20"/>
              </w:rPr>
              <w:t>eavy vehicle concessions</w:t>
            </w:r>
          </w:p>
        </w:tc>
        <w:tc>
          <w:tcPr>
            <w:tcW w:w="7201" w:type="dxa"/>
          </w:tcPr>
          <w:p w14:paraId="3A7BCB66" w14:textId="6A600B61" w:rsidR="0070512E" w:rsidRPr="008F31E5" w:rsidRDefault="0070512E" w:rsidP="008F31E5">
            <w:pPr>
              <w:pStyle w:val="BodyCopy"/>
              <w:spacing w:before="60" w:after="60"/>
              <w:rPr>
                <w:sz w:val="18"/>
                <w:szCs w:val="20"/>
              </w:rPr>
            </w:pPr>
            <w:r w:rsidRPr="008F31E5">
              <w:rPr>
                <w:sz w:val="18"/>
                <w:szCs w:val="20"/>
              </w:rPr>
              <w:t>[Supports] The exclusion of concessions from the model; again noting the payment of any such concessions, given the potential competitive impact on the freight transport market, should be open and transparent and not built into a model’s logic.</w:t>
            </w:r>
          </w:p>
        </w:tc>
        <w:tc>
          <w:tcPr>
            <w:tcW w:w="3672" w:type="dxa"/>
            <w:gridSpan w:val="2"/>
          </w:tcPr>
          <w:p w14:paraId="3A36CB1E" w14:textId="7B1D58FA"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D090792" w14:textId="77777777" w:rsidTr="00FE2CF6">
        <w:tc>
          <w:tcPr>
            <w:tcW w:w="1166" w:type="dxa"/>
          </w:tcPr>
          <w:p w14:paraId="1EEF3BEA" w14:textId="64AA3EA8"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5ADA4F6E" w14:textId="03E29414" w:rsidR="0070512E" w:rsidRPr="008F31E5" w:rsidRDefault="0070512E" w:rsidP="008F31E5">
            <w:pPr>
              <w:pStyle w:val="BodyCopy"/>
              <w:spacing w:before="60" w:after="60"/>
              <w:rPr>
                <w:sz w:val="18"/>
                <w:szCs w:val="20"/>
              </w:rPr>
            </w:pPr>
            <w:r w:rsidRPr="008F31E5">
              <w:rPr>
                <w:sz w:val="18"/>
                <w:szCs w:val="20"/>
              </w:rPr>
              <w:t>13</w:t>
            </w:r>
          </w:p>
        </w:tc>
        <w:tc>
          <w:tcPr>
            <w:tcW w:w="1171" w:type="dxa"/>
          </w:tcPr>
          <w:p w14:paraId="04261D7C" w14:textId="52DF87E0"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h</w:t>
            </w:r>
            <w:r w:rsidRPr="008F31E5">
              <w:rPr>
                <w:sz w:val="18"/>
                <w:szCs w:val="20"/>
              </w:rPr>
              <w:t>eavy vehicle concessions</w:t>
            </w:r>
          </w:p>
        </w:tc>
        <w:tc>
          <w:tcPr>
            <w:tcW w:w="7201" w:type="dxa"/>
          </w:tcPr>
          <w:p w14:paraId="4545CE73" w14:textId="0DB206C8" w:rsidR="0070512E" w:rsidRPr="008F31E5" w:rsidRDefault="0070512E" w:rsidP="008F31E5">
            <w:pPr>
              <w:pStyle w:val="BodyCopy"/>
              <w:spacing w:before="60" w:after="60"/>
              <w:rPr>
                <w:sz w:val="18"/>
                <w:szCs w:val="20"/>
              </w:rPr>
            </w:pPr>
            <w:r w:rsidRPr="008F31E5">
              <w:rPr>
                <w:sz w:val="18"/>
                <w:szCs w:val="20"/>
              </w:rPr>
              <w:t>Agreed. The 2021 PAYGO determination should not consider registration charge concessions; however, the NTC should publish an annual estimate of their cost</w:t>
            </w:r>
            <w:r w:rsidR="002C0902">
              <w:rPr>
                <w:sz w:val="18"/>
                <w:szCs w:val="20"/>
              </w:rPr>
              <w:t xml:space="preserve"> </w:t>
            </w:r>
            <w:r w:rsidRPr="008F31E5">
              <w:rPr>
                <w:sz w:val="18"/>
                <w:szCs w:val="20"/>
              </w:rPr>
              <w:t>...</w:t>
            </w:r>
            <w:r w:rsidRPr="008F31E5">
              <w:rPr>
                <w:sz w:val="18"/>
                <w:szCs w:val="20"/>
              </w:rPr>
              <w:br/>
            </w:r>
            <w:r w:rsidRPr="008F31E5">
              <w:rPr>
                <w:sz w:val="18"/>
                <w:szCs w:val="20"/>
              </w:rPr>
              <w:br/>
            </w:r>
            <w:r w:rsidRPr="008F31E5">
              <w:rPr>
                <w:sz w:val="18"/>
                <w:szCs w:val="20"/>
              </w:rPr>
              <w:lastRenderedPageBreak/>
              <w:t>...</w:t>
            </w:r>
            <w:r w:rsidR="002C0902">
              <w:rPr>
                <w:sz w:val="18"/>
                <w:szCs w:val="20"/>
              </w:rPr>
              <w:t xml:space="preserve"> </w:t>
            </w:r>
            <w:r w:rsidRPr="008F31E5">
              <w:rPr>
                <w:sz w:val="18"/>
                <w:szCs w:val="20"/>
              </w:rPr>
              <w:t>The cost of the revenue foregone from these concessions is borne by the governments that offer them. The lost revenue is not recovered from other heavy vehicle users through the PAYGO model.</w:t>
            </w:r>
          </w:p>
        </w:tc>
        <w:tc>
          <w:tcPr>
            <w:tcW w:w="3672" w:type="dxa"/>
            <w:gridSpan w:val="2"/>
          </w:tcPr>
          <w:p w14:paraId="220DF8A8" w14:textId="2FEB7B8A" w:rsidR="0070512E" w:rsidRPr="008F31E5" w:rsidRDefault="0070512E" w:rsidP="008F31E5">
            <w:pPr>
              <w:pStyle w:val="BodyCopy"/>
              <w:spacing w:before="60" w:after="60"/>
              <w:rPr>
                <w:sz w:val="18"/>
                <w:szCs w:val="20"/>
              </w:rPr>
            </w:pPr>
            <w:r w:rsidRPr="008F31E5">
              <w:rPr>
                <w:sz w:val="18"/>
                <w:szCs w:val="20"/>
              </w:rPr>
              <w:lastRenderedPageBreak/>
              <w:t xml:space="preserve">Noted. </w:t>
            </w:r>
          </w:p>
        </w:tc>
      </w:tr>
      <w:tr w:rsidR="00F74539" w:rsidRPr="008F31E5" w14:paraId="1271CBFD" w14:textId="77777777" w:rsidTr="00FE2CF6">
        <w:tc>
          <w:tcPr>
            <w:tcW w:w="1166" w:type="dxa"/>
          </w:tcPr>
          <w:p w14:paraId="2E742AE8" w14:textId="7232A718"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399EC8F8" w14:textId="26577685" w:rsidR="0070512E" w:rsidRPr="008F31E5" w:rsidRDefault="0070512E" w:rsidP="008F31E5">
            <w:pPr>
              <w:pStyle w:val="BodyCopy"/>
              <w:spacing w:before="60" w:after="60"/>
              <w:rPr>
                <w:sz w:val="18"/>
                <w:szCs w:val="20"/>
              </w:rPr>
            </w:pPr>
            <w:r w:rsidRPr="008F31E5">
              <w:rPr>
                <w:sz w:val="18"/>
                <w:szCs w:val="20"/>
              </w:rPr>
              <w:t>13</w:t>
            </w:r>
          </w:p>
        </w:tc>
        <w:tc>
          <w:tcPr>
            <w:tcW w:w="1171" w:type="dxa"/>
          </w:tcPr>
          <w:p w14:paraId="1B909EE6" w14:textId="23DDE939"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h</w:t>
            </w:r>
            <w:r w:rsidRPr="008F31E5">
              <w:rPr>
                <w:sz w:val="18"/>
                <w:szCs w:val="20"/>
              </w:rPr>
              <w:t>eavy vehicle concessions</w:t>
            </w:r>
          </w:p>
        </w:tc>
        <w:tc>
          <w:tcPr>
            <w:tcW w:w="7201" w:type="dxa"/>
          </w:tcPr>
          <w:p w14:paraId="162C9800" w14:textId="0EFDE0E0" w:rsidR="0070512E" w:rsidRPr="008F31E5" w:rsidRDefault="0070512E" w:rsidP="008F31E5">
            <w:pPr>
              <w:pStyle w:val="BodyCopy"/>
              <w:spacing w:before="60" w:after="60"/>
              <w:rPr>
                <w:sz w:val="18"/>
                <w:szCs w:val="20"/>
              </w:rPr>
            </w:pPr>
            <w:r w:rsidRPr="008F31E5">
              <w:rPr>
                <w:sz w:val="18"/>
                <w:szCs w:val="20"/>
              </w:rPr>
              <w:t>Yes</w:t>
            </w:r>
            <w:r w:rsidR="005A378F">
              <w:rPr>
                <w:sz w:val="18"/>
                <w:szCs w:val="20"/>
              </w:rPr>
              <w:t>.</w:t>
            </w:r>
          </w:p>
        </w:tc>
        <w:tc>
          <w:tcPr>
            <w:tcW w:w="3672" w:type="dxa"/>
            <w:gridSpan w:val="2"/>
          </w:tcPr>
          <w:p w14:paraId="47D0058D" w14:textId="77EF20CA"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63E9FB2" w14:textId="77777777" w:rsidTr="00FE2CF6">
        <w:tc>
          <w:tcPr>
            <w:tcW w:w="1166" w:type="dxa"/>
          </w:tcPr>
          <w:p w14:paraId="32AB739D" w14:textId="1C412B6C" w:rsidR="0070512E" w:rsidRPr="008F31E5" w:rsidRDefault="0070512E" w:rsidP="008F31E5">
            <w:pPr>
              <w:pStyle w:val="BodyCopy"/>
              <w:spacing w:before="60" w:after="60"/>
              <w:rPr>
                <w:sz w:val="18"/>
                <w:szCs w:val="20"/>
              </w:rPr>
            </w:pPr>
            <w:r w:rsidRPr="008F31E5">
              <w:rPr>
                <w:sz w:val="18"/>
                <w:szCs w:val="20"/>
              </w:rPr>
              <w:t>Marco Mens</w:t>
            </w:r>
          </w:p>
        </w:tc>
        <w:tc>
          <w:tcPr>
            <w:tcW w:w="902" w:type="dxa"/>
          </w:tcPr>
          <w:p w14:paraId="767F2B8B" w14:textId="046A8916" w:rsidR="0070512E" w:rsidRPr="008F31E5" w:rsidRDefault="0070512E" w:rsidP="008F31E5">
            <w:pPr>
              <w:pStyle w:val="BodyCopy"/>
              <w:spacing w:before="60" w:after="60"/>
              <w:rPr>
                <w:sz w:val="18"/>
                <w:szCs w:val="20"/>
              </w:rPr>
            </w:pPr>
            <w:r w:rsidRPr="008F31E5">
              <w:rPr>
                <w:sz w:val="18"/>
                <w:szCs w:val="20"/>
              </w:rPr>
              <w:t>13</w:t>
            </w:r>
          </w:p>
        </w:tc>
        <w:tc>
          <w:tcPr>
            <w:tcW w:w="1171" w:type="dxa"/>
          </w:tcPr>
          <w:p w14:paraId="07B667B7" w14:textId="6DC676DB"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h</w:t>
            </w:r>
            <w:r w:rsidRPr="008F31E5">
              <w:rPr>
                <w:sz w:val="18"/>
                <w:szCs w:val="20"/>
              </w:rPr>
              <w:t>eavy vehicle concessions</w:t>
            </w:r>
          </w:p>
        </w:tc>
        <w:tc>
          <w:tcPr>
            <w:tcW w:w="7201" w:type="dxa"/>
          </w:tcPr>
          <w:p w14:paraId="7BB58077" w14:textId="44C6999E" w:rsidR="0070512E" w:rsidRPr="008F31E5" w:rsidRDefault="0070512E" w:rsidP="008F31E5">
            <w:pPr>
              <w:pStyle w:val="BodyCopy"/>
              <w:spacing w:before="60" w:after="60"/>
              <w:rPr>
                <w:sz w:val="18"/>
                <w:szCs w:val="20"/>
              </w:rPr>
            </w:pPr>
            <w:r w:rsidRPr="008F31E5">
              <w:rPr>
                <w:sz w:val="18"/>
                <w:szCs w:val="20"/>
              </w:rPr>
              <w:t>In the last 5 to 10 years the growth in Primary Producer registered trucks on our roads has exploded. When they are not carting their own produce, these trucks are on the road carting produce on a commercial basis</w:t>
            </w:r>
            <w:r w:rsidR="00DC6D51">
              <w:rPr>
                <w:sz w:val="18"/>
                <w:szCs w:val="20"/>
              </w:rPr>
              <w:t xml:space="preserve"> </w:t>
            </w:r>
            <w:r w:rsidRPr="008F31E5">
              <w:rPr>
                <w:sz w:val="18"/>
                <w:szCs w:val="20"/>
              </w:rPr>
              <w:t>...</w:t>
            </w:r>
            <w:r w:rsidR="00DC6D51">
              <w:rPr>
                <w:sz w:val="18"/>
                <w:szCs w:val="20"/>
              </w:rPr>
              <w:t xml:space="preserve"> </w:t>
            </w:r>
            <w:r w:rsidRPr="008F31E5">
              <w:rPr>
                <w:sz w:val="18"/>
                <w:szCs w:val="20"/>
              </w:rPr>
              <w:t>Recent attempts by VicRoads to clamp down on this practice has fallen over during the court process, due to a loophole in sloppy legislation</w:t>
            </w:r>
            <w:r w:rsidR="005A378F">
              <w:rPr>
                <w:sz w:val="18"/>
                <w:szCs w:val="20"/>
              </w:rPr>
              <w:t>.</w:t>
            </w:r>
            <w:r w:rsidRPr="008F31E5">
              <w:rPr>
                <w:sz w:val="18"/>
                <w:szCs w:val="20"/>
              </w:rPr>
              <w:br/>
            </w:r>
            <w:r w:rsidRPr="008F31E5">
              <w:rPr>
                <w:sz w:val="18"/>
                <w:szCs w:val="20"/>
              </w:rPr>
              <w:br/>
              <w:t>In conclusion Primary Producer registration has led to a distortion in the transport industry. Commercial operators like myself, are now subsidising farming groups to run trucks (even encouraging) on a discounted basis. Many commercial operators feel they have no choice but to register their equipment with the Primary Producer concessions, so they remain competitive.</w:t>
            </w:r>
            <w:r w:rsidRPr="008F31E5">
              <w:rPr>
                <w:sz w:val="18"/>
                <w:szCs w:val="20"/>
              </w:rPr>
              <w:br/>
            </w:r>
            <w:r w:rsidRPr="008F31E5">
              <w:rPr>
                <w:sz w:val="18"/>
                <w:szCs w:val="20"/>
              </w:rPr>
              <w:br/>
              <w:t>Are these subsidies coming out of road funding? If so, this would explain the deterioration in our road network.</w:t>
            </w:r>
          </w:p>
        </w:tc>
        <w:tc>
          <w:tcPr>
            <w:tcW w:w="3672" w:type="dxa"/>
            <w:gridSpan w:val="2"/>
          </w:tcPr>
          <w:p w14:paraId="60C963AC" w14:textId="36EA9E83" w:rsidR="0070512E" w:rsidRDefault="0070512E" w:rsidP="008F31E5">
            <w:pPr>
              <w:pStyle w:val="BodyCopy"/>
              <w:spacing w:before="60" w:after="60"/>
              <w:rPr>
                <w:sz w:val="18"/>
                <w:szCs w:val="20"/>
              </w:rPr>
            </w:pPr>
            <w:r w:rsidRPr="008F31E5">
              <w:rPr>
                <w:sz w:val="18"/>
                <w:szCs w:val="20"/>
              </w:rPr>
              <w:t>This issue is out of scope to address directly through the determination. The NTC does not determine concessions, which are set individually by each state and territory government. However, the NTC can report back to ministers on the estimated revenue foregone due to the use of concessions to provide more transparency on this issue. Governments may then choose to use this information to reassess the offering of concessions, including whether to attempt to achieve more consistency between jurisdictions.</w:t>
            </w:r>
          </w:p>
          <w:p w14:paraId="7D0E3CC7" w14:textId="353E31C7" w:rsidR="006C1B2F" w:rsidRPr="008F31E5" w:rsidRDefault="006C1B2F" w:rsidP="008F31E5">
            <w:pPr>
              <w:pStyle w:val="BodyCopy"/>
              <w:spacing w:before="60" w:after="60"/>
              <w:rPr>
                <w:sz w:val="18"/>
                <w:szCs w:val="20"/>
              </w:rPr>
            </w:pPr>
            <w:r>
              <w:rPr>
                <w:sz w:val="18"/>
                <w:szCs w:val="20"/>
              </w:rPr>
              <w:t xml:space="preserve">The NTC notes that the NHVR has recently added primary producer concession information to its Registration Checker app, which may help to reduce misuse of these concessions </w:t>
            </w:r>
            <w:sdt>
              <w:sdtPr>
                <w:rPr>
                  <w:sz w:val="18"/>
                  <w:szCs w:val="20"/>
                </w:rPr>
                <w:id w:val="1652552386"/>
                <w:citation/>
              </w:sdtPr>
              <w:sdtContent>
                <w:r>
                  <w:rPr>
                    <w:sz w:val="18"/>
                    <w:szCs w:val="20"/>
                  </w:rPr>
                  <w:fldChar w:fldCharType="begin"/>
                </w:r>
                <w:r>
                  <w:rPr>
                    <w:sz w:val="18"/>
                    <w:szCs w:val="20"/>
                    <w:lang w:val="en-AU"/>
                  </w:rPr>
                  <w:instrText xml:space="preserve"> CITATION Pri211 \l 3081 </w:instrText>
                </w:r>
                <w:r>
                  <w:rPr>
                    <w:sz w:val="18"/>
                    <w:szCs w:val="20"/>
                  </w:rPr>
                  <w:fldChar w:fldCharType="separate"/>
                </w:r>
                <w:r w:rsidR="000A4DC7" w:rsidRPr="000A4DC7">
                  <w:rPr>
                    <w:noProof/>
                    <w:sz w:val="18"/>
                    <w:szCs w:val="20"/>
                    <w:lang w:val="en-AU"/>
                  </w:rPr>
                  <w:t>(Prime Mover, 2021)</w:t>
                </w:r>
                <w:r>
                  <w:rPr>
                    <w:sz w:val="18"/>
                    <w:szCs w:val="20"/>
                  </w:rPr>
                  <w:fldChar w:fldCharType="end"/>
                </w:r>
              </w:sdtContent>
            </w:sdt>
            <w:r>
              <w:rPr>
                <w:sz w:val="18"/>
                <w:szCs w:val="20"/>
              </w:rPr>
              <w:t>.</w:t>
            </w:r>
          </w:p>
        </w:tc>
      </w:tr>
      <w:tr w:rsidR="00F74539" w:rsidRPr="008F31E5" w14:paraId="4E64F81A" w14:textId="77777777" w:rsidTr="00FE2CF6">
        <w:tc>
          <w:tcPr>
            <w:tcW w:w="1166" w:type="dxa"/>
          </w:tcPr>
          <w:p w14:paraId="4B813DD0" w14:textId="0B2B90B3"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382D3FB6" w14:textId="0619D063" w:rsidR="0070512E" w:rsidRPr="008F31E5" w:rsidRDefault="0070512E" w:rsidP="008F31E5">
            <w:pPr>
              <w:pStyle w:val="BodyCopy"/>
              <w:spacing w:before="60" w:after="60"/>
              <w:rPr>
                <w:sz w:val="18"/>
                <w:szCs w:val="20"/>
              </w:rPr>
            </w:pPr>
            <w:r w:rsidRPr="008F31E5">
              <w:rPr>
                <w:sz w:val="18"/>
                <w:szCs w:val="20"/>
              </w:rPr>
              <w:t>13</w:t>
            </w:r>
          </w:p>
        </w:tc>
        <w:tc>
          <w:tcPr>
            <w:tcW w:w="1171" w:type="dxa"/>
          </w:tcPr>
          <w:p w14:paraId="3AF1F937" w14:textId="4B07F33F"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h</w:t>
            </w:r>
            <w:r w:rsidRPr="008F31E5">
              <w:rPr>
                <w:sz w:val="18"/>
                <w:szCs w:val="20"/>
              </w:rPr>
              <w:t>eavy vehicle concessions</w:t>
            </w:r>
          </w:p>
        </w:tc>
        <w:tc>
          <w:tcPr>
            <w:tcW w:w="7201" w:type="dxa"/>
          </w:tcPr>
          <w:p w14:paraId="1D21F8E1" w14:textId="673B7054" w:rsidR="002C0902" w:rsidRDefault="0070512E" w:rsidP="008F31E5">
            <w:pPr>
              <w:pStyle w:val="BodyCopy"/>
              <w:spacing w:before="60" w:after="60"/>
              <w:rPr>
                <w:sz w:val="18"/>
                <w:szCs w:val="20"/>
              </w:rPr>
            </w:pPr>
            <w:r w:rsidRPr="008F31E5">
              <w:rPr>
                <w:sz w:val="18"/>
                <w:szCs w:val="20"/>
              </w:rPr>
              <w:t>NatRoad is opposed to market distorting concessions by way of discounts offered to some charities and to primary producers. It is the latter concession in particular that is opposed given the unlevel playing field that eventuates and having regard to the number of complaints NatRoad receives about the abuse of the primary production concession.</w:t>
            </w:r>
            <w:r w:rsidRPr="008F31E5">
              <w:rPr>
                <w:sz w:val="18"/>
                <w:szCs w:val="20"/>
              </w:rPr>
              <w:br/>
            </w:r>
            <w:r w:rsidRPr="008F31E5">
              <w:rPr>
                <w:sz w:val="18"/>
                <w:szCs w:val="20"/>
              </w:rPr>
              <w:br/>
              <w:t>The C</w:t>
            </w:r>
            <w:r w:rsidR="00740AFC">
              <w:rPr>
                <w:sz w:val="18"/>
                <w:szCs w:val="20"/>
              </w:rPr>
              <w:t>-</w:t>
            </w:r>
            <w:r w:rsidRPr="008F31E5">
              <w:rPr>
                <w:sz w:val="18"/>
                <w:szCs w:val="20"/>
              </w:rPr>
              <w:t>RIS indicates that because the financial impact of concessions is borne by the jurisdictions that offer them, concessions have been treated as a matter for states and territories to decide individually in previous determinations. Concessions are not reflected in estimated revenue figures calculated using the PAYGO model and this is obviously an area where revenue falls below expected revenue on an unquantified basis. That is a weakness in the current system. That amount should be quantified but not to increase the registration costs to those who don’t enjoy any concession.</w:t>
            </w:r>
            <w:r w:rsidRPr="008F31E5">
              <w:rPr>
                <w:sz w:val="18"/>
                <w:szCs w:val="20"/>
              </w:rPr>
              <w:br/>
            </w:r>
            <w:r w:rsidRPr="008F31E5">
              <w:rPr>
                <w:sz w:val="18"/>
                <w:szCs w:val="20"/>
              </w:rPr>
              <w:br/>
              <w:t xml:space="preserve">NatRoad believes that all concessions should be uniform between </w:t>
            </w:r>
            <w:r w:rsidR="00740AFC">
              <w:rPr>
                <w:sz w:val="18"/>
                <w:szCs w:val="20"/>
              </w:rPr>
              <w:t>s</w:t>
            </w:r>
            <w:r w:rsidRPr="008F31E5">
              <w:rPr>
                <w:sz w:val="18"/>
                <w:szCs w:val="20"/>
              </w:rPr>
              <w:t xml:space="preserve">tates and </w:t>
            </w:r>
            <w:r w:rsidR="00740AFC">
              <w:rPr>
                <w:sz w:val="18"/>
                <w:szCs w:val="20"/>
              </w:rPr>
              <w:t>t</w:t>
            </w:r>
            <w:r w:rsidRPr="008F31E5">
              <w:rPr>
                <w:sz w:val="18"/>
                <w:szCs w:val="20"/>
              </w:rPr>
              <w:t xml:space="preserve">erritories and, in relation to the primary production concession, there should be </w:t>
            </w:r>
            <w:r w:rsidR="00052D7C">
              <w:rPr>
                <w:sz w:val="18"/>
                <w:szCs w:val="20"/>
              </w:rPr>
              <w:t>‘</w:t>
            </w:r>
            <w:r w:rsidRPr="008F31E5">
              <w:rPr>
                <w:sz w:val="18"/>
                <w:szCs w:val="20"/>
              </w:rPr>
              <w:t>farm plates</w:t>
            </w:r>
            <w:r w:rsidR="00052D7C">
              <w:rPr>
                <w:sz w:val="18"/>
                <w:szCs w:val="20"/>
              </w:rPr>
              <w:t>’</w:t>
            </w:r>
            <w:r w:rsidRPr="008F31E5">
              <w:rPr>
                <w:sz w:val="18"/>
                <w:szCs w:val="20"/>
              </w:rPr>
              <w:t xml:space="preserve"> in use </w:t>
            </w:r>
            <w:r w:rsidRPr="008F31E5">
              <w:rPr>
                <w:sz w:val="18"/>
                <w:szCs w:val="20"/>
              </w:rPr>
              <w:lastRenderedPageBreak/>
              <w:t>to show that the concession has been applied for and granted to the relevant heavy vehicle operator. All concessions should be costed.</w:t>
            </w:r>
            <w:r w:rsidRPr="008F31E5">
              <w:rPr>
                <w:sz w:val="18"/>
                <w:szCs w:val="20"/>
              </w:rPr>
              <w:br/>
            </w:r>
            <w:r w:rsidRPr="008F31E5">
              <w:rPr>
                <w:sz w:val="18"/>
                <w:szCs w:val="20"/>
              </w:rPr>
              <w:br/>
              <w:t>NatRoad believes that there should also be a focus on tightening the rules around the primary producer registration concession at the same time as introducing uniformity in the concession around Australia. NatRoad receives frequent complaints about the abuse of this concession which has a major impact on competition because of high heavy vehicle registration costs and the industry’s general low profit margins, discussed above. NatRoad does not oppose the concession being extended to genuine primary production endeavours but there is growing concern amongst NatRoad members that the abuse of the concession is rife.</w:t>
            </w:r>
            <w:r w:rsidRPr="008F31E5">
              <w:rPr>
                <w:sz w:val="18"/>
                <w:szCs w:val="20"/>
              </w:rPr>
              <w:br/>
            </w:r>
            <w:r w:rsidRPr="008F31E5">
              <w:rPr>
                <w:sz w:val="18"/>
                <w:szCs w:val="20"/>
              </w:rPr>
              <w:br/>
              <w:t xml:space="preserve">Accordingly, we ask the NTC to better focus on this matter and to seek from each </w:t>
            </w:r>
            <w:r w:rsidR="00740AFC">
              <w:rPr>
                <w:sz w:val="18"/>
                <w:szCs w:val="20"/>
              </w:rPr>
              <w:t>s</w:t>
            </w:r>
            <w:r w:rsidRPr="008F31E5">
              <w:rPr>
                <w:sz w:val="18"/>
                <w:szCs w:val="20"/>
              </w:rPr>
              <w:t xml:space="preserve">tate and </w:t>
            </w:r>
            <w:r w:rsidR="00740AFC">
              <w:rPr>
                <w:sz w:val="18"/>
                <w:szCs w:val="20"/>
              </w:rPr>
              <w:t>t</w:t>
            </w:r>
            <w:r w:rsidRPr="008F31E5">
              <w:rPr>
                <w:sz w:val="18"/>
                <w:szCs w:val="20"/>
              </w:rPr>
              <w:t>erritory government the following policy underpinnings:</w:t>
            </w:r>
          </w:p>
          <w:p w14:paraId="59A600DA" w14:textId="78CAEA83" w:rsidR="002C0902" w:rsidRDefault="00740AFC" w:rsidP="002C0902">
            <w:pPr>
              <w:pStyle w:val="BodyCopy"/>
              <w:numPr>
                <w:ilvl w:val="3"/>
                <w:numId w:val="63"/>
              </w:numPr>
              <w:spacing w:before="60" w:after="60"/>
              <w:ind w:left="168" w:hanging="168"/>
              <w:rPr>
                <w:sz w:val="18"/>
                <w:szCs w:val="20"/>
              </w:rPr>
            </w:pPr>
            <w:r>
              <w:rPr>
                <w:sz w:val="18"/>
                <w:szCs w:val="20"/>
              </w:rPr>
              <w:t>r</w:t>
            </w:r>
            <w:r w:rsidR="0070512E" w:rsidRPr="008F31E5">
              <w:rPr>
                <w:sz w:val="18"/>
                <w:szCs w:val="20"/>
              </w:rPr>
              <w:t>ecording of exemption conditions on the NHVR vehicle registration database, with those exemptions made publicly accessible;</w:t>
            </w:r>
          </w:p>
          <w:p w14:paraId="4902365F" w14:textId="66A3ADF6" w:rsidR="002C0902" w:rsidRDefault="00740AFC" w:rsidP="002C0902">
            <w:pPr>
              <w:pStyle w:val="BodyCopy"/>
              <w:numPr>
                <w:ilvl w:val="3"/>
                <w:numId w:val="63"/>
              </w:numPr>
              <w:spacing w:before="60" w:after="60"/>
              <w:ind w:left="168" w:hanging="168"/>
              <w:rPr>
                <w:sz w:val="18"/>
                <w:szCs w:val="20"/>
              </w:rPr>
            </w:pPr>
            <w:r>
              <w:rPr>
                <w:sz w:val="18"/>
                <w:szCs w:val="20"/>
              </w:rPr>
              <w:t>m</w:t>
            </w:r>
            <w:r w:rsidR="0070512E" w:rsidRPr="008F31E5">
              <w:rPr>
                <w:sz w:val="18"/>
                <w:szCs w:val="20"/>
              </w:rPr>
              <w:t>aking this exemption information available to authorised officers on the roadside;</w:t>
            </w:r>
          </w:p>
          <w:p w14:paraId="60791F3D" w14:textId="799C072F" w:rsidR="002C0902" w:rsidRDefault="00740AFC" w:rsidP="002C0902">
            <w:pPr>
              <w:pStyle w:val="BodyCopy"/>
              <w:numPr>
                <w:ilvl w:val="3"/>
                <w:numId w:val="63"/>
              </w:numPr>
              <w:spacing w:before="60" w:after="60"/>
              <w:ind w:left="168" w:hanging="168"/>
              <w:rPr>
                <w:sz w:val="18"/>
                <w:szCs w:val="20"/>
              </w:rPr>
            </w:pPr>
            <w:r>
              <w:rPr>
                <w:sz w:val="18"/>
                <w:szCs w:val="20"/>
              </w:rPr>
              <w:t>d</w:t>
            </w:r>
            <w:r w:rsidR="0070512E" w:rsidRPr="008F31E5">
              <w:rPr>
                <w:sz w:val="18"/>
                <w:szCs w:val="20"/>
              </w:rPr>
              <w:t>uring roadside intercepts, authorised officers should check if registration conditions apply, and if so, are these being complied with and this should be done as a matter of course;</w:t>
            </w:r>
          </w:p>
          <w:p w14:paraId="63913A29" w14:textId="0613D86D" w:rsidR="002C0902" w:rsidRDefault="00740AFC" w:rsidP="002C0902">
            <w:pPr>
              <w:pStyle w:val="BodyCopy"/>
              <w:numPr>
                <w:ilvl w:val="3"/>
                <w:numId w:val="63"/>
              </w:numPr>
              <w:spacing w:before="60" w:after="60"/>
              <w:ind w:left="168" w:hanging="168"/>
              <w:rPr>
                <w:sz w:val="18"/>
                <w:szCs w:val="20"/>
              </w:rPr>
            </w:pPr>
            <w:r>
              <w:rPr>
                <w:sz w:val="18"/>
                <w:szCs w:val="20"/>
              </w:rPr>
              <w:t>a</w:t>
            </w:r>
            <w:r w:rsidR="0070512E" w:rsidRPr="008F31E5">
              <w:rPr>
                <w:sz w:val="18"/>
                <w:szCs w:val="20"/>
              </w:rPr>
              <w:t xml:space="preserve"> clear legislated, consistent offence for misuse of primary producer registration;</w:t>
            </w:r>
          </w:p>
          <w:p w14:paraId="0DD47CA3" w14:textId="66BE9C4F" w:rsidR="002C0902" w:rsidRDefault="00740AFC" w:rsidP="002C0902">
            <w:pPr>
              <w:pStyle w:val="BodyCopy"/>
              <w:numPr>
                <w:ilvl w:val="3"/>
                <w:numId w:val="63"/>
              </w:numPr>
              <w:spacing w:before="60" w:after="60"/>
              <w:ind w:left="168" w:hanging="168"/>
              <w:rPr>
                <w:sz w:val="18"/>
                <w:szCs w:val="20"/>
              </w:rPr>
            </w:pPr>
            <w:r>
              <w:rPr>
                <w:sz w:val="18"/>
                <w:szCs w:val="20"/>
              </w:rPr>
              <w:t>m</w:t>
            </w:r>
            <w:r w:rsidR="0070512E" w:rsidRPr="008F31E5">
              <w:rPr>
                <w:sz w:val="18"/>
                <w:szCs w:val="20"/>
              </w:rPr>
              <w:t>ore frequent risk-based checking of known offenders; and</w:t>
            </w:r>
          </w:p>
          <w:p w14:paraId="6FF2937C" w14:textId="631CE7BA" w:rsidR="0070512E" w:rsidRPr="008F31E5" w:rsidRDefault="00740AFC" w:rsidP="002C0902">
            <w:pPr>
              <w:pStyle w:val="BodyCopy"/>
              <w:numPr>
                <w:ilvl w:val="3"/>
                <w:numId w:val="63"/>
              </w:numPr>
              <w:spacing w:before="60" w:after="60"/>
              <w:ind w:left="168" w:hanging="168"/>
              <w:rPr>
                <w:sz w:val="18"/>
                <w:szCs w:val="20"/>
              </w:rPr>
            </w:pPr>
            <w:r>
              <w:rPr>
                <w:sz w:val="18"/>
                <w:szCs w:val="20"/>
              </w:rPr>
              <w:t>a</w:t>
            </w:r>
            <w:r w:rsidR="0070512E" w:rsidRPr="008F31E5">
              <w:rPr>
                <w:sz w:val="18"/>
                <w:szCs w:val="20"/>
              </w:rPr>
              <w:t xml:space="preserve"> penalty that is a multiple of the registration costs avoided.</w:t>
            </w:r>
          </w:p>
        </w:tc>
        <w:tc>
          <w:tcPr>
            <w:tcW w:w="3672" w:type="dxa"/>
            <w:gridSpan w:val="2"/>
          </w:tcPr>
          <w:p w14:paraId="6D09170E" w14:textId="77777777" w:rsidR="0070512E" w:rsidRDefault="0070512E" w:rsidP="008F31E5">
            <w:pPr>
              <w:pStyle w:val="BodyCopy"/>
              <w:spacing w:before="60" w:after="60"/>
              <w:rPr>
                <w:sz w:val="18"/>
                <w:szCs w:val="20"/>
              </w:rPr>
            </w:pPr>
            <w:r w:rsidRPr="008F31E5">
              <w:rPr>
                <w:sz w:val="18"/>
                <w:szCs w:val="20"/>
              </w:rPr>
              <w:lastRenderedPageBreak/>
              <w:t>Noted. Enforcement matters and targeting of concessions to particular sectors or groups are out of scope for the determination.</w:t>
            </w:r>
          </w:p>
          <w:p w14:paraId="4810FA73" w14:textId="510C323E" w:rsidR="006C1B2F" w:rsidRPr="008F31E5" w:rsidRDefault="006C1B2F" w:rsidP="008F31E5">
            <w:pPr>
              <w:pStyle w:val="BodyCopy"/>
              <w:spacing w:before="60" w:after="60"/>
              <w:rPr>
                <w:sz w:val="18"/>
                <w:szCs w:val="20"/>
              </w:rPr>
            </w:pPr>
            <w:r>
              <w:rPr>
                <w:sz w:val="18"/>
                <w:szCs w:val="20"/>
              </w:rPr>
              <w:t xml:space="preserve">The NTC notes that the NHVR has recently added primary producer concession information to its Registration Checker app, which may help to reduce misuse of these concessions </w:t>
            </w:r>
            <w:sdt>
              <w:sdtPr>
                <w:rPr>
                  <w:sz w:val="18"/>
                  <w:szCs w:val="20"/>
                </w:rPr>
                <w:id w:val="679081207"/>
                <w:citation/>
              </w:sdtPr>
              <w:sdtContent>
                <w:r>
                  <w:rPr>
                    <w:sz w:val="18"/>
                    <w:szCs w:val="20"/>
                  </w:rPr>
                  <w:fldChar w:fldCharType="begin"/>
                </w:r>
                <w:r>
                  <w:rPr>
                    <w:sz w:val="18"/>
                    <w:szCs w:val="20"/>
                    <w:lang w:val="en-AU"/>
                  </w:rPr>
                  <w:instrText xml:space="preserve"> CITATION Pri211 \l 3081 </w:instrText>
                </w:r>
                <w:r>
                  <w:rPr>
                    <w:sz w:val="18"/>
                    <w:szCs w:val="20"/>
                  </w:rPr>
                  <w:fldChar w:fldCharType="separate"/>
                </w:r>
                <w:r w:rsidR="000A4DC7" w:rsidRPr="000A4DC7">
                  <w:rPr>
                    <w:noProof/>
                    <w:sz w:val="18"/>
                    <w:szCs w:val="20"/>
                    <w:lang w:val="en-AU"/>
                  </w:rPr>
                  <w:t>(Prime Mover, 2021)</w:t>
                </w:r>
                <w:r>
                  <w:rPr>
                    <w:sz w:val="18"/>
                    <w:szCs w:val="20"/>
                  </w:rPr>
                  <w:fldChar w:fldCharType="end"/>
                </w:r>
              </w:sdtContent>
            </w:sdt>
            <w:r>
              <w:rPr>
                <w:sz w:val="18"/>
                <w:szCs w:val="20"/>
              </w:rPr>
              <w:t>.</w:t>
            </w:r>
          </w:p>
        </w:tc>
      </w:tr>
      <w:tr w:rsidR="00F74539" w:rsidRPr="008F31E5" w14:paraId="52C928CE" w14:textId="77777777" w:rsidTr="00FE2CF6">
        <w:tc>
          <w:tcPr>
            <w:tcW w:w="1166" w:type="dxa"/>
          </w:tcPr>
          <w:p w14:paraId="128ECD9F" w14:textId="215ADAED"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0B730DE1" w14:textId="275C0CB4" w:rsidR="0070512E" w:rsidRPr="008F31E5" w:rsidRDefault="0070512E" w:rsidP="008F31E5">
            <w:pPr>
              <w:pStyle w:val="BodyCopy"/>
              <w:spacing w:before="60" w:after="60"/>
              <w:rPr>
                <w:sz w:val="18"/>
                <w:szCs w:val="20"/>
              </w:rPr>
            </w:pPr>
            <w:r w:rsidRPr="008F31E5">
              <w:rPr>
                <w:sz w:val="18"/>
                <w:szCs w:val="20"/>
              </w:rPr>
              <w:t>13</w:t>
            </w:r>
          </w:p>
        </w:tc>
        <w:tc>
          <w:tcPr>
            <w:tcW w:w="1171" w:type="dxa"/>
          </w:tcPr>
          <w:p w14:paraId="57E81E4B" w14:textId="188BB402"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h</w:t>
            </w:r>
            <w:r w:rsidRPr="008F31E5">
              <w:rPr>
                <w:sz w:val="18"/>
                <w:szCs w:val="20"/>
              </w:rPr>
              <w:t>eavy vehicle concessions</w:t>
            </w:r>
          </w:p>
        </w:tc>
        <w:tc>
          <w:tcPr>
            <w:tcW w:w="7201" w:type="dxa"/>
          </w:tcPr>
          <w:p w14:paraId="7EDF0DDE" w14:textId="7426CF8A" w:rsidR="0070512E" w:rsidRPr="008F31E5" w:rsidRDefault="0070512E" w:rsidP="008F31E5">
            <w:pPr>
              <w:pStyle w:val="BodyCopy"/>
              <w:spacing w:before="60" w:after="60"/>
              <w:rPr>
                <w:sz w:val="18"/>
                <w:szCs w:val="20"/>
              </w:rPr>
            </w:pPr>
            <w:r w:rsidRPr="008F31E5">
              <w:rPr>
                <w:sz w:val="18"/>
                <w:szCs w:val="20"/>
              </w:rPr>
              <w:t>Agreed.</w:t>
            </w:r>
          </w:p>
        </w:tc>
        <w:tc>
          <w:tcPr>
            <w:tcW w:w="3672" w:type="dxa"/>
            <w:gridSpan w:val="2"/>
          </w:tcPr>
          <w:p w14:paraId="4E23E9B2" w14:textId="3BCFDA30"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BEB1249" w14:textId="77777777" w:rsidTr="00FE2CF6">
        <w:tc>
          <w:tcPr>
            <w:tcW w:w="1166" w:type="dxa"/>
          </w:tcPr>
          <w:p w14:paraId="0A2F4A32" w14:textId="358D7CE8"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533E0E18" w14:textId="11602BB6" w:rsidR="0070512E" w:rsidRPr="008F31E5" w:rsidRDefault="0070512E" w:rsidP="008F31E5">
            <w:pPr>
              <w:pStyle w:val="BodyCopy"/>
              <w:spacing w:before="60" w:after="60"/>
              <w:rPr>
                <w:sz w:val="18"/>
                <w:szCs w:val="20"/>
              </w:rPr>
            </w:pPr>
            <w:r w:rsidRPr="008F31E5">
              <w:rPr>
                <w:sz w:val="18"/>
                <w:szCs w:val="20"/>
              </w:rPr>
              <w:t>14</w:t>
            </w:r>
          </w:p>
        </w:tc>
        <w:tc>
          <w:tcPr>
            <w:tcW w:w="1171" w:type="dxa"/>
          </w:tcPr>
          <w:p w14:paraId="0EAF95D3" w14:textId="58BCA1EF"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36768538" w14:textId="73F37D82" w:rsidR="002C0902" w:rsidRDefault="0070512E" w:rsidP="008F31E5">
            <w:pPr>
              <w:pStyle w:val="BodyCopy"/>
              <w:spacing w:before="60" w:after="60"/>
              <w:rPr>
                <w:sz w:val="18"/>
                <w:szCs w:val="20"/>
              </w:rPr>
            </w:pPr>
            <w:r w:rsidRPr="008F31E5">
              <w:rPr>
                <w:sz w:val="18"/>
                <w:szCs w:val="20"/>
              </w:rPr>
              <w:t>The ATA welcomes the consideration of electric heavy vehicles in the consultation RIS, but stronger actions are needed to prepare for the transition of the heavy vehicle fleet. Specifically</w:t>
            </w:r>
            <w:r w:rsidR="00DC6D51">
              <w:rPr>
                <w:sz w:val="18"/>
                <w:szCs w:val="20"/>
              </w:rPr>
              <w:t>:</w:t>
            </w:r>
          </w:p>
          <w:p w14:paraId="44CEF1AF" w14:textId="77777777" w:rsidR="002C0902" w:rsidRDefault="0070512E" w:rsidP="002C0902">
            <w:pPr>
              <w:pStyle w:val="BodyCopy"/>
              <w:numPr>
                <w:ilvl w:val="3"/>
                <w:numId w:val="63"/>
              </w:numPr>
              <w:spacing w:before="60" w:after="60"/>
              <w:ind w:left="168" w:hanging="168"/>
              <w:rPr>
                <w:sz w:val="18"/>
                <w:szCs w:val="20"/>
              </w:rPr>
            </w:pPr>
            <w:r w:rsidRPr="008F31E5">
              <w:rPr>
                <w:sz w:val="18"/>
                <w:szCs w:val="20"/>
              </w:rPr>
              <w:t>electric heavy vehicle numbers are expected to grow substantially</w:t>
            </w:r>
          </w:p>
          <w:p w14:paraId="65E698B6" w14:textId="77777777" w:rsidR="002C0902" w:rsidRDefault="0070512E" w:rsidP="002C0902">
            <w:pPr>
              <w:pStyle w:val="BodyCopy"/>
              <w:numPr>
                <w:ilvl w:val="3"/>
                <w:numId w:val="63"/>
              </w:numPr>
              <w:spacing w:before="60" w:after="60"/>
              <w:ind w:left="168" w:hanging="168"/>
              <w:rPr>
                <w:sz w:val="18"/>
                <w:szCs w:val="20"/>
              </w:rPr>
            </w:pPr>
            <w:r w:rsidRPr="008F31E5">
              <w:rPr>
                <w:sz w:val="18"/>
                <w:szCs w:val="20"/>
              </w:rPr>
              <w:t>while not yet applying to heavy vehicles, state governments have begun implementing road user charges on electric vehicles</w:t>
            </w:r>
          </w:p>
          <w:p w14:paraId="777BE7ED" w14:textId="77C36AD9" w:rsidR="002C0902" w:rsidRDefault="0070512E" w:rsidP="002C0902">
            <w:pPr>
              <w:pStyle w:val="BodyCopy"/>
              <w:numPr>
                <w:ilvl w:val="3"/>
                <w:numId w:val="63"/>
              </w:numPr>
              <w:spacing w:before="60" w:after="60"/>
              <w:ind w:left="168" w:hanging="168"/>
              <w:rPr>
                <w:sz w:val="18"/>
                <w:szCs w:val="20"/>
              </w:rPr>
            </w:pPr>
            <w:r w:rsidRPr="008F31E5">
              <w:rPr>
                <w:sz w:val="18"/>
                <w:szCs w:val="20"/>
              </w:rPr>
              <w:t>the pace of development and release of new zero emission heavy vehicle models is accelerating. In recent months, Volvo has introduced a new electric truck into Melbourne and Hyzon have announced plans for hydrogen fuel cell trucks in Wollongong. The Fuso eCanter has been available since early 2021 and SEA Electric has revealed five new electric truck models in Australia.</w:t>
            </w:r>
          </w:p>
          <w:p w14:paraId="011370BC" w14:textId="2A006296" w:rsidR="0070512E" w:rsidRPr="008F31E5" w:rsidRDefault="0070512E" w:rsidP="008F31E5">
            <w:pPr>
              <w:pStyle w:val="BodyCopy"/>
              <w:spacing w:before="60" w:after="60"/>
              <w:rPr>
                <w:sz w:val="18"/>
                <w:szCs w:val="20"/>
              </w:rPr>
            </w:pPr>
            <w:r w:rsidRPr="008F31E5">
              <w:rPr>
                <w:sz w:val="18"/>
                <w:szCs w:val="20"/>
              </w:rPr>
              <w:lastRenderedPageBreak/>
              <w:br/>
              <w:t>But there is no reliable data on the number of electric and hydrogen fuel-cell heavy vehicles. The ATA agrees with question 14 in the consultation RIS. The small number of heavy vehicles in the fleet today, the complexity that adjustments would cause to the PAYGO model and the difficulty in obtaining accurate data mean that electric heavy vehicles should not be included in this determination.</w:t>
            </w:r>
          </w:p>
        </w:tc>
        <w:tc>
          <w:tcPr>
            <w:tcW w:w="3672" w:type="dxa"/>
            <w:gridSpan w:val="2"/>
          </w:tcPr>
          <w:p w14:paraId="61D88ECC" w14:textId="42FBFEDF" w:rsidR="0070512E" w:rsidRPr="008F31E5" w:rsidRDefault="0070512E" w:rsidP="008F31E5">
            <w:pPr>
              <w:pStyle w:val="BodyCopy"/>
              <w:spacing w:before="60" w:after="60"/>
              <w:rPr>
                <w:sz w:val="18"/>
                <w:szCs w:val="20"/>
              </w:rPr>
            </w:pPr>
            <w:r w:rsidRPr="008F31E5">
              <w:rPr>
                <w:sz w:val="18"/>
                <w:szCs w:val="20"/>
              </w:rPr>
              <w:lastRenderedPageBreak/>
              <w:t>Noted</w:t>
            </w:r>
            <w:r w:rsidR="005B711C">
              <w:rPr>
                <w:sz w:val="18"/>
                <w:szCs w:val="20"/>
              </w:rPr>
              <w:t>.</w:t>
            </w:r>
          </w:p>
        </w:tc>
      </w:tr>
      <w:tr w:rsidR="00F74539" w:rsidRPr="008F31E5" w14:paraId="43644755" w14:textId="77777777" w:rsidTr="00FE2CF6">
        <w:tc>
          <w:tcPr>
            <w:tcW w:w="1166" w:type="dxa"/>
          </w:tcPr>
          <w:p w14:paraId="14294839" w14:textId="0FFD9CB6"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0EC4740C" w14:textId="3179A22F" w:rsidR="0070512E" w:rsidRPr="008F31E5" w:rsidRDefault="0070512E" w:rsidP="008F31E5">
            <w:pPr>
              <w:pStyle w:val="BodyCopy"/>
              <w:spacing w:before="60" w:after="60"/>
              <w:rPr>
                <w:sz w:val="18"/>
                <w:szCs w:val="20"/>
              </w:rPr>
            </w:pPr>
            <w:r w:rsidRPr="008F31E5">
              <w:rPr>
                <w:sz w:val="18"/>
                <w:szCs w:val="20"/>
              </w:rPr>
              <w:t>14</w:t>
            </w:r>
          </w:p>
        </w:tc>
        <w:tc>
          <w:tcPr>
            <w:tcW w:w="1171" w:type="dxa"/>
          </w:tcPr>
          <w:p w14:paraId="21A4B2D3" w14:textId="73A0636E"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466D008C" w14:textId="41207A55" w:rsidR="0070512E" w:rsidRPr="008F31E5" w:rsidRDefault="0070512E" w:rsidP="008F31E5">
            <w:pPr>
              <w:pStyle w:val="BodyCopy"/>
              <w:spacing w:before="60" w:after="60"/>
              <w:rPr>
                <w:sz w:val="18"/>
                <w:szCs w:val="20"/>
              </w:rPr>
            </w:pPr>
            <w:r w:rsidRPr="008F31E5">
              <w:rPr>
                <w:sz w:val="18"/>
                <w:szCs w:val="20"/>
              </w:rPr>
              <w:t>Yes. This is a transitional determination and EVs are not currently large in number. However, Australia must transition quickly to EVs in coming years, with the HV charging approach structured to cope with that switch. This should involve mass, distance, location pricing, using telematics (which will be more societal-cost reflective).</w:t>
            </w:r>
          </w:p>
        </w:tc>
        <w:tc>
          <w:tcPr>
            <w:tcW w:w="3672" w:type="dxa"/>
            <w:gridSpan w:val="2"/>
          </w:tcPr>
          <w:p w14:paraId="5EBAE807" w14:textId="78CFB95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7CBC3A7" w14:textId="77777777" w:rsidTr="00FE2CF6">
        <w:tc>
          <w:tcPr>
            <w:tcW w:w="1166" w:type="dxa"/>
          </w:tcPr>
          <w:p w14:paraId="79116C34" w14:textId="0F71B016"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2C710F69" w14:textId="224FC057" w:rsidR="0070512E" w:rsidRPr="008F31E5" w:rsidRDefault="0070512E" w:rsidP="008F31E5">
            <w:pPr>
              <w:pStyle w:val="BodyCopy"/>
              <w:spacing w:before="60" w:after="60"/>
              <w:rPr>
                <w:sz w:val="18"/>
                <w:szCs w:val="20"/>
              </w:rPr>
            </w:pPr>
            <w:r w:rsidRPr="008F31E5">
              <w:rPr>
                <w:sz w:val="18"/>
                <w:szCs w:val="20"/>
              </w:rPr>
              <w:t>14</w:t>
            </w:r>
          </w:p>
        </w:tc>
        <w:tc>
          <w:tcPr>
            <w:tcW w:w="1171" w:type="dxa"/>
          </w:tcPr>
          <w:p w14:paraId="08690730" w14:textId="204B48CF"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40458053" w14:textId="1601E3B3" w:rsidR="0070512E" w:rsidRPr="008F31E5" w:rsidRDefault="0070512E" w:rsidP="008F31E5">
            <w:pPr>
              <w:pStyle w:val="BodyCopy"/>
              <w:spacing w:before="60" w:after="60"/>
              <w:rPr>
                <w:sz w:val="18"/>
                <w:szCs w:val="20"/>
              </w:rPr>
            </w:pPr>
            <w:r w:rsidRPr="008F31E5">
              <w:rPr>
                <w:sz w:val="18"/>
                <w:szCs w:val="20"/>
              </w:rPr>
              <w:t>The NTC recommends that given the insignificance of the heavy vehicle electric fleet at present that no adjustments be made in the current determination – hence, question 14 is posed. We agree.</w:t>
            </w:r>
          </w:p>
        </w:tc>
        <w:tc>
          <w:tcPr>
            <w:tcW w:w="3672" w:type="dxa"/>
            <w:gridSpan w:val="2"/>
          </w:tcPr>
          <w:p w14:paraId="4558B95B" w14:textId="54070B5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C9703AF" w14:textId="77777777" w:rsidTr="00FE2CF6">
        <w:tc>
          <w:tcPr>
            <w:tcW w:w="1166" w:type="dxa"/>
          </w:tcPr>
          <w:p w14:paraId="5F1DD793" w14:textId="177CF7CA"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16E410A0" w14:textId="68928638" w:rsidR="0070512E" w:rsidRPr="008F31E5" w:rsidRDefault="0070512E" w:rsidP="008F31E5">
            <w:pPr>
              <w:pStyle w:val="BodyCopy"/>
              <w:spacing w:before="60" w:after="60"/>
              <w:rPr>
                <w:sz w:val="18"/>
                <w:szCs w:val="20"/>
              </w:rPr>
            </w:pPr>
            <w:r w:rsidRPr="008F31E5">
              <w:rPr>
                <w:sz w:val="18"/>
                <w:szCs w:val="20"/>
              </w:rPr>
              <w:t>14</w:t>
            </w:r>
          </w:p>
        </w:tc>
        <w:tc>
          <w:tcPr>
            <w:tcW w:w="1171" w:type="dxa"/>
          </w:tcPr>
          <w:p w14:paraId="465E8505" w14:textId="57D9FD6F"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3321E1D1" w14:textId="6189152E" w:rsidR="0070512E" w:rsidRPr="008F31E5" w:rsidRDefault="0070512E" w:rsidP="008F31E5">
            <w:pPr>
              <w:pStyle w:val="BodyCopy"/>
              <w:spacing w:before="60" w:after="60"/>
              <w:rPr>
                <w:sz w:val="18"/>
                <w:szCs w:val="20"/>
              </w:rPr>
            </w:pPr>
            <w:r w:rsidRPr="008F31E5">
              <w:rPr>
                <w:sz w:val="18"/>
                <w:szCs w:val="20"/>
              </w:rPr>
              <w:t>Agreed. The current volume of electrical or hybrid-powered heavy vehicles, at 0.03 per cent of the national heavy vehicle fleet, is insignificant.</w:t>
            </w:r>
            <w:r w:rsidRPr="008F31E5">
              <w:rPr>
                <w:sz w:val="18"/>
                <w:szCs w:val="20"/>
              </w:rPr>
              <w:br/>
            </w:r>
            <w:r w:rsidRPr="008F31E5">
              <w:rPr>
                <w:sz w:val="18"/>
                <w:szCs w:val="20"/>
              </w:rPr>
              <w:br/>
              <w:t>Moving forward, governments will need to determine the charge for these vehicles line with their strategic approach to encouraging the uptake of modern and greener vehicles. Noting electric vehicles are heavier than the standard fleet.</w:t>
            </w:r>
          </w:p>
        </w:tc>
        <w:tc>
          <w:tcPr>
            <w:tcW w:w="3672" w:type="dxa"/>
            <w:gridSpan w:val="2"/>
          </w:tcPr>
          <w:p w14:paraId="35E0CFF7" w14:textId="2D4BBBE3"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5F32BEF" w14:textId="77777777" w:rsidTr="00FE2CF6">
        <w:tc>
          <w:tcPr>
            <w:tcW w:w="1166" w:type="dxa"/>
          </w:tcPr>
          <w:p w14:paraId="187518F5" w14:textId="303AB1E9"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5F4B3450" w14:textId="58341086" w:rsidR="0070512E" w:rsidRPr="008F31E5" w:rsidRDefault="0070512E" w:rsidP="008F31E5">
            <w:pPr>
              <w:pStyle w:val="BodyCopy"/>
              <w:spacing w:before="60" w:after="60"/>
              <w:rPr>
                <w:sz w:val="18"/>
                <w:szCs w:val="20"/>
              </w:rPr>
            </w:pPr>
            <w:r w:rsidRPr="008F31E5">
              <w:rPr>
                <w:sz w:val="18"/>
                <w:szCs w:val="20"/>
              </w:rPr>
              <w:t>15</w:t>
            </w:r>
          </w:p>
        </w:tc>
        <w:tc>
          <w:tcPr>
            <w:tcW w:w="1171" w:type="dxa"/>
          </w:tcPr>
          <w:p w14:paraId="6322BB93" w14:textId="043BFA89"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4FF43ADE" w14:textId="361E2D06" w:rsidR="00E12DE2" w:rsidRDefault="0070512E" w:rsidP="008F31E5">
            <w:pPr>
              <w:pStyle w:val="BodyCopy"/>
              <w:spacing w:before="60" w:after="60"/>
              <w:rPr>
                <w:sz w:val="18"/>
                <w:szCs w:val="20"/>
              </w:rPr>
            </w:pPr>
            <w:r w:rsidRPr="008F31E5">
              <w:rPr>
                <w:sz w:val="18"/>
                <w:szCs w:val="20"/>
              </w:rPr>
              <w:t>The ATA agrees with question 15 – the NTC should collect data on electric heavy vehicles – but a stronger plan is needed to position governments to incorporate zero emission heavy vehicles in the next determination or the FLCB pricing model. This should include</w:t>
            </w:r>
            <w:r w:rsidR="00DC6D51">
              <w:rPr>
                <w:sz w:val="18"/>
                <w:szCs w:val="20"/>
              </w:rPr>
              <w:t>:</w:t>
            </w:r>
          </w:p>
          <w:p w14:paraId="2BE10A08" w14:textId="77777777" w:rsidR="00E12DE2" w:rsidRDefault="0070512E" w:rsidP="00E12DE2">
            <w:pPr>
              <w:pStyle w:val="BodyCopy"/>
              <w:numPr>
                <w:ilvl w:val="3"/>
                <w:numId w:val="63"/>
              </w:numPr>
              <w:spacing w:before="60" w:after="60"/>
              <w:ind w:left="168" w:hanging="168"/>
              <w:rPr>
                <w:sz w:val="18"/>
                <w:szCs w:val="20"/>
              </w:rPr>
            </w:pPr>
            <w:r w:rsidRPr="008F31E5">
              <w:rPr>
                <w:sz w:val="18"/>
                <w:szCs w:val="20"/>
              </w:rPr>
              <w:t>reform by the states and territories to collect consistent registration data on electric and hydrogen fuel cell heavy vehicles</w:t>
            </w:r>
          </w:p>
          <w:p w14:paraId="6BC33E93" w14:textId="5BC09998" w:rsidR="00E12DE2" w:rsidRDefault="0070512E" w:rsidP="00E12DE2">
            <w:pPr>
              <w:pStyle w:val="BodyCopy"/>
              <w:numPr>
                <w:ilvl w:val="3"/>
                <w:numId w:val="63"/>
              </w:numPr>
              <w:spacing w:before="60" w:after="60"/>
              <w:ind w:left="168" w:hanging="168"/>
              <w:rPr>
                <w:sz w:val="18"/>
                <w:szCs w:val="20"/>
              </w:rPr>
            </w:pPr>
            <w:r w:rsidRPr="008F31E5">
              <w:rPr>
                <w:sz w:val="18"/>
                <w:szCs w:val="20"/>
              </w:rPr>
              <w:t>reflecting this data in the ABS motor vehicle census or a NEVDIS equivalent.</w:t>
            </w:r>
          </w:p>
          <w:p w14:paraId="4682E06D" w14:textId="7688737B" w:rsidR="0070512E" w:rsidRPr="008F31E5" w:rsidRDefault="0070512E" w:rsidP="008F31E5">
            <w:pPr>
              <w:pStyle w:val="BodyCopy"/>
              <w:spacing w:before="60" w:after="60"/>
              <w:rPr>
                <w:sz w:val="18"/>
                <w:szCs w:val="20"/>
              </w:rPr>
            </w:pPr>
            <w:r w:rsidRPr="008F31E5">
              <w:rPr>
                <w:sz w:val="18"/>
                <w:szCs w:val="20"/>
              </w:rPr>
              <w:br/>
              <w:t>This would also assist the design and evaluation of public policy for incentivising zero emission vehicles.</w:t>
            </w:r>
          </w:p>
        </w:tc>
        <w:tc>
          <w:tcPr>
            <w:tcW w:w="3672" w:type="dxa"/>
            <w:gridSpan w:val="2"/>
          </w:tcPr>
          <w:p w14:paraId="25E89043" w14:textId="05D3253C"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1BF3EFC0" w14:textId="77777777" w:rsidTr="00FE2CF6">
        <w:tc>
          <w:tcPr>
            <w:tcW w:w="1166" w:type="dxa"/>
          </w:tcPr>
          <w:p w14:paraId="3CE9689C" w14:textId="56C813F5"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615EFB04" w14:textId="606ABA05" w:rsidR="0070512E" w:rsidRPr="008F31E5" w:rsidRDefault="0070512E" w:rsidP="008F31E5">
            <w:pPr>
              <w:pStyle w:val="BodyCopy"/>
              <w:spacing w:before="60" w:after="60"/>
              <w:rPr>
                <w:sz w:val="18"/>
                <w:szCs w:val="20"/>
              </w:rPr>
            </w:pPr>
            <w:r w:rsidRPr="008F31E5">
              <w:rPr>
                <w:sz w:val="18"/>
                <w:szCs w:val="20"/>
              </w:rPr>
              <w:t>15</w:t>
            </w:r>
          </w:p>
        </w:tc>
        <w:tc>
          <w:tcPr>
            <w:tcW w:w="1171" w:type="dxa"/>
          </w:tcPr>
          <w:p w14:paraId="13D0BA33" w14:textId="5D799C01"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4983DFAA" w14:textId="54B5899C" w:rsidR="0070512E" w:rsidRPr="008F31E5" w:rsidRDefault="0070512E" w:rsidP="008F31E5">
            <w:pPr>
              <w:pStyle w:val="BodyCopy"/>
              <w:spacing w:before="60" w:after="60"/>
              <w:rPr>
                <w:sz w:val="18"/>
                <w:szCs w:val="20"/>
              </w:rPr>
            </w:pPr>
            <w:r w:rsidRPr="008F31E5">
              <w:rPr>
                <w:sz w:val="18"/>
                <w:szCs w:val="20"/>
              </w:rPr>
              <w:t>See answer to previous question. This must be monitored and a new pricing model developed over the next few years.</w:t>
            </w:r>
          </w:p>
        </w:tc>
        <w:tc>
          <w:tcPr>
            <w:tcW w:w="3672" w:type="dxa"/>
            <w:gridSpan w:val="2"/>
          </w:tcPr>
          <w:p w14:paraId="63284BE1" w14:textId="6E10E115"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049A10C" w14:textId="77777777" w:rsidTr="00FE2CF6">
        <w:tc>
          <w:tcPr>
            <w:tcW w:w="1166" w:type="dxa"/>
          </w:tcPr>
          <w:p w14:paraId="784159A3" w14:textId="54B26F73"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7E18A797" w14:textId="796F4DBF" w:rsidR="0070512E" w:rsidRPr="008F31E5" w:rsidRDefault="0070512E" w:rsidP="008F31E5">
            <w:pPr>
              <w:pStyle w:val="BodyCopy"/>
              <w:spacing w:before="60" w:after="60"/>
              <w:rPr>
                <w:sz w:val="18"/>
                <w:szCs w:val="20"/>
              </w:rPr>
            </w:pPr>
            <w:r w:rsidRPr="008F31E5">
              <w:rPr>
                <w:sz w:val="18"/>
                <w:szCs w:val="20"/>
              </w:rPr>
              <w:t>15</w:t>
            </w:r>
          </w:p>
        </w:tc>
        <w:tc>
          <w:tcPr>
            <w:tcW w:w="1171" w:type="dxa"/>
          </w:tcPr>
          <w:p w14:paraId="12E242EB" w14:textId="6B423A3B"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0D2DFCFA" w14:textId="1087048C" w:rsidR="0070512E" w:rsidRPr="008F31E5" w:rsidRDefault="0070512E" w:rsidP="008F31E5">
            <w:pPr>
              <w:pStyle w:val="BodyCopy"/>
              <w:spacing w:before="60" w:after="60"/>
              <w:rPr>
                <w:sz w:val="18"/>
                <w:szCs w:val="20"/>
              </w:rPr>
            </w:pPr>
            <w:r w:rsidRPr="008F31E5">
              <w:rPr>
                <w:sz w:val="18"/>
                <w:szCs w:val="20"/>
              </w:rPr>
              <w:t xml:space="preserve">We also agree that this area of change needs to be monitored, so our answer to Question 15 is also yes. The technology in this area is accelerating at a much greater rate for light vehicles than for heavy vehicles. Part of the issue is that for electric heavy vehicles to be a realistic technology, there is the need for the establishment of a network of charging </w:t>
            </w:r>
            <w:r w:rsidRPr="008F31E5">
              <w:rPr>
                <w:sz w:val="18"/>
                <w:szCs w:val="20"/>
              </w:rPr>
              <w:lastRenderedPageBreak/>
              <w:t>facilities both privately and publicly. In the USA, a recent survey found that 92 per</w:t>
            </w:r>
            <w:r w:rsidR="003C7444">
              <w:rPr>
                <w:sz w:val="18"/>
                <w:szCs w:val="20"/>
              </w:rPr>
              <w:t xml:space="preserve"> </w:t>
            </w:r>
            <w:r w:rsidRPr="008F31E5">
              <w:rPr>
                <w:sz w:val="18"/>
                <w:szCs w:val="20"/>
              </w:rPr>
              <w:t xml:space="preserve">cent of survey respondents said their facility is not </w:t>
            </w:r>
            <w:r w:rsidR="00052D7C">
              <w:rPr>
                <w:sz w:val="18"/>
                <w:szCs w:val="20"/>
              </w:rPr>
              <w:t>‘</w:t>
            </w:r>
            <w:r w:rsidRPr="008F31E5">
              <w:rPr>
                <w:sz w:val="18"/>
                <w:szCs w:val="20"/>
              </w:rPr>
              <w:t>very well equipped</w:t>
            </w:r>
            <w:r w:rsidR="00052D7C">
              <w:rPr>
                <w:sz w:val="18"/>
                <w:szCs w:val="20"/>
              </w:rPr>
              <w:t>’</w:t>
            </w:r>
            <w:r w:rsidRPr="008F31E5">
              <w:rPr>
                <w:sz w:val="18"/>
                <w:szCs w:val="20"/>
              </w:rPr>
              <w:t xml:space="preserve"> to accommodate commercial charging needs. We believe that this percentage would also be high in Australia. In contrast, most light vehicles will simply be able to be charged at home, most likely overnight.</w:t>
            </w:r>
            <w:r w:rsidRPr="008F31E5">
              <w:rPr>
                <w:sz w:val="18"/>
                <w:szCs w:val="20"/>
              </w:rPr>
              <w:br/>
            </w:r>
            <w:r w:rsidRPr="008F31E5">
              <w:rPr>
                <w:sz w:val="18"/>
                <w:szCs w:val="20"/>
              </w:rPr>
              <w:br/>
              <w:t>As discussed above, the current fuel tax regime needs a substantial overhaul. There are several factors which point to the need to reframe this tax regime as soon as possible. Continued improvements in the fuel efficiency of the light vehicle fleet in Australia are likely to contribute to a further slowing of the growth in total fuel consumption, in turn constraining growth in fuel excise in general and therefore placing more of the incidence of the tax on heavy vehicles and making the heavy vehicle charging regime even more onerous for the heavy vehicle sector as the tax base shrinks.</w:t>
            </w:r>
            <w:r w:rsidRPr="008F31E5">
              <w:rPr>
                <w:sz w:val="18"/>
                <w:szCs w:val="20"/>
              </w:rPr>
              <w:br/>
            </w:r>
            <w:r w:rsidRPr="008F31E5">
              <w:rPr>
                <w:sz w:val="18"/>
                <w:szCs w:val="20"/>
              </w:rPr>
              <w:br/>
              <w:t>The uptake of electric vehicles will further accelerate the rising fuel efficiency of the light vehicle fleet in Australia. Electric vehicles are currently a small proportion of the market and are therefore having little effect on fuel excise receipts at the present time. But electric vehicles are projected to represent around 19 per</w:t>
            </w:r>
            <w:r w:rsidR="003C7444">
              <w:rPr>
                <w:sz w:val="18"/>
                <w:szCs w:val="20"/>
              </w:rPr>
              <w:t xml:space="preserve"> </w:t>
            </w:r>
            <w:r w:rsidRPr="008F31E5">
              <w:rPr>
                <w:sz w:val="18"/>
                <w:szCs w:val="20"/>
              </w:rPr>
              <w:t>cent of the light vehicle fleet in Australia by 2036–37. The impact on fuel consumption of an increasing uptake of electric vehicles will further erode the fuel excise base, underlining that this is not a sustainable tax and one where the whole basis of the RUC is called in question.</w:t>
            </w:r>
          </w:p>
        </w:tc>
        <w:tc>
          <w:tcPr>
            <w:tcW w:w="3672" w:type="dxa"/>
            <w:gridSpan w:val="2"/>
          </w:tcPr>
          <w:p w14:paraId="384EC0DD" w14:textId="2294546B" w:rsidR="0070512E" w:rsidRPr="008F31E5" w:rsidRDefault="0070512E" w:rsidP="008F31E5">
            <w:pPr>
              <w:pStyle w:val="BodyCopy"/>
              <w:spacing w:before="60" w:after="60"/>
              <w:rPr>
                <w:sz w:val="18"/>
                <w:szCs w:val="20"/>
              </w:rPr>
            </w:pPr>
            <w:r w:rsidRPr="008F31E5">
              <w:rPr>
                <w:sz w:val="18"/>
                <w:szCs w:val="20"/>
              </w:rPr>
              <w:lastRenderedPageBreak/>
              <w:t xml:space="preserve">Noted. A reduction of the light vehicle fuel excise revenue base is not necessarily linked to a higher incidence of the tax on </w:t>
            </w:r>
            <w:r w:rsidR="005B711C">
              <w:rPr>
                <w:sz w:val="18"/>
                <w:szCs w:val="20"/>
              </w:rPr>
              <w:t>heavy vehicle</w:t>
            </w:r>
            <w:r w:rsidRPr="008F31E5">
              <w:rPr>
                <w:sz w:val="18"/>
                <w:szCs w:val="20"/>
              </w:rPr>
              <w:t>s (through the RUC).</w:t>
            </w:r>
          </w:p>
        </w:tc>
      </w:tr>
      <w:tr w:rsidR="00F74539" w:rsidRPr="008F31E5" w14:paraId="6C4BB3AB" w14:textId="77777777" w:rsidTr="00FE2CF6">
        <w:tc>
          <w:tcPr>
            <w:tcW w:w="1166" w:type="dxa"/>
          </w:tcPr>
          <w:p w14:paraId="63B41D21" w14:textId="5C6A79A0"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0FCE57AE" w14:textId="3E0682DC" w:rsidR="0070512E" w:rsidRPr="008F31E5" w:rsidRDefault="0070512E" w:rsidP="008F31E5">
            <w:pPr>
              <w:pStyle w:val="BodyCopy"/>
              <w:spacing w:before="60" w:after="60"/>
              <w:rPr>
                <w:sz w:val="18"/>
                <w:szCs w:val="20"/>
              </w:rPr>
            </w:pPr>
            <w:r w:rsidRPr="008F31E5">
              <w:rPr>
                <w:sz w:val="18"/>
                <w:szCs w:val="20"/>
              </w:rPr>
              <w:t>15</w:t>
            </w:r>
          </w:p>
        </w:tc>
        <w:tc>
          <w:tcPr>
            <w:tcW w:w="1171" w:type="dxa"/>
          </w:tcPr>
          <w:p w14:paraId="7A0655C5" w14:textId="61D032D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e</w:t>
            </w:r>
            <w:r w:rsidRPr="008F31E5">
              <w:rPr>
                <w:sz w:val="18"/>
                <w:szCs w:val="20"/>
              </w:rPr>
              <w:t>lectric heavy vehicles</w:t>
            </w:r>
          </w:p>
        </w:tc>
        <w:tc>
          <w:tcPr>
            <w:tcW w:w="7201" w:type="dxa"/>
          </w:tcPr>
          <w:p w14:paraId="6015632C" w14:textId="1654049F" w:rsidR="0070512E" w:rsidRPr="008F31E5" w:rsidRDefault="0070512E" w:rsidP="008F31E5">
            <w:pPr>
              <w:pStyle w:val="BodyCopy"/>
              <w:spacing w:before="60" w:after="60"/>
              <w:rPr>
                <w:sz w:val="18"/>
                <w:szCs w:val="20"/>
              </w:rPr>
            </w:pPr>
            <w:r w:rsidRPr="008F31E5">
              <w:rPr>
                <w:sz w:val="18"/>
                <w:szCs w:val="20"/>
              </w:rPr>
              <w:t>The NHVR supports the recommendation that all jurisdictions in future provide regular reports on electric, hydrogen and combustion heavy vehicles by type to the NTC to evaluate the impact of the vehicles for post-2021 Heavy Vehicle Road Reform.</w:t>
            </w:r>
          </w:p>
        </w:tc>
        <w:tc>
          <w:tcPr>
            <w:tcW w:w="3672" w:type="dxa"/>
            <w:gridSpan w:val="2"/>
          </w:tcPr>
          <w:p w14:paraId="2F8A6B86" w14:textId="161C74BF"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FF90C77" w14:textId="77777777" w:rsidTr="00FE2CF6">
        <w:tc>
          <w:tcPr>
            <w:tcW w:w="1166" w:type="dxa"/>
          </w:tcPr>
          <w:p w14:paraId="2F38859B" w14:textId="7BC8C9B6"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266A6719" w14:textId="1AD7101C" w:rsidR="0070512E" w:rsidRPr="008F31E5" w:rsidRDefault="0070512E" w:rsidP="008F31E5">
            <w:pPr>
              <w:pStyle w:val="BodyCopy"/>
              <w:spacing w:before="60" w:after="60"/>
              <w:rPr>
                <w:sz w:val="18"/>
                <w:szCs w:val="20"/>
              </w:rPr>
            </w:pPr>
            <w:r w:rsidRPr="008F31E5">
              <w:rPr>
                <w:sz w:val="18"/>
                <w:szCs w:val="20"/>
              </w:rPr>
              <w:t>16</w:t>
            </w:r>
          </w:p>
        </w:tc>
        <w:tc>
          <w:tcPr>
            <w:tcW w:w="1171" w:type="dxa"/>
          </w:tcPr>
          <w:p w14:paraId="5B01F11D" w14:textId="01F09F91"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748BC6DD" w14:textId="3041F7DE" w:rsidR="0070512E" w:rsidRPr="008F31E5" w:rsidRDefault="0070512E" w:rsidP="008F31E5">
            <w:pPr>
              <w:pStyle w:val="BodyCopy"/>
              <w:spacing w:before="60" w:after="60"/>
              <w:rPr>
                <w:sz w:val="18"/>
                <w:szCs w:val="20"/>
              </w:rPr>
            </w:pPr>
            <w:r w:rsidRPr="008F31E5">
              <w:rPr>
                <w:sz w:val="18"/>
                <w:szCs w:val="20"/>
              </w:rPr>
              <w:t>[Supports] The recovery of regulatory costs based on most recent (and therefore updated) data.</w:t>
            </w:r>
          </w:p>
        </w:tc>
        <w:tc>
          <w:tcPr>
            <w:tcW w:w="3672" w:type="dxa"/>
            <w:gridSpan w:val="2"/>
          </w:tcPr>
          <w:p w14:paraId="31590A9E" w14:textId="5CB782C6"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63A63E4" w14:textId="77777777" w:rsidTr="00FE2CF6">
        <w:tc>
          <w:tcPr>
            <w:tcW w:w="1166" w:type="dxa"/>
          </w:tcPr>
          <w:p w14:paraId="50600C7E" w14:textId="60EF3C1B"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0FCC20C2" w14:textId="4791C203" w:rsidR="0070512E" w:rsidRPr="008F31E5" w:rsidRDefault="0070512E" w:rsidP="008F31E5">
            <w:pPr>
              <w:pStyle w:val="BodyCopy"/>
              <w:spacing w:before="60" w:after="60"/>
              <w:rPr>
                <w:sz w:val="18"/>
                <w:szCs w:val="20"/>
              </w:rPr>
            </w:pPr>
            <w:r w:rsidRPr="008F31E5">
              <w:rPr>
                <w:sz w:val="18"/>
                <w:szCs w:val="20"/>
              </w:rPr>
              <w:t>16</w:t>
            </w:r>
          </w:p>
        </w:tc>
        <w:tc>
          <w:tcPr>
            <w:tcW w:w="1171" w:type="dxa"/>
          </w:tcPr>
          <w:p w14:paraId="251163EE" w14:textId="79A1E087"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273376CE" w14:textId="6DCECAA6" w:rsidR="0070512E" w:rsidRPr="008F31E5" w:rsidRDefault="0070512E" w:rsidP="008F31E5">
            <w:pPr>
              <w:pStyle w:val="BodyCopy"/>
              <w:spacing w:before="60" w:after="60"/>
              <w:rPr>
                <w:sz w:val="18"/>
                <w:szCs w:val="20"/>
              </w:rPr>
            </w:pPr>
            <w:r w:rsidRPr="008F31E5">
              <w:rPr>
                <w:sz w:val="18"/>
                <w:szCs w:val="20"/>
              </w:rPr>
              <w:t>Regulatory charges under this determination should be set using the existing methodology, but with updated information on weight, distance travelled and the registered heavy vehicle fleet. The ATA agrees that the existing formulas for recovering the NHVR’s charges work well, and that it would be appropriate to recalculate the charges using the latest information.</w:t>
            </w:r>
          </w:p>
        </w:tc>
        <w:tc>
          <w:tcPr>
            <w:tcW w:w="3672" w:type="dxa"/>
            <w:gridSpan w:val="2"/>
          </w:tcPr>
          <w:p w14:paraId="7C619267" w14:textId="2B2C1CC3"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48D9AEE3" w14:textId="77777777" w:rsidTr="00FE2CF6">
        <w:trPr>
          <w:gridAfter w:val="1"/>
          <w:wAfter w:w="72" w:type="dxa"/>
        </w:trPr>
        <w:tc>
          <w:tcPr>
            <w:tcW w:w="1166" w:type="dxa"/>
          </w:tcPr>
          <w:p w14:paraId="49170003" w14:textId="54E1D4B7"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1268594C" w14:textId="3DCCBDA3" w:rsidR="0070512E" w:rsidRPr="008F31E5" w:rsidRDefault="0070512E" w:rsidP="008F31E5">
            <w:pPr>
              <w:pStyle w:val="BodyCopy"/>
              <w:spacing w:before="60" w:after="60"/>
              <w:rPr>
                <w:sz w:val="18"/>
                <w:szCs w:val="20"/>
              </w:rPr>
            </w:pPr>
            <w:r w:rsidRPr="008F31E5">
              <w:rPr>
                <w:sz w:val="18"/>
                <w:szCs w:val="20"/>
              </w:rPr>
              <w:t>16</w:t>
            </w:r>
          </w:p>
        </w:tc>
        <w:tc>
          <w:tcPr>
            <w:tcW w:w="1171" w:type="dxa"/>
          </w:tcPr>
          <w:p w14:paraId="483662CB" w14:textId="495ED49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6978E9B3" w14:textId="10F095E7" w:rsidR="0070512E" w:rsidRPr="008F31E5" w:rsidRDefault="0070512E" w:rsidP="008F31E5">
            <w:pPr>
              <w:pStyle w:val="BodyCopy"/>
              <w:spacing w:before="60" w:after="60"/>
              <w:rPr>
                <w:sz w:val="18"/>
                <w:szCs w:val="20"/>
              </w:rPr>
            </w:pPr>
            <w:r w:rsidRPr="008F31E5">
              <w:rPr>
                <w:sz w:val="18"/>
                <w:szCs w:val="20"/>
              </w:rPr>
              <w:t>Registration – regulatory cost component, to recover the costs of running the NHVR. NTC (2021) Table 18 shows that this charge component comprises the highest proportion of total registration charges for 2 classes of bus: 2-axle buses &gt; 12 tonnes, where it is 51.9% of total registration charges; and 2-axle buses up to 12 tonnes, where it is 39.8% of the total registration charge. The next highest proportion is 32.1% for 2-axle trucks &lt; 12 tonnes.</w:t>
            </w:r>
            <w:r w:rsidRPr="008F31E5">
              <w:rPr>
                <w:sz w:val="18"/>
                <w:szCs w:val="20"/>
              </w:rPr>
              <w:br/>
            </w:r>
            <w:r w:rsidRPr="008F31E5">
              <w:rPr>
                <w:sz w:val="18"/>
                <w:szCs w:val="20"/>
              </w:rPr>
              <w:lastRenderedPageBreak/>
              <w:br/>
              <w:t>Given the good safety record of buses, it is hard to see why such a relatively large cost burden should be placed on bus to fund the operations of the NHVR, an organisation that seems unlikely to be required to do much work on bus, relative to truck. The costs of running the NHVR should be more cost-driven, determined by the work that is required across different sectors and vehicle classes. While this might only amount to a small reduction in bus charge payments, it would at least represent progress in funding the regulator more from those who are its raison d’être, rather than penalising those who do the right thing. This is a further reason for undertaking a major review of the cost allocation process over the next couple of years.</w:t>
            </w:r>
          </w:p>
        </w:tc>
        <w:tc>
          <w:tcPr>
            <w:tcW w:w="3600" w:type="dxa"/>
          </w:tcPr>
          <w:p w14:paraId="5EAA5DB4" w14:textId="11F89D78" w:rsidR="0070512E" w:rsidRPr="008F31E5" w:rsidRDefault="0070512E" w:rsidP="008F31E5">
            <w:pPr>
              <w:pStyle w:val="BodyCopy"/>
              <w:spacing w:before="60" w:after="60"/>
              <w:rPr>
                <w:sz w:val="18"/>
                <w:szCs w:val="20"/>
              </w:rPr>
            </w:pPr>
            <w:r w:rsidRPr="008F31E5">
              <w:rPr>
                <w:sz w:val="18"/>
                <w:szCs w:val="20"/>
              </w:rPr>
              <w:lastRenderedPageBreak/>
              <w:t xml:space="preserve">Noted. While the regulatory component represents a relatively high proportion of the total registration charge for these two types of buses (as calculated by </w:t>
            </w:r>
            <w:r w:rsidR="0032461D">
              <w:rPr>
                <w:sz w:val="18"/>
                <w:szCs w:val="20"/>
              </w:rPr>
              <w:t xml:space="preserve">the </w:t>
            </w:r>
            <w:r w:rsidRPr="008F31E5">
              <w:rPr>
                <w:sz w:val="18"/>
                <w:szCs w:val="20"/>
              </w:rPr>
              <w:t xml:space="preserve">BIC), the NTC notes that the high regulatory component proportion in part reflects the relatively low </w:t>
            </w:r>
            <w:r w:rsidRPr="008F31E5">
              <w:rPr>
                <w:sz w:val="18"/>
                <w:szCs w:val="20"/>
              </w:rPr>
              <w:lastRenderedPageBreak/>
              <w:t xml:space="preserve">roads component of registration charges for these vehicles. The absolute value of the regulatory component registration charge for buses remains relatively low compared with other heavy vehicle classes and is broadly comparable to the regulatory component charges for rigid trucks. </w:t>
            </w:r>
            <w:r w:rsidRPr="008F31E5">
              <w:rPr>
                <w:sz w:val="18"/>
                <w:szCs w:val="20"/>
              </w:rPr>
              <w:br/>
            </w:r>
            <w:r w:rsidRPr="008F31E5">
              <w:rPr>
                <w:sz w:val="18"/>
                <w:szCs w:val="20"/>
              </w:rPr>
              <w:br/>
              <w:t>Further, the NTC notes that the recommended changes to ESA values and cost allocation suggest that the roads component of registration charges would need to increase significantly for the heavier types of buses to achieve cost recovery and ensure no cross-subsidisation. If this increase to the roads component of registration charges were implemented</w:t>
            </w:r>
            <w:r w:rsidR="00740AFC">
              <w:rPr>
                <w:sz w:val="18"/>
                <w:szCs w:val="20"/>
              </w:rPr>
              <w:t>,</w:t>
            </w:r>
            <w:r w:rsidRPr="008F31E5">
              <w:rPr>
                <w:sz w:val="18"/>
                <w:szCs w:val="20"/>
              </w:rPr>
              <w:t xml:space="preserve"> it would have the effect of reducing the proportion of the total registration charge that is comprised of the regulatory component.</w:t>
            </w:r>
          </w:p>
        </w:tc>
      </w:tr>
      <w:tr w:rsidR="00F74539" w:rsidRPr="008F31E5" w14:paraId="7DD93777" w14:textId="77777777" w:rsidTr="00FE2CF6">
        <w:tc>
          <w:tcPr>
            <w:tcW w:w="1166" w:type="dxa"/>
          </w:tcPr>
          <w:p w14:paraId="621714E7" w14:textId="76AA4273"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2A89C4FA" w14:textId="7293FA2B" w:rsidR="0070512E" w:rsidRPr="008F31E5" w:rsidRDefault="0070512E" w:rsidP="008F31E5">
            <w:pPr>
              <w:pStyle w:val="BodyCopy"/>
              <w:spacing w:before="60" w:after="60"/>
              <w:rPr>
                <w:sz w:val="18"/>
                <w:szCs w:val="20"/>
              </w:rPr>
            </w:pPr>
            <w:r w:rsidRPr="008F31E5">
              <w:rPr>
                <w:sz w:val="18"/>
                <w:szCs w:val="20"/>
              </w:rPr>
              <w:t>16</w:t>
            </w:r>
          </w:p>
        </w:tc>
        <w:tc>
          <w:tcPr>
            <w:tcW w:w="1171" w:type="dxa"/>
          </w:tcPr>
          <w:p w14:paraId="0256633F" w14:textId="6F04CFD2"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472A12BF" w14:textId="2E9BB2AB" w:rsidR="0070512E" w:rsidRPr="008F31E5" w:rsidRDefault="0070512E" w:rsidP="008F31E5">
            <w:pPr>
              <w:pStyle w:val="BodyCopy"/>
              <w:spacing w:before="60" w:after="60"/>
              <w:rPr>
                <w:sz w:val="18"/>
                <w:szCs w:val="20"/>
              </w:rPr>
            </w:pPr>
            <w:r w:rsidRPr="008F31E5">
              <w:rPr>
                <w:sz w:val="18"/>
                <w:szCs w:val="20"/>
              </w:rPr>
              <w:t>As illustrated in this submission, the formula used imposes the highest relative registration cost share on 2 classes of buses, which seems the opposite of what a cost-driven approach should produce. Why should a relatively safe mode, with established safety systems (including accreditation in most cases) be hit hard by the costs for a regulator? The costs for a regulator should be highest on those who most need to be regulated, for reasons such as their poor safety record, not on those with long established safety practices, with their own regulatory underpinnings. The cost drivers here need more thought.</w:t>
            </w:r>
          </w:p>
        </w:tc>
        <w:tc>
          <w:tcPr>
            <w:tcW w:w="3672" w:type="dxa"/>
            <w:gridSpan w:val="2"/>
          </w:tcPr>
          <w:p w14:paraId="341DFF55" w14:textId="7CDDD14D" w:rsidR="0070512E" w:rsidRPr="008F31E5" w:rsidRDefault="0070512E" w:rsidP="008F31E5">
            <w:pPr>
              <w:pStyle w:val="BodyCopy"/>
              <w:spacing w:before="60" w:after="60"/>
              <w:rPr>
                <w:sz w:val="18"/>
                <w:szCs w:val="20"/>
              </w:rPr>
            </w:pPr>
            <w:r w:rsidRPr="008F31E5">
              <w:rPr>
                <w:sz w:val="18"/>
                <w:szCs w:val="20"/>
              </w:rPr>
              <w:t>Noted. It is important to note that introducing a regulatory component of registration charges was introduced primarily as a mechanism to recover the cost of the NHVR</w:t>
            </w:r>
            <w:r w:rsidR="00740AFC">
              <w:rPr>
                <w:sz w:val="18"/>
                <w:szCs w:val="20"/>
              </w:rPr>
              <w:t>’</w:t>
            </w:r>
            <w:r w:rsidRPr="008F31E5">
              <w:rPr>
                <w:sz w:val="18"/>
                <w:szCs w:val="20"/>
              </w:rPr>
              <w:t>s operations that are not subject to cost recovery through fees across the heavy vehicle fleet. The formula to calculate the regulatory component of registration charges for each vehicle class was designed with the primary aim of achieving a reasonable outcome while maintaining the broad relativities of total registration charges between different vehicle classes. It was never intended to deliver an accurate price signal reflecting the safety record or other attributes of individual operators or types of operators. Therefore, the NTC continues to believe that the current mechanism achieves appropriate outcomes given the broad aim of the formula and the available data.</w:t>
            </w:r>
            <w:r w:rsidR="009E61AA">
              <w:rPr>
                <w:sz w:val="18"/>
                <w:szCs w:val="20"/>
              </w:rPr>
              <w:t xml:space="preserve"> </w:t>
            </w:r>
          </w:p>
        </w:tc>
      </w:tr>
      <w:tr w:rsidR="00F74539" w:rsidRPr="008F31E5" w14:paraId="2518A695" w14:textId="77777777" w:rsidTr="00FE2CF6">
        <w:tc>
          <w:tcPr>
            <w:tcW w:w="1166" w:type="dxa"/>
          </w:tcPr>
          <w:p w14:paraId="1131DD66" w14:textId="7CC42B09" w:rsidR="0070512E" w:rsidRPr="008F31E5" w:rsidRDefault="0070512E" w:rsidP="008F31E5">
            <w:pPr>
              <w:pStyle w:val="BodyCopy"/>
              <w:spacing w:before="60" w:after="60"/>
              <w:rPr>
                <w:sz w:val="18"/>
                <w:szCs w:val="20"/>
              </w:rPr>
            </w:pPr>
            <w:r w:rsidRPr="008F31E5">
              <w:rPr>
                <w:sz w:val="18"/>
                <w:szCs w:val="20"/>
              </w:rPr>
              <w:lastRenderedPageBreak/>
              <w:t>NatRoad</w:t>
            </w:r>
          </w:p>
        </w:tc>
        <w:tc>
          <w:tcPr>
            <w:tcW w:w="902" w:type="dxa"/>
          </w:tcPr>
          <w:p w14:paraId="41074D9F" w14:textId="31F1294D" w:rsidR="0070512E" w:rsidRPr="008F31E5" w:rsidRDefault="0070512E" w:rsidP="008F31E5">
            <w:pPr>
              <w:pStyle w:val="BodyCopy"/>
              <w:spacing w:before="60" w:after="60"/>
              <w:rPr>
                <w:sz w:val="18"/>
                <w:szCs w:val="20"/>
              </w:rPr>
            </w:pPr>
            <w:r w:rsidRPr="008F31E5">
              <w:rPr>
                <w:sz w:val="18"/>
                <w:szCs w:val="20"/>
              </w:rPr>
              <w:t>16</w:t>
            </w:r>
          </w:p>
        </w:tc>
        <w:tc>
          <w:tcPr>
            <w:tcW w:w="1171" w:type="dxa"/>
          </w:tcPr>
          <w:p w14:paraId="5039B61C" w14:textId="1143999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722CEB34" w14:textId="77777777" w:rsidR="00052D7C" w:rsidRDefault="0070512E" w:rsidP="008F31E5">
            <w:pPr>
              <w:pStyle w:val="BodyCopy"/>
              <w:spacing w:before="60" w:after="60"/>
              <w:rPr>
                <w:sz w:val="18"/>
                <w:szCs w:val="20"/>
              </w:rPr>
            </w:pPr>
            <w:r w:rsidRPr="008F31E5">
              <w:rPr>
                <w:sz w:val="18"/>
                <w:szCs w:val="20"/>
              </w:rPr>
              <w:t>The CRIS notes the following:</w:t>
            </w:r>
            <w:r w:rsidRPr="008F31E5">
              <w:rPr>
                <w:sz w:val="18"/>
                <w:szCs w:val="20"/>
              </w:rPr>
              <w:br/>
              <w:t xml:space="preserve">As part of this determination, we have reviewed the current approach to ensure it meets the following key objectives of ensuring that: </w:t>
            </w:r>
          </w:p>
          <w:p w14:paraId="6EAD48B7" w14:textId="77777777" w:rsidR="00052D7C" w:rsidRDefault="0070512E" w:rsidP="008F31E5">
            <w:pPr>
              <w:pStyle w:val="BodyCopy"/>
              <w:spacing w:before="60" w:after="60"/>
              <w:rPr>
                <w:sz w:val="18"/>
                <w:szCs w:val="20"/>
              </w:rPr>
            </w:pPr>
            <w:r w:rsidRPr="008F31E5">
              <w:rPr>
                <w:sz w:val="18"/>
                <w:szCs w:val="20"/>
              </w:rPr>
              <w:t xml:space="preserve">▪ the regulatory component of registration charges continues to provide the NHVR with enough revenue to fund its approved budget </w:t>
            </w:r>
          </w:p>
          <w:p w14:paraId="510C38D9" w14:textId="7E355B05" w:rsidR="0070512E" w:rsidRPr="008F31E5" w:rsidRDefault="0070512E" w:rsidP="008F31E5">
            <w:pPr>
              <w:pStyle w:val="BodyCopy"/>
              <w:spacing w:before="60" w:after="60"/>
              <w:rPr>
                <w:sz w:val="18"/>
                <w:szCs w:val="20"/>
              </w:rPr>
            </w:pPr>
            <w:r w:rsidRPr="008F31E5">
              <w:rPr>
                <w:sz w:val="18"/>
                <w:szCs w:val="20"/>
              </w:rPr>
              <w:t>▪ the costs of operating the NHVR are allocated between different heavy vehicle types on a reasonable basis.</w:t>
            </w:r>
            <w:r w:rsidRPr="008F31E5">
              <w:rPr>
                <w:sz w:val="18"/>
                <w:szCs w:val="20"/>
              </w:rPr>
              <w:br/>
            </w:r>
            <w:r w:rsidRPr="008F31E5">
              <w:rPr>
                <w:sz w:val="18"/>
                <w:szCs w:val="20"/>
              </w:rPr>
              <w:br/>
              <w:t xml:space="preserve">We are not sure how the notion of reasonableness has been applied in this context. It is not articulated. Nor do we understand what evidence exists for two relevant assertions. The first assertion is that </w:t>
            </w:r>
            <w:r w:rsidR="00052D7C">
              <w:rPr>
                <w:sz w:val="18"/>
                <w:szCs w:val="20"/>
              </w:rPr>
              <w:t>‘</w:t>
            </w:r>
            <w:r w:rsidRPr="008F31E5">
              <w:rPr>
                <w:sz w:val="18"/>
                <w:szCs w:val="20"/>
              </w:rPr>
              <w:t>the process of scaling regulatory charges up or down to reflect changes in the NHVR’s budget or the vehicle fleet have also worked.</w:t>
            </w:r>
            <w:r w:rsidR="00052D7C">
              <w:rPr>
                <w:sz w:val="18"/>
                <w:szCs w:val="20"/>
              </w:rPr>
              <w:t>’</w:t>
            </w:r>
            <w:r w:rsidRPr="008F31E5">
              <w:rPr>
                <w:sz w:val="18"/>
                <w:szCs w:val="20"/>
              </w:rPr>
              <w:t xml:space="preserve"> What is the evidence for this statement? How was that view reached? Is it the position of the </w:t>
            </w:r>
            <w:r w:rsidR="00740AFC">
              <w:rPr>
                <w:sz w:val="18"/>
                <w:szCs w:val="20"/>
              </w:rPr>
              <w:t>s</w:t>
            </w:r>
            <w:r w:rsidRPr="008F31E5">
              <w:rPr>
                <w:sz w:val="18"/>
                <w:szCs w:val="20"/>
              </w:rPr>
              <w:t xml:space="preserve">tate and </w:t>
            </w:r>
            <w:r w:rsidR="00740AFC">
              <w:rPr>
                <w:sz w:val="18"/>
                <w:szCs w:val="20"/>
              </w:rPr>
              <w:t>t</w:t>
            </w:r>
            <w:r w:rsidRPr="008F31E5">
              <w:rPr>
                <w:sz w:val="18"/>
                <w:szCs w:val="20"/>
              </w:rPr>
              <w:t>erritory regulators? The industry view is that there is insufficient transparency in the process. The industry view accords with the findings of the Productivity Commission as follows:</w:t>
            </w:r>
            <w:r w:rsidR="00052D7C">
              <w:rPr>
                <w:sz w:val="18"/>
                <w:szCs w:val="20"/>
              </w:rPr>
              <w:t xml:space="preserve"> </w:t>
            </w:r>
            <w:r w:rsidRPr="008F31E5">
              <w:rPr>
                <w:sz w:val="18"/>
                <w:szCs w:val="20"/>
              </w:rPr>
              <w:t>...</w:t>
            </w:r>
            <w:r w:rsidRPr="008F31E5">
              <w:rPr>
                <w:sz w:val="18"/>
                <w:szCs w:val="20"/>
              </w:rPr>
              <w:br/>
            </w:r>
            <w:r w:rsidRPr="008F31E5">
              <w:rPr>
                <w:sz w:val="18"/>
                <w:szCs w:val="20"/>
              </w:rPr>
              <w:br/>
              <w:t>...</w:t>
            </w:r>
            <w:r w:rsidR="00DC6D51">
              <w:rPr>
                <w:sz w:val="18"/>
                <w:szCs w:val="20"/>
              </w:rPr>
              <w:t xml:space="preserve"> </w:t>
            </w:r>
            <w:r w:rsidRPr="008F31E5">
              <w:rPr>
                <w:sz w:val="18"/>
                <w:szCs w:val="20"/>
              </w:rPr>
              <w:t xml:space="preserve">The second assertion is that </w:t>
            </w:r>
            <w:r w:rsidR="00052D7C">
              <w:rPr>
                <w:sz w:val="18"/>
                <w:szCs w:val="20"/>
              </w:rPr>
              <w:t>‘</w:t>
            </w:r>
            <w:r w:rsidRPr="008F31E5">
              <w:rPr>
                <w:sz w:val="18"/>
                <w:szCs w:val="20"/>
              </w:rPr>
              <w:t>The process of asking ministers to approve both the NHVR’s budget and, subsequently, the resulting regulatory charges, has proven to be relatively onerous.</w:t>
            </w:r>
            <w:r w:rsidR="00052D7C">
              <w:rPr>
                <w:sz w:val="18"/>
                <w:szCs w:val="20"/>
              </w:rPr>
              <w:t>’</w:t>
            </w:r>
            <w:r w:rsidRPr="008F31E5">
              <w:rPr>
                <w:sz w:val="18"/>
                <w:szCs w:val="20"/>
              </w:rPr>
              <w:t xml:space="preserve"> There is no data or argument about how this proposition is reached; relative to what? But on the strength of that assertion it is then argued that: </w:t>
            </w:r>
            <w:r w:rsidR="00052D7C">
              <w:rPr>
                <w:sz w:val="18"/>
                <w:szCs w:val="20"/>
              </w:rPr>
              <w:t>‘</w:t>
            </w:r>
            <w:r w:rsidRPr="008F31E5">
              <w:rPr>
                <w:sz w:val="18"/>
                <w:szCs w:val="20"/>
              </w:rPr>
              <w:t>It could be desirable to develop a process that would automatically adjust regulatory charges to recover the approved NHVR budget. We disagree that automatic adjustments should be made. Increased transparency and appropriate benchmarking of regulatory costs are necessary...</w:t>
            </w:r>
            <w:r w:rsidRPr="008F31E5">
              <w:rPr>
                <w:sz w:val="18"/>
                <w:szCs w:val="20"/>
              </w:rPr>
              <w:br/>
            </w:r>
            <w:r w:rsidRPr="008F31E5">
              <w:rPr>
                <w:sz w:val="18"/>
                <w:szCs w:val="20"/>
              </w:rPr>
              <w:br/>
              <w:t>...</w:t>
            </w:r>
            <w:r w:rsidR="00052D7C">
              <w:rPr>
                <w:sz w:val="18"/>
                <w:szCs w:val="20"/>
              </w:rPr>
              <w:t xml:space="preserve"> </w:t>
            </w:r>
            <w:r w:rsidRPr="008F31E5">
              <w:rPr>
                <w:sz w:val="18"/>
                <w:szCs w:val="20"/>
              </w:rPr>
              <w:t>The C</w:t>
            </w:r>
            <w:r w:rsidR="00740AFC">
              <w:rPr>
                <w:sz w:val="18"/>
                <w:szCs w:val="20"/>
              </w:rPr>
              <w:t>-</w:t>
            </w:r>
            <w:r w:rsidRPr="008F31E5">
              <w:rPr>
                <w:sz w:val="18"/>
                <w:szCs w:val="20"/>
              </w:rPr>
              <w:t>RIS does not confront the notion of better scrutiny of the NHVR’s budget nor greater transparency along the lines suggested by the Productivity Commission</w:t>
            </w:r>
            <w:r w:rsidR="00052D7C">
              <w:rPr>
                <w:sz w:val="18"/>
                <w:szCs w:val="20"/>
              </w:rPr>
              <w:t xml:space="preserve"> </w:t>
            </w:r>
            <w:r w:rsidRPr="008F31E5">
              <w:rPr>
                <w:sz w:val="18"/>
                <w:szCs w:val="20"/>
              </w:rPr>
              <w:t>...</w:t>
            </w:r>
            <w:r w:rsidRPr="008F31E5">
              <w:rPr>
                <w:sz w:val="18"/>
                <w:szCs w:val="20"/>
              </w:rPr>
              <w:br/>
            </w:r>
            <w:r w:rsidRPr="008F31E5">
              <w:rPr>
                <w:sz w:val="18"/>
                <w:szCs w:val="20"/>
              </w:rPr>
              <w:br/>
              <w:t xml:space="preserve">We believe further work needs to be undertaken to better increase transparency of funding and accountability. We therefore agree that the current mechanism of Ministers agreeing the regulatory charges each year should be continued. Further, the NHVR budget should continue to be met from the heavy vehicle charges that are set and indexed in the NatRoad preferred method. But these steps should be accompanied by greater transparency measures both in the flow of funds from </w:t>
            </w:r>
            <w:r w:rsidR="00DD44EB">
              <w:rPr>
                <w:sz w:val="18"/>
                <w:szCs w:val="20"/>
              </w:rPr>
              <w:t>s</w:t>
            </w:r>
            <w:r w:rsidRPr="008F31E5">
              <w:rPr>
                <w:sz w:val="18"/>
                <w:szCs w:val="20"/>
              </w:rPr>
              <w:t xml:space="preserve">tate and </w:t>
            </w:r>
            <w:r w:rsidR="00DD44EB">
              <w:rPr>
                <w:sz w:val="18"/>
                <w:szCs w:val="20"/>
              </w:rPr>
              <w:t>t</w:t>
            </w:r>
            <w:r w:rsidRPr="008F31E5">
              <w:rPr>
                <w:sz w:val="18"/>
                <w:szCs w:val="20"/>
              </w:rPr>
              <w:t>erritory governments and in relation to levels of expenditure for regulation of the industry.</w:t>
            </w:r>
            <w:r w:rsidRPr="008F31E5">
              <w:rPr>
                <w:sz w:val="18"/>
                <w:szCs w:val="20"/>
              </w:rPr>
              <w:br/>
            </w:r>
            <w:r w:rsidRPr="008F31E5">
              <w:rPr>
                <w:sz w:val="18"/>
                <w:szCs w:val="20"/>
              </w:rPr>
              <w:br/>
              <w:t>Hence our answer to Question 16 is yes. But with the caveat that greater transparency must be applied to the regulatory charges (at the very least the jurisdictions must separately show that amount in their accounting to industry).</w:t>
            </w:r>
          </w:p>
        </w:tc>
        <w:tc>
          <w:tcPr>
            <w:tcW w:w="3672" w:type="dxa"/>
            <w:gridSpan w:val="2"/>
          </w:tcPr>
          <w:p w14:paraId="5CEDAD27" w14:textId="6312C486" w:rsidR="0070512E" w:rsidRPr="008F31E5" w:rsidRDefault="0070512E" w:rsidP="008F31E5">
            <w:pPr>
              <w:pStyle w:val="BodyCopy"/>
              <w:spacing w:before="60" w:after="60"/>
              <w:rPr>
                <w:sz w:val="18"/>
                <w:szCs w:val="20"/>
              </w:rPr>
            </w:pPr>
            <w:r w:rsidRPr="008F31E5">
              <w:rPr>
                <w:sz w:val="18"/>
                <w:szCs w:val="20"/>
              </w:rPr>
              <w:t xml:space="preserve">Noted. The key point of the recommended approach is that the primary mechanism for </w:t>
            </w:r>
            <w:r w:rsidR="00740AFC">
              <w:rPr>
                <w:sz w:val="18"/>
                <w:szCs w:val="20"/>
              </w:rPr>
              <w:t>m</w:t>
            </w:r>
            <w:r w:rsidRPr="008F31E5">
              <w:rPr>
                <w:sz w:val="18"/>
                <w:szCs w:val="20"/>
              </w:rPr>
              <w:t>inisters to scrutinise the NHVR</w:t>
            </w:r>
            <w:r w:rsidR="00740AFC">
              <w:rPr>
                <w:sz w:val="18"/>
                <w:szCs w:val="20"/>
              </w:rPr>
              <w:t>’</w:t>
            </w:r>
            <w:r w:rsidRPr="008F31E5">
              <w:rPr>
                <w:sz w:val="18"/>
                <w:szCs w:val="20"/>
              </w:rPr>
              <w:t>s budget proposal is their approval of the budget, rather than the secondary step of approving the regulatory component of registration charges to recover the already approved budget. Information on how much revenue the NHVR receives from the regulatory component of registration charges is available in the Statement of Profit or Loss in the NHVR</w:t>
            </w:r>
            <w:r w:rsidR="00740AFC">
              <w:rPr>
                <w:sz w:val="18"/>
                <w:szCs w:val="20"/>
              </w:rPr>
              <w:t>’</w:t>
            </w:r>
            <w:r w:rsidRPr="008F31E5">
              <w:rPr>
                <w:sz w:val="18"/>
                <w:szCs w:val="20"/>
              </w:rPr>
              <w:t>s annual report, including the funding amounts provided by each jurisdiction (provided as a note below the statement).</w:t>
            </w:r>
          </w:p>
        </w:tc>
      </w:tr>
      <w:tr w:rsidR="00F74539" w:rsidRPr="008F31E5" w14:paraId="7A087447" w14:textId="77777777" w:rsidTr="00FE2CF6">
        <w:tc>
          <w:tcPr>
            <w:tcW w:w="1166" w:type="dxa"/>
          </w:tcPr>
          <w:p w14:paraId="3DBB6DCF" w14:textId="0CB402D1" w:rsidR="0070512E" w:rsidRPr="008F31E5" w:rsidRDefault="0070512E" w:rsidP="008F31E5">
            <w:pPr>
              <w:pStyle w:val="BodyCopy"/>
              <w:spacing w:before="60" w:after="60"/>
              <w:rPr>
                <w:sz w:val="18"/>
                <w:szCs w:val="20"/>
              </w:rPr>
            </w:pPr>
            <w:r w:rsidRPr="008F31E5">
              <w:rPr>
                <w:sz w:val="18"/>
                <w:szCs w:val="20"/>
              </w:rPr>
              <w:lastRenderedPageBreak/>
              <w:t>NHVR</w:t>
            </w:r>
          </w:p>
        </w:tc>
        <w:tc>
          <w:tcPr>
            <w:tcW w:w="902" w:type="dxa"/>
          </w:tcPr>
          <w:p w14:paraId="5A706335" w14:textId="0BCA352F" w:rsidR="0070512E" w:rsidRPr="008F31E5" w:rsidRDefault="0070512E" w:rsidP="008F31E5">
            <w:pPr>
              <w:pStyle w:val="BodyCopy"/>
              <w:spacing w:before="60" w:after="60"/>
              <w:rPr>
                <w:sz w:val="18"/>
                <w:szCs w:val="20"/>
              </w:rPr>
            </w:pPr>
            <w:r w:rsidRPr="008F31E5">
              <w:rPr>
                <w:sz w:val="18"/>
                <w:szCs w:val="20"/>
              </w:rPr>
              <w:t>16</w:t>
            </w:r>
          </w:p>
        </w:tc>
        <w:tc>
          <w:tcPr>
            <w:tcW w:w="1171" w:type="dxa"/>
          </w:tcPr>
          <w:p w14:paraId="249ACD42" w14:textId="23A0CD9E"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61C1311F" w14:textId="056E95B1" w:rsidR="0070512E" w:rsidRPr="008F31E5" w:rsidRDefault="0070512E" w:rsidP="008F31E5">
            <w:pPr>
              <w:pStyle w:val="BodyCopy"/>
              <w:spacing w:before="60" w:after="60"/>
              <w:rPr>
                <w:sz w:val="18"/>
                <w:szCs w:val="20"/>
              </w:rPr>
            </w:pPr>
            <w:r w:rsidRPr="008F31E5">
              <w:rPr>
                <w:sz w:val="18"/>
                <w:szCs w:val="20"/>
              </w:rPr>
              <w:t>The NHVR agrees with the recommendation to continue with the existing methodology, which has to date been successful in calculating actual regulatory fees within a small variance of the NHVR budget.</w:t>
            </w:r>
            <w:r w:rsidRPr="008F31E5">
              <w:rPr>
                <w:sz w:val="18"/>
                <w:szCs w:val="20"/>
              </w:rPr>
              <w:br/>
            </w:r>
            <w:r w:rsidRPr="008F31E5">
              <w:rPr>
                <w:sz w:val="18"/>
                <w:szCs w:val="20"/>
              </w:rPr>
              <w:br/>
              <w:t>The NHVR would strongly recommend that the data used to calculate the charges be updated with current information to ensure the correct regulations fee is captured.</w:t>
            </w:r>
          </w:p>
        </w:tc>
        <w:tc>
          <w:tcPr>
            <w:tcW w:w="3672" w:type="dxa"/>
            <w:gridSpan w:val="2"/>
          </w:tcPr>
          <w:p w14:paraId="4B864B6D" w14:textId="0FE9CBE3" w:rsidR="0070512E" w:rsidRPr="008F31E5" w:rsidRDefault="0070512E" w:rsidP="008F31E5">
            <w:pPr>
              <w:pStyle w:val="BodyCopy"/>
              <w:spacing w:before="60" w:after="60"/>
              <w:rPr>
                <w:sz w:val="18"/>
                <w:szCs w:val="20"/>
              </w:rPr>
            </w:pPr>
            <w:r w:rsidRPr="008F31E5">
              <w:rPr>
                <w:sz w:val="18"/>
                <w:szCs w:val="20"/>
              </w:rPr>
              <w:t>Noted. The C-RIS used updated usage data to recalculate the regulatory component charges and these have been recalculated again as part of the D-RIS using the most up-to-date registration data and usage data.</w:t>
            </w:r>
          </w:p>
        </w:tc>
      </w:tr>
      <w:tr w:rsidR="00F74539" w:rsidRPr="008F31E5" w14:paraId="10E35D3C" w14:textId="77777777" w:rsidTr="00FE2CF6">
        <w:tc>
          <w:tcPr>
            <w:tcW w:w="1166" w:type="dxa"/>
          </w:tcPr>
          <w:p w14:paraId="3161C646" w14:textId="70DCB9DB"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0F003649" w14:textId="6767071E" w:rsidR="0070512E" w:rsidRPr="008F31E5" w:rsidRDefault="0070512E" w:rsidP="008F31E5">
            <w:pPr>
              <w:pStyle w:val="BodyCopy"/>
              <w:spacing w:before="60" w:after="60"/>
              <w:rPr>
                <w:sz w:val="18"/>
                <w:szCs w:val="20"/>
              </w:rPr>
            </w:pPr>
            <w:r w:rsidRPr="008F31E5">
              <w:rPr>
                <w:sz w:val="18"/>
                <w:szCs w:val="20"/>
              </w:rPr>
              <w:t>17</w:t>
            </w:r>
          </w:p>
        </w:tc>
        <w:tc>
          <w:tcPr>
            <w:tcW w:w="1171" w:type="dxa"/>
          </w:tcPr>
          <w:p w14:paraId="162F539B" w14:textId="70A23855"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r</w:t>
            </w:r>
            <w:r w:rsidRPr="008F31E5">
              <w:rPr>
                <w:sz w:val="18"/>
                <w:szCs w:val="20"/>
              </w:rPr>
              <w:t>ecovery of regulatory costs</w:t>
            </w:r>
          </w:p>
        </w:tc>
        <w:tc>
          <w:tcPr>
            <w:tcW w:w="7201" w:type="dxa"/>
          </w:tcPr>
          <w:p w14:paraId="4E75E695" w14:textId="46AB8DD4" w:rsidR="00E12DE2" w:rsidRDefault="0070512E" w:rsidP="008F31E5">
            <w:pPr>
              <w:pStyle w:val="BodyCopy"/>
              <w:spacing w:before="60" w:after="60"/>
              <w:rPr>
                <w:sz w:val="18"/>
                <w:szCs w:val="20"/>
              </w:rPr>
            </w:pPr>
            <w:r w:rsidRPr="008F31E5">
              <w:rPr>
                <w:sz w:val="18"/>
                <w:szCs w:val="20"/>
              </w:rPr>
              <w:t>The consultation RIS examines two options for adjusting regulatory charges throughout the life of the determination</w:t>
            </w:r>
            <w:r w:rsidR="00740AFC">
              <w:rPr>
                <w:sz w:val="18"/>
                <w:szCs w:val="20"/>
              </w:rPr>
              <w:t xml:space="preserve"> </w:t>
            </w:r>
            <w:r w:rsidRPr="008F31E5">
              <w:rPr>
                <w:sz w:val="18"/>
                <w:szCs w:val="20"/>
              </w:rPr>
              <w:t>...</w:t>
            </w:r>
            <w:r w:rsidR="00740AFC">
              <w:rPr>
                <w:sz w:val="18"/>
                <w:szCs w:val="20"/>
              </w:rPr>
              <w:t xml:space="preserve"> </w:t>
            </w:r>
            <w:r w:rsidRPr="008F31E5">
              <w:rPr>
                <w:sz w:val="18"/>
                <w:szCs w:val="20"/>
              </w:rPr>
              <w:t>There is, however, a third option</w:t>
            </w:r>
            <w:r w:rsidR="00321E50">
              <w:rPr>
                <w:sz w:val="18"/>
                <w:szCs w:val="20"/>
              </w:rPr>
              <w:t xml:space="preserve"> </w:t>
            </w:r>
            <w:r w:rsidRPr="008F31E5">
              <w:rPr>
                <w:sz w:val="18"/>
                <w:szCs w:val="20"/>
              </w:rPr>
              <w:t>...</w:t>
            </w:r>
            <w:r w:rsidR="00321E50">
              <w:rPr>
                <w:sz w:val="18"/>
                <w:szCs w:val="20"/>
              </w:rPr>
              <w:t xml:space="preserve"> </w:t>
            </w:r>
            <w:r w:rsidRPr="008F31E5">
              <w:rPr>
                <w:sz w:val="18"/>
                <w:szCs w:val="20"/>
              </w:rPr>
              <w:t>To maximise certainty for business and reduce administrative costs for governments</w:t>
            </w:r>
            <w:r w:rsidR="00DC6D51">
              <w:rPr>
                <w:sz w:val="18"/>
                <w:szCs w:val="20"/>
              </w:rPr>
              <w:t>:</w:t>
            </w:r>
          </w:p>
          <w:p w14:paraId="6BA8EB22" w14:textId="77777777" w:rsidR="00E12DE2" w:rsidRDefault="0070512E" w:rsidP="00E12DE2">
            <w:pPr>
              <w:pStyle w:val="BodyCopy"/>
              <w:numPr>
                <w:ilvl w:val="3"/>
                <w:numId w:val="63"/>
              </w:numPr>
              <w:spacing w:before="60" w:after="60"/>
              <w:ind w:left="168" w:hanging="168"/>
              <w:rPr>
                <w:sz w:val="18"/>
                <w:szCs w:val="20"/>
              </w:rPr>
            </w:pPr>
            <w:r w:rsidRPr="008F31E5">
              <w:rPr>
                <w:sz w:val="18"/>
                <w:szCs w:val="20"/>
              </w:rPr>
              <w:t>regulatory charges should also follow a set trajectory throughout the period</w:t>
            </w:r>
          </w:p>
          <w:p w14:paraId="30A726EB" w14:textId="11A3FA4A" w:rsidR="0070512E" w:rsidRPr="008F31E5" w:rsidRDefault="0070512E" w:rsidP="00E12DE2">
            <w:pPr>
              <w:pStyle w:val="BodyCopy"/>
              <w:numPr>
                <w:ilvl w:val="3"/>
                <w:numId w:val="63"/>
              </w:numPr>
              <w:spacing w:before="60" w:after="60"/>
              <w:ind w:left="168" w:hanging="168"/>
              <w:rPr>
                <w:sz w:val="18"/>
                <w:szCs w:val="20"/>
              </w:rPr>
            </w:pPr>
            <w:r w:rsidRPr="008F31E5">
              <w:rPr>
                <w:sz w:val="18"/>
                <w:szCs w:val="20"/>
              </w:rPr>
              <w:t>the NHVR’s budget should be approved on a three yearly basis, not every year. Approving the NHVR’s budget for three years at a time would give it more ability to implement its corporate plan and achieve effective, value for money results for industry, governments and the community.</w:t>
            </w:r>
          </w:p>
        </w:tc>
        <w:tc>
          <w:tcPr>
            <w:tcW w:w="3672" w:type="dxa"/>
            <w:gridSpan w:val="2"/>
          </w:tcPr>
          <w:p w14:paraId="178CD566" w14:textId="2C3F6CD5" w:rsidR="0070512E" w:rsidRPr="008F31E5" w:rsidRDefault="0070512E" w:rsidP="008F31E5">
            <w:pPr>
              <w:pStyle w:val="BodyCopy"/>
              <w:spacing w:before="60" w:after="60"/>
              <w:rPr>
                <w:sz w:val="18"/>
                <w:szCs w:val="20"/>
              </w:rPr>
            </w:pPr>
            <w:r w:rsidRPr="008F31E5">
              <w:rPr>
                <w:sz w:val="18"/>
                <w:szCs w:val="20"/>
              </w:rPr>
              <w:t>Noted. There are two reasons why the NTC cannot recommend setting the regulatory charges for three years in advance. First, the NHVR</w:t>
            </w:r>
            <w:r w:rsidR="007C54F2">
              <w:rPr>
                <w:sz w:val="18"/>
                <w:szCs w:val="20"/>
              </w:rPr>
              <w:t>’</w:t>
            </w:r>
            <w:r w:rsidRPr="008F31E5">
              <w:rPr>
                <w:sz w:val="18"/>
                <w:szCs w:val="20"/>
              </w:rPr>
              <w:t xml:space="preserve">s budget is approved by ITMM on a yearly basis. Therefore, the NHVR budget for the second and third years is an estimate only, meaning that the regulatory portion of registration charge in the second and third years is subject to change. The other issue is that future fleet numbers are unknown and difficult to forecast, meaning that a predetermined price path will not necessarily recover the correct amount of revenue. To provide industry with a greater degree of predictability, the NTC recommends to publish forecast regulatory portions of registration charges on its website. It is likely that these forecast charges would be relatively accurate. </w:t>
            </w:r>
          </w:p>
        </w:tc>
      </w:tr>
      <w:tr w:rsidR="00F74539" w:rsidRPr="008F31E5" w14:paraId="1CA6FA30" w14:textId="77777777" w:rsidTr="00FE2CF6">
        <w:tc>
          <w:tcPr>
            <w:tcW w:w="1166" w:type="dxa"/>
          </w:tcPr>
          <w:p w14:paraId="7D7C7C98" w14:textId="5ED2EDA9"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2BC4BD18" w14:textId="7688E8D4" w:rsidR="0070512E" w:rsidRPr="008F31E5" w:rsidRDefault="0070512E" w:rsidP="008F31E5">
            <w:pPr>
              <w:pStyle w:val="BodyCopy"/>
              <w:spacing w:before="60" w:after="60"/>
              <w:rPr>
                <w:sz w:val="18"/>
                <w:szCs w:val="20"/>
              </w:rPr>
            </w:pPr>
            <w:r w:rsidRPr="008F31E5">
              <w:rPr>
                <w:sz w:val="18"/>
                <w:szCs w:val="20"/>
              </w:rPr>
              <w:t>17</w:t>
            </w:r>
          </w:p>
        </w:tc>
        <w:tc>
          <w:tcPr>
            <w:tcW w:w="1171" w:type="dxa"/>
          </w:tcPr>
          <w:p w14:paraId="35970E85" w14:textId="423726D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r</w:t>
            </w:r>
            <w:r w:rsidRPr="008F31E5">
              <w:rPr>
                <w:sz w:val="18"/>
                <w:szCs w:val="20"/>
              </w:rPr>
              <w:t>ecovery of regulatory costs</w:t>
            </w:r>
          </w:p>
        </w:tc>
        <w:tc>
          <w:tcPr>
            <w:tcW w:w="7201" w:type="dxa"/>
          </w:tcPr>
          <w:p w14:paraId="7F14E51F" w14:textId="5DA036DE" w:rsidR="0070512E" w:rsidRPr="008F31E5" w:rsidRDefault="0070512E" w:rsidP="008F31E5">
            <w:pPr>
              <w:pStyle w:val="BodyCopy"/>
              <w:spacing w:before="60" w:after="60"/>
              <w:rPr>
                <w:sz w:val="18"/>
                <w:szCs w:val="20"/>
              </w:rPr>
            </w:pPr>
            <w:r w:rsidRPr="008F31E5">
              <w:rPr>
                <w:sz w:val="18"/>
                <w:szCs w:val="20"/>
              </w:rPr>
              <w:t>Yes, once proper cost causation is embedded in the cost allocation formula. Any such automatic adjustment should be limited to 5 years maximum, by which point cost drivers should be recalibrated.</w:t>
            </w:r>
          </w:p>
        </w:tc>
        <w:tc>
          <w:tcPr>
            <w:tcW w:w="3672" w:type="dxa"/>
            <w:gridSpan w:val="2"/>
          </w:tcPr>
          <w:p w14:paraId="5FA6CA2D" w14:textId="04E78750"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5E5876EE" w14:textId="77777777" w:rsidTr="00FE2CF6">
        <w:tc>
          <w:tcPr>
            <w:tcW w:w="1166" w:type="dxa"/>
          </w:tcPr>
          <w:p w14:paraId="4CD8D51C" w14:textId="5CF443D6"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35746C90" w14:textId="7D591289" w:rsidR="0070512E" w:rsidRPr="008F31E5" w:rsidRDefault="0070512E" w:rsidP="008F31E5">
            <w:pPr>
              <w:pStyle w:val="BodyCopy"/>
              <w:spacing w:before="60" w:after="60"/>
              <w:rPr>
                <w:sz w:val="18"/>
                <w:szCs w:val="20"/>
              </w:rPr>
            </w:pPr>
            <w:r w:rsidRPr="008F31E5">
              <w:rPr>
                <w:sz w:val="18"/>
                <w:szCs w:val="20"/>
              </w:rPr>
              <w:t>17</w:t>
            </w:r>
          </w:p>
        </w:tc>
        <w:tc>
          <w:tcPr>
            <w:tcW w:w="1171" w:type="dxa"/>
          </w:tcPr>
          <w:p w14:paraId="4E759E89" w14:textId="035F7FAA"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r</w:t>
            </w:r>
            <w:r w:rsidRPr="008F31E5">
              <w:rPr>
                <w:sz w:val="18"/>
                <w:szCs w:val="20"/>
              </w:rPr>
              <w:t>ecovery of regulatory costs</w:t>
            </w:r>
          </w:p>
        </w:tc>
        <w:tc>
          <w:tcPr>
            <w:tcW w:w="7201" w:type="dxa"/>
          </w:tcPr>
          <w:p w14:paraId="114FDFE3" w14:textId="6665D8F5" w:rsidR="0070512E" w:rsidRPr="008F31E5" w:rsidRDefault="0070512E" w:rsidP="008F31E5">
            <w:pPr>
              <w:pStyle w:val="BodyCopy"/>
              <w:spacing w:before="60" w:after="60"/>
              <w:rPr>
                <w:sz w:val="18"/>
                <w:szCs w:val="20"/>
              </w:rPr>
            </w:pPr>
            <w:r w:rsidRPr="008F31E5">
              <w:rPr>
                <w:sz w:val="18"/>
                <w:szCs w:val="20"/>
              </w:rPr>
              <w:t>And on the basis of the prior discussion our answer to Question 17 is no.</w:t>
            </w:r>
          </w:p>
        </w:tc>
        <w:tc>
          <w:tcPr>
            <w:tcW w:w="3672" w:type="dxa"/>
            <w:gridSpan w:val="2"/>
          </w:tcPr>
          <w:p w14:paraId="404CD371" w14:textId="2517A26E"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7EE2C089" w14:textId="77777777" w:rsidTr="00FE2CF6">
        <w:tc>
          <w:tcPr>
            <w:tcW w:w="1166" w:type="dxa"/>
          </w:tcPr>
          <w:p w14:paraId="02D78359" w14:textId="21DB419C"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20D69C9D" w14:textId="5D2905FB" w:rsidR="0070512E" w:rsidRPr="008F31E5" w:rsidRDefault="0070512E" w:rsidP="008F31E5">
            <w:pPr>
              <w:pStyle w:val="BodyCopy"/>
              <w:spacing w:before="60" w:after="60"/>
              <w:rPr>
                <w:sz w:val="18"/>
                <w:szCs w:val="20"/>
              </w:rPr>
            </w:pPr>
            <w:r w:rsidRPr="008F31E5">
              <w:rPr>
                <w:sz w:val="18"/>
                <w:szCs w:val="20"/>
              </w:rPr>
              <w:t>17</w:t>
            </w:r>
          </w:p>
        </w:tc>
        <w:tc>
          <w:tcPr>
            <w:tcW w:w="1171" w:type="dxa"/>
          </w:tcPr>
          <w:p w14:paraId="6442FE1D" w14:textId="4365ABBB"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r</w:t>
            </w:r>
            <w:r w:rsidRPr="008F31E5">
              <w:rPr>
                <w:sz w:val="18"/>
                <w:szCs w:val="20"/>
              </w:rPr>
              <w:t>ecovery of regulatory costs</w:t>
            </w:r>
          </w:p>
        </w:tc>
        <w:tc>
          <w:tcPr>
            <w:tcW w:w="7201" w:type="dxa"/>
          </w:tcPr>
          <w:p w14:paraId="791B8F86" w14:textId="6C4127F0" w:rsidR="0070512E" w:rsidRPr="008F31E5" w:rsidRDefault="0070512E" w:rsidP="008F31E5">
            <w:pPr>
              <w:pStyle w:val="BodyCopy"/>
              <w:spacing w:before="60" w:after="60"/>
              <w:rPr>
                <w:sz w:val="18"/>
                <w:szCs w:val="20"/>
              </w:rPr>
            </w:pPr>
            <w:r w:rsidRPr="008F31E5">
              <w:rPr>
                <w:sz w:val="18"/>
                <w:szCs w:val="20"/>
              </w:rPr>
              <w:t>Agreed. The current additional ministerial approval required before resetting the regulatory charges is an unnecessary extra step that creates additional administrative effort. Approval of the NHVR budget by ministers should be the automatic trigger to make any adjustment required.</w:t>
            </w:r>
          </w:p>
        </w:tc>
        <w:tc>
          <w:tcPr>
            <w:tcW w:w="3672" w:type="dxa"/>
            <w:gridSpan w:val="2"/>
          </w:tcPr>
          <w:p w14:paraId="315E0496" w14:textId="1E09962E"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FBA4739" w14:textId="77777777" w:rsidTr="00FE2CF6">
        <w:tc>
          <w:tcPr>
            <w:tcW w:w="1166" w:type="dxa"/>
          </w:tcPr>
          <w:p w14:paraId="5C014400" w14:textId="7370C17B"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379A9422" w14:textId="09D763E6" w:rsidR="0070512E" w:rsidRPr="008F31E5" w:rsidRDefault="0070512E" w:rsidP="008F31E5">
            <w:pPr>
              <w:pStyle w:val="BodyCopy"/>
              <w:spacing w:before="60" w:after="60"/>
              <w:rPr>
                <w:sz w:val="18"/>
                <w:szCs w:val="20"/>
              </w:rPr>
            </w:pPr>
            <w:r w:rsidRPr="008F31E5">
              <w:rPr>
                <w:sz w:val="18"/>
                <w:szCs w:val="20"/>
              </w:rPr>
              <w:t>18</w:t>
            </w:r>
          </w:p>
        </w:tc>
        <w:tc>
          <w:tcPr>
            <w:tcW w:w="1171" w:type="dxa"/>
          </w:tcPr>
          <w:p w14:paraId="4031B7EA" w14:textId="6E822A02" w:rsidR="0070512E" w:rsidRPr="008F31E5" w:rsidRDefault="0070512E" w:rsidP="008F31E5">
            <w:pPr>
              <w:pStyle w:val="BodyCopy"/>
              <w:spacing w:before="60" w:after="60"/>
              <w:rPr>
                <w:sz w:val="18"/>
                <w:szCs w:val="20"/>
              </w:rPr>
            </w:pPr>
            <w:r w:rsidRPr="008F31E5">
              <w:rPr>
                <w:sz w:val="18"/>
                <w:szCs w:val="20"/>
              </w:rPr>
              <w:t>Det</w:t>
            </w:r>
            <w:r w:rsidR="004019B7">
              <w:rPr>
                <w:sz w:val="18"/>
                <w:szCs w:val="20"/>
              </w:rPr>
              <w:t>e</w:t>
            </w:r>
            <w:r w:rsidRPr="008F31E5">
              <w:rPr>
                <w:sz w:val="18"/>
                <w:szCs w:val="20"/>
              </w:rPr>
              <w:t>rm.</w:t>
            </w:r>
            <w:r w:rsidR="00991F1F">
              <w:rPr>
                <w:sz w:val="18"/>
                <w:szCs w:val="20"/>
              </w:rPr>
              <w:t xml:space="preserve"> o</w:t>
            </w:r>
            <w:r w:rsidRPr="008F31E5">
              <w:rPr>
                <w:sz w:val="18"/>
                <w:szCs w:val="20"/>
              </w:rPr>
              <w:t>pt.</w:t>
            </w:r>
            <w:r w:rsidR="00321E50">
              <w:rPr>
                <w:sz w:val="18"/>
                <w:szCs w:val="20"/>
              </w:rPr>
              <w:t xml:space="preserve"> – </w:t>
            </w:r>
            <w:r w:rsidR="00991F1F">
              <w:rPr>
                <w:sz w:val="18"/>
                <w:szCs w:val="20"/>
              </w:rPr>
              <w:t>h</w:t>
            </w:r>
            <w:r w:rsidRPr="008F31E5">
              <w:rPr>
                <w:sz w:val="18"/>
                <w:szCs w:val="20"/>
              </w:rPr>
              <w:t>eavy vehicle cost base and implications for full cost recovery</w:t>
            </w:r>
          </w:p>
        </w:tc>
        <w:tc>
          <w:tcPr>
            <w:tcW w:w="7201" w:type="dxa"/>
          </w:tcPr>
          <w:p w14:paraId="4E69647F" w14:textId="1AA60279" w:rsidR="0070512E" w:rsidRPr="008F31E5" w:rsidRDefault="0070512E" w:rsidP="008F31E5">
            <w:pPr>
              <w:pStyle w:val="BodyCopy"/>
              <w:spacing w:before="60" w:after="60"/>
              <w:rPr>
                <w:sz w:val="18"/>
                <w:szCs w:val="20"/>
              </w:rPr>
            </w:pPr>
            <w:r w:rsidRPr="008F31E5">
              <w:rPr>
                <w:sz w:val="18"/>
                <w:szCs w:val="20"/>
              </w:rPr>
              <w:t>The bus industry has serious concerns about the change in the way ESA-kms have been handled – this has a big adverse impact on bus, for a cost attribution process that is subject to uncertainty, as shown by differences between Options B and C in terms of how they treat this matter, as compared to the current approach.</w:t>
            </w:r>
          </w:p>
        </w:tc>
        <w:tc>
          <w:tcPr>
            <w:tcW w:w="3672" w:type="dxa"/>
            <w:gridSpan w:val="2"/>
          </w:tcPr>
          <w:p w14:paraId="3C4149D5" w14:textId="70D31A74" w:rsidR="0070512E" w:rsidRPr="008F31E5" w:rsidRDefault="0070512E" w:rsidP="008F31E5">
            <w:pPr>
              <w:pStyle w:val="BodyCopy"/>
              <w:spacing w:before="60" w:after="60"/>
              <w:rPr>
                <w:sz w:val="18"/>
                <w:szCs w:val="20"/>
              </w:rPr>
            </w:pPr>
            <w:r w:rsidRPr="008F31E5">
              <w:rPr>
                <w:sz w:val="18"/>
                <w:szCs w:val="20"/>
              </w:rPr>
              <w:t>Noted (see response below).</w:t>
            </w:r>
          </w:p>
        </w:tc>
      </w:tr>
      <w:tr w:rsidR="00F74539" w:rsidRPr="008F31E5" w14:paraId="252BC18A" w14:textId="77777777" w:rsidTr="00FE2CF6">
        <w:tc>
          <w:tcPr>
            <w:tcW w:w="1166" w:type="dxa"/>
          </w:tcPr>
          <w:p w14:paraId="184B1D31" w14:textId="47BB7449"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14AB9F38" w14:textId="27202FBF" w:rsidR="0070512E" w:rsidRPr="008F31E5" w:rsidRDefault="0070512E" w:rsidP="008F31E5">
            <w:pPr>
              <w:pStyle w:val="BodyCopy"/>
              <w:spacing w:before="60" w:after="60"/>
              <w:rPr>
                <w:sz w:val="18"/>
                <w:szCs w:val="20"/>
              </w:rPr>
            </w:pPr>
            <w:r w:rsidRPr="008F31E5">
              <w:rPr>
                <w:sz w:val="18"/>
                <w:szCs w:val="20"/>
              </w:rPr>
              <w:t>18</w:t>
            </w:r>
          </w:p>
        </w:tc>
        <w:tc>
          <w:tcPr>
            <w:tcW w:w="1171" w:type="dxa"/>
          </w:tcPr>
          <w:p w14:paraId="1707E696" w14:textId="652174DE" w:rsidR="0070512E" w:rsidRPr="008F31E5" w:rsidRDefault="0070512E" w:rsidP="008F31E5">
            <w:pPr>
              <w:pStyle w:val="BodyCopy"/>
              <w:spacing w:before="60" w:after="60"/>
              <w:rPr>
                <w:sz w:val="18"/>
                <w:szCs w:val="20"/>
              </w:rPr>
            </w:pPr>
            <w:r w:rsidRPr="008F31E5">
              <w:rPr>
                <w:sz w:val="18"/>
                <w:szCs w:val="20"/>
              </w:rPr>
              <w:t>Determination options (general)</w:t>
            </w:r>
          </w:p>
        </w:tc>
        <w:tc>
          <w:tcPr>
            <w:tcW w:w="7201" w:type="dxa"/>
          </w:tcPr>
          <w:p w14:paraId="2525C7A9" w14:textId="6DB99F2A" w:rsidR="0070512E" w:rsidRPr="008F31E5" w:rsidRDefault="0070512E" w:rsidP="008F31E5">
            <w:pPr>
              <w:pStyle w:val="BodyCopy"/>
              <w:spacing w:before="60" w:after="60"/>
              <w:rPr>
                <w:sz w:val="18"/>
                <w:szCs w:val="20"/>
              </w:rPr>
            </w:pPr>
            <w:r w:rsidRPr="008F31E5">
              <w:rPr>
                <w:sz w:val="18"/>
                <w:szCs w:val="20"/>
              </w:rPr>
              <w:t>For reasons stated in the answer to Question 8, the NHVR recommends that the current and modified current options (Option A and Option B) are considered in this determination. It should not be assumed that Victoria’s road infrastructure is representative of all road infrastructure condition across the rest of Australia.</w:t>
            </w:r>
          </w:p>
        </w:tc>
        <w:tc>
          <w:tcPr>
            <w:tcW w:w="3672" w:type="dxa"/>
            <w:gridSpan w:val="2"/>
          </w:tcPr>
          <w:p w14:paraId="35695697" w14:textId="6DAAD9B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5B3343DA" w14:textId="77777777" w:rsidTr="00FE2CF6">
        <w:tc>
          <w:tcPr>
            <w:tcW w:w="1166" w:type="dxa"/>
          </w:tcPr>
          <w:p w14:paraId="1AAC8714" w14:textId="7D68DDDF"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67C6C9BA" w14:textId="18D466EA" w:rsidR="0070512E" w:rsidRPr="008F31E5" w:rsidRDefault="0070512E" w:rsidP="008F31E5">
            <w:pPr>
              <w:pStyle w:val="BodyCopy"/>
              <w:spacing w:before="60" w:after="60"/>
              <w:rPr>
                <w:sz w:val="18"/>
                <w:szCs w:val="20"/>
              </w:rPr>
            </w:pPr>
            <w:r w:rsidRPr="008F31E5">
              <w:rPr>
                <w:sz w:val="18"/>
                <w:szCs w:val="20"/>
              </w:rPr>
              <w:t>19</w:t>
            </w:r>
          </w:p>
        </w:tc>
        <w:tc>
          <w:tcPr>
            <w:tcW w:w="1171" w:type="dxa"/>
          </w:tcPr>
          <w:p w14:paraId="5035DF01" w14:textId="798AF974"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3DB8FB8F" w14:textId="051C0BD7" w:rsidR="0070512E" w:rsidRPr="008F31E5" w:rsidRDefault="0070512E" w:rsidP="008F31E5">
            <w:pPr>
              <w:pStyle w:val="BodyCopy"/>
              <w:spacing w:before="60" w:after="60"/>
              <w:rPr>
                <w:sz w:val="18"/>
                <w:szCs w:val="20"/>
              </w:rPr>
            </w:pPr>
            <w:r w:rsidRPr="008F31E5">
              <w:rPr>
                <w:sz w:val="18"/>
                <w:szCs w:val="20"/>
              </w:rPr>
              <w:t>Sensitivity testing should be done on the ESA-km values, covering a wider range of allocations. For example, the Option C approach uses different values to the Option B approach, so there is no uniquely defensible set of numbers. Yet the NTC preferred approach, Option B, will hit bus harder than the Option C assumptions about ESA-km proportions. Sensitivity testing should explore this issue and proposed charges be re-considered in light of the findings. A thorough review of cost attribution factors is required on ESA-kms to reduce uncertainty.</w:t>
            </w:r>
          </w:p>
        </w:tc>
        <w:tc>
          <w:tcPr>
            <w:tcW w:w="3672" w:type="dxa"/>
            <w:gridSpan w:val="2"/>
          </w:tcPr>
          <w:p w14:paraId="7C9780C0" w14:textId="4AC8C2AE" w:rsidR="0070512E" w:rsidRPr="008F31E5" w:rsidRDefault="0070512E" w:rsidP="008F31E5">
            <w:pPr>
              <w:pStyle w:val="BodyCopy"/>
              <w:spacing w:before="60" w:after="60"/>
              <w:rPr>
                <w:sz w:val="18"/>
                <w:szCs w:val="20"/>
              </w:rPr>
            </w:pPr>
            <w:r w:rsidRPr="008F31E5">
              <w:rPr>
                <w:sz w:val="18"/>
                <w:szCs w:val="20"/>
              </w:rPr>
              <w:t xml:space="preserve">Noted. While the percentage of ESA-km for expenditure category B2 is higher under </w:t>
            </w:r>
            <w:r w:rsidR="007C54F2">
              <w:rPr>
                <w:sz w:val="18"/>
                <w:szCs w:val="20"/>
              </w:rPr>
              <w:t>o</w:t>
            </w:r>
            <w:r w:rsidRPr="008F31E5">
              <w:rPr>
                <w:sz w:val="18"/>
                <w:szCs w:val="20"/>
              </w:rPr>
              <w:t xml:space="preserve">ption B than </w:t>
            </w:r>
            <w:r w:rsidR="007C54F2">
              <w:rPr>
                <w:sz w:val="18"/>
                <w:szCs w:val="20"/>
              </w:rPr>
              <w:t>o</w:t>
            </w:r>
            <w:r w:rsidRPr="008F31E5">
              <w:rPr>
                <w:sz w:val="18"/>
                <w:szCs w:val="20"/>
              </w:rPr>
              <w:t xml:space="preserve">ption C, overall buses would still pay much higher registration charges and RUC under </w:t>
            </w:r>
            <w:r w:rsidR="007C54F2">
              <w:rPr>
                <w:sz w:val="18"/>
                <w:szCs w:val="20"/>
              </w:rPr>
              <w:t>o</w:t>
            </w:r>
            <w:r w:rsidRPr="008F31E5">
              <w:rPr>
                <w:sz w:val="18"/>
                <w:szCs w:val="20"/>
              </w:rPr>
              <w:t xml:space="preserve">ption C than </w:t>
            </w:r>
            <w:r w:rsidR="007C54F2">
              <w:rPr>
                <w:sz w:val="18"/>
                <w:szCs w:val="20"/>
              </w:rPr>
              <w:t>o</w:t>
            </w:r>
            <w:r w:rsidRPr="008F31E5">
              <w:rPr>
                <w:sz w:val="18"/>
                <w:szCs w:val="20"/>
              </w:rPr>
              <w:t>ption B. As noted in section 4.7 and chapter 5, the choice of cost allocation approach is to some extent a matter of judgement, rather than pure economic or scientific analysis, but the HoustonKemp report considered that 70 per cent attributable costs for category B2 is reasonable.</w:t>
            </w:r>
          </w:p>
        </w:tc>
      </w:tr>
      <w:tr w:rsidR="00F74539" w:rsidRPr="008F31E5" w14:paraId="56905BA7" w14:textId="77777777" w:rsidTr="00FE2CF6">
        <w:tc>
          <w:tcPr>
            <w:tcW w:w="1166" w:type="dxa"/>
          </w:tcPr>
          <w:p w14:paraId="58BEF702" w14:textId="3B14AD8C" w:rsidR="0070512E" w:rsidRPr="008F31E5" w:rsidRDefault="0070512E" w:rsidP="008F31E5">
            <w:pPr>
              <w:pStyle w:val="BodyCopy"/>
              <w:spacing w:before="60" w:after="60"/>
              <w:rPr>
                <w:sz w:val="18"/>
                <w:szCs w:val="20"/>
              </w:rPr>
            </w:pPr>
            <w:r w:rsidRPr="008F31E5">
              <w:rPr>
                <w:sz w:val="18"/>
                <w:szCs w:val="20"/>
              </w:rPr>
              <w:t>ALC</w:t>
            </w:r>
          </w:p>
        </w:tc>
        <w:tc>
          <w:tcPr>
            <w:tcW w:w="902" w:type="dxa"/>
          </w:tcPr>
          <w:p w14:paraId="3116E863" w14:textId="277CDF26"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56DDDD94" w14:textId="74719CE6"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2D049BD4" w14:textId="77777777" w:rsidR="007C54F2" w:rsidRDefault="0070512E" w:rsidP="008F31E5">
            <w:pPr>
              <w:pStyle w:val="BodyCopy"/>
              <w:spacing w:before="60" w:after="60"/>
              <w:rPr>
                <w:sz w:val="18"/>
                <w:szCs w:val="20"/>
              </w:rPr>
            </w:pPr>
            <w:r w:rsidRPr="008F31E5">
              <w:rPr>
                <w:sz w:val="18"/>
                <w:szCs w:val="20"/>
              </w:rPr>
              <w:t>ALC has as its preference a road user charge calculated on a forward-looking cost base utilising the ‘building block’ approach proposed under the Heavy Vehicle Road Reform (HVRR) applicable for all classes of vehicle.</w:t>
            </w:r>
            <w:r w:rsidRPr="008F31E5">
              <w:rPr>
                <w:sz w:val="18"/>
                <w:szCs w:val="20"/>
              </w:rPr>
              <w:br/>
            </w:r>
            <w:r w:rsidRPr="008F31E5">
              <w:rPr>
                <w:sz w:val="18"/>
                <w:szCs w:val="20"/>
              </w:rPr>
              <w:br/>
              <w:t>At the end of the day, the framework for access to roads is more important than pricing mechanisms.</w:t>
            </w:r>
          </w:p>
          <w:p w14:paraId="61C7458C" w14:textId="19DC21AD" w:rsidR="00E12DE2" w:rsidRDefault="0070512E" w:rsidP="008F31E5">
            <w:pPr>
              <w:pStyle w:val="BodyCopy"/>
              <w:spacing w:before="60" w:after="60"/>
              <w:rPr>
                <w:sz w:val="18"/>
                <w:szCs w:val="20"/>
              </w:rPr>
            </w:pPr>
            <w:r w:rsidRPr="008F31E5">
              <w:rPr>
                <w:sz w:val="18"/>
                <w:szCs w:val="20"/>
              </w:rPr>
              <w:br/>
              <w:t>Because the future of the HVRR is not certain, ALC believes that the PAYGO system should continue to operate on the current basis until such time as:</w:t>
            </w:r>
          </w:p>
          <w:p w14:paraId="4FED1BD5" w14:textId="77777777" w:rsidR="00E12DE2" w:rsidRDefault="0070512E" w:rsidP="00E12DE2">
            <w:pPr>
              <w:pStyle w:val="BodyCopy"/>
              <w:numPr>
                <w:ilvl w:val="3"/>
                <w:numId w:val="63"/>
              </w:numPr>
              <w:spacing w:before="60" w:after="60"/>
              <w:ind w:left="168" w:hanging="168"/>
              <w:rPr>
                <w:sz w:val="18"/>
                <w:szCs w:val="20"/>
              </w:rPr>
            </w:pPr>
            <w:r w:rsidRPr="008F31E5">
              <w:rPr>
                <w:sz w:val="18"/>
                <w:szCs w:val="20"/>
              </w:rPr>
              <w:t>the HVRR has developed some form of road user charge mechanism capable of being considered by industry and governments; and</w:t>
            </w:r>
          </w:p>
          <w:p w14:paraId="1E3DB550" w14:textId="569D5C80" w:rsidR="00E12DE2" w:rsidRDefault="0070512E" w:rsidP="00E12DE2">
            <w:pPr>
              <w:pStyle w:val="BodyCopy"/>
              <w:numPr>
                <w:ilvl w:val="3"/>
                <w:numId w:val="63"/>
              </w:numPr>
              <w:spacing w:before="60" w:after="60"/>
              <w:ind w:left="168" w:hanging="168"/>
              <w:rPr>
                <w:sz w:val="18"/>
                <w:szCs w:val="20"/>
              </w:rPr>
            </w:pPr>
            <w:r w:rsidRPr="008F31E5">
              <w:rPr>
                <w:sz w:val="18"/>
                <w:szCs w:val="20"/>
              </w:rPr>
              <w:t>there is a likelihood the jurisdictions will pick up the proposed model.</w:t>
            </w:r>
            <w:r w:rsidRPr="008F31E5">
              <w:rPr>
                <w:sz w:val="18"/>
                <w:szCs w:val="20"/>
              </w:rPr>
              <w:br/>
            </w:r>
          </w:p>
          <w:p w14:paraId="188A58C6" w14:textId="30F33C3A" w:rsidR="0070512E" w:rsidRPr="008F31E5" w:rsidRDefault="0070512E" w:rsidP="008F31E5">
            <w:pPr>
              <w:pStyle w:val="BodyCopy"/>
              <w:spacing w:before="60" w:after="60"/>
              <w:rPr>
                <w:sz w:val="18"/>
                <w:szCs w:val="20"/>
              </w:rPr>
            </w:pPr>
            <w:r w:rsidRPr="008F31E5">
              <w:rPr>
                <w:sz w:val="18"/>
                <w:szCs w:val="20"/>
              </w:rPr>
              <w:t xml:space="preserve">In that context, ALC believes there should be no real change to the current cost allocators and expenditure categories. However, if the PAYGO system looks like becoming </w:t>
            </w:r>
            <w:r w:rsidRPr="008F31E5">
              <w:rPr>
                <w:sz w:val="18"/>
                <w:szCs w:val="20"/>
              </w:rPr>
              <w:lastRenderedPageBreak/>
              <w:t>permanent it may become appropriate to consider the utility of adopting the alternative cost allocators developed by the Victorian Department of Treasury and Finance that are based on allocators recommended by the Australian Road Research Board in its 2019 report.</w:t>
            </w:r>
          </w:p>
        </w:tc>
        <w:tc>
          <w:tcPr>
            <w:tcW w:w="3672" w:type="dxa"/>
            <w:gridSpan w:val="2"/>
          </w:tcPr>
          <w:p w14:paraId="0E7C6DE3" w14:textId="3932E60B" w:rsidR="0070512E" w:rsidRPr="008F31E5" w:rsidRDefault="0070512E" w:rsidP="008F31E5">
            <w:pPr>
              <w:pStyle w:val="BodyCopy"/>
              <w:spacing w:before="60" w:after="60"/>
              <w:rPr>
                <w:sz w:val="18"/>
                <w:szCs w:val="20"/>
              </w:rPr>
            </w:pPr>
            <w:r w:rsidRPr="008F31E5">
              <w:rPr>
                <w:sz w:val="18"/>
                <w:szCs w:val="20"/>
              </w:rPr>
              <w:lastRenderedPageBreak/>
              <w:t>Noted.</w:t>
            </w:r>
          </w:p>
        </w:tc>
      </w:tr>
      <w:tr w:rsidR="007F732B" w:rsidRPr="008F31E5" w14:paraId="3B7B15DE" w14:textId="77777777" w:rsidTr="00FE2CF6">
        <w:tc>
          <w:tcPr>
            <w:tcW w:w="1166" w:type="dxa"/>
          </w:tcPr>
          <w:p w14:paraId="7B190CBA" w14:textId="23529F50"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0B0A2D77" w14:textId="7C897ADC"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207EE54E" w14:textId="4E28BE20"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1B3225E5" w14:textId="77777777" w:rsidR="00042483" w:rsidRDefault="0070512E" w:rsidP="008F31E5">
            <w:pPr>
              <w:pStyle w:val="BodyCopy"/>
              <w:spacing w:before="60" w:after="60"/>
              <w:rPr>
                <w:sz w:val="18"/>
                <w:szCs w:val="20"/>
              </w:rPr>
            </w:pPr>
            <w:r w:rsidRPr="008F31E5">
              <w:rPr>
                <w:sz w:val="18"/>
                <w:szCs w:val="20"/>
              </w:rPr>
              <w:t>[Supports] The proposed change in the allocation methodology</w:t>
            </w:r>
            <w:r w:rsidR="00042483">
              <w:rPr>
                <w:sz w:val="18"/>
                <w:szCs w:val="20"/>
              </w:rPr>
              <w:t>:</w:t>
            </w:r>
          </w:p>
          <w:p w14:paraId="1BEA892E" w14:textId="014721A0" w:rsidR="00E12DE2" w:rsidRDefault="0070512E" w:rsidP="00E12DE2">
            <w:pPr>
              <w:pStyle w:val="BodyCopy"/>
              <w:numPr>
                <w:ilvl w:val="3"/>
                <w:numId w:val="63"/>
              </w:numPr>
              <w:spacing w:before="60" w:after="60"/>
              <w:ind w:left="168" w:hanging="168"/>
              <w:rPr>
                <w:sz w:val="18"/>
                <w:szCs w:val="20"/>
              </w:rPr>
            </w:pPr>
            <w:r w:rsidRPr="008F31E5">
              <w:rPr>
                <w:sz w:val="18"/>
                <w:szCs w:val="20"/>
              </w:rPr>
              <w:t>ARTC has been subject to extensive reviews by the ACCC of its pricing allocation decisions, a key focus of which has been to ensure that costs are allocated to cause and ideally based on detailed engineering assessments. This would support the use of the Victorian methodology for cost allocation as the most accurate available allocation methodology</w:t>
            </w:r>
            <w:r w:rsidR="00E80126">
              <w:rPr>
                <w:sz w:val="18"/>
                <w:szCs w:val="20"/>
              </w:rPr>
              <w:t>.</w:t>
            </w:r>
          </w:p>
          <w:p w14:paraId="719132BF" w14:textId="2670D7A8" w:rsidR="00E12DE2" w:rsidRDefault="0070512E" w:rsidP="00E12DE2">
            <w:pPr>
              <w:pStyle w:val="BodyCopy"/>
              <w:numPr>
                <w:ilvl w:val="3"/>
                <w:numId w:val="63"/>
              </w:numPr>
              <w:spacing w:before="60" w:after="60"/>
              <w:ind w:left="168" w:hanging="168"/>
              <w:rPr>
                <w:sz w:val="18"/>
                <w:szCs w:val="20"/>
              </w:rPr>
            </w:pPr>
            <w:r w:rsidRPr="008F31E5">
              <w:rPr>
                <w:sz w:val="18"/>
                <w:szCs w:val="20"/>
              </w:rPr>
              <w:t>The cost base reflected by this approach is stated to be $4.84b; compared to the 2017 standalone cost base identified by HoustonKemp of $7b. This cost remains considerably short of the standalone cost base, but does provide a positive move to a more average cost mechanism which would be more equitable (notwithstanding the HoustonKemp assessment understates the full cost impact due to the absence of costing externalities)</w:t>
            </w:r>
            <w:r w:rsidR="00E80126">
              <w:rPr>
                <w:sz w:val="18"/>
                <w:szCs w:val="20"/>
              </w:rPr>
              <w:t>.</w:t>
            </w:r>
          </w:p>
          <w:p w14:paraId="3F2FA838" w14:textId="5AAB5499" w:rsidR="0070512E" w:rsidRPr="008F31E5" w:rsidRDefault="0070512E" w:rsidP="00E12DE2">
            <w:pPr>
              <w:pStyle w:val="BodyCopy"/>
              <w:numPr>
                <w:ilvl w:val="3"/>
                <w:numId w:val="63"/>
              </w:numPr>
              <w:spacing w:before="60" w:after="60"/>
              <w:ind w:left="168" w:hanging="168"/>
              <w:rPr>
                <w:sz w:val="18"/>
                <w:szCs w:val="20"/>
              </w:rPr>
            </w:pPr>
            <w:r w:rsidRPr="008F31E5">
              <w:rPr>
                <w:sz w:val="18"/>
                <w:szCs w:val="20"/>
              </w:rPr>
              <w:t>ARTC therefore supports the use of the V</w:t>
            </w:r>
            <w:r w:rsidR="00E80126">
              <w:rPr>
                <w:sz w:val="18"/>
                <w:szCs w:val="20"/>
              </w:rPr>
              <w:t>IC</w:t>
            </w:r>
            <w:r w:rsidRPr="008F31E5">
              <w:rPr>
                <w:sz w:val="18"/>
                <w:szCs w:val="20"/>
              </w:rPr>
              <w:t xml:space="preserve"> D</w:t>
            </w:r>
            <w:r w:rsidR="00E80126">
              <w:rPr>
                <w:sz w:val="18"/>
                <w:szCs w:val="20"/>
              </w:rPr>
              <w:t>T</w:t>
            </w:r>
            <w:r w:rsidRPr="008F31E5">
              <w:rPr>
                <w:sz w:val="18"/>
                <w:szCs w:val="20"/>
              </w:rPr>
              <w:t>F/DOT allocation mechanism.</w:t>
            </w:r>
          </w:p>
        </w:tc>
        <w:tc>
          <w:tcPr>
            <w:tcW w:w="3672" w:type="dxa"/>
            <w:gridSpan w:val="2"/>
          </w:tcPr>
          <w:p w14:paraId="22553FBE" w14:textId="70AFF9A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96C1048" w14:textId="77777777" w:rsidTr="00FE2CF6">
        <w:tc>
          <w:tcPr>
            <w:tcW w:w="1166" w:type="dxa"/>
          </w:tcPr>
          <w:p w14:paraId="7C02C82D" w14:textId="33B69688"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11C66115" w14:textId="413B43C1"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02872A7D" w14:textId="66ADA6EC" w:rsidR="0070512E" w:rsidRPr="008F31E5" w:rsidRDefault="0070512E" w:rsidP="008F31E5">
            <w:pPr>
              <w:pStyle w:val="BodyCopy"/>
              <w:spacing w:before="60" w:after="60"/>
              <w:rPr>
                <w:sz w:val="18"/>
                <w:szCs w:val="20"/>
              </w:rPr>
            </w:pPr>
            <w:r w:rsidRPr="008B4A42">
              <w:rPr>
                <w:spacing w:val="-8"/>
                <w:sz w:val="18"/>
                <w:szCs w:val="20"/>
              </w:rPr>
              <w:t>Impl</w:t>
            </w:r>
            <w:r w:rsidR="007C54F2" w:rsidRPr="008B4A42">
              <w:rPr>
                <w:spacing w:val="-8"/>
                <w:sz w:val="18"/>
                <w:szCs w:val="20"/>
              </w:rPr>
              <w:t>ementation</w:t>
            </w:r>
            <w:r w:rsidRPr="008F31E5">
              <w:rPr>
                <w:sz w:val="18"/>
                <w:szCs w:val="20"/>
              </w:rPr>
              <w:t xml:space="preserve"> </w:t>
            </w:r>
            <w:r w:rsidR="007C54F2">
              <w:rPr>
                <w:sz w:val="18"/>
                <w:szCs w:val="20"/>
              </w:rPr>
              <w:t>o</w:t>
            </w:r>
            <w:r w:rsidRPr="008F31E5">
              <w:rPr>
                <w:sz w:val="18"/>
                <w:szCs w:val="20"/>
              </w:rPr>
              <w:t>pt</w:t>
            </w:r>
            <w:r w:rsidR="007C54F2">
              <w:rPr>
                <w:sz w:val="18"/>
                <w:szCs w:val="20"/>
              </w:rPr>
              <w:t>ion</w:t>
            </w:r>
            <w:r w:rsidR="004019B7">
              <w:rPr>
                <w:sz w:val="18"/>
                <w:szCs w:val="20"/>
              </w:rPr>
              <w:t>s</w:t>
            </w:r>
            <w:r w:rsidR="00321E50">
              <w:rPr>
                <w:sz w:val="18"/>
                <w:szCs w:val="20"/>
              </w:rPr>
              <w:t xml:space="preserve"> – </w:t>
            </w:r>
            <w:r w:rsidR="00991F1F">
              <w:rPr>
                <w:sz w:val="18"/>
                <w:szCs w:val="20"/>
              </w:rPr>
              <w:t>m</w:t>
            </w:r>
            <w:r w:rsidRPr="008F31E5">
              <w:rPr>
                <w:sz w:val="18"/>
                <w:szCs w:val="20"/>
              </w:rPr>
              <w:t>ulti-year price periods</w:t>
            </w:r>
          </w:p>
        </w:tc>
        <w:tc>
          <w:tcPr>
            <w:tcW w:w="7201" w:type="dxa"/>
          </w:tcPr>
          <w:p w14:paraId="7A76B831" w14:textId="62D4EF94" w:rsidR="00052D7C" w:rsidRDefault="0070512E" w:rsidP="008F31E5">
            <w:pPr>
              <w:pStyle w:val="BodyCopy"/>
              <w:spacing w:before="60" w:after="60"/>
              <w:rPr>
                <w:sz w:val="18"/>
                <w:szCs w:val="20"/>
              </w:rPr>
            </w:pPr>
            <w:r w:rsidRPr="008F31E5">
              <w:rPr>
                <w:sz w:val="18"/>
                <w:szCs w:val="20"/>
              </w:rPr>
              <w:t>The determination should be implemented through a fixed three</w:t>
            </w:r>
            <w:r w:rsidR="00052D7C">
              <w:rPr>
                <w:sz w:val="18"/>
                <w:szCs w:val="20"/>
              </w:rPr>
              <w:t>-</w:t>
            </w:r>
            <w:r w:rsidRPr="008F31E5">
              <w:rPr>
                <w:sz w:val="18"/>
                <w:szCs w:val="20"/>
              </w:rPr>
              <w:t>year pricing period, with charges increasing 2 per cent in 2022</w:t>
            </w:r>
            <w:r w:rsidR="00052D7C">
              <w:rPr>
                <w:sz w:val="18"/>
                <w:szCs w:val="20"/>
              </w:rPr>
              <w:t>–</w:t>
            </w:r>
            <w:r w:rsidRPr="008F31E5">
              <w:rPr>
                <w:sz w:val="18"/>
                <w:szCs w:val="20"/>
              </w:rPr>
              <w:t>23, followed by a 3 per cent increase in each of 2023</w:t>
            </w:r>
            <w:r w:rsidR="00052D7C">
              <w:rPr>
                <w:sz w:val="18"/>
                <w:szCs w:val="20"/>
              </w:rPr>
              <w:t>–</w:t>
            </w:r>
            <w:r w:rsidRPr="008F31E5">
              <w:rPr>
                <w:sz w:val="18"/>
                <w:szCs w:val="20"/>
              </w:rPr>
              <w:t>24 and 2024</w:t>
            </w:r>
            <w:r w:rsidR="00052D7C">
              <w:rPr>
                <w:sz w:val="18"/>
                <w:szCs w:val="20"/>
              </w:rPr>
              <w:t>–</w:t>
            </w:r>
            <w:r w:rsidRPr="008F31E5">
              <w:rPr>
                <w:sz w:val="18"/>
                <w:szCs w:val="20"/>
              </w:rPr>
              <w:t>25.</w:t>
            </w:r>
          </w:p>
          <w:p w14:paraId="0A66F6B0" w14:textId="34DDF07F" w:rsidR="00E12DE2" w:rsidRDefault="0070512E" w:rsidP="008F31E5">
            <w:pPr>
              <w:pStyle w:val="BodyCopy"/>
              <w:spacing w:before="60" w:after="60"/>
              <w:rPr>
                <w:sz w:val="18"/>
                <w:szCs w:val="20"/>
              </w:rPr>
            </w:pPr>
            <w:r w:rsidRPr="008F31E5">
              <w:rPr>
                <w:sz w:val="18"/>
                <w:szCs w:val="20"/>
              </w:rPr>
              <w:br/>
              <w:t>To maximise certainty for businesses during the determination period</w:t>
            </w:r>
            <w:r w:rsidR="00052D7C">
              <w:rPr>
                <w:sz w:val="18"/>
                <w:szCs w:val="20"/>
              </w:rPr>
              <w:t>:</w:t>
            </w:r>
          </w:p>
          <w:p w14:paraId="7B80DD0E" w14:textId="370B088A" w:rsidR="00E12DE2" w:rsidRDefault="0070512E" w:rsidP="00E12DE2">
            <w:pPr>
              <w:pStyle w:val="BodyCopy"/>
              <w:numPr>
                <w:ilvl w:val="3"/>
                <w:numId w:val="63"/>
              </w:numPr>
              <w:spacing w:before="60" w:after="60"/>
              <w:ind w:left="168" w:hanging="168"/>
              <w:rPr>
                <w:sz w:val="18"/>
                <w:szCs w:val="20"/>
              </w:rPr>
            </w:pPr>
            <w:r w:rsidRPr="008F31E5">
              <w:rPr>
                <w:sz w:val="18"/>
                <w:szCs w:val="20"/>
              </w:rPr>
              <w:t>the NTC should publish the details of the road user and registration charges for each year of the determination period</w:t>
            </w:r>
          </w:p>
          <w:p w14:paraId="49F81A2B" w14:textId="211A7B7D" w:rsidR="00E12DE2" w:rsidRDefault="0070512E" w:rsidP="00E12DE2">
            <w:pPr>
              <w:pStyle w:val="BodyCopy"/>
              <w:numPr>
                <w:ilvl w:val="3"/>
                <w:numId w:val="63"/>
              </w:numPr>
              <w:spacing w:before="60" w:after="60"/>
              <w:ind w:left="168" w:hanging="168"/>
              <w:rPr>
                <w:sz w:val="18"/>
                <w:szCs w:val="20"/>
              </w:rPr>
            </w:pPr>
            <w:r w:rsidRPr="008F31E5">
              <w:rPr>
                <w:sz w:val="18"/>
                <w:szCs w:val="20"/>
              </w:rPr>
              <w:t>the Heavy Vehicle Charges Model Law should be amended to set registration charges for 2022</w:t>
            </w:r>
            <w:r w:rsidR="00052D7C">
              <w:rPr>
                <w:sz w:val="18"/>
                <w:szCs w:val="20"/>
              </w:rPr>
              <w:t>–</w:t>
            </w:r>
            <w:r w:rsidRPr="008F31E5">
              <w:rPr>
                <w:sz w:val="18"/>
                <w:szCs w:val="20"/>
              </w:rPr>
              <w:t>23, 2023</w:t>
            </w:r>
            <w:r w:rsidR="00052D7C">
              <w:rPr>
                <w:sz w:val="18"/>
                <w:szCs w:val="20"/>
              </w:rPr>
              <w:t>–</w:t>
            </w:r>
            <w:r w:rsidRPr="008F31E5">
              <w:rPr>
                <w:sz w:val="18"/>
                <w:szCs w:val="20"/>
              </w:rPr>
              <w:t>24 and 2024</w:t>
            </w:r>
            <w:r w:rsidR="00052D7C">
              <w:rPr>
                <w:sz w:val="18"/>
                <w:szCs w:val="20"/>
              </w:rPr>
              <w:t>–</w:t>
            </w:r>
            <w:r w:rsidRPr="008F31E5">
              <w:rPr>
                <w:sz w:val="18"/>
                <w:szCs w:val="20"/>
              </w:rPr>
              <w:t>25</w:t>
            </w:r>
          </w:p>
          <w:p w14:paraId="2E3E7B78" w14:textId="30D1579D" w:rsidR="00E12DE2" w:rsidRDefault="0070512E" w:rsidP="00E12DE2">
            <w:pPr>
              <w:pStyle w:val="BodyCopy"/>
              <w:numPr>
                <w:ilvl w:val="3"/>
                <w:numId w:val="63"/>
              </w:numPr>
              <w:spacing w:before="60" w:after="60"/>
              <w:ind w:left="168" w:hanging="168"/>
              <w:rPr>
                <w:sz w:val="18"/>
                <w:szCs w:val="20"/>
              </w:rPr>
            </w:pPr>
            <w:r w:rsidRPr="008F31E5">
              <w:rPr>
                <w:sz w:val="18"/>
                <w:szCs w:val="20"/>
              </w:rPr>
              <w:t>the 2022 road user charge determination should set the road user charge for 2022</w:t>
            </w:r>
            <w:r w:rsidR="00052D7C">
              <w:rPr>
                <w:sz w:val="18"/>
                <w:szCs w:val="20"/>
              </w:rPr>
              <w:t>–</w:t>
            </w:r>
            <w:r w:rsidRPr="008F31E5">
              <w:rPr>
                <w:sz w:val="18"/>
                <w:szCs w:val="20"/>
              </w:rPr>
              <w:t>23, 2023</w:t>
            </w:r>
            <w:r w:rsidR="00052D7C">
              <w:rPr>
                <w:sz w:val="18"/>
                <w:szCs w:val="20"/>
              </w:rPr>
              <w:t>–</w:t>
            </w:r>
            <w:r w:rsidRPr="008F31E5">
              <w:rPr>
                <w:sz w:val="18"/>
                <w:szCs w:val="20"/>
              </w:rPr>
              <w:t>24 and 2024</w:t>
            </w:r>
            <w:r w:rsidR="00052D7C">
              <w:rPr>
                <w:sz w:val="18"/>
                <w:szCs w:val="20"/>
              </w:rPr>
              <w:t>–</w:t>
            </w:r>
            <w:r w:rsidRPr="008F31E5">
              <w:rPr>
                <w:sz w:val="18"/>
                <w:szCs w:val="20"/>
              </w:rPr>
              <w:t>25.</w:t>
            </w:r>
          </w:p>
          <w:p w14:paraId="1675B84F" w14:textId="690A2938" w:rsidR="0070512E" w:rsidRPr="008F31E5" w:rsidRDefault="0070512E" w:rsidP="008F31E5">
            <w:pPr>
              <w:pStyle w:val="BodyCopy"/>
              <w:spacing w:before="60" w:after="60"/>
              <w:rPr>
                <w:sz w:val="18"/>
                <w:szCs w:val="20"/>
              </w:rPr>
            </w:pPr>
            <w:r w:rsidRPr="008F31E5">
              <w:rPr>
                <w:sz w:val="18"/>
                <w:szCs w:val="20"/>
              </w:rPr>
              <w:t>The heavy vehicle charges set under PAYGO should not be replaced with different FLCB charge rates during the three</w:t>
            </w:r>
            <w:r w:rsidR="00052D7C">
              <w:rPr>
                <w:sz w:val="18"/>
                <w:szCs w:val="20"/>
              </w:rPr>
              <w:t>-</w:t>
            </w:r>
            <w:r w:rsidRPr="008F31E5">
              <w:rPr>
                <w:sz w:val="18"/>
                <w:szCs w:val="20"/>
              </w:rPr>
              <w:t>year period of the determination.</w:t>
            </w:r>
          </w:p>
        </w:tc>
        <w:tc>
          <w:tcPr>
            <w:tcW w:w="3672" w:type="dxa"/>
            <w:gridSpan w:val="2"/>
          </w:tcPr>
          <w:p w14:paraId="3D2C5956" w14:textId="2A0A5F34"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E9B92AF" w14:textId="77777777" w:rsidTr="00FE2CF6">
        <w:tc>
          <w:tcPr>
            <w:tcW w:w="1166" w:type="dxa"/>
          </w:tcPr>
          <w:p w14:paraId="71B98467" w14:textId="7EB9AA68"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751952FC" w14:textId="19A32A71"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67917937" w14:textId="10018B3C"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52E433EE" w14:textId="6BB3D1AA" w:rsidR="0070512E" w:rsidRPr="008F31E5" w:rsidRDefault="0070512E" w:rsidP="008F31E5">
            <w:pPr>
              <w:pStyle w:val="BodyCopy"/>
              <w:spacing w:before="60" w:after="60"/>
              <w:rPr>
                <w:sz w:val="18"/>
                <w:szCs w:val="20"/>
              </w:rPr>
            </w:pPr>
            <w:r w:rsidRPr="008F31E5">
              <w:rPr>
                <w:sz w:val="18"/>
                <w:szCs w:val="20"/>
              </w:rPr>
              <w:t xml:space="preserve">Option B includes 7 of the adjustment factors noted in </w:t>
            </w:r>
            <w:r w:rsidR="00DD44EB">
              <w:rPr>
                <w:sz w:val="18"/>
                <w:szCs w:val="20"/>
              </w:rPr>
              <w:t>s</w:t>
            </w:r>
            <w:r w:rsidRPr="008F31E5">
              <w:rPr>
                <w:sz w:val="18"/>
                <w:szCs w:val="20"/>
              </w:rPr>
              <w:t>ection 2.1, the most important of which for bus involves changing the way equivalent standard axle values are estimated for different vehicle classes and then applied to road expenditure categories. As applied, this sees a large increase in the ESA-km values for all five categories of bus, four of which involve around doubling current ESA values and the other (bus with 3 or more axles) involves more than quadrupling current ESA values (NTC 2021, Table 7).</w:t>
            </w:r>
            <w:r w:rsidRPr="008F31E5">
              <w:rPr>
                <w:sz w:val="18"/>
                <w:szCs w:val="20"/>
              </w:rPr>
              <w:br/>
            </w:r>
            <w:r w:rsidRPr="008F31E5">
              <w:rPr>
                <w:sz w:val="18"/>
                <w:szCs w:val="20"/>
              </w:rPr>
              <w:br/>
            </w:r>
            <w:r w:rsidRPr="008F31E5">
              <w:rPr>
                <w:sz w:val="18"/>
                <w:szCs w:val="20"/>
              </w:rPr>
              <w:lastRenderedPageBreak/>
              <w:t>This change in ESA values increases the level of costs that are allocated to buses from $65m, under the current cost allocation approach, to $132m (NTC 2021, Table 8), a much larger relative increase than is imposed on any other class of HV and accounting for a large proportion of the changes in total charge revenue (across all vehicle classes) recovered via ESA-km allocations. Light vehicles and rigid trucks do well out of this change in ESA values, with buses and articulated trucks being hit hard...</w:t>
            </w:r>
            <w:r w:rsidRPr="008F31E5">
              <w:rPr>
                <w:sz w:val="18"/>
                <w:szCs w:val="20"/>
              </w:rPr>
              <w:br/>
            </w:r>
            <w:r w:rsidRPr="008F31E5">
              <w:rPr>
                <w:sz w:val="18"/>
                <w:szCs w:val="20"/>
              </w:rPr>
              <w:br/>
              <w:t>In terms of answering specific questions asked by NTC, doubt about the most appropriate proportion of B2 costs to allocate on an ESA-km basis suggests avoiding unduly penalising any particular vehicle class by the specific value that is chosen, which is ultimately rubbery at present. The current NTC choice, of 70% of B2 costs allocated on an ESA-km basis, hits buses, in particular, very hard and should be rejected on this basis, or compensated in some way. Section 4.3 explores this issue in further detail. Choice of a preferred implementation pathway that relies on small annual increases in charge components for all vehicle classes is one effective way to handle this concern with cost allocation, as discussed later in this report.</w:t>
            </w:r>
          </w:p>
        </w:tc>
        <w:tc>
          <w:tcPr>
            <w:tcW w:w="3672" w:type="dxa"/>
            <w:gridSpan w:val="2"/>
          </w:tcPr>
          <w:p w14:paraId="17A92275" w14:textId="6AF32362" w:rsidR="0070512E" w:rsidRPr="008F31E5" w:rsidRDefault="0070512E" w:rsidP="008F31E5">
            <w:pPr>
              <w:pStyle w:val="BodyCopy"/>
              <w:spacing w:before="60" w:after="60"/>
              <w:rPr>
                <w:sz w:val="18"/>
                <w:szCs w:val="20"/>
              </w:rPr>
            </w:pPr>
            <w:r w:rsidRPr="008F31E5">
              <w:rPr>
                <w:sz w:val="18"/>
                <w:szCs w:val="20"/>
              </w:rPr>
              <w:lastRenderedPageBreak/>
              <w:t xml:space="preserve">While buses are subject to the largest increases of all heavy vehicle classes, this reflects (i) a significant increase in estimated ESAs based on the new data from PTT; and (ii) the choice of cost allocation approach. The increase under (i) will necessarily increase the costs allocated to buses on the </w:t>
            </w:r>
            <w:r w:rsidRPr="008F31E5">
              <w:rPr>
                <w:sz w:val="18"/>
                <w:szCs w:val="20"/>
              </w:rPr>
              <w:lastRenderedPageBreak/>
              <w:t>basis of the updated usage data (suggesting that the costs allocated to buses were too low previously). Regarding (ii), the NTC considers that this allocation approach improves on the existing methodology for category B2.</w:t>
            </w:r>
          </w:p>
        </w:tc>
      </w:tr>
      <w:tr w:rsidR="00F74539" w:rsidRPr="008F31E5" w14:paraId="0AB696F7" w14:textId="77777777" w:rsidTr="00FE2CF6">
        <w:tc>
          <w:tcPr>
            <w:tcW w:w="1166" w:type="dxa"/>
          </w:tcPr>
          <w:p w14:paraId="4157158C" w14:textId="33CB512B"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44E26AC2" w14:textId="239FF709"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3D267895" w14:textId="5BBBEDF3"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07ECB962" w14:textId="3872B966" w:rsidR="0070512E" w:rsidRPr="008F31E5" w:rsidRDefault="0070512E" w:rsidP="008F31E5">
            <w:pPr>
              <w:pStyle w:val="BodyCopy"/>
              <w:spacing w:before="60" w:after="60"/>
              <w:rPr>
                <w:sz w:val="18"/>
                <w:szCs w:val="20"/>
              </w:rPr>
            </w:pPr>
            <w:r w:rsidRPr="008F31E5">
              <w:rPr>
                <w:sz w:val="18"/>
                <w:szCs w:val="20"/>
              </w:rPr>
              <w:t>As with the preceding two options, the cost base increases once changes in traffic levels from the status quo are recognised, increasing the cost base for Option C to $4</w:t>
            </w:r>
            <w:r w:rsidR="007C54F2">
              <w:rPr>
                <w:sz w:val="18"/>
                <w:szCs w:val="20"/>
              </w:rPr>
              <w:t>,</w:t>
            </w:r>
            <w:r w:rsidRPr="008F31E5">
              <w:rPr>
                <w:sz w:val="18"/>
                <w:szCs w:val="20"/>
              </w:rPr>
              <w:t>402m, which becomes the charging base for this Option. This option is currently only estimated from Victorian data, which should rule it out as a basis for the upcoming charges determination, even though NTC has (usefully) endeavoured to show how it might impact national charges. Importantly, however, Option C has a lower proportion of B2 costs allocated on an ESA-km basis than Option B, raising questions about the NTC cost allocation approach on this particular allocator (as embedded in Option B). Such doubts suggest that a major review of all cost allocation proportions should be a central part of the HVRR program over the next 2 years, for use in future charges determinations.</w:t>
            </w:r>
          </w:p>
        </w:tc>
        <w:tc>
          <w:tcPr>
            <w:tcW w:w="3672" w:type="dxa"/>
            <w:gridSpan w:val="2"/>
          </w:tcPr>
          <w:p w14:paraId="1F90A27F" w14:textId="0CA14A1C"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BCA8B23" w14:textId="77777777" w:rsidTr="00FE2CF6">
        <w:tc>
          <w:tcPr>
            <w:tcW w:w="1166" w:type="dxa"/>
          </w:tcPr>
          <w:p w14:paraId="19CA3762" w14:textId="19F59BFD"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7DBB602C" w14:textId="4AD4E0C5"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18657352" w14:textId="56061786"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0705C3AB" w14:textId="2EC80C5D" w:rsidR="0070512E" w:rsidRPr="008F31E5" w:rsidRDefault="0070512E" w:rsidP="008F31E5">
            <w:pPr>
              <w:pStyle w:val="BodyCopy"/>
              <w:spacing w:before="60" w:after="60"/>
              <w:rPr>
                <w:sz w:val="18"/>
                <w:szCs w:val="20"/>
              </w:rPr>
            </w:pPr>
            <w:r w:rsidRPr="008F31E5">
              <w:rPr>
                <w:sz w:val="18"/>
                <w:szCs w:val="20"/>
              </w:rPr>
              <w:t>The modified cost base option (Option B), since most of the 7 changes it makes to the status quo approach seem defensible. However, this submission has frequently expressed concerns about how the ESA-km values and HV regulatory costs are allocated, in terms of how they impact bus charges. The whole cost allocation process should be reviewed as a matter of urgency, and particularly in relation to ESA-kms. Concerns about adverse impacts on a particular vehicle category (or categories) could be handled partly through the choice of the overall cost recovery rate that is pursued and choice of implementation pathway but ideally implementation pathways would not be used to cover over weaknesses or uncertainties in cost allocation methodologies, as they affect particular vehicle classes. Reducing uncertainties about valid cost attribution parameters is critical for confidence in the charging process, while use of registration charges is the best mechanism to manage concerns at individual vehicle category level.</w:t>
            </w:r>
          </w:p>
        </w:tc>
        <w:tc>
          <w:tcPr>
            <w:tcW w:w="3672" w:type="dxa"/>
            <w:gridSpan w:val="2"/>
          </w:tcPr>
          <w:p w14:paraId="0330376A" w14:textId="22A4D00B" w:rsidR="0070512E" w:rsidRPr="008F31E5" w:rsidRDefault="0070512E" w:rsidP="008F31E5">
            <w:pPr>
              <w:pStyle w:val="BodyCopy"/>
              <w:spacing w:before="60" w:after="60"/>
              <w:rPr>
                <w:sz w:val="18"/>
                <w:szCs w:val="20"/>
              </w:rPr>
            </w:pPr>
            <w:r w:rsidRPr="008F31E5">
              <w:rPr>
                <w:sz w:val="18"/>
                <w:szCs w:val="20"/>
              </w:rPr>
              <w:t>Noted (see previous responses).</w:t>
            </w:r>
          </w:p>
        </w:tc>
      </w:tr>
      <w:tr w:rsidR="00F74539" w:rsidRPr="008F31E5" w14:paraId="64848275" w14:textId="77777777" w:rsidTr="00FE2CF6">
        <w:tc>
          <w:tcPr>
            <w:tcW w:w="1166" w:type="dxa"/>
          </w:tcPr>
          <w:p w14:paraId="5448AF4F" w14:textId="7E6E09AE" w:rsidR="0070512E" w:rsidRPr="008F31E5" w:rsidRDefault="0070512E" w:rsidP="008F31E5">
            <w:pPr>
              <w:pStyle w:val="BodyCopy"/>
              <w:spacing w:before="60" w:after="60"/>
              <w:rPr>
                <w:sz w:val="18"/>
                <w:szCs w:val="20"/>
              </w:rPr>
            </w:pPr>
            <w:r w:rsidRPr="008F31E5">
              <w:rPr>
                <w:sz w:val="18"/>
                <w:szCs w:val="20"/>
              </w:rPr>
              <w:lastRenderedPageBreak/>
              <w:t>NatRoad</w:t>
            </w:r>
          </w:p>
        </w:tc>
        <w:tc>
          <w:tcPr>
            <w:tcW w:w="902" w:type="dxa"/>
          </w:tcPr>
          <w:p w14:paraId="037A4258" w14:textId="63BFD0DD"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044FD8E1" w14:textId="77571470"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063FD7FB" w14:textId="75DD37A8" w:rsidR="0070512E" w:rsidRPr="008F31E5" w:rsidRDefault="0070512E" w:rsidP="008F31E5">
            <w:pPr>
              <w:pStyle w:val="BodyCopy"/>
              <w:spacing w:before="60" w:after="60"/>
              <w:rPr>
                <w:sz w:val="18"/>
                <w:szCs w:val="20"/>
              </w:rPr>
            </w:pPr>
            <w:r w:rsidRPr="008F31E5">
              <w:rPr>
                <w:sz w:val="18"/>
                <w:szCs w:val="20"/>
              </w:rPr>
              <w:t xml:space="preserve">Despite the NatRoad proposal providing a simple solution to the issue of the method of increase in heavy vehicle charges, we have, below, sought to answer the questions posed in the CRIS in order to assist the NTC. Before doing so we outline the NatRoad position regarding HVRR which will supersede any determination arising from the CRIS process. We note that the NTC indicates that the key question it would like to have answered is whether the current cost allocators should be changed. The NatRoad answer is, in general, </w:t>
            </w:r>
            <w:r w:rsidR="00052D7C">
              <w:rPr>
                <w:sz w:val="18"/>
                <w:szCs w:val="20"/>
              </w:rPr>
              <w:t>‘</w:t>
            </w:r>
            <w:r w:rsidRPr="008F31E5">
              <w:rPr>
                <w:sz w:val="18"/>
                <w:szCs w:val="20"/>
              </w:rPr>
              <w:t>no</w:t>
            </w:r>
            <w:r w:rsidR="00052D7C">
              <w:rPr>
                <w:sz w:val="18"/>
                <w:szCs w:val="20"/>
              </w:rPr>
              <w:t>’</w:t>
            </w:r>
            <w:r w:rsidRPr="008F31E5">
              <w:rPr>
                <w:sz w:val="18"/>
                <w:szCs w:val="20"/>
              </w:rPr>
              <w:t xml:space="preserve"> for the short term. We would prefer the solution mentioned in paragraph 4 to prevail. In looking at the detailed answers to the NTC questions in the CRIS, we have reinforced that view with minor changes only endorsed. But the HVRR model must be different and based on entirely different premises, the predominant one being that all road users must pay for the costs of roads.</w:t>
            </w:r>
          </w:p>
        </w:tc>
        <w:tc>
          <w:tcPr>
            <w:tcW w:w="3672" w:type="dxa"/>
            <w:gridSpan w:val="2"/>
          </w:tcPr>
          <w:p w14:paraId="5A4D5A0D" w14:textId="2BF734C8" w:rsidR="0070512E" w:rsidRPr="008F31E5" w:rsidRDefault="0070512E" w:rsidP="008F31E5">
            <w:pPr>
              <w:pStyle w:val="BodyCopy"/>
              <w:spacing w:before="60" w:after="60"/>
              <w:rPr>
                <w:sz w:val="18"/>
                <w:szCs w:val="20"/>
              </w:rPr>
            </w:pPr>
            <w:r w:rsidRPr="008F31E5">
              <w:rPr>
                <w:sz w:val="18"/>
                <w:szCs w:val="20"/>
              </w:rPr>
              <w:t>Noted</w:t>
            </w:r>
            <w:r w:rsidR="007C54F2">
              <w:rPr>
                <w:sz w:val="18"/>
                <w:szCs w:val="20"/>
              </w:rPr>
              <w:t>.</w:t>
            </w:r>
          </w:p>
        </w:tc>
      </w:tr>
      <w:tr w:rsidR="00F74539" w:rsidRPr="008F31E5" w14:paraId="249F6C7E" w14:textId="77777777" w:rsidTr="00FE2CF6">
        <w:tc>
          <w:tcPr>
            <w:tcW w:w="1166" w:type="dxa"/>
          </w:tcPr>
          <w:p w14:paraId="4A8DA542" w14:textId="5E765112"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3709BE40" w14:textId="50BC8C52"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0BD47EF6" w14:textId="314790DB" w:rsidR="0070512E" w:rsidRPr="008F31E5" w:rsidRDefault="007C54F2" w:rsidP="008F31E5">
            <w:pPr>
              <w:pStyle w:val="BodyCopy"/>
              <w:spacing w:before="60" w:after="60"/>
              <w:rPr>
                <w:sz w:val="18"/>
                <w:szCs w:val="20"/>
              </w:rPr>
            </w:pPr>
            <w:r w:rsidRPr="008F31E5">
              <w:rPr>
                <w:sz w:val="18"/>
                <w:szCs w:val="20"/>
              </w:rPr>
              <w:t>Determination</w:t>
            </w:r>
            <w:r w:rsidR="0070512E" w:rsidRPr="008F31E5">
              <w:rPr>
                <w:sz w:val="18"/>
                <w:szCs w:val="20"/>
              </w:rPr>
              <w:t xml:space="preserve"> </w:t>
            </w:r>
            <w:r w:rsidR="00991F1F">
              <w:rPr>
                <w:sz w:val="18"/>
                <w:szCs w:val="20"/>
              </w:rPr>
              <w:t>o</w:t>
            </w:r>
            <w:r w:rsidR="0070512E" w:rsidRPr="008F31E5">
              <w:rPr>
                <w:sz w:val="18"/>
                <w:szCs w:val="20"/>
              </w:rPr>
              <w:t>pt</w:t>
            </w:r>
            <w:r>
              <w:rPr>
                <w:sz w:val="18"/>
                <w:szCs w:val="20"/>
              </w:rPr>
              <w:t>ion</w:t>
            </w:r>
            <w:r w:rsidR="004019B7">
              <w:rPr>
                <w:sz w:val="18"/>
                <w:szCs w:val="20"/>
              </w:rPr>
              <w:t>s</w:t>
            </w:r>
            <w:r w:rsidR="00321E50">
              <w:rPr>
                <w:sz w:val="18"/>
                <w:szCs w:val="20"/>
              </w:rPr>
              <w:t xml:space="preserve"> – </w:t>
            </w:r>
            <w:r w:rsidR="00991F1F">
              <w:rPr>
                <w:sz w:val="18"/>
                <w:szCs w:val="20"/>
              </w:rPr>
              <w:t>h</w:t>
            </w:r>
            <w:r w:rsidR="0070512E" w:rsidRPr="008F31E5">
              <w:rPr>
                <w:sz w:val="18"/>
                <w:szCs w:val="20"/>
              </w:rPr>
              <w:t>eavy vehicle cost base and implications for full cost recovery</w:t>
            </w:r>
          </w:p>
        </w:tc>
        <w:tc>
          <w:tcPr>
            <w:tcW w:w="7201" w:type="dxa"/>
          </w:tcPr>
          <w:p w14:paraId="72175172" w14:textId="4D3601B6" w:rsidR="0070512E" w:rsidRPr="008F31E5" w:rsidRDefault="0070512E" w:rsidP="008F31E5">
            <w:pPr>
              <w:pStyle w:val="BodyCopy"/>
              <w:spacing w:before="60" w:after="60"/>
              <w:rPr>
                <w:sz w:val="18"/>
                <w:szCs w:val="20"/>
              </w:rPr>
            </w:pPr>
            <w:r w:rsidRPr="008F31E5">
              <w:rPr>
                <w:sz w:val="18"/>
                <w:szCs w:val="20"/>
              </w:rPr>
              <w:t>The main issue that NatRoad highlights in consideration of these questions is that the CRIS notes:</w:t>
            </w:r>
            <w:r w:rsidRPr="008F31E5">
              <w:rPr>
                <w:sz w:val="18"/>
                <w:szCs w:val="20"/>
              </w:rPr>
              <w:br/>
              <w:t>Given that the cost base under all options is significantly above the revenue currently provided by heavy vehicle charges, it is unlikely that full cost recovery of the heavy vehicle cost base could be achieved immediately in 2022–23 under any of the three options.</w:t>
            </w:r>
            <w:r w:rsidRPr="008F31E5">
              <w:rPr>
                <w:sz w:val="18"/>
                <w:szCs w:val="20"/>
              </w:rPr>
              <w:br/>
            </w:r>
            <w:r w:rsidRPr="008F31E5">
              <w:rPr>
                <w:sz w:val="18"/>
                <w:szCs w:val="20"/>
              </w:rPr>
              <w:br/>
              <w:t>NatRoad believes that using the status quo and increasing the cost base by a fixed percentage, as outlined in paragraph 4 of this submission, is the best model whilst the HVRR process is bedded down. Hence our answers are that the status quo should be used for this determination but that there should be a fixed percentage increase only passed on to the sector.</w:t>
            </w:r>
          </w:p>
        </w:tc>
        <w:tc>
          <w:tcPr>
            <w:tcW w:w="3672" w:type="dxa"/>
            <w:gridSpan w:val="2"/>
          </w:tcPr>
          <w:p w14:paraId="039C7775" w14:textId="22432FF7"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551F8148" w14:textId="77777777" w:rsidTr="00FE2CF6">
        <w:tc>
          <w:tcPr>
            <w:tcW w:w="1166" w:type="dxa"/>
          </w:tcPr>
          <w:p w14:paraId="1311DEF7" w14:textId="7C10F8ED"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2FA35E42" w14:textId="6C5FFE0D"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2963CA1E" w14:textId="642B8503" w:rsidR="0070512E" w:rsidRPr="008F31E5" w:rsidRDefault="004F7DA1" w:rsidP="008F31E5">
            <w:pPr>
              <w:pStyle w:val="BodyCopy"/>
              <w:spacing w:before="60" w:after="60"/>
              <w:rPr>
                <w:sz w:val="18"/>
                <w:szCs w:val="20"/>
              </w:rPr>
            </w:pPr>
            <w:r w:rsidRPr="008F31E5">
              <w:rPr>
                <w:sz w:val="18"/>
                <w:szCs w:val="20"/>
              </w:rPr>
              <w:t xml:space="preserve">Determination </w:t>
            </w:r>
            <w:r w:rsidR="007C54F2">
              <w:rPr>
                <w:sz w:val="18"/>
                <w:szCs w:val="20"/>
              </w:rPr>
              <w:t>o</w:t>
            </w:r>
            <w:r w:rsidR="0070512E" w:rsidRPr="008F31E5">
              <w:rPr>
                <w:sz w:val="18"/>
                <w:szCs w:val="20"/>
              </w:rPr>
              <w:t>pt</w:t>
            </w:r>
            <w:r>
              <w:rPr>
                <w:sz w:val="18"/>
                <w:szCs w:val="20"/>
              </w:rPr>
              <w:t>ion</w:t>
            </w:r>
            <w:r w:rsidR="004019B7">
              <w:rPr>
                <w:sz w:val="18"/>
                <w:szCs w:val="20"/>
              </w:rPr>
              <w:t>s</w:t>
            </w:r>
            <w:r w:rsidR="00321E50">
              <w:rPr>
                <w:sz w:val="18"/>
                <w:szCs w:val="20"/>
              </w:rPr>
              <w:t xml:space="preserve"> – </w:t>
            </w:r>
            <w:r w:rsidR="00991F1F">
              <w:rPr>
                <w:sz w:val="18"/>
                <w:szCs w:val="20"/>
              </w:rPr>
              <w:t>h</w:t>
            </w:r>
            <w:r w:rsidR="0070512E" w:rsidRPr="008F31E5">
              <w:rPr>
                <w:sz w:val="18"/>
                <w:szCs w:val="20"/>
              </w:rPr>
              <w:t>eavy vehicle cost base and implications for full cost recovery</w:t>
            </w:r>
          </w:p>
        </w:tc>
        <w:tc>
          <w:tcPr>
            <w:tcW w:w="7201" w:type="dxa"/>
          </w:tcPr>
          <w:p w14:paraId="744DA6F4" w14:textId="68C5DB45" w:rsidR="0070512E" w:rsidRPr="008F31E5" w:rsidRDefault="0070512E" w:rsidP="008F31E5">
            <w:pPr>
              <w:pStyle w:val="BodyCopy"/>
              <w:spacing w:before="60" w:after="60"/>
              <w:rPr>
                <w:sz w:val="18"/>
                <w:szCs w:val="20"/>
              </w:rPr>
            </w:pPr>
            <w:r w:rsidRPr="008F31E5">
              <w:rPr>
                <w:sz w:val="18"/>
                <w:szCs w:val="20"/>
              </w:rPr>
              <w:t>Option B, which identifies the cost allocation matrix to allocate 70 per cent of costs in expenditure using ESA-km as proposed in the HoustonKemp report – ‘modified current’, while noting the report suffers from a range of data and methodological issues, attempts to redress some of the imbalances of cost allocation under the other options. Option B perhaps best reflects the cost associated with road wear and tear, consequential with heavy vehicle movement and therefore the cost bases for consideration in calculating the determination.</w:t>
            </w:r>
          </w:p>
        </w:tc>
        <w:tc>
          <w:tcPr>
            <w:tcW w:w="3672" w:type="dxa"/>
            <w:gridSpan w:val="2"/>
          </w:tcPr>
          <w:p w14:paraId="620AD879" w14:textId="0693E88E"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D8E331E" w14:textId="77777777" w:rsidTr="00FE2CF6">
        <w:tc>
          <w:tcPr>
            <w:tcW w:w="1166" w:type="dxa"/>
          </w:tcPr>
          <w:p w14:paraId="34AF9381" w14:textId="322A90B0" w:rsidR="0070512E" w:rsidRPr="008F31E5" w:rsidRDefault="0070512E" w:rsidP="008F31E5">
            <w:pPr>
              <w:pStyle w:val="BodyCopy"/>
              <w:spacing w:before="60" w:after="60"/>
              <w:rPr>
                <w:sz w:val="18"/>
                <w:szCs w:val="20"/>
              </w:rPr>
            </w:pPr>
            <w:r w:rsidRPr="008F31E5">
              <w:rPr>
                <w:sz w:val="18"/>
                <w:szCs w:val="20"/>
              </w:rPr>
              <w:t>Philip Laird</w:t>
            </w:r>
          </w:p>
        </w:tc>
        <w:tc>
          <w:tcPr>
            <w:tcW w:w="902" w:type="dxa"/>
          </w:tcPr>
          <w:p w14:paraId="4EBA885D" w14:textId="39A237E0"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650E4315" w14:textId="4D31ADA0"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6F305AA9" w14:textId="1EE6E7F1" w:rsidR="0070512E" w:rsidRPr="008F31E5" w:rsidRDefault="0070512E" w:rsidP="008F31E5">
            <w:pPr>
              <w:pStyle w:val="BodyCopy"/>
              <w:spacing w:before="60" w:after="60"/>
              <w:rPr>
                <w:sz w:val="18"/>
                <w:szCs w:val="20"/>
              </w:rPr>
            </w:pPr>
            <w:r w:rsidRPr="008F31E5">
              <w:rPr>
                <w:sz w:val="18"/>
                <w:szCs w:val="20"/>
              </w:rPr>
              <w:t>On page 76 of the 2021 consultation regulation impact statement, it is noted Percentage of total expenditure allocated to heavy vehicles (%) with Status quo for 2020–21 heavy vehicle charges is just 22.5 per cent. Option A allows the Allocated heavy vehicle cost base</w:t>
            </w:r>
            <w:r w:rsidR="00E80126">
              <w:rPr>
                <w:sz w:val="18"/>
                <w:szCs w:val="20"/>
              </w:rPr>
              <w:t xml:space="preserve"> </w:t>
            </w:r>
            <w:r w:rsidRPr="008F31E5">
              <w:rPr>
                <w:sz w:val="18"/>
                <w:szCs w:val="20"/>
              </w:rPr>
              <w:t>to fall to 21.7 per cent. This should be rejected. Option B suggests 23.3 per cent and Option C has 25.5 per cent.</w:t>
            </w:r>
            <w:r w:rsidRPr="008F31E5">
              <w:rPr>
                <w:sz w:val="18"/>
                <w:szCs w:val="20"/>
              </w:rPr>
              <w:br/>
            </w:r>
            <w:r w:rsidRPr="008F31E5">
              <w:rPr>
                <w:sz w:val="18"/>
                <w:szCs w:val="20"/>
              </w:rPr>
              <w:br/>
              <w:t>It is of note that in New Zealand, road user charges that are mostly imposed on heavy vehicles on a mass distance basis amounted to about 45 per cent of the total revenue of their Land Transport fund</w:t>
            </w:r>
            <w:r w:rsidR="00DC6D51">
              <w:rPr>
                <w:sz w:val="18"/>
                <w:szCs w:val="20"/>
              </w:rPr>
              <w:t xml:space="preserve"> </w:t>
            </w:r>
            <w:r w:rsidRPr="008F31E5">
              <w:rPr>
                <w:sz w:val="18"/>
                <w:szCs w:val="20"/>
              </w:rPr>
              <w:t>...</w:t>
            </w:r>
            <w:r w:rsidR="00DC6D51">
              <w:rPr>
                <w:sz w:val="18"/>
                <w:szCs w:val="20"/>
              </w:rPr>
              <w:t xml:space="preserve"> </w:t>
            </w:r>
            <w:r w:rsidRPr="008F31E5">
              <w:rPr>
                <w:sz w:val="18"/>
                <w:szCs w:val="20"/>
              </w:rPr>
              <w:t xml:space="preserve">A heavy six axle semitrailer in New Zealand pays $NZ589 </w:t>
            </w:r>
            <w:r w:rsidRPr="008F31E5">
              <w:rPr>
                <w:sz w:val="18"/>
                <w:szCs w:val="20"/>
              </w:rPr>
              <w:lastRenderedPageBreak/>
              <w:t>per 1</w:t>
            </w:r>
            <w:r w:rsidR="00E80126">
              <w:rPr>
                <w:sz w:val="18"/>
                <w:szCs w:val="20"/>
              </w:rPr>
              <w:t>,</w:t>
            </w:r>
            <w:r w:rsidRPr="008F31E5">
              <w:rPr>
                <w:sz w:val="18"/>
                <w:szCs w:val="20"/>
              </w:rPr>
              <w:t>000 km. This, at a conversion rate of $A1 = NZ1.05) is about 56 cents per vehicle km. In Australia</w:t>
            </w:r>
            <w:r w:rsidR="00DC6D51">
              <w:rPr>
                <w:sz w:val="18"/>
                <w:szCs w:val="20"/>
              </w:rPr>
              <w:t xml:space="preserve"> </w:t>
            </w:r>
            <w:r w:rsidRPr="008F31E5">
              <w:rPr>
                <w:sz w:val="18"/>
                <w:szCs w:val="20"/>
              </w:rPr>
              <w:t>...</w:t>
            </w:r>
            <w:r w:rsidR="00DC6D51">
              <w:rPr>
                <w:sz w:val="18"/>
                <w:szCs w:val="20"/>
              </w:rPr>
              <w:t xml:space="preserve"> </w:t>
            </w:r>
            <w:r w:rsidRPr="008F31E5">
              <w:rPr>
                <w:sz w:val="18"/>
                <w:szCs w:val="20"/>
              </w:rPr>
              <w:t>This works out at an average of 21.5 cents per vehicle km.</w:t>
            </w:r>
          </w:p>
        </w:tc>
        <w:tc>
          <w:tcPr>
            <w:tcW w:w="3672" w:type="dxa"/>
            <w:gridSpan w:val="2"/>
          </w:tcPr>
          <w:p w14:paraId="2D130406" w14:textId="405628B6" w:rsidR="0070512E" w:rsidRPr="008F31E5" w:rsidRDefault="0070512E" w:rsidP="008F31E5">
            <w:pPr>
              <w:pStyle w:val="BodyCopy"/>
              <w:spacing w:before="60" w:after="60"/>
              <w:rPr>
                <w:sz w:val="18"/>
                <w:szCs w:val="20"/>
              </w:rPr>
            </w:pPr>
            <w:r w:rsidRPr="008F31E5">
              <w:rPr>
                <w:sz w:val="18"/>
                <w:szCs w:val="20"/>
              </w:rPr>
              <w:lastRenderedPageBreak/>
              <w:t>Mass distance charging falls outside the scope of this heavy vehicle charges determination. It may also be worth noting that the New Zealand system may not be directly comparable to Australia</w:t>
            </w:r>
            <w:r w:rsidR="004F7DA1">
              <w:rPr>
                <w:sz w:val="18"/>
                <w:szCs w:val="20"/>
              </w:rPr>
              <w:t xml:space="preserve"> because</w:t>
            </w:r>
            <w:r w:rsidRPr="008F31E5">
              <w:rPr>
                <w:sz w:val="18"/>
                <w:szCs w:val="20"/>
              </w:rPr>
              <w:t xml:space="preserve"> Australia does not operate a land transport fund, and the nature of the network, expenditure levels and the configuration of the vehicle fleet are likely to be different.</w:t>
            </w:r>
          </w:p>
        </w:tc>
      </w:tr>
      <w:tr w:rsidR="00F74539" w:rsidRPr="008F31E5" w14:paraId="069A2AE2" w14:textId="77777777" w:rsidTr="00FE2CF6">
        <w:tc>
          <w:tcPr>
            <w:tcW w:w="1166" w:type="dxa"/>
          </w:tcPr>
          <w:p w14:paraId="634BF70A" w14:textId="25FD7BB1" w:rsidR="0070512E" w:rsidRPr="008F31E5" w:rsidRDefault="0070512E" w:rsidP="008F31E5">
            <w:pPr>
              <w:pStyle w:val="BodyCopy"/>
              <w:spacing w:before="60" w:after="60"/>
              <w:rPr>
                <w:sz w:val="18"/>
                <w:szCs w:val="20"/>
              </w:rPr>
            </w:pPr>
            <w:r w:rsidRPr="008F31E5">
              <w:rPr>
                <w:sz w:val="18"/>
                <w:szCs w:val="20"/>
              </w:rPr>
              <w:t>Philip Laird</w:t>
            </w:r>
          </w:p>
        </w:tc>
        <w:tc>
          <w:tcPr>
            <w:tcW w:w="902" w:type="dxa"/>
          </w:tcPr>
          <w:p w14:paraId="74511F1C" w14:textId="1F466FA8" w:rsidR="0070512E" w:rsidRPr="008F31E5" w:rsidRDefault="0070512E" w:rsidP="008F31E5">
            <w:pPr>
              <w:pStyle w:val="BodyCopy"/>
              <w:spacing w:before="60" w:after="60"/>
              <w:rPr>
                <w:sz w:val="18"/>
                <w:szCs w:val="20"/>
              </w:rPr>
            </w:pPr>
            <w:r w:rsidRPr="008F31E5">
              <w:rPr>
                <w:sz w:val="18"/>
                <w:szCs w:val="20"/>
              </w:rPr>
              <w:t>20</w:t>
            </w:r>
          </w:p>
        </w:tc>
        <w:tc>
          <w:tcPr>
            <w:tcW w:w="1171" w:type="dxa"/>
          </w:tcPr>
          <w:p w14:paraId="67236543" w14:textId="3542A349" w:rsidR="0070512E" w:rsidRPr="008F31E5" w:rsidRDefault="0070512E" w:rsidP="008F31E5">
            <w:pPr>
              <w:pStyle w:val="BodyCopy"/>
              <w:spacing w:before="60" w:after="60"/>
              <w:rPr>
                <w:sz w:val="18"/>
                <w:szCs w:val="20"/>
              </w:rPr>
            </w:pPr>
            <w:r w:rsidRPr="008F31E5">
              <w:rPr>
                <w:sz w:val="18"/>
                <w:szCs w:val="20"/>
              </w:rPr>
              <w:t>PAYGO</w:t>
            </w:r>
            <w:r w:rsidR="00321E50">
              <w:rPr>
                <w:sz w:val="18"/>
                <w:szCs w:val="20"/>
              </w:rPr>
              <w:t xml:space="preserve"> – </w:t>
            </w:r>
            <w:r w:rsidR="00991F1F">
              <w:rPr>
                <w:sz w:val="18"/>
                <w:szCs w:val="20"/>
              </w:rPr>
              <w:t>c</w:t>
            </w:r>
            <w:r w:rsidRPr="008F31E5">
              <w:rPr>
                <w:sz w:val="18"/>
                <w:szCs w:val="20"/>
              </w:rPr>
              <w:t>ost allocation</w:t>
            </w:r>
          </w:p>
        </w:tc>
        <w:tc>
          <w:tcPr>
            <w:tcW w:w="7201" w:type="dxa"/>
          </w:tcPr>
          <w:p w14:paraId="53F0B15A" w14:textId="2EC3AE4A" w:rsidR="0070512E" w:rsidRPr="008F31E5" w:rsidRDefault="0070512E" w:rsidP="008F31E5">
            <w:pPr>
              <w:pStyle w:val="BodyCopy"/>
              <w:spacing w:before="60" w:after="60"/>
              <w:rPr>
                <w:sz w:val="18"/>
                <w:szCs w:val="20"/>
              </w:rPr>
            </w:pPr>
            <w:r w:rsidRPr="008F31E5">
              <w:rPr>
                <w:sz w:val="18"/>
                <w:szCs w:val="20"/>
              </w:rPr>
              <w:t>Together, for these two classes of articulated trucks, a case can be made that their operation is in receipt of hidden subsidies exceeding $2.2 billion per year. Other classes of heavy trucks, where trucks are involved in hauling long distances each year, are also likely to be in receipt of hidden subsidies. With an estimated freight task for all articulated trucks of about 173 billion tonne km (AB</w:t>
            </w:r>
            <w:r w:rsidR="004F7DA1">
              <w:rPr>
                <w:sz w:val="18"/>
                <w:szCs w:val="20"/>
              </w:rPr>
              <w:t>S</w:t>
            </w:r>
            <w:r w:rsidRPr="008F31E5">
              <w:rPr>
                <w:sz w:val="18"/>
                <w:szCs w:val="20"/>
              </w:rPr>
              <w:t xml:space="preserve"> SMVU for 2019</w:t>
            </w:r>
            <w:r w:rsidR="00052D7C">
              <w:rPr>
                <w:sz w:val="18"/>
                <w:szCs w:val="20"/>
              </w:rPr>
              <w:t>–</w:t>
            </w:r>
            <w:r w:rsidRPr="008F31E5">
              <w:rPr>
                <w:sz w:val="18"/>
                <w:szCs w:val="20"/>
              </w:rPr>
              <w:t>20, there is an average deficit rate on road cost recovery from articulated freight vehicles of at least 1.25 cents per net tonne-km</w:t>
            </w:r>
            <w:r w:rsidR="00052D7C">
              <w:rPr>
                <w:sz w:val="18"/>
                <w:szCs w:val="20"/>
              </w:rPr>
              <w:t>’</w:t>
            </w:r>
            <w:r w:rsidRPr="008F31E5">
              <w:rPr>
                <w:sz w:val="18"/>
                <w:szCs w:val="20"/>
              </w:rPr>
              <w:t xml:space="preserve"> These estimates do not include external costs of air pollution, noise, emissions and road congestion and road trauma, of a similar order.</w:t>
            </w:r>
          </w:p>
        </w:tc>
        <w:tc>
          <w:tcPr>
            <w:tcW w:w="3672" w:type="dxa"/>
            <w:gridSpan w:val="2"/>
          </w:tcPr>
          <w:p w14:paraId="53D0A6C1" w14:textId="6A800420" w:rsidR="0070512E" w:rsidRPr="008F31E5" w:rsidRDefault="0070512E" w:rsidP="008F31E5">
            <w:pPr>
              <w:pStyle w:val="BodyCopy"/>
              <w:spacing w:before="60" w:after="60"/>
              <w:rPr>
                <w:sz w:val="18"/>
                <w:szCs w:val="20"/>
              </w:rPr>
            </w:pPr>
            <w:r w:rsidRPr="008F31E5">
              <w:rPr>
                <w:sz w:val="18"/>
                <w:szCs w:val="20"/>
              </w:rPr>
              <w:t>The model</w:t>
            </w:r>
            <w:r w:rsidR="007C54F2">
              <w:rPr>
                <w:sz w:val="18"/>
                <w:szCs w:val="20"/>
              </w:rPr>
              <w:t>’</w:t>
            </w:r>
            <w:r w:rsidRPr="008F31E5">
              <w:rPr>
                <w:sz w:val="18"/>
                <w:szCs w:val="20"/>
              </w:rPr>
              <w:t>s charges are set to avoid cross-subsidies (noting that the attributable cost will depend on the chosen cost allocation approach). In any case, charges have not been set based on the model for many years, and implementing even cost</w:t>
            </w:r>
            <w:r w:rsidR="007C54F2">
              <w:rPr>
                <w:sz w:val="18"/>
                <w:szCs w:val="20"/>
              </w:rPr>
              <w:t xml:space="preserve"> </w:t>
            </w:r>
            <w:r w:rsidRPr="008F31E5">
              <w:rPr>
                <w:sz w:val="18"/>
                <w:szCs w:val="20"/>
              </w:rPr>
              <w:t>recovery of the current cost base is likely to be challenging, let alone materially increasing it. Externalities have not been part of the charging system to date and are not in scope for the determination.</w:t>
            </w:r>
          </w:p>
        </w:tc>
      </w:tr>
      <w:tr w:rsidR="00F74539" w:rsidRPr="008F31E5" w14:paraId="6DA6EA56" w14:textId="77777777" w:rsidTr="00FE2CF6">
        <w:tc>
          <w:tcPr>
            <w:tcW w:w="1166" w:type="dxa"/>
          </w:tcPr>
          <w:p w14:paraId="636BE1BD" w14:textId="087F0148"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3CBFEDFF" w14:textId="6C364D5B" w:rsidR="0070512E" w:rsidRPr="008F31E5" w:rsidRDefault="0070512E" w:rsidP="008F31E5">
            <w:pPr>
              <w:pStyle w:val="BodyCopy"/>
              <w:spacing w:before="60" w:after="60"/>
              <w:rPr>
                <w:sz w:val="18"/>
                <w:szCs w:val="20"/>
              </w:rPr>
            </w:pPr>
            <w:r w:rsidRPr="008F31E5">
              <w:rPr>
                <w:sz w:val="18"/>
                <w:szCs w:val="20"/>
              </w:rPr>
              <w:t>21</w:t>
            </w:r>
          </w:p>
        </w:tc>
        <w:tc>
          <w:tcPr>
            <w:tcW w:w="1171" w:type="dxa"/>
          </w:tcPr>
          <w:p w14:paraId="2A1A1D6A" w14:textId="200DFF84" w:rsidR="0070512E" w:rsidRPr="008F31E5" w:rsidRDefault="0070512E" w:rsidP="008F31E5">
            <w:pPr>
              <w:pStyle w:val="BodyCopy"/>
              <w:spacing w:before="60" w:after="60"/>
              <w:rPr>
                <w:sz w:val="18"/>
                <w:szCs w:val="20"/>
              </w:rPr>
            </w:pPr>
            <w:r w:rsidRPr="008F31E5">
              <w:rPr>
                <w:sz w:val="18"/>
                <w:szCs w:val="20"/>
              </w:rPr>
              <w:t>Other</w:t>
            </w:r>
          </w:p>
        </w:tc>
        <w:tc>
          <w:tcPr>
            <w:tcW w:w="7201" w:type="dxa"/>
          </w:tcPr>
          <w:p w14:paraId="46E733D0" w14:textId="64155BAF" w:rsidR="0070512E" w:rsidRPr="008F31E5" w:rsidRDefault="0070512E" w:rsidP="008F31E5">
            <w:pPr>
              <w:pStyle w:val="BodyCopy"/>
              <w:spacing w:before="60" w:after="60"/>
              <w:rPr>
                <w:sz w:val="18"/>
                <w:szCs w:val="20"/>
              </w:rPr>
            </w:pPr>
            <w:r w:rsidRPr="008F31E5">
              <w:rPr>
                <w:sz w:val="18"/>
                <w:szCs w:val="20"/>
              </w:rPr>
              <w:t>Given the innovation and accelerated development occurring in respect of electric vehicles, the cost recovery mechanism implied within the PAYGO model of diesel excise has a limited life span before it will be unable to recovery even the incremental costs of heavy vehicle usage. This will create a funding crisis for road managers and governments; as well as exacerbating the market failure already present in the freight market due to the under recovery of heavy vehicle costs imposed on the network and economy as a whole.</w:t>
            </w:r>
            <w:r w:rsidRPr="008F31E5">
              <w:rPr>
                <w:sz w:val="18"/>
                <w:szCs w:val="20"/>
              </w:rPr>
              <w:br/>
            </w:r>
            <w:r w:rsidRPr="008F31E5">
              <w:rPr>
                <w:sz w:val="18"/>
                <w:szCs w:val="20"/>
              </w:rPr>
              <w:br/>
              <w:t>ARTC therefore urges the NTC, as part of its recommendations to the Infrastructure Transport Ministers Meeting, to accelerate the process of HVRR to ensure the funding mechanisms reflect usage, and the inherent market failure the current funding mechanism drives is addressed.</w:t>
            </w:r>
          </w:p>
        </w:tc>
        <w:tc>
          <w:tcPr>
            <w:tcW w:w="3672" w:type="dxa"/>
            <w:gridSpan w:val="2"/>
          </w:tcPr>
          <w:p w14:paraId="2EBB9744" w14:textId="26B0BE33" w:rsidR="0070512E" w:rsidRPr="008F31E5" w:rsidRDefault="0070512E" w:rsidP="008F31E5">
            <w:pPr>
              <w:pStyle w:val="BodyCopy"/>
              <w:spacing w:before="60" w:after="60"/>
              <w:rPr>
                <w:sz w:val="18"/>
                <w:szCs w:val="20"/>
              </w:rPr>
            </w:pPr>
            <w:r w:rsidRPr="008F31E5">
              <w:rPr>
                <w:sz w:val="18"/>
                <w:szCs w:val="20"/>
              </w:rPr>
              <w:t>Noted. While the NTC understands that electric heavy vehicles will become more important as time goes on (currently estimated at 0.03</w:t>
            </w:r>
            <w:r w:rsidR="007C54F2">
              <w:rPr>
                <w:sz w:val="18"/>
                <w:szCs w:val="20"/>
              </w:rPr>
              <w:t xml:space="preserve"> per cent</w:t>
            </w:r>
            <w:r w:rsidRPr="008F31E5">
              <w:rPr>
                <w:sz w:val="18"/>
                <w:szCs w:val="20"/>
              </w:rPr>
              <w:t xml:space="preserve"> of the national heavy vehicle fleet), changes to the charging mechanisms are out of scope for this determination but is being considered under HVRR. HVRR is being led by the Commonwealth (in partnership with jurisdictions) and the pace of this reform will be determined by </w:t>
            </w:r>
            <w:r w:rsidR="007C54F2">
              <w:rPr>
                <w:sz w:val="18"/>
                <w:szCs w:val="20"/>
              </w:rPr>
              <w:t>m</w:t>
            </w:r>
            <w:r w:rsidRPr="008F31E5">
              <w:rPr>
                <w:sz w:val="18"/>
                <w:szCs w:val="20"/>
              </w:rPr>
              <w:t>inisters</w:t>
            </w:r>
            <w:r w:rsidR="007C54F2">
              <w:rPr>
                <w:sz w:val="18"/>
                <w:szCs w:val="20"/>
              </w:rPr>
              <w:t>’</w:t>
            </w:r>
            <w:r w:rsidRPr="008F31E5">
              <w:rPr>
                <w:sz w:val="18"/>
                <w:szCs w:val="20"/>
              </w:rPr>
              <w:t xml:space="preserve"> decisions.</w:t>
            </w:r>
          </w:p>
        </w:tc>
      </w:tr>
      <w:tr w:rsidR="00F74539" w:rsidRPr="008F31E5" w14:paraId="53491B71" w14:textId="77777777" w:rsidTr="00FE2CF6">
        <w:tc>
          <w:tcPr>
            <w:tcW w:w="1166" w:type="dxa"/>
          </w:tcPr>
          <w:p w14:paraId="3778CEE4" w14:textId="0B60E1AE"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30A5DF2A" w14:textId="7A428747" w:rsidR="0070512E" w:rsidRPr="008F31E5" w:rsidRDefault="0070512E" w:rsidP="008F31E5">
            <w:pPr>
              <w:pStyle w:val="BodyCopy"/>
              <w:spacing w:before="60" w:after="60"/>
              <w:rPr>
                <w:sz w:val="18"/>
                <w:szCs w:val="20"/>
              </w:rPr>
            </w:pPr>
            <w:r w:rsidRPr="008F31E5">
              <w:rPr>
                <w:sz w:val="18"/>
                <w:szCs w:val="20"/>
              </w:rPr>
              <w:t>21</w:t>
            </w:r>
          </w:p>
        </w:tc>
        <w:tc>
          <w:tcPr>
            <w:tcW w:w="1171" w:type="dxa"/>
          </w:tcPr>
          <w:p w14:paraId="666F1C08" w14:textId="0B44AF51"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991F1F">
              <w:rPr>
                <w:sz w:val="18"/>
                <w:szCs w:val="20"/>
              </w:rPr>
              <w:t>o</w:t>
            </w:r>
            <w:r w:rsidRPr="008F31E5">
              <w:rPr>
                <w:sz w:val="18"/>
                <w:szCs w:val="20"/>
              </w:rPr>
              <w:t>ptions (</w:t>
            </w:r>
            <w:r w:rsidR="007C54F2">
              <w:rPr>
                <w:sz w:val="18"/>
                <w:szCs w:val="20"/>
              </w:rPr>
              <w:t>g</w:t>
            </w:r>
            <w:r w:rsidRPr="008F31E5">
              <w:rPr>
                <w:sz w:val="18"/>
                <w:szCs w:val="20"/>
              </w:rPr>
              <w:t>eneral)</w:t>
            </w:r>
          </w:p>
        </w:tc>
        <w:tc>
          <w:tcPr>
            <w:tcW w:w="7201" w:type="dxa"/>
          </w:tcPr>
          <w:p w14:paraId="4F934D93" w14:textId="194CCA31" w:rsidR="0070512E" w:rsidRPr="008F31E5" w:rsidRDefault="0070512E" w:rsidP="008F31E5">
            <w:pPr>
              <w:pStyle w:val="BodyCopy"/>
              <w:spacing w:before="60" w:after="60"/>
              <w:rPr>
                <w:sz w:val="18"/>
                <w:szCs w:val="20"/>
              </w:rPr>
            </w:pPr>
            <w:r w:rsidRPr="008F31E5">
              <w:rPr>
                <w:sz w:val="18"/>
                <w:szCs w:val="20"/>
              </w:rPr>
              <w:t>There should also be an option that uses 2% annual charge increases, to widen the detailed choices available to Ministers. This may marginally reduce the rate of cost recovery</w:t>
            </w:r>
            <w:r w:rsidR="004F7DA1">
              <w:rPr>
                <w:sz w:val="18"/>
                <w:szCs w:val="20"/>
              </w:rPr>
              <w:t>,</w:t>
            </w:r>
            <w:r w:rsidRPr="008F31E5">
              <w:rPr>
                <w:sz w:val="18"/>
                <w:szCs w:val="20"/>
              </w:rPr>
              <w:t xml:space="preserve"> but the current economic circumstances are not suited to lifting cost recovery rates. The NTC report shows that HV revenues exceeded allocated costs for a few years prior to 2017</w:t>
            </w:r>
            <w:r w:rsidR="00DC6D51">
              <w:rPr>
                <w:sz w:val="18"/>
                <w:szCs w:val="20"/>
              </w:rPr>
              <w:t>–</w:t>
            </w:r>
            <w:r w:rsidRPr="008F31E5">
              <w:rPr>
                <w:sz w:val="18"/>
                <w:szCs w:val="20"/>
              </w:rPr>
              <w:t>18 than fell short of these costs for some years. In other words, these things change over time, sometimes delivering a surplus, so there is no imperative to lift the cost-recovery rate at present, when industry is under pressure, such as the touring bus sector, which has been severely impacted by COVID.</w:t>
            </w:r>
          </w:p>
        </w:tc>
        <w:tc>
          <w:tcPr>
            <w:tcW w:w="3672" w:type="dxa"/>
            <w:gridSpan w:val="2"/>
          </w:tcPr>
          <w:p w14:paraId="6113E51B" w14:textId="4AF22F3A"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1CB2859" w14:textId="77777777" w:rsidTr="00FE2CF6">
        <w:tc>
          <w:tcPr>
            <w:tcW w:w="1166" w:type="dxa"/>
          </w:tcPr>
          <w:p w14:paraId="36AEA7B3" w14:textId="1EBE7E5E"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65645C36" w14:textId="654CAC4C" w:rsidR="0070512E" w:rsidRPr="008F31E5" w:rsidRDefault="0070512E" w:rsidP="008F31E5">
            <w:pPr>
              <w:pStyle w:val="BodyCopy"/>
              <w:spacing w:before="60" w:after="60"/>
              <w:rPr>
                <w:sz w:val="18"/>
                <w:szCs w:val="20"/>
              </w:rPr>
            </w:pPr>
            <w:r w:rsidRPr="008F31E5">
              <w:rPr>
                <w:sz w:val="18"/>
                <w:szCs w:val="20"/>
              </w:rPr>
              <w:t>21</w:t>
            </w:r>
          </w:p>
        </w:tc>
        <w:tc>
          <w:tcPr>
            <w:tcW w:w="1171" w:type="dxa"/>
          </w:tcPr>
          <w:p w14:paraId="563269D1" w14:textId="2759E935"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991F1F">
              <w:rPr>
                <w:sz w:val="18"/>
                <w:szCs w:val="20"/>
              </w:rPr>
              <w:t>o</w:t>
            </w:r>
            <w:r w:rsidRPr="008F31E5">
              <w:rPr>
                <w:sz w:val="18"/>
                <w:szCs w:val="20"/>
              </w:rPr>
              <w:t>ptions (</w:t>
            </w:r>
            <w:r w:rsidR="00991F1F">
              <w:rPr>
                <w:sz w:val="18"/>
                <w:szCs w:val="20"/>
              </w:rPr>
              <w:t>g</w:t>
            </w:r>
            <w:r w:rsidRPr="008F31E5">
              <w:rPr>
                <w:sz w:val="18"/>
                <w:szCs w:val="20"/>
              </w:rPr>
              <w:t>eneral)</w:t>
            </w:r>
          </w:p>
        </w:tc>
        <w:tc>
          <w:tcPr>
            <w:tcW w:w="7201" w:type="dxa"/>
          </w:tcPr>
          <w:p w14:paraId="67126DD6" w14:textId="04F6F875" w:rsidR="0070512E" w:rsidRPr="008F31E5" w:rsidRDefault="0070512E" w:rsidP="008F31E5">
            <w:pPr>
              <w:pStyle w:val="BodyCopy"/>
              <w:spacing w:before="60" w:after="60"/>
              <w:rPr>
                <w:sz w:val="18"/>
                <w:szCs w:val="20"/>
              </w:rPr>
            </w:pPr>
            <w:r w:rsidRPr="008F31E5">
              <w:rPr>
                <w:sz w:val="18"/>
                <w:szCs w:val="20"/>
              </w:rPr>
              <w:t>Moving to a better measure of cost recovery for all road users should form part of the HVRR process.</w:t>
            </w:r>
          </w:p>
        </w:tc>
        <w:tc>
          <w:tcPr>
            <w:tcW w:w="3672" w:type="dxa"/>
            <w:gridSpan w:val="2"/>
          </w:tcPr>
          <w:p w14:paraId="490C8EB2" w14:textId="480AA0D5"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629677F" w14:textId="77777777" w:rsidTr="00FE2CF6">
        <w:tc>
          <w:tcPr>
            <w:tcW w:w="1166" w:type="dxa"/>
          </w:tcPr>
          <w:p w14:paraId="69D77E19" w14:textId="0D02B1CB" w:rsidR="0070512E" w:rsidRPr="008F31E5" w:rsidRDefault="0070512E" w:rsidP="008F31E5">
            <w:pPr>
              <w:pStyle w:val="BodyCopy"/>
              <w:spacing w:before="60" w:after="60"/>
              <w:rPr>
                <w:sz w:val="18"/>
                <w:szCs w:val="20"/>
              </w:rPr>
            </w:pPr>
            <w:r w:rsidRPr="008F31E5">
              <w:rPr>
                <w:sz w:val="18"/>
                <w:szCs w:val="20"/>
              </w:rPr>
              <w:lastRenderedPageBreak/>
              <w:t>NHVR</w:t>
            </w:r>
          </w:p>
        </w:tc>
        <w:tc>
          <w:tcPr>
            <w:tcW w:w="902" w:type="dxa"/>
          </w:tcPr>
          <w:p w14:paraId="0B0D85E4" w14:textId="497AC30A" w:rsidR="0070512E" w:rsidRPr="008F31E5" w:rsidRDefault="0070512E" w:rsidP="008F31E5">
            <w:pPr>
              <w:pStyle w:val="BodyCopy"/>
              <w:spacing w:before="60" w:after="60"/>
              <w:rPr>
                <w:sz w:val="18"/>
                <w:szCs w:val="20"/>
              </w:rPr>
            </w:pPr>
            <w:r w:rsidRPr="008F31E5">
              <w:rPr>
                <w:sz w:val="18"/>
                <w:szCs w:val="20"/>
              </w:rPr>
              <w:t>21</w:t>
            </w:r>
          </w:p>
        </w:tc>
        <w:tc>
          <w:tcPr>
            <w:tcW w:w="1171" w:type="dxa"/>
          </w:tcPr>
          <w:p w14:paraId="20D62929" w14:textId="52E41851"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991F1F">
              <w:rPr>
                <w:sz w:val="18"/>
                <w:szCs w:val="20"/>
              </w:rPr>
              <w:t>o</w:t>
            </w:r>
            <w:r w:rsidRPr="008F31E5">
              <w:rPr>
                <w:sz w:val="18"/>
                <w:szCs w:val="20"/>
              </w:rPr>
              <w:t>ptions (</w:t>
            </w:r>
            <w:r w:rsidR="00991F1F">
              <w:rPr>
                <w:sz w:val="18"/>
                <w:szCs w:val="20"/>
              </w:rPr>
              <w:t>g</w:t>
            </w:r>
            <w:r w:rsidRPr="008F31E5">
              <w:rPr>
                <w:sz w:val="18"/>
                <w:szCs w:val="20"/>
              </w:rPr>
              <w:t>eneral)</w:t>
            </w:r>
          </w:p>
        </w:tc>
        <w:tc>
          <w:tcPr>
            <w:tcW w:w="7201" w:type="dxa"/>
          </w:tcPr>
          <w:p w14:paraId="52F5DF9D" w14:textId="11A651BC" w:rsidR="0070512E" w:rsidRPr="008F31E5" w:rsidRDefault="0070512E" w:rsidP="008F31E5">
            <w:pPr>
              <w:pStyle w:val="BodyCopy"/>
              <w:spacing w:before="60" w:after="60"/>
              <w:rPr>
                <w:sz w:val="18"/>
                <w:szCs w:val="20"/>
              </w:rPr>
            </w:pPr>
            <w:r w:rsidRPr="008F31E5">
              <w:rPr>
                <w:sz w:val="18"/>
                <w:szCs w:val="20"/>
              </w:rPr>
              <w:t>The NTC has offered a comprehensive review of various implementation options. The adoption of any of the implementation options will depend on the risk appetite of ITMM in managing industry expectations in a COVID-19 environment. Each implementation option offers its own risks and benefits in pursuing the principles and methods that ensure the delivery of full cost recovery in aggregate. The NTC has presented several indexation adjustment arrangements to ensure the ongoing delivery of full expenditure recovery, and recognises the transition to any new arrangement may require a phased approach.</w:t>
            </w:r>
          </w:p>
        </w:tc>
        <w:tc>
          <w:tcPr>
            <w:tcW w:w="3672" w:type="dxa"/>
            <w:gridSpan w:val="2"/>
          </w:tcPr>
          <w:p w14:paraId="3D905C15" w14:textId="5AC8E045"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73C3EC7" w14:textId="77777777" w:rsidTr="00FE2CF6">
        <w:tc>
          <w:tcPr>
            <w:tcW w:w="1166" w:type="dxa"/>
          </w:tcPr>
          <w:p w14:paraId="5D74531E" w14:textId="3B6B83D3"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52A599E3" w14:textId="059931E6"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360D7A33" w14:textId="538F6806" w:rsidR="0070512E" w:rsidRPr="008F31E5" w:rsidRDefault="0070512E" w:rsidP="008F31E5">
            <w:pPr>
              <w:pStyle w:val="BodyCopy"/>
              <w:spacing w:before="60" w:after="60"/>
              <w:rPr>
                <w:sz w:val="18"/>
                <w:szCs w:val="20"/>
              </w:rPr>
            </w:pPr>
            <w:r w:rsidRPr="008F31E5">
              <w:rPr>
                <w:sz w:val="18"/>
                <w:szCs w:val="20"/>
              </w:rPr>
              <w:t xml:space="preserve">Pricing </w:t>
            </w:r>
            <w:r w:rsidR="00991F1F">
              <w:rPr>
                <w:sz w:val="18"/>
                <w:szCs w:val="20"/>
              </w:rPr>
              <w:t>p</w:t>
            </w:r>
            <w:r w:rsidRPr="008F31E5">
              <w:rPr>
                <w:sz w:val="18"/>
                <w:szCs w:val="20"/>
              </w:rPr>
              <w:t>rinciples</w:t>
            </w:r>
          </w:p>
        </w:tc>
        <w:tc>
          <w:tcPr>
            <w:tcW w:w="7201" w:type="dxa"/>
          </w:tcPr>
          <w:p w14:paraId="3E15BD1C" w14:textId="5D5C93CD" w:rsidR="0070512E" w:rsidRPr="008F31E5" w:rsidRDefault="0070512E" w:rsidP="008F31E5">
            <w:pPr>
              <w:pStyle w:val="BodyCopy"/>
              <w:spacing w:before="60" w:after="60"/>
              <w:rPr>
                <w:sz w:val="18"/>
                <w:szCs w:val="20"/>
              </w:rPr>
            </w:pPr>
            <w:r w:rsidRPr="008F31E5">
              <w:rPr>
                <w:sz w:val="18"/>
                <w:szCs w:val="20"/>
              </w:rPr>
              <w:t>It is important to understand that these pricing principles hint at the need to take account of some external benefits and costs, in particular congestion and impacts on regional and remote communities, the latter being referenced under equity. However, the NTC focus is primarily on heavy vehicle (HV) charging being about recovery of allocated expenditures. Surprisingly, congestion does not seem to get a mention by the NTC in the development of its charging options, even though it is specifically mentioned in the principles. Matters such as mobility-related social inclusion, an increasing concern in outer urban and regional areas and an important equity issue, is also not considered in the report, other than indirectly through the rural and remote lens. However, that spatial setting is essentially about costs of servicing regional and remote communities for freight, rather than personal mobility for social inclusion. The principles thus encourage a focus on equity for freight services to particular communities but ignore equity in terms of person movement.</w:t>
            </w:r>
            <w:r w:rsidRPr="008F31E5">
              <w:rPr>
                <w:sz w:val="18"/>
                <w:szCs w:val="20"/>
              </w:rPr>
              <w:br/>
            </w:r>
            <w:r w:rsidRPr="008F31E5">
              <w:rPr>
                <w:sz w:val="18"/>
                <w:szCs w:val="20"/>
              </w:rPr>
              <w:br/>
              <w:t xml:space="preserve">The neglect of externalities and social inclusion in the NTC deliberations means that the resulting set of charges cannot be called economically efficient: all that can be said of them is that they will recover all, or most, of road construction, maintenance, regulatory and related costs that have been allocated to heavy vehicles. With externalities being of increasing magnitude in the transport sector, particularly in urban areas (e.g. Stanley and Hensher 2011), it is time that charging principles recognised their importance and </w:t>
            </w:r>
            <w:r w:rsidR="00DD44EB">
              <w:rPr>
                <w:sz w:val="18"/>
                <w:szCs w:val="20"/>
              </w:rPr>
              <w:t>m</w:t>
            </w:r>
            <w:r w:rsidRPr="008F31E5">
              <w:rPr>
                <w:sz w:val="18"/>
                <w:szCs w:val="20"/>
              </w:rPr>
              <w:t xml:space="preserve">inisters directed the NTC to take them into account in charge setting. As shown in </w:t>
            </w:r>
            <w:r w:rsidR="00DD44EB">
              <w:rPr>
                <w:sz w:val="18"/>
                <w:szCs w:val="20"/>
              </w:rPr>
              <w:t>s</w:t>
            </w:r>
            <w:r w:rsidRPr="008F31E5">
              <w:rPr>
                <w:sz w:val="18"/>
                <w:szCs w:val="20"/>
              </w:rPr>
              <w:t>ection 3, this is important for the bus sector, where market failures (particularly externalities and social inclusion) are a primary reason for many services. This contrasts with the truck sector, where commercial principles are the basis of function and externalities are more about getting safety standards and emissions standards properly set. There are mechanisms in place to achieve the latter adjustments, albeit that they often lag international best practice (e.g. air quality and related vehicular emissions).</w:t>
            </w:r>
          </w:p>
        </w:tc>
        <w:tc>
          <w:tcPr>
            <w:tcW w:w="3672" w:type="dxa"/>
            <w:gridSpan w:val="2"/>
          </w:tcPr>
          <w:p w14:paraId="6304B90E" w14:textId="6750AF8D" w:rsidR="0070512E" w:rsidRPr="008F31E5" w:rsidRDefault="0070512E" w:rsidP="008F31E5">
            <w:pPr>
              <w:pStyle w:val="BodyCopy"/>
              <w:spacing w:before="60" w:after="60"/>
              <w:rPr>
                <w:sz w:val="18"/>
                <w:szCs w:val="20"/>
              </w:rPr>
            </w:pPr>
            <w:r w:rsidRPr="008F31E5">
              <w:rPr>
                <w:sz w:val="18"/>
                <w:szCs w:val="20"/>
              </w:rPr>
              <w:t xml:space="preserve">Noted. Changing the current charging mechanism to reflect externalities is out of scope for the current determination. Also, given the localised nature of many externalities (e.g. fine particles, congestion) trying to manage the externality through a national charge that applies regardless of location would not be appropriate. </w:t>
            </w:r>
          </w:p>
        </w:tc>
      </w:tr>
      <w:tr w:rsidR="00F74539" w:rsidRPr="008F31E5" w14:paraId="33DC77CC" w14:textId="77777777" w:rsidTr="00FE2CF6">
        <w:tc>
          <w:tcPr>
            <w:tcW w:w="1166" w:type="dxa"/>
          </w:tcPr>
          <w:p w14:paraId="6D413953" w14:textId="26AD0FA5"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7A41079B" w14:textId="611C012C"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2BCDB939" w14:textId="1DD9F214" w:rsidR="0070512E" w:rsidRPr="008F31E5" w:rsidRDefault="0070512E" w:rsidP="008F31E5">
            <w:pPr>
              <w:pStyle w:val="BodyCopy"/>
              <w:spacing w:before="60" w:after="60"/>
              <w:rPr>
                <w:sz w:val="18"/>
                <w:szCs w:val="20"/>
              </w:rPr>
            </w:pPr>
            <w:r w:rsidRPr="008F31E5">
              <w:rPr>
                <w:sz w:val="18"/>
                <w:szCs w:val="20"/>
              </w:rPr>
              <w:t xml:space="preserve">Pricing </w:t>
            </w:r>
            <w:r w:rsidR="00991F1F">
              <w:rPr>
                <w:sz w:val="18"/>
                <w:szCs w:val="20"/>
              </w:rPr>
              <w:t>p</w:t>
            </w:r>
            <w:r w:rsidRPr="008F31E5">
              <w:rPr>
                <w:sz w:val="18"/>
                <w:szCs w:val="20"/>
              </w:rPr>
              <w:t>rinciples</w:t>
            </w:r>
          </w:p>
        </w:tc>
        <w:tc>
          <w:tcPr>
            <w:tcW w:w="7201" w:type="dxa"/>
          </w:tcPr>
          <w:p w14:paraId="0E47998D" w14:textId="60B90392" w:rsidR="0070512E" w:rsidRPr="008F31E5" w:rsidRDefault="0070512E" w:rsidP="008F31E5">
            <w:pPr>
              <w:pStyle w:val="BodyCopy"/>
              <w:spacing w:before="60" w:after="60"/>
              <w:rPr>
                <w:sz w:val="18"/>
                <w:szCs w:val="20"/>
              </w:rPr>
            </w:pPr>
            <w:r w:rsidRPr="008F31E5">
              <w:rPr>
                <w:sz w:val="18"/>
                <w:szCs w:val="20"/>
              </w:rPr>
              <w:t xml:space="preserve">If the core pricing principles under which the NTC is required to frame its determination are accepted, the choice of a preferred approach between these three </w:t>
            </w:r>
            <w:r w:rsidR="00DC6D51">
              <w:rPr>
                <w:sz w:val="18"/>
                <w:szCs w:val="20"/>
              </w:rPr>
              <w:t>o</w:t>
            </w:r>
            <w:r w:rsidRPr="008F31E5">
              <w:rPr>
                <w:sz w:val="18"/>
                <w:szCs w:val="20"/>
              </w:rPr>
              <w:t>ptions is largely a matter of deciding which option best reflects the way heavy vehicles impact road expenditure levels and which is likely to be most politically palatable, recogni</w:t>
            </w:r>
            <w:r w:rsidR="00DC6D51">
              <w:rPr>
                <w:sz w:val="18"/>
                <w:szCs w:val="20"/>
              </w:rPr>
              <w:t>s</w:t>
            </w:r>
            <w:r w:rsidRPr="008F31E5">
              <w:rPr>
                <w:sz w:val="18"/>
                <w:szCs w:val="20"/>
              </w:rPr>
              <w:t>ing some of the matters flagged in the pricing principles.</w:t>
            </w:r>
          </w:p>
        </w:tc>
        <w:tc>
          <w:tcPr>
            <w:tcW w:w="3672" w:type="dxa"/>
            <w:gridSpan w:val="2"/>
          </w:tcPr>
          <w:p w14:paraId="6BDA6187" w14:textId="1D6B9110"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0B2CF61" w14:textId="77777777" w:rsidTr="00FE2CF6">
        <w:tc>
          <w:tcPr>
            <w:tcW w:w="1166" w:type="dxa"/>
          </w:tcPr>
          <w:p w14:paraId="2BEC9B69" w14:textId="583DE62F"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2F12DDDE" w14:textId="0A65CCCE"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01D65582" w14:textId="6AFDE2C1" w:rsidR="0070512E" w:rsidRPr="008F31E5" w:rsidRDefault="0070512E" w:rsidP="008F31E5">
            <w:pPr>
              <w:pStyle w:val="BodyCopy"/>
              <w:spacing w:before="60" w:after="60"/>
              <w:rPr>
                <w:sz w:val="18"/>
                <w:szCs w:val="20"/>
              </w:rPr>
            </w:pPr>
            <w:r w:rsidRPr="008F31E5">
              <w:rPr>
                <w:sz w:val="18"/>
                <w:szCs w:val="20"/>
              </w:rPr>
              <w:t xml:space="preserve">Pricing </w:t>
            </w:r>
            <w:r w:rsidR="00991F1F">
              <w:rPr>
                <w:sz w:val="18"/>
                <w:szCs w:val="20"/>
              </w:rPr>
              <w:t>p</w:t>
            </w:r>
            <w:r w:rsidRPr="008F31E5">
              <w:rPr>
                <w:sz w:val="18"/>
                <w:szCs w:val="20"/>
              </w:rPr>
              <w:t>rinciples</w:t>
            </w:r>
          </w:p>
        </w:tc>
        <w:tc>
          <w:tcPr>
            <w:tcW w:w="7201" w:type="dxa"/>
          </w:tcPr>
          <w:p w14:paraId="169B1720" w14:textId="053625A2" w:rsidR="0070512E" w:rsidRPr="008F31E5" w:rsidRDefault="0070512E" w:rsidP="008F31E5">
            <w:pPr>
              <w:pStyle w:val="BodyCopy"/>
              <w:spacing w:before="60" w:after="60"/>
              <w:rPr>
                <w:sz w:val="18"/>
                <w:szCs w:val="20"/>
              </w:rPr>
            </w:pPr>
            <w:r w:rsidRPr="008F31E5">
              <w:rPr>
                <w:sz w:val="18"/>
                <w:szCs w:val="20"/>
              </w:rPr>
              <w:t>A pricing floor can be set, given the NTC’s pricing principles, by attributable costs. If some vehicle classes were priced on this basis, then charges on others would need to increase to achieve a given cost recovery target, unless a reduction in the overall cost recovery rate was acceptable. Table 1 showed that apparent under-recovery for bus can be linked to the level of non-attributable costs, estimated at $66.7m under Option B (setting to one side here concerns about ESA-kms in cost attribution and their effect on bus costs). Within a total cost base of $4</w:t>
            </w:r>
            <w:r w:rsidR="004F7DA1">
              <w:rPr>
                <w:sz w:val="18"/>
                <w:szCs w:val="20"/>
              </w:rPr>
              <w:t>,</w:t>
            </w:r>
            <w:r w:rsidRPr="008F31E5">
              <w:rPr>
                <w:sz w:val="18"/>
                <w:szCs w:val="20"/>
              </w:rPr>
              <w:t xml:space="preserve">018m, this level of non-attributable costs is trifling, accounting for only 1.7% of total costs. Hence, pricing bus at attributable costs, as might be warranted because of its external benefits (as discussed in </w:t>
            </w:r>
            <w:r w:rsidR="00DD44EB">
              <w:rPr>
                <w:sz w:val="18"/>
                <w:szCs w:val="20"/>
              </w:rPr>
              <w:t>s</w:t>
            </w:r>
            <w:r w:rsidRPr="008F31E5">
              <w:rPr>
                <w:sz w:val="18"/>
                <w:szCs w:val="20"/>
              </w:rPr>
              <w:t>ection 4.3) would have very little impact on charges for other HV classes, within a given cost recovery target.</w:t>
            </w:r>
            <w:r w:rsidRPr="008F31E5">
              <w:rPr>
                <w:sz w:val="18"/>
                <w:szCs w:val="20"/>
              </w:rPr>
              <w:br/>
            </w:r>
            <w:r w:rsidRPr="008F31E5">
              <w:rPr>
                <w:sz w:val="18"/>
                <w:szCs w:val="20"/>
              </w:rPr>
              <w:br/>
              <w:t>It should be reiterated that the apparent level of under-recovery from bus is heavily influenced by the way ESA-kms are handled in the cost allocation process, which is contestable. Detailed review of that cost allocation process, and of the way regulatory costs are distributed, both seem likely to reduce costs that are recoverable from bus...</w:t>
            </w:r>
            <w:r w:rsidRPr="008F31E5">
              <w:rPr>
                <w:sz w:val="18"/>
                <w:szCs w:val="20"/>
              </w:rPr>
              <w:br/>
            </w:r>
            <w:r w:rsidRPr="008F31E5">
              <w:rPr>
                <w:sz w:val="18"/>
                <w:szCs w:val="20"/>
              </w:rPr>
              <w:br/>
              <w:t>...</w:t>
            </w:r>
            <w:r w:rsidR="00DC6D51">
              <w:rPr>
                <w:sz w:val="18"/>
                <w:szCs w:val="20"/>
              </w:rPr>
              <w:t xml:space="preserve"> </w:t>
            </w:r>
            <w:r w:rsidRPr="008F31E5">
              <w:rPr>
                <w:sz w:val="18"/>
                <w:szCs w:val="20"/>
              </w:rPr>
              <w:t>Table 4 suggests that, of the $222m costs attributed to bus, $179m are associated with ESA-kms, of which $150m are costs allocated to 2-axle buses &gt; 10 tonnes ($150 million). Getting the attribution factors right for this cost driver is critical for bus charging, particularly for the 2-axle buses on which route and school bus services rely. Economically efficient pricing requires that cost allocation is got right, so a detailed review of cost allocation processes should be an early priority, particularly as this impacts bus charges. Importantly, Table 1 suggests that 2-axle buses are paying $46m less than their allocated costs, which Table 4 suggests is the level of their non-attributable costs. In short, they are paying their attributable costs, even on the ESA-km allocation basis that hits bus hard. The same conclusion applies to 3-axle buses.</w:t>
            </w:r>
          </w:p>
        </w:tc>
        <w:tc>
          <w:tcPr>
            <w:tcW w:w="3672" w:type="dxa"/>
            <w:gridSpan w:val="2"/>
          </w:tcPr>
          <w:p w14:paraId="56D2D143" w14:textId="43EB24F2" w:rsidR="0070512E" w:rsidRPr="008F31E5" w:rsidRDefault="0070512E" w:rsidP="008F31E5">
            <w:pPr>
              <w:pStyle w:val="BodyCopy"/>
              <w:spacing w:before="60" w:after="60"/>
              <w:rPr>
                <w:sz w:val="18"/>
                <w:szCs w:val="20"/>
              </w:rPr>
            </w:pPr>
            <w:r w:rsidRPr="008F31E5">
              <w:rPr>
                <w:sz w:val="18"/>
                <w:szCs w:val="20"/>
              </w:rPr>
              <w:t>Noted. Most categories of buses have charges set to recover attributable costs (the minimum necessary increases) under the direct implementation option, given the technical changes proposed in the C-RIS. Regulatory costs are set separately and are not part of the attributable or the non-attributable (common) costs.</w:t>
            </w:r>
          </w:p>
        </w:tc>
      </w:tr>
      <w:tr w:rsidR="00F74539" w:rsidRPr="008F31E5" w14:paraId="2C04346C" w14:textId="77777777" w:rsidTr="00FE2CF6">
        <w:tc>
          <w:tcPr>
            <w:tcW w:w="1166" w:type="dxa"/>
          </w:tcPr>
          <w:p w14:paraId="16CAA67D" w14:textId="59B49095"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7761D2C3" w14:textId="7E6EA9D0"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7EDF7C5F" w14:textId="1623FFAE" w:rsidR="0070512E" w:rsidRPr="008F31E5" w:rsidRDefault="0070512E" w:rsidP="008F31E5">
            <w:pPr>
              <w:pStyle w:val="BodyCopy"/>
              <w:spacing w:before="60" w:after="60"/>
              <w:rPr>
                <w:sz w:val="18"/>
                <w:szCs w:val="20"/>
              </w:rPr>
            </w:pPr>
            <w:r w:rsidRPr="008F31E5">
              <w:rPr>
                <w:sz w:val="18"/>
                <w:szCs w:val="20"/>
              </w:rPr>
              <w:t xml:space="preserve">Pricing </w:t>
            </w:r>
            <w:r w:rsidR="00991F1F">
              <w:rPr>
                <w:sz w:val="18"/>
                <w:szCs w:val="20"/>
              </w:rPr>
              <w:t>p</w:t>
            </w:r>
            <w:r w:rsidRPr="008F31E5">
              <w:rPr>
                <w:sz w:val="18"/>
                <w:szCs w:val="20"/>
              </w:rPr>
              <w:t>rinciples</w:t>
            </w:r>
          </w:p>
        </w:tc>
        <w:tc>
          <w:tcPr>
            <w:tcW w:w="7201" w:type="dxa"/>
          </w:tcPr>
          <w:p w14:paraId="5EB33A54" w14:textId="5664C9FB" w:rsidR="0070512E" w:rsidRPr="008F31E5" w:rsidRDefault="0070512E" w:rsidP="008F31E5">
            <w:pPr>
              <w:pStyle w:val="BodyCopy"/>
              <w:spacing w:before="60" w:after="60"/>
              <w:rPr>
                <w:sz w:val="18"/>
                <w:szCs w:val="20"/>
              </w:rPr>
            </w:pPr>
            <w:r w:rsidRPr="008F31E5">
              <w:rPr>
                <w:sz w:val="18"/>
                <w:szCs w:val="20"/>
              </w:rPr>
              <w:t xml:space="preserve">The pricing principles set out </w:t>
            </w:r>
            <w:r w:rsidR="00DD44EB">
              <w:rPr>
                <w:sz w:val="18"/>
                <w:szCs w:val="20"/>
              </w:rPr>
              <w:t>in</w:t>
            </w:r>
            <w:r w:rsidRPr="008F31E5">
              <w:rPr>
                <w:sz w:val="18"/>
                <w:szCs w:val="20"/>
              </w:rPr>
              <w:t xml:space="preserve"> </w:t>
            </w:r>
            <w:r w:rsidR="00DD44EB">
              <w:rPr>
                <w:sz w:val="18"/>
                <w:szCs w:val="20"/>
              </w:rPr>
              <w:t>s</w:t>
            </w:r>
            <w:r w:rsidRPr="008F31E5">
              <w:rPr>
                <w:sz w:val="18"/>
                <w:szCs w:val="20"/>
              </w:rPr>
              <w:t>ection 2 are primarily about financial cost recovery of HV road related expenditures, subject to concerns about economically efficient charges for road use by heavy vehicles. Economically efficient charges would take account of road expenditures that are attributable to heavy vehicles, as identified by NTC (particularly the modified cost base option) but should also consider any external costs and benefits associated with road use by particular classes of HVs. There are two issues here: first, what is the size of any such external benefits; secondly, should these external benefits be reflected in HV road charges or are they better recognised some other way, such as through fare setting where public transport is involved.</w:t>
            </w:r>
            <w:r w:rsidRPr="008F31E5">
              <w:rPr>
                <w:sz w:val="18"/>
                <w:szCs w:val="20"/>
              </w:rPr>
              <w:br/>
            </w:r>
            <w:r w:rsidRPr="008F31E5">
              <w:rPr>
                <w:sz w:val="18"/>
                <w:szCs w:val="20"/>
              </w:rPr>
              <w:br/>
              <w:t>Taking urban bus as an example, Stanley and Hensher (2011) estimated the following external benefits from Melbourne’s route bus services (in 2010 prices)</w:t>
            </w:r>
            <w:r w:rsidR="00DC6D51">
              <w:rPr>
                <w:sz w:val="18"/>
                <w:szCs w:val="20"/>
              </w:rPr>
              <w:t xml:space="preserve"> </w:t>
            </w:r>
            <w:r w:rsidRPr="008F31E5">
              <w:rPr>
                <w:sz w:val="18"/>
                <w:szCs w:val="20"/>
              </w:rPr>
              <w:t>...</w:t>
            </w:r>
            <w:r w:rsidR="00DC6D51">
              <w:rPr>
                <w:sz w:val="18"/>
                <w:szCs w:val="20"/>
              </w:rPr>
              <w:t xml:space="preserve"> </w:t>
            </w:r>
            <w:r w:rsidRPr="008F31E5">
              <w:rPr>
                <w:sz w:val="18"/>
                <w:szCs w:val="20"/>
              </w:rPr>
              <w:t>$1</w:t>
            </w:r>
            <w:r w:rsidR="004F7DA1">
              <w:rPr>
                <w:sz w:val="18"/>
                <w:szCs w:val="20"/>
              </w:rPr>
              <w:t>,</w:t>
            </w:r>
            <w:r w:rsidRPr="008F31E5">
              <w:rPr>
                <w:sz w:val="18"/>
                <w:szCs w:val="20"/>
              </w:rPr>
              <w:t>408 MILLION</w:t>
            </w:r>
            <w:r w:rsidR="00DC6D51">
              <w:rPr>
                <w:sz w:val="18"/>
                <w:szCs w:val="20"/>
              </w:rPr>
              <w:t xml:space="preserve"> </w:t>
            </w:r>
            <w:r w:rsidRPr="008F31E5">
              <w:rPr>
                <w:sz w:val="18"/>
                <w:szCs w:val="20"/>
              </w:rPr>
              <w:t>...</w:t>
            </w:r>
            <w:r w:rsidR="00DC6D51">
              <w:rPr>
                <w:sz w:val="18"/>
                <w:szCs w:val="20"/>
              </w:rPr>
              <w:t xml:space="preserve"> </w:t>
            </w:r>
            <w:r w:rsidRPr="008F31E5">
              <w:rPr>
                <w:sz w:val="18"/>
                <w:szCs w:val="20"/>
              </w:rPr>
              <w:t xml:space="preserve">Given that there were about one million bus trips at the time, this amounts to about $14 external benefit per bus trip. While social inclusion benefits account for just over half this benefit, congestion cost savings (from getting people out of their cars), environmental </w:t>
            </w:r>
            <w:r w:rsidRPr="008F31E5">
              <w:rPr>
                <w:sz w:val="18"/>
                <w:szCs w:val="20"/>
              </w:rPr>
              <w:lastRenderedPageBreak/>
              <w:t>benefits and accident benefits were worth a substantial $6.24 per bus trip (in 2010 prices). This could be increased to around $8 per trip in 2020 values for the latter three benefits, or $18 per trip if social inclusion benefits are added, as they should be for bus (this is the major societal benefit of route buses)...</w:t>
            </w:r>
            <w:r w:rsidRPr="008F31E5">
              <w:rPr>
                <w:sz w:val="18"/>
                <w:szCs w:val="20"/>
              </w:rPr>
              <w:br/>
            </w:r>
            <w:r w:rsidRPr="008F31E5">
              <w:rPr>
                <w:sz w:val="18"/>
                <w:szCs w:val="20"/>
              </w:rPr>
              <w:br/>
              <w:t>...</w:t>
            </w:r>
            <w:r w:rsidR="00DC6D51">
              <w:rPr>
                <w:sz w:val="18"/>
                <w:szCs w:val="20"/>
              </w:rPr>
              <w:t xml:space="preserve"> </w:t>
            </w:r>
            <w:r w:rsidRPr="008F31E5">
              <w:rPr>
                <w:sz w:val="18"/>
                <w:szCs w:val="20"/>
              </w:rPr>
              <w:t>Increasing road use charges on route services is likely to lead to a small reduction in service levels, if governments decided to pass on these cost increases through higher fares (given pressures on state government budgets from which the net costs of such services are usually met). Any such fare increases would create an associated loss of external benefits. For example, implementation of the direct implementation price pathway has been estimated to increase total bus operating costs per bus by 1.08 percentage points</w:t>
            </w:r>
            <w:r w:rsidR="004F7DA1">
              <w:rPr>
                <w:sz w:val="18"/>
                <w:szCs w:val="20"/>
              </w:rPr>
              <w:t xml:space="preserve"> </w:t>
            </w:r>
            <w:r w:rsidRPr="008F31E5">
              <w:rPr>
                <w:sz w:val="18"/>
                <w:szCs w:val="20"/>
              </w:rPr>
              <w:t>...</w:t>
            </w:r>
            <w:r w:rsidR="004F7DA1">
              <w:rPr>
                <w:sz w:val="18"/>
                <w:szCs w:val="20"/>
              </w:rPr>
              <w:t xml:space="preserve"> </w:t>
            </w:r>
            <w:r w:rsidRPr="008F31E5">
              <w:rPr>
                <w:sz w:val="18"/>
                <w:szCs w:val="20"/>
              </w:rPr>
              <w:t>The external benefits forgone would amount to around $6 million annually in Melbourne alone (or probably around $30 million nationally)</w:t>
            </w:r>
            <w:r w:rsidR="00DC6D51">
              <w:rPr>
                <w:sz w:val="18"/>
                <w:szCs w:val="20"/>
              </w:rPr>
              <w:t xml:space="preserve"> </w:t>
            </w:r>
            <w:r w:rsidRPr="008F31E5">
              <w:rPr>
                <w:sz w:val="18"/>
                <w:szCs w:val="20"/>
              </w:rPr>
              <w:t>...</w:t>
            </w:r>
            <w:r w:rsidRPr="008F31E5">
              <w:rPr>
                <w:sz w:val="18"/>
                <w:szCs w:val="20"/>
              </w:rPr>
              <w:br/>
            </w:r>
            <w:r w:rsidRPr="008F31E5">
              <w:rPr>
                <w:sz w:val="18"/>
                <w:szCs w:val="20"/>
              </w:rPr>
              <w:br/>
              <w:t>...</w:t>
            </w:r>
            <w:r w:rsidR="00DC6D51">
              <w:rPr>
                <w:sz w:val="18"/>
                <w:szCs w:val="20"/>
              </w:rPr>
              <w:t xml:space="preserve"> </w:t>
            </w:r>
            <w:r w:rsidRPr="008F31E5">
              <w:rPr>
                <w:sz w:val="18"/>
                <w:szCs w:val="20"/>
              </w:rPr>
              <w:t>The loss of external benefits that would accompany higher road use charges, if state and territory governments chose to increase fares to meet the higher charges, is an argument in favour of bus charge increases being a little less than for other vehicle classes, unless they too can demonstrate external benefits from operation. This will generally be difficult, since trucking operations are essentially commercial, with external costs such as congestion costs, greenhouse gas emissions and air pollution the most likely externalities, in this case all being external costs rather than benefits. Road-based public transport is in a different situation, its rationale being in large part about providing external benefits, by correcting market failures associated with the external costs of motor vehicle use and delivering the merit good value of social inclusion (Stanley and Stanley 2021). As a matter of general pricing principles, it can be argued that external benefits from public transport operation should be taken into account in the fare setting process, as IPART seeks to do in NSW, rather than through the way that charges are set for road use. However, when increased road user charges are likely to lead to a reduction in the external benefits flowing from bus operation, as is to be expected at least to some degree, then this seems likely to distort efficient resource allocation across the HV sector, because the trucking sector is very highly unlikely to be able to point to similar external benefits (external costs are more likely in the case of trucking).</w:t>
            </w:r>
          </w:p>
        </w:tc>
        <w:tc>
          <w:tcPr>
            <w:tcW w:w="3672" w:type="dxa"/>
            <w:gridSpan w:val="2"/>
          </w:tcPr>
          <w:p w14:paraId="1CD17F0F" w14:textId="60197310"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38283B41" w14:textId="77777777" w:rsidTr="00FE2CF6">
        <w:tc>
          <w:tcPr>
            <w:tcW w:w="1166" w:type="dxa"/>
          </w:tcPr>
          <w:p w14:paraId="385BE222" w14:textId="7F1B9977"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37FF1675" w14:textId="76758C7E"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500D53C1" w14:textId="71964087"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991F1F">
              <w:rPr>
                <w:sz w:val="18"/>
                <w:szCs w:val="20"/>
              </w:rPr>
              <w:t>o</w:t>
            </w:r>
            <w:r w:rsidRPr="008F31E5">
              <w:rPr>
                <w:sz w:val="18"/>
                <w:szCs w:val="20"/>
              </w:rPr>
              <w:t>ptions (</w:t>
            </w:r>
            <w:r w:rsidR="00991F1F">
              <w:rPr>
                <w:sz w:val="18"/>
                <w:szCs w:val="20"/>
              </w:rPr>
              <w:t>g</w:t>
            </w:r>
            <w:r w:rsidRPr="008F31E5">
              <w:rPr>
                <w:sz w:val="18"/>
                <w:szCs w:val="20"/>
              </w:rPr>
              <w:t>eneral)</w:t>
            </w:r>
          </w:p>
        </w:tc>
        <w:tc>
          <w:tcPr>
            <w:tcW w:w="7201" w:type="dxa"/>
          </w:tcPr>
          <w:p w14:paraId="2A52F75E" w14:textId="4371787D" w:rsidR="0070512E" w:rsidRPr="008F31E5" w:rsidRDefault="0070512E" w:rsidP="008F31E5">
            <w:pPr>
              <w:pStyle w:val="BodyCopy"/>
              <w:spacing w:before="60" w:after="60"/>
              <w:rPr>
                <w:sz w:val="18"/>
                <w:szCs w:val="20"/>
              </w:rPr>
            </w:pPr>
            <w:r w:rsidRPr="008F31E5">
              <w:rPr>
                <w:sz w:val="18"/>
                <w:szCs w:val="20"/>
              </w:rPr>
              <w:t>The assessment is quite comprehensive but does not identify how severely the bus sector, and particularly the hard-working route/school bus and charter/touring sectors, will be affected by the changes in the cost allocation approach. This is a serious equity and efficiency issue (e.g. bus produces many external benefits, some of which will be lost if the charges that are set out proceed). Given constraints on available charging instruments (there are only two), then changes to implementation pathways are one way to help mitigate such concentrated inequitable impacts but, as noted above, revised registration charges are probably a preferrable option, having the benefit of being vehicle-class specific.</w:t>
            </w:r>
          </w:p>
        </w:tc>
        <w:tc>
          <w:tcPr>
            <w:tcW w:w="3672" w:type="dxa"/>
            <w:gridSpan w:val="2"/>
          </w:tcPr>
          <w:p w14:paraId="4BE8AC56" w14:textId="4B600A06" w:rsidR="0070512E" w:rsidRPr="008F31E5" w:rsidRDefault="0070512E" w:rsidP="008F31E5">
            <w:pPr>
              <w:pStyle w:val="BodyCopy"/>
              <w:spacing w:before="60" w:after="60"/>
              <w:rPr>
                <w:sz w:val="18"/>
                <w:szCs w:val="20"/>
              </w:rPr>
            </w:pPr>
            <w:r w:rsidRPr="008F31E5">
              <w:rPr>
                <w:sz w:val="18"/>
                <w:szCs w:val="20"/>
              </w:rPr>
              <w:t>Noted (see previous responses).</w:t>
            </w:r>
          </w:p>
        </w:tc>
      </w:tr>
      <w:tr w:rsidR="00F74539" w:rsidRPr="008F31E5" w14:paraId="31FD102F" w14:textId="77777777" w:rsidTr="00FE2CF6">
        <w:tc>
          <w:tcPr>
            <w:tcW w:w="1166" w:type="dxa"/>
          </w:tcPr>
          <w:p w14:paraId="7A76088C" w14:textId="60DB554D" w:rsidR="0070512E" w:rsidRPr="008F31E5" w:rsidRDefault="0070512E" w:rsidP="008F31E5">
            <w:pPr>
              <w:pStyle w:val="BodyCopy"/>
              <w:spacing w:before="60" w:after="60"/>
              <w:rPr>
                <w:sz w:val="18"/>
                <w:szCs w:val="20"/>
              </w:rPr>
            </w:pPr>
            <w:r w:rsidRPr="008F31E5">
              <w:rPr>
                <w:sz w:val="18"/>
                <w:szCs w:val="20"/>
              </w:rPr>
              <w:lastRenderedPageBreak/>
              <w:t>NatRoad</w:t>
            </w:r>
          </w:p>
        </w:tc>
        <w:tc>
          <w:tcPr>
            <w:tcW w:w="902" w:type="dxa"/>
          </w:tcPr>
          <w:p w14:paraId="1D32DE32" w14:textId="169BA866"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4382D70A" w14:textId="5485D359"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991F1F">
              <w:rPr>
                <w:sz w:val="18"/>
                <w:szCs w:val="20"/>
              </w:rPr>
              <w:t>o</w:t>
            </w:r>
            <w:r w:rsidRPr="008F31E5">
              <w:rPr>
                <w:sz w:val="18"/>
                <w:szCs w:val="20"/>
              </w:rPr>
              <w:t>ptions (</w:t>
            </w:r>
            <w:r w:rsidR="00991F1F">
              <w:rPr>
                <w:sz w:val="18"/>
                <w:szCs w:val="20"/>
              </w:rPr>
              <w:t>g</w:t>
            </w:r>
            <w:r w:rsidRPr="008F31E5">
              <w:rPr>
                <w:sz w:val="18"/>
                <w:szCs w:val="20"/>
              </w:rPr>
              <w:t>eneral)</w:t>
            </w:r>
          </w:p>
        </w:tc>
        <w:tc>
          <w:tcPr>
            <w:tcW w:w="7201" w:type="dxa"/>
          </w:tcPr>
          <w:p w14:paraId="0D80814A" w14:textId="4245A720" w:rsidR="0070512E" w:rsidRPr="008F31E5" w:rsidRDefault="0070512E" w:rsidP="008F31E5">
            <w:pPr>
              <w:pStyle w:val="BodyCopy"/>
              <w:spacing w:before="60" w:after="60"/>
              <w:rPr>
                <w:sz w:val="18"/>
                <w:szCs w:val="20"/>
              </w:rPr>
            </w:pPr>
            <w:r w:rsidRPr="008F31E5">
              <w:rPr>
                <w:sz w:val="18"/>
                <w:szCs w:val="20"/>
              </w:rPr>
              <w:t>We agree with the observation in the CRIS that:</w:t>
            </w:r>
            <w:r w:rsidRPr="008F31E5">
              <w:rPr>
                <w:sz w:val="18"/>
                <w:szCs w:val="20"/>
              </w:rPr>
              <w:br/>
              <w:t>Example 1 of the three-year fixed price path implementation approach (3.5 per cent increase per annum) would minimise the impact on industry and makes some progress towards increasing heavy vehicle charges in line with the recent average yearly growth in the heavy vehicle cost base. While it is unlikely to fully comply with the cost recovery mandate provided by the pricing principles, it scores highly in terms of considering the impact on industry and regional and remote communities.</w:t>
            </w:r>
            <w:r w:rsidRPr="008F31E5">
              <w:rPr>
                <w:sz w:val="18"/>
                <w:szCs w:val="20"/>
              </w:rPr>
              <w:br/>
            </w:r>
            <w:r w:rsidRPr="008F31E5">
              <w:rPr>
                <w:sz w:val="18"/>
                <w:szCs w:val="20"/>
              </w:rPr>
              <w:br/>
              <w:t>Question 22 is not relevant having regard to our answer to Questions 21 and 24.</w:t>
            </w:r>
          </w:p>
        </w:tc>
        <w:tc>
          <w:tcPr>
            <w:tcW w:w="3672" w:type="dxa"/>
            <w:gridSpan w:val="2"/>
          </w:tcPr>
          <w:p w14:paraId="15ECA184" w14:textId="3E6D6085"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39389BF4" w14:textId="77777777" w:rsidTr="00FE2CF6">
        <w:tc>
          <w:tcPr>
            <w:tcW w:w="1166" w:type="dxa"/>
          </w:tcPr>
          <w:p w14:paraId="54629CA3" w14:textId="59645A8A"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661FF094" w14:textId="6C9816CF"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725D5606" w14:textId="392AF1F5"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f</w:t>
            </w:r>
            <w:r w:rsidR="0070512E" w:rsidRPr="008F31E5">
              <w:rPr>
                <w:sz w:val="18"/>
                <w:szCs w:val="20"/>
              </w:rPr>
              <w:t>inancial and fiscal implications</w:t>
            </w:r>
          </w:p>
        </w:tc>
        <w:tc>
          <w:tcPr>
            <w:tcW w:w="7201" w:type="dxa"/>
          </w:tcPr>
          <w:p w14:paraId="01BA127A" w14:textId="76305D9F" w:rsidR="0070512E" w:rsidRPr="008F31E5" w:rsidRDefault="0070512E" w:rsidP="008F31E5">
            <w:pPr>
              <w:pStyle w:val="BodyCopy"/>
              <w:spacing w:before="60" w:after="60"/>
              <w:rPr>
                <w:sz w:val="18"/>
                <w:szCs w:val="20"/>
              </w:rPr>
            </w:pPr>
            <w:r w:rsidRPr="008F31E5">
              <w:rPr>
                <w:sz w:val="18"/>
                <w:szCs w:val="20"/>
              </w:rPr>
              <w:t>The NHVR notes that cost recovery over time in an efficient and equitable manner remains the goal of the determination. We support any funding commitment derived from the determination that will help improve heavy vehicle safety and productivity outcomes through focused government investments.</w:t>
            </w:r>
            <w:r w:rsidRPr="008F31E5">
              <w:rPr>
                <w:sz w:val="18"/>
                <w:szCs w:val="20"/>
              </w:rPr>
              <w:br/>
            </w:r>
            <w:r w:rsidRPr="008F31E5">
              <w:rPr>
                <w:sz w:val="18"/>
                <w:szCs w:val="20"/>
              </w:rPr>
              <w:br/>
              <w:t>Of particular importance for the NHVR is ensuring that the determination and the resultant registration fees has a positive impact on the uptake of safer and more productive heavy vehicles, and continuing to ensure the NHVR has the necessary funding to undertake its critical role in ensuring heavy vehicle safety outcomes are achieved.</w:t>
            </w:r>
            <w:r w:rsidRPr="008F31E5">
              <w:rPr>
                <w:sz w:val="18"/>
                <w:szCs w:val="20"/>
              </w:rPr>
              <w:br/>
            </w:r>
            <w:r w:rsidRPr="008F31E5">
              <w:rPr>
                <w:sz w:val="18"/>
                <w:szCs w:val="20"/>
              </w:rPr>
              <w:br/>
              <w:t>We know matching of revenue to expense is difficult and determining heavy vehicle charges is a complex problem for governments and industry.</w:t>
            </w:r>
          </w:p>
        </w:tc>
        <w:tc>
          <w:tcPr>
            <w:tcW w:w="3672" w:type="dxa"/>
            <w:gridSpan w:val="2"/>
          </w:tcPr>
          <w:p w14:paraId="5A63942E" w14:textId="4B744623"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2ACAE887" w14:textId="77777777" w:rsidTr="00FE2CF6">
        <w:tc>
          <w:tcPr>
            <w:tcW w:w="1166" w:type="dxa"/>
          </w:tcPr>
          <w:p w14:paraId="4BC3B80E" w14:textId="79F24BBA"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2E78D7D0" w14:textId="21B00786" w:rsidR="0070512E" w:rsidRPr="008F31E5" w:rsidRDefault="0070512E" w:rsidP="008F31E5">
            <w:pPr>
              <w:pStyle w:val="BodyCopy"/>
              <w:spacing w:before="60" w:after="60"/>
              <w:rPr>
                <w:sz w:val="18"/>
                <w:szCs w:val="20"/>
              </w:rPr>
            </w:pPr>
            <w:r w:rsidRPr="008F31E5">
              <w:rPr>
                <w:sz w:val="18"/>
                <w:szCs w:val="20"/>
              </w:rPr>
              <w:t>22</w:t>
            </w:r>
          </w:p>
        </w:tc>
        <w:tc>
          <w:tcPr>
            <w:tcW w:w="1171" w:type="dxa"/>
          </w:tcPr>
          <w:p w14:paraId="6CFC2186" w14:textId="3A16F6FB"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objectives</w:t>
            </w:r>
          </w:p>
        </w:tc>
        <w:tc>
          <w:tcPr>
            <w:tcW w:w="7201" w:type="dxa"/>
          </w:tcPr>
          <w:p w14:paraId="1F9EFF27" w14:textId="1AE16F59" w:rsidR="0070512E" w:rsidRPr="008F31E5" w:rsidRDefault="0070512E" w:rsidP="008F31E5">
            <w:pPr>
              <w:pStyle w:val="BodyCopy"/>
              <w:spacing w:before="60" w:after="60"/>
              <w:rPr>
                <w:sz w:val="18"/>
                <w:szCs w:val="20"/>
              </w:rPr>
            </w:pPr>
            <w:r w:rsidRPr="008F31E5">
              <w:rPr>
                <w:sz w:val="18"/>
                <w:szCs w:val="20"/>
              </w:rPr>
              <w:t>The NTC has canvassed a range of implementation options identifying cost impact to industry. Finding the right balance in managing this complex issue is challenging given all the variabilities that need to be considered.</w:t>
            </w:r>
          </w:p>
        </w:tc>
        <w:tc>
          <w:tcPr>
            <w:tcW w:w="3672" w:type="dxa"/>
            <w:gridSpan w:val="2"/>
          </w:tcPr>
          <w:p w14:paraId="31AF3D2E" w14:textId="384EEDF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1E14F71A" w14:textId="77777777" w:rsidTr="00FE2CF6">
        <w:tc>
          <w:tcPr>
            <w:tcW w:w="1166" w:type="dxa"/>
          </w:tcPr>
          <w:p w14:paraId="45473C37" w14:textId="5F50187A" w:rsidR="0070512E" w:rsidRPr="008F31E5" w:rsidRDefault="0070512E" w:rsidP="008F31E5">
            <w:pPr>
              <w:pStyle w:val="BodyCopy"/>
              <w:spacing w:before="60" w:after="60"/>
              <w:rPr>
                <w:sz w:val="18"/>
                <w:szCs w:val="20"/>
              </w:rPr>
            </w:pPr>
            <w:r w:rsidRPr="008F31E5">
              <w:rPr>
                <w:sz w:val="18"/>
                <w:szCs w:val="20"/>
              </w:rPr>
              <w:t>ALC</w:t>
            </w:r>
          </w:p>
        </w:tc>
        <w:tc>
          <w:tcPr>
            <w:tcW w:w="902" w:type="dxa"/>
          </w:tcPr>
          <w:p w14:paraId="58DDD429" w14:textId="791D7120"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5120FBFD" w14:textId="369D9044" w:rsidR="0070512E" w:rsidRPr="008F31E5" w:rsidRDefault="0070512E" w:rsidP="008F31E5">
            <w:pPr>
              <w:pStyle w:val="BodyCopy"/>
              <w:spacing w:before="60" w:after="60"/>
              <w:rPr>
                <w:sz w:val="18"/>
                <w:szCs w:val="20"/>
              </w:rPr>
            </w:pPr>
            <w:r w:rsidRPr="008F31E5">
              <w:rPr>
                <w:sz w:val="18"/>
                <w:szCs w:val="20"/>
              </w:rPr>
              <w:t xml:space="preserve">Impl. </w:t>
            </w:r>
            <w:r w:rsidR="00991F1F">
              <w:rPr>
                <w:sz w:val="18"/>
                <w:szCs w:val="20"/>
              </w:rPr>
              <w:t>o</w:t>
            </w:r>
            <w:r w:rsidRPr="008F31E5">
              <w:rPr>
                <w:sz w:val="18"/>
                <w:szCs w:val="20"/>
              </w:rPr>
              <w:t>pt.</w:t>
            </w:r>
            <w:r w:rsidR="00321E50">
              <w:rPr>
                <w:sz w:val="18"/>
                <w:szCs w:val="20"/>
              </w:rPr>
              <w:t xml:space="preserve"> – </w:t>
            </w:r>
            <w:r w:rsidR="00991F1F">
              <w:rPr>
                <w:sz w:val="18"/>
                <w:szCs w:val="20"/>
              </w:rPr>
              <w:t>m</w:t>
            </w:r>
            <w:r w:rsidRPr="008F31E5">
              <w:rPr>
                <w:sz w:val="18"/>
                <w:szCs w:val="20"/>
              </w:rPr>
              <w:t>ulti-year pr</w:t>
            </w:r>
            <w:r w:rsidR="00DC6D51">
              <w:rPr>
                <w:sz w:val="18"/>
                <w:szCs w:val="20"/>
              </w:rPr>
              <w:t>i</w:t>
            </w:r>
            <w:r w:rsidRPr="008F31E5">
              <w:rPr>
                <w:sz w:val="18"/>
                <w:szCs w:val="20"/>
              </w:rPr>
              <w:t>ce periods</w:t>
            </w:r>
          </w:p>
        </w:tc>
        <w:tc>
          <w:tcPr>
            <w:tcW w:w="7201" w:type="dxa"/>
          </w:tcPr>
          <w:p w14:paraId="7970039B" w14:textId="557967F9" w:rsidR="0070512E" w:rsidRPr="008F31E5" w:rsidRDefault="0070512E" w:rsidP="008F31E5">
            <w:pPr>
              <w:pStyle w:val="BodyCopy"/>
              <w:spacing w:before="60" w:after="60"/>
              <w:rPr>
                <w:sz w:val="18"/>
                <w:szCs w:val="20"/>
              </w:rPr>
            </w:pPr>
            <w:r w:rsidRPr="008F31E5">
              <w:rPr>
                <w:sz w:val="18"/>
                <w:szCs w:val="20"/>
              </w:rPr>
              <w:t>There is also scope to consider striking road user charge rates for multiple years so as to remove the ‘lumpiness’ of the RUC and so make investment and pricing decisions easier for heavy vehicle operators.</w:t>
            </w:r>
          </w:p>
        </w:tc>
        <w:tc>
          <w:tcPr>
            <w:tcW w:w="3672" w:type="dxa"/>
            <w:gridSpan w:val="2"/>
          </w:tcPr>
          <w:p w14:paraId="59474453" w14:textId="71026576" w:rsidR="0070512E" w:rsidRPr="008F31E5" w:rsidRDefault="0070512E" w:rsidP="008F31E5">
            <w:pPr>
              <w:pStyle w:val="BodyCopy"/>
              <w:spacing w:before="60" w:after="60"/>
              <w:rPr>
                <w:sz w:val="18"/>
                <w:szCs w:val="20"/>
              </w:rPr>
            </w:pPr>
            <w:r w:rsidRPr="008F31E5">
              <w:rPr>
                <w:sz w:val="18"/>
                <w:szCs w:val="20"/>
              </w:rPr>
              <w:t>Noted. The NTC is recommending that heavy vehicle charges be set for a three-year period from 2022</w:t>
            </w:r>
            <w:r w:rsidR="00042483">
              <w:rPr>
                <w:sz w:val="18"/>
                <w:szCs w:val="20"/>
              </w:rPr>
              <w:t>–</w:t>
            </w:r>
            <w:r w:rsidRPr="008F31E5">
              <w:rPr>
                <w:sz w:val="18"/>
                <w:szCs w:val="20"/>
              </w:rPr>
              <w:t>23 to 2024</w:t>
            </w:r>
            <w:r w:rsidR="00042483">
              <w:rPr>
                <w:sz w:val="18"/>
                <w:szCs w:val="20"/>
              </w:rPr>
              <w:t>–</w:t>
            </w:r>
            <w:r w:rsidRPr="008F31E5">
              <w:rPr>
                <w:sz w:val="18"/>
                <w:szCs w:val="20"/>
              </w:rPr>
              <w:t>25.</w:t>
            </w:r>
          </w:p>
        </w:tc>
      </w:tr>
      <w:tr w:rsidR="00F74539" w:rsidRPr="008F31E5" w14:paraId="4BBF27D7" w14:textId="77777777" w:rsidTr="00FE2CF6">
        <w:tc>
          <w:tcPr>
            <w:tcW w:w="1166" w:type="dxa"/>
          </w:tcPr>
          <w:p w14:paraId="255856D8" w14:textId="1EC7EE8B" w:rsidR="0070512E" w:rsidRPr="008F31E5" w:rsidRDefault="0070512E" w:rsidP="008F31E5">
            <w:pPr>
              <w:pStyle w:val="BodyCopy"/>
              <w:spacing w:before="60" w:after="60"/>
              <w:rPr>
                <w:sz w:val="18"/>
                <w:szCs w:val="20"/>
              </w:rPr>
            </w:pPr>
            <w:r w:rsidRPr="008F31E5">
              <w:rPr>
                <w:sz w:val="18"/>
                <w:szCs w:val="20"/>
              </w:rPr>
              <w:t>ASBFEO</w:t>
            </w:r>
          </w:p>
        </w:tc>
        <w:tc>
          <w:tcPr>
            <w:tcW w:w="902" w:type="dxa"/>
          </w:tcPr>
          <w:p w14:paraId="4908715D" w14:textId="7989C378"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63F1CEE8" w14:textId="2FF3D1F5"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4E9B771E" w14:textId="245A00DC" w:rsidR="0070512E" w:rsidRPr="008F31E5" w:rsidRDefault="0070512E" w:rsidP="008F31E5">
            <w:pPr>
              <w:pStyle w:val="BodyCopy"/>
              <w:spacing w:before="60" w:after="60"/>
              <w:rPr>
                <w:sz w:val="18"/>
                <w:szCs w:val="20"/>
              </w:rPr>
            </w:pPr>
            <w:r w:rsidRPr="008F31E5">
              <w:rPr>
                <w:sz w:val="18"/>
                <w:szCs w:val="20"/>
              </w:rPr>
              <w:t>We support the move away from the current practice of revisiting heavy vehicle charges each year to a multi-year price path. Small businesses suffer from cumulative regulatory burden and as flagged in the C-RIS a multi-year approach should reduce administrative and compliance costs for small businesses that operate heavy vehicles.</w:t>
            </w:r>
            <w:r w:rsidRPr="008F31E5">
              <w:rPr>
                <w:sz w:val="18"/>
                <w:szCs w:val="20"/>
              </w:rPr>
              <w:br/>
            </w:r>
            <w:r w:rsidRPr="008F31E5">
              <w:rPr>
                <w:sz w:val="18"/>
                <w:szCs w:val="20"/>
              </w:rPr>
              <w:br/>
              <w:t xml:space="preserve">We share the concerns canvassed in the document that to move immediately to the full recovery of allocated infrastructure costs would impose </w:t>
            </w:r>
            <w:r w:rsidR="00052D7C">
              <w:rPr>
                <w:sz w:val="18"/>
                <w:szCs w:val="20"/>
              </w:rPr>
              <w:t>‘</w:t>
            </w:r>
            <w:r w:rsidRPr="008F31E5">
              <w:rPr>
                <w:sz w:val="18"/>
                <w:szCs w:val="20"/>
              </w:rPr>
              <w:t>an unreasonable burden</w:t>
            </w:r>
            <w:r w:rsidR="00052D7C">
              <w:rPr>
                <w:sz w:val="18"/>
                <w:szCs w:val="20"/>
              </w:rPr>
              <w:t>’</w:t>
            </w:r>
            <w:r w:rsidRPr="008F31E5">
              <w:rPr>
                <w:sz w:val="18"/>
                <w:szCs w:val="20"/>
              </w:rPr>
              <w:t xml:space="preserve"> on heavy vehicle operators and not give them time to incorporate the cost rise into contracts. This is particularly so with small business operators of heavy vehicles who may decide to absorb some or all of the increase so as to remain competitive. Now is not the time for abrupt increases in charges to small businesses, with the prospect of uncertain economic </w:t>
            </w:r>
            <w:r w:rsidRPr="008F31E5">
              <w:rPr>
                <w:sz w:val="18"/>
                <w:szCs w:val="20"/>
              </w:rPr>
              <w:lastRenderedPageBreak/>
              <w:t>times in the short to medium term. In light of this, we would encourage a more gradual approach be adopted.</w:t>
            </w:r>
            <w:r w:rsidRPr="008F31E5">
              <w:rPr>
                <w:sz w:val="18"/>
                <w:szCs w:val="20"/>
              </w:rPr>
              <w:br/>
            </w:r>
            <w:r w:rsidRPr="008F31E5">
              <w:rPr>
                <w:sz w:val="18"/>
                <w:szCs w:val="20"/>
              </w:rPr>
              <w:br/>
              <w:t>We therefore are of the view that small businesses would be better able to accommodate these price increases were they in the form of a defined multi-year price path that incorporates smoothed price rises rather than an initial jump.</w:t>
            </w:r>
          </w:p>
        </w:tc>
        <w:tc>
          <w:tcPr>
            <w:tcW w:w="3672" w:type="dxa"/>
            <w:gridSpan w:val="2"/>
          </w:tcPr>
          <w:p w14:paraId="3D3595C3" w14:textId="50A08466"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79602C08" w14:textId="77777777" w:rsidTr="00FE2CF6">
        <w:tc>
          <w:tcPr>
            <w:tcW w:w="1166" w:type="dxa"/>
          </w:tcPr>
          <w:p w14:paraId="7F684050" w14:textId="77170563"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5D783BC4" w14:textId="351CD3B2"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6899AE09" w14:textId="37B681D0"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ptions</w:t>
            </w:r>
            <w:r w:rsidR="00321E50">
              <w:rPr>
                <w:sz w:val="18"/>
                <w:szCs w:val="20"/>
              </w:rPr>
              <w:t xml:space="preserve"> – </w:t>
            </w:r>
            <w:r>
              <w:rPr>
                <w:sz w:val="18"/>
                <w:szCs w:val="20"/>
              </w:rPr>
              <w:t>i</w:t>
            </w:r>
            <w:r w:rsidR="0070512E" w:rsidRPr="008F31E5">
              <w:rPr>
                <w:sz w:val="18"/>
                <w:szCs w:val="20"/>
              </w:rPr>
              <w:t>mpact on industry</w:t>
            </w:r>
          </w:p>
        </w:tc>
        <w:tc>
          <w:tcPr>
            <w:tcW w:w="7201" w:type="dxa"/>
          </w:tcPr>
          <w:p w14:paraId="71D050F9" w14:textId="053135F5" w:rsidR="00E12DE2" w:rsidRDefault="0070512E" w:rsidP="008F31E5">
            <w:pPr>
              <w:pStyle w:val="BodyCopy"/>
              <w:spacing w:before="60" w:after="60"/>
              <w:rPr>
                <w:sz w:val="18"/>
                <w:szCs w:val="20"/>
              </w:rPr>
            </w:pPr>
            <w:r w:rsidRPr="008F31E5">
              <w:rPr>
                <w:sz w:val="18"/>
                <w:szCs w:val="20"/>
              </w:rPr>
              <w:t>…</w:t>
            </w:r>
            <w:r w:rsidR="00DC6D51">
              <w:rPr>
                <w:sz w:val="18"/>
                <w:szCs w:val="20"/>
              </w:rPr>
              <w:t xml:space="preserve"> </w:t>
            </w:r>
            <w:r w:rsidRPr="008F31E5">
              <w:rPr>
                <w:sz w:val="18"/>
                <w:szCs w:val="20"/>
              </w:rPr>
              <w:t>the 16.5 per cent headline increase in the cost base under the direct implementation option masks a 22 per cent increase in the road user charge and very large increases in some registration charges.</w:t>
            </w:r>
            <w:r w:rsidRPr="008F31E5">
              <w:rPr>
                <w:sz w:val="18"/>
                <w:szCs w:val="20"/>
              </w:rPr>
              <w:br/>
            </w:r>
            <w:r w:rsidRPr="008F31E5">
              <w:rPr>
                <w:sz w:val="18"/>
                <w:szCs w:val="20"/>
              </w:rPr>
              <w:br/>
              <w:t>The NTC notes that the economic consequences of a significant increase in heavy vehicle charges may be more severe than usual, and that heavy vehicle operators may not be able to pass on significant increases in heavy vehicle charges. The ATA agrees with the NTC’s assessment, although the consequences of a 16.5 per cent increase in heavy vehicle charges would be severe at any time. In our 2021 truck charges survey, we asked participants about their ability to pass on registration charges and changes in the fuel price (including changes in fuel tax credits). Overall</w:t>
            </w:r>
            <w:r w:rsidR="00DC6D51">
              <w:rPr>
                <w:sz w:val="18"/>
                <w:szCs w:val="20"/>
              </w:rPr>
              <w:t>:</w:t>
            </w:r>
          </w:p>
          <w:p w14:paraId="6C880186" w14:textId="2A42FA90" w:rsidR="00E12DE2" w:rsidRDefault="0070512E" w:rsidP="00E12DE2">
            <w:pPr>
              <w:pStyle w:val="BodyCopy"/>
              <w:numPr>
                <w:ilvl w:val="3"/>
                <w:numId w:val="63"/>
              </w:numPr>
              <w:spacing w:before="60" w:after="60"/>
              <w:ind w:left="168" w:hanging="168"/>
              <w:rPr>
                <w:sz w:val="18"/>
                <w:szCs w:val="20"/>
              </w:rPr>
            </w:pPr>
            <w:r w:rsidRPr="008F31E5">
              <w:rPr>
                <w:sz w:val="18"/>
                <w:szCs w:val="20"/>
              </w:rPr>
              <w:t>16 per cent of the businesses we surveyed could pass on registration changes</w:t>
            </w:r>
          </w:p>
          <w:p w14:paraId="4F8CACF6" w14:textId="6C4CEA10" w:rsidR="00E12DE2" w:rsidRDefault="0070512E" w:rsidP="00E12DE2">
            <w:pPr>
              <w:pStyle w:val="BodyCopy"/>
              <w:numPr>
                <w:ilvl w:val="3"/>
                <w:numId w:val="63"/>
              </w:numPr>
              <w:spacing w:before="60" w:after="60"/>
              <w:ind w:left="168" w:hanging="168"/>
              <w:rPr>
                <w:sz w:val="18"/>
                <w:szCs w:val="20"/>
              </w:rPr>
            </w:pPr>
            <w:r w:rsidRPr="008F31E5">
              <w:rPr>
                <w:sz w:val="18"/>
                <w:szCs w:val="20"/>
              </w:rPr>
              <w:t>34 per cent could pass on fuel price changes and</w:t>
            </w:r>
          </w:p>
          <w:p w14:paraId="107CF4CF" w14:textId="1558E143" w:rsidR="00E12DE2" w:rsidRDefault="0070512E" w:rsidP="00E12DE2">
            <w:pPr>
              <w:pStyle w:val="BodyCopy"/>
              <w:numPr>
                <w:ilvl w:val="3"/>
                <w:numId w:val="63"/>
              </w:numPr>
              <w:spacing w:before="60" w:after="60"/>
              <w:ind w:left="168" w:hanging="168"/>
              <w:rPr>
                <w:sz w:val="18"/>
                <w:szCs w:val="20"/>
              </w:rPr>
            </w:pPr>
            <w:r w:rsidRPr="008F31E5">
              <w:rPr>
                <w:sz w:val="18"/>
                <w:szCs w:val="20"/>
              </w:rPr>
              <w:t>13 per cent were able to pass on both registration and fuel price changes.</w:t>
            </w:r>
            <w:r w:rsidRPr="008F31E5">
              <w:rPr>
                <w:sz w:val="18"/>
                <w:szCs w:val="20"/>
              </w:rPr>
              <w:br/>
            </w:r>
          </w:p>
          <w:p w14:paraId="6AB67552" w14:textId="6E4FF205" w:rsidR="0070512E" w:rsidRPr="008F31E5" w:rsidRDefault="0070512E" w:rsidP="008F31E5">
            <w:pPr>
              <w:pStyle w:val="BodyCopy"/>
              <w:spacing w:before="60" w:after="60"/>
              <w:rPr>
                <w:sz w:val="18"/>
                <w:szCs w:val="20"/>
              </w:rPr>
            </w:pPr>
            <w:r w:rsidRPr="008F31E5">
              <w:rPr>
                <w:sz w:val="18"/>
                <w:szCs w:val="20"/>
              </w:rPr>
              <w:t>...</w:t>
            </w:r>
            <w:r w:rsidR="004F7DA1">
              <w:rPr>
                <w:sz w:val="18"/>
                <w:szCs w:val="20"/>
              </w:rPr>
              <w:t xml:space="preserve"> </w:t>
            </w:r>
            <w:r w:rsidRPr="008F31E5">
              <w:rPr>
                <w:sz w:val="18"/>
                <w:szCs w:val="20"/>
              </w:rPr>
              <w:t>In the qualitative section of the survey, small trucking businesses shared their difficulties with passing on costs</w:t>
            </w:r>
            <w:r w:rsidR="004F7DA1">
              <w:rPr>
                <w:sz w:val="18"/>
                <w:szCs w:val="20"/>
              </w:rPr>
              <w:t xml:space="preserve"> </w:t>
            </w:r>
            <w:r w:rsidRPr="008F31E5">
              <w:rPr>
                <w:sz w:val="18"/>
                <w:szCs w:val="20"/>
              </w:rPr>
              <w:t>...</w:t>
            </w:r>
            <w:r w:rsidR="004F7DA1">
              <w:rPr>
                <w:sz w:val="18"/>
                <w:szCs w:val="20"/>
              </w:rPr>
              <w:t xml:space="preserve"> </w:t>
            </w:r>
            <w:r w:rsidRPr="008F31E5">
              <w:rPr>
                <w:sz w:val="18"/>
                <w:szCs w:val="20"/>
              </w:rPr>
              <w:t>Larger businesses told us they had more ability to pass on costs, but that the market was still very difficult</w:t>
            </w:r>
          </w:p>
        </w:tc>
        <w:tc>
          <w:tcPr>
            <w:tcW w:w="3672" w:type="dxa"/>
            <w:gridSpan w:val="2"/>
          </w:tcPr>
          <w:p w14:paraId="74BFB3C3" w14:textId="39042581"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F41F7A6" w14:textId="77777777" w:rsidTr="00FE2CF6">
        <w:tc>
          <w:tcPr>
            <w:tcW w:w="1166" w:type="dxa"/>
          </w:tcPr>
          <w:p w14:paraId="79863A32" w14:textId="49369E53"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2D7383C8" w14:textId="2DF22C4E"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43934D9F" w14:textId="5C31B766"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0515AEEC" w14:textId="3351BB61" w:rsidR="0070512E" w:rsidRPr="008F31E5" w:rsidRDefault="0070512E" w:rsidP="008F31E5">
            <w:pPr>
              <w:pStyle w:val="BodyCopy"/>
              <w:spacing w:before="60" w:after="60"/>
              <w:rPr>
                <w:sz w:val="18"/>
                <w:szCs w:val="20"/>
              </w:rPr>
            </w:pPr>
            <w:r w:rsidRPr="008F31E5">
              <w:rPr>
                <w:sz w:val="18"/>
                <w:szCs w:val="20"/>
              </w:rPr>
              <w:t>Table 1 suggests that only one class of bus would more than pay its way under this charging and cost allocation arrangement (2-axles: 4</w:t>
            </w:r>
            <w:r w:rsidR="00DC6D51">
              <w:rPr>
                <w:sz w:val="18"/>
                <w:szCs w:val="20"/>
              </w:rPr>
              <w:t>–</w:t>
            </w:r>
            <w:r w:rsidRPr="008F31E5">
              <w:rPr>
                <w:sz w:val="18"/>
                <w:szCs w:val="20"/>
              </w:rPr>
              <w:t>5 to 10 tonnes, where the ‘Difference column’ in Table 1 shows a positive figure), if the cost allocation assumptions behind the NTC’s modelling are accepted. Under-recovery is assessed as greatest for 2-axle buses (&gt;</w:t>
            </w:r>
            <w:r w:rsidR="004F7DA1">
              <w:rPr>
                <w:sz w:val="18"/>
                <w:szCs w:val="20"/>
              </w:rPr>
              <w:t xml:space="preserve"> </w:t>
            </w:r>
            <w:r w:rsidRPr="008F31E5">
              <w:rPr>
                <w:sz w:val="18"/>
                <w:szCs w:val="20"/>
              </w:rPr>
              <w:t>10 tonnes), at nearly $46 million, with most school and route buses being in this class. The gap is assessed at just under $5 million for 3-axle buses. Overall, direct implementation of Option B suggests that buses would under-recover their allocated costs by $55.8m annually. Given that the overall model is designed to break-even, then the under-recovery on bus needs to be offset by over-recovery on other vehicles for a given rate of break-even to be achieved.</w:t>
            </w:r>
            <w:r w:rsidRPr="008F31E5">
              <w:rPr>
                <w:sz w:val="18"/>
                <w:szCs w:val="20"/>
              </w:rPr>
              <w:br/>
            </w:r>
            <w:r w:rsidRPr="008F31E5">
              <w:rPr>
                <w:sz w:val="18"/>
                <w:szCs w:val="20"/>
              </w:rPr>
              <w:br/>
              <w:t xml:space="preserve">This estimated level of under-recovery from bus is not mentioned by NTC (2021) but it is important that bus recognises it is implicit in the analysis. Importantly, the aggregate level of apparent under-recovery from bus, of $55.8m, is less than the increase in bus-attributable costs that flow from changes in the way ESA-kms are allocated across vehicle </w:t>
            </w:r>
            <w:r w:rsidRPr="008F31E5">
              <w:rPr>
                <w:sz w:val="18"/>
                <w:szCs w:val="20"/>
              </w:rPr>
              <w:lastRenderedPageBreak/>
              <w:t>classes. As noted, this adds $65m to costs allocated to bus. Also, choice of more causal cost drivers for the regulatory component of registration costs would be expected to reduce the total level of costs that are recoverable from bus.</w:t>
            </w:r>
            <w:r w:rsidRPr="008F31E5">
              <w:rPr>
                <w:sz w:val="18"/>
                <w:szCs w:val="20"/>
              </w:rPr>
              <w:br/>
            </w:r>
            <w:r w:rsidRPr="008F31E5">
              <w:rPr>
                <w:sz w:val="18"/>
                <w:szCs w:val="20"/>
              </w:rPr>
              <w:br/>
              <w:t>Table 1 also sets out non-attributable costs, which sum to $66.7m for bus, as derived from the NTC spreadsheet. This represents 23.0% of total allocated bus costs, a higher proportion than for other HVs (19.5%). Allocation of the non-attributable costs is not a scientific process. If the bus share of these costs was the same as other HVs, then the level of bus costs would reduce by $10.2 million, under-recovery reducing by the same amount.</w:t>
            </w:r>
            <w:r w:rsidRPr="008F31E5">
              <w:rPr>
                <w:sz w:val="18"/>
                <w:szCs w:val="20"/>
              </w:rPr>
              <w:br/>
            </w:r>
            <w:r w:rsidRPr="008F31E5">
              <w:rPr>
                <w:sz w:val="18"/>
                <w:szCs w:val="20"/>
              </w:rPr>
              <w:br/>
              <w:t xml:space="preserve">Importantly, given the NTC modelling assumptions, some of which have been queried above, Table 1 shows that, for direct implementation of Option B, bus more than recovers all its attributable costs (total minus non-attributable costs), showing a surplus of $10.9m on this basis (i.e. $289.8m </w:t>
            </w:r>
            <w:r w:rsidR="00DC6D51">
              <w:rPr>
                <w:sz w:val="18"/>
                <w:szCs w:val="20"/>
              </w:rPr>
              <w:t xml:space="preserve">– </w:t>
            </w:r>
            <w:r w:rsidRPr="008F31E5">
              <w:rPr>
                <w:sz w:val="18"/>
                <w:szCs w:val="20"/>
              </w:rPr>
              <w:t>$66.7m</w:t>
            </w:r>
            <w:r w:rsidR="00DC6D51">
              <w:rPr>
                <w:sz w:val="18"/>
                <w:szCs w:val="20"/>
              </w:rPr>
              <w:t xml:space="preserve"> </w:t>
            </w:r>
            <w:r w:rsidRPr="008F31E5">
              <w:rPr>
                <w:sz w:val="18"/>
                <w:szCs w:val="20"/>
              </w:rPr>
              <w:t>&gt;</w:t>
            </w:r>
            <w:r w:rsidR="00DC6D51">
              <w:rPr>
                <w:sz w:val="18"/>
                <w:szCs w:val="20"/>
              </w:rPr>
              <w:t xml:space="preserve"> </w:t>
            </w:r>
            <w:r w:rsidRPr="008F31E5">
              <w:rPr>
                <w:sz w:val="18"/>
                <w:szCs w:val="20"/>
              </w:rPr>
              <w:t>$234.0m by $10.9m).</w:t>
            </w:r>
          </w:p>
        </w:tc>
        <w:tc>
          <w:tcPr>
            <w:tcW w:w="3672" w:type="dxa"/>
            <w:gridSpan w:val="2"/>
          </w:tcPr>
          <w:p w14:paraId="1101B6F7" w14:textId="77777777" w:rsidR="005B711C" w:rsidRPr="009065AC" w:rsidRDefault="0070512E" w:rsidP="009065AC">
            <w:pPr>
              <w:pStyle w:val="BodyCopy"/>
              <w:spacing w:before="60" w:after="60"/>
              <w:rPr>
                <w:sz w:val="18"/>
                <w:szCs w:val="20"/>
              </w:rPr>
            </w:pPr>
            <w:r w:rsidRPr="009065AC">
              <w:rPr>
                <w:sz w:val="18"/>
                <w:szCs w:val="20"/>
              </w:rPr>
              <w:lastRenderedPageBreak/>
              <w:t>This analysis should not include the class of bus from 3.5 to 4.5 tonnes as this is not a heavy vehicle and does not form part of charges determined under PAYGO.</w:t>
            </w:r>
          </w:p>
          <w:p w14:paraId="7D20B0CC" w14:textId="16985BAA" w:rsidR="005B711C" w:rsidRPr="009065AC" w:rsidRDefault="0070512E" w:rsidP="009065AC">
            <w:pPr>
              <w:pStyle w:val="BodyCopy"/>
              <w:spacing w:before="60" w:after="60"/>
              <w:rPr>
                <w:sz w:val="18"/>
                <w:szCs w:val="20"/>
              </w:rPr>
            </w:pPr>
            <w:r w:rsidRPr="009065AC">
              <w:rPr>
                <w:sz w:val="18"/>
                <w:szCs w:val="20"/>
              </w:rPr>
              <w:t xml:space="preserve">The model is designed to achieve recovery of allocated costs in total from heavy vehicles, and for each vehicle class to recover at least its attributable costs (meaning the statement in the last paragraph is achieved by design). If some vehicle classes recover less than their allocated costs, other vehicle classes will necessarily have to contribute more than their allocated costs to achieve overall recovery of the </w:t>
            </w:r>
            <w:r w:rsidR="00494648" w:rsidRPr="009065AC">
              <w:rPr>
                <w:sz w:val="18"/>
                <w:szCs w:val="20"/>
              </w:rPr>
              <w:t xml:space="preserve">heavy vehicle </w:t>
            </w:r>
            <w:r w:rsidRPr="009065AC">
              <w:rPr>
                <w:sz w:val="18"/>
                <w:szCs w:val="20"/>
              </w:rPr>
              <w:t xml:space="preserve">cost base. </w:t>
            </w:r>
          </w:p>
          <w:p w14:paraId="7D819A43" w14:textId="7388B4B3" w:rsidR="005B711C" w:rsidRDefault="0070512E" w:rsidP="009065AC">
            <w:pPr>
              <w:pStyle w:val="BodyCopy"/>
              <w:spacing w:before="60" w:after="60"/>
              <w:rPr>
                <w:sz w:val="18"/>
                <w:szCs w:val="20"/>
              </w:rPr>
            </w:pPr>
            <w:r w:rsidRPr="008F31E5">
              <w:rPr>
                <w:sz w:val="18"/>
                <w:szCs w:val="20"/>
              </w:rPr>
              <w:lastRenderedPageBreak/>
              <w:t xml:space="preserve">The NTC did not assess whether particular segments of the fleet under- or over-recovered their allocated costs. Rather, charges were initially set using existing charging relativities, scaled to recover the total </w:t>
            </w:r>
            <w:r w:rsidR="00494648">
              <w:rPr>
                <w:sz w:val="18"/>
                <w:szCs w:val="20"/>
              </w:rPr>
              <w:t>heavy vehicle</w:t>
            </w:r>
            <w:r w:rsidR="00494648" w:rsidRPr="008F31E5">
              <w:rPr>
                <w:sz w:val="18"/>
                <w:szCs w:val="20"/>
              </w:rPr>
              <w:t xml:space="preserve"> </w:t>
            </w:r>
            <w:r w:rsidRPr="008F31E5">
              <w:rPr>
                <w:sz w:val="18"/>
                <w:szCs w:val="20"/>
              </w:rPr>
              <w:t>cost base, with some vehicle classes then needing to increase by more than the standard amount to ensure recovery of at least their attributable costs.</w:t>
            </w:r>
          </w:p>
          <w:p w14:paraId="2BE44543" w14:textId="02145DC3" w:rsidR="0070512E" w:rsidRPr="008F31E5" w:rsidRDefault="0070512E" w:rsidP="009065AC">
            <w:pPr>
              <w:pStyle w:val="BodyCopy"/>
              <w:spacing w:before="60" w:after="60"/>
              <w:rPr>
                <w:sz w:val="18"/>
                <w:szCs w:val="20"/>
              </w:rPr>
            </w:pPr>
            <w:r w:rsidRPr="008F31E5">
              <w:rPr>
                <w:sz w:val="18"/>
                <w:szCs w:val="20"/>
              </w:rPr>
              <w:t>Non-attributable costs are allocated on the basis of VKT. As a result, vehicles that travel further will be allocated more of these costs. If buses do bear a higher share of these costs than other types of vehicles, this simply reflects longer average distances travelled.</w:t>
            </w:r>
          </w:p>
        </w:tc>
      </w:tr>
      <w:tr w:rsidR="00F74539" w:rsidRPr="008F31E5" w14:paraId="6A39C9FC" w14:textId="77777777" w:rsidTr="00FE2CF6">
        <w:tc>
          <w:tcPr>
            <w:tcW w:w="1166" w:type="dxa"/>
          </w:tcPr>
          <w:p w14:paraId="50C6931D" w14:textId="4F64BDA1"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6D06AA75" w14:textId="3E9A819B"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33C62C10" w14:textId="44A37D2A"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ptions</w:t>
            </w:r>
            <w:r w:rsidR="00321E50">
              <w:rPr>
                <w:sz w:val="18"/>
                <w:szCs w:val="20"/>
              </w:rPr>
              <w:t xml:space="preserve"> – </w:t>
            </w:r>
            <w:r>
              <w:rPr>
                <w:sz w:val="18"/>
                <w:szCs w:val="20"/>
              </w:rPr>
              <w:t>i</w:t>
            </w:r>
            <w:r w:rsidR="0070512E" w:rsidRPr="008F31E5">
              <w:rPr>
                <w:sz w:val="18"/>
                <w:szCs w:val="20"/>
              </w:rPr>
              <w:t>mpact on industry</w:t>
            </w:r>
          </w:p>
        </w:tc>
        <w:tc>
          <w:tcPr>
            <w:tcW w:w="7201" w:type="dxa"/>
          </w:tcPr>
          <w:p w14:paraId="54952878" w14:textId="4B1EBDF7" w:rsidR="0070512E" w:rsidRPr="008F31E5" w:rsidRDefault="0070512E" w:rsidP="008F31E5">
            <w:pPr>
              <w:pStyle w:val="BodyCopy"/>
              <w:spacing w:before="60" w:after="60"/>
              <w:rPr>
                <w:sz w:val="18"/>
                <w:szCs w:val="20"/>
              </w:rPr>
            </w:pPr>
            <w:r w:rsidRPr="008F31E5">
              <w:rPr>
                <w:sz w:val="18"/>
                <w:szCs w:val="20"/>
              </w:rPr>
              <w:t>Road user charges (collected through fuel excise) associated with the NTC current cost allocation Option (Option A) are set out in Table 2, showing how the RUC varies with the different implementation pathways. The increase in RUC from 26.4</w:t>
            </w:r>
            <w:r w:rsidR="00531F8D">
              <w:rPr>
                <w:sz w:val="18"/>
                <w:szCs w:val="20"/>
              </w:rPr>
              <w:t xml:space="preserve"> </w:t>
            </w:r>
            <w:r w:rsidRPr="008F31E5">
              <w:rPr>
                <w:sz w:val="18"/>
                <w:szCs w:val="20"/>
              </w:rPr>
              <w:t>c/L to 32.2</w:t>
            </w:r>
            <w:r w:rsidR="00531F8D">
              <w:rPr>
                <w:sz w:val="18"/>
                <w:szCs w:val="20"/>
              </w:rPr>
              <w:t xml:space="preserve"> </w:t>
            </w:r>
            <w:r w:rsidRPr="008F31E5">
              <w:rPr>
                <w:sz w:val="18"/>
                <w:szCs w:val="20"/>
              </w:rPr>
              <w:t>c/L associated with the direct implementation pathway is a huge increase (22.0%). It raises doubts that politicians would agree to one-off charge increases at this scale, given the shock it imposes on business costs. RUCs for the other two implementation pathways are also shown in Table 2. Sustained increases of 6% annually for three years are also very high, relative to normal benchmarks such as CPI and increases in average weekly earnings (typically at 2% p.a. or less at present). It is reasonable to conclude that the 6% implementation pathway will not be politically acceptable. This leaves the 3.5% pathway as the most likely surviving implementation option, although percentages below or (less likely) a little above this rate may currently be appealing to politicians.</w:t>
            </w:r>
            <w:r w:rsidRPr="008F31E5">
              <w:rPr>
                <w:sz w:val="18"/>
                <w:szCs w:val="20"/>
              </w:rPr>
              <w:br/>
            </w:r>
            <w:r w:rsidRPr="008F31E5">
              <w:rPr>
                <w:sz w:val="18"/>
                <w:szCs w:val="20"/>
              </w:rPr>
              <w:br/>
              <w:t>All heavy vehicles would pay the same RUC (c/L), the amount depending on fleet fuel efficiency. Hybrid and electric buses would get an advantage, because the NTC has not proposed road user charges equivalent to the RUC for these vehicles (other than for the fuel used by hybrids). The NTC has considerably underestimated the number of electric and hybrid buses currently in operation,3 so operators who have those vehicles will get a small benefit from the proposed charging regime, via their zero or low fuel use, but numbers remain small.</w:t>
            </w:r>
            <w:r w:rsidRPr="008F31E5">
              <w:rPr>
                <w:sz w:val="18"/>
                <w:szCs w:val="20"/>
              </w:rPr>
              <w:br/>
            </w:r>
            <w:r w:rsidRPr="008F31E5">
              <w:rPr>
                <w:sz w:val="18"/>
                <w:szCs w:val="20"/>
              </w:rPr>
              <w:br/>
              <w:t xml:space="preserve">Proposed registration charges will impact many bus owners/operators very substantially... Reflecting the data in Table 2, which shows that the lightest end of the bus sector more than pays its way, the direct implementation model involves a small reduction in registration charges for 2-axle buses of up to 12 tonnes (but they would still pay the considerably higher RUC for this option, if adopted). However, 2-axle buses &gt; 12 tonnes </w:t>
            </w:r>
            <w:r w:rsidRPr="008F31E5">
              <w:rPr>
                <w:sz w:val="18"/>
                <w:szCs w:val="20"/>
              </w:rPr>
              <w:lastRenderedPageBreak/>
              <w:t>GVM, which includes most route and school buses, would incur a huge increase in registration charges (and in the RUC) under the direct implementation approach, increasing from $651 to $2</w:t>
            </w:r>
            <w:r w:rsidR="00531F8D">
              <w:rPr>
                <w:sz w:val="18"/>
                <w:szCs w:val="20"/>
              </w:rPr>
              <w:t>,</w:t>
            </w:r>
            <w:r w:rsidRPr="008F31E5">
              <w:rPr>
                <w:sz w:val="18"/>
                <w:szCs w:val="20"/>
              </w:rPr>
              <w:t xml:space="preserve">606, which is a quadrupling of the charge. No other vehicle class has a rate of increase in its proposed charges of anything like this scale, a result which flows from changes in the ESA values within the cost allocation process (as explained in </w:t>
            </w:r>
            <w:r w:rsidR="00DD44EB">
              <w:rPr>
                <w:sz w:val="18"/>
                <w:szCs w:val="20"/>
              </w:rPr>
              <w:t>s</w:t>
            </w:r>
            <w:r w:rsidRPr="008F31E5">
              <w:rPr>
                <w:sz w:val="18"/>
                <w:szCs w:val="20"/>
              </w:rPr>
              <w:t>ection 2.2). Registration charges for 3-axle buses, commonly used in the tour and charter sector, would increase by over 175% (i.e. almost trebling), the second fastest rate of increase of any vehicle class shown by NTC. If direct implementation was thought to be a political possibility, then rebuttals of these huge rates of increase are required. However, as argued above, the high rate of increase in the RUC under direct implementation should rule this pathway out in terms of political acceptability.</w:t>
            </w:r>
          </w:p>
        </w:tc>
        <w:tc>
          <w:tcPr>
            <w:tcW w:w="3672" w:type="dxa"/>
            <w:gridSpan w:val="2"/>
          </w:tcPr>
          <w:p w14:paraId="793E6872" w14:textId="65A1B4B1" w:rsidR="0070512E" w:rsidRPr="008F31E5" w:rsidRDefault="0070512E" w:rsidP="008F31E5">
            <w:pPr>
              <w:pStyle w:val="BodyCopy"/>
              <w:spacing w:before="60" w:after="60"/>
              <w:rPr>
                <w:sz w:val="18"/>
                <w:szCs w:val="20"/>
              </w:rPr>
            </w:pPr>
            <w:r w:rsidRPr="008F31E5">
              <w:rPr>
                <w:sz w:val="18"/>
                <w:szCs w:val="20"/>
              </w:rPr>
              <w:lastRenderedPageBreak/>
              <w:t xml:space="preserve">The NTC acknowledges that buses are the vehicle classes with the highest impacts. As noted by </w:t>
            </w:r>
            <w:r w:rsidR="0032461D">
              <w:rPr>
                <w:sz w:val="18"/>
                <w:szCs w:val="20"/>
              </w:rPr>
              <w:t xml:space="preserve">the </w:t>
            </w:r>
            <w:r w:rsidRPr="008F31E5">
              <w:rPr>
                <w:sz w:val="18"/>
                <w:szCs w:val="20"/>
              </w:rPr>
              <w:t>BIC, this is largely driven by the increases to bus ESAs and the recommended change to cost allocation, along with the need to avoid cross-subsidisation by ensuring each vehicle class recovers at least its attributable costs. The updated ESA data shows that buses are heavier than previously thought, meaning they are causing more road wear and</w:t>
            </w:r>
            <w:r w:rsidR="00531F8D">
              <w:rPr>
                <w:sz w:val="18"/>
                <w:szCs w:val="20"/>
              </w:rPr>
              <w:t>,</w:t>
            </w:r>
            <w:r w:rsidRPr="008F31E5">
              <w:rPr>
                <w:sz w:val="18"/>
                <w:szCs w:val="20"/>
              </w:rPr>
              <w:t xml:space="preserve"> as a result</w:t>
            </w:r>
            <w:r w:rsidR="0032461D">
              <w:rPr>
                <w:sz w:val="18"/>
                <w:szCs w:val="20"/>
              </w:rPr>
              <w:t>,</w:t>
            </w:r>
            <w:r w:rsidRPr="008F31E5">
              <w:rPr>
                <w:sz w:val="18"/>
                <w:szCs w:val="20"/>
              </w:rPr>
              <w:t xml:space="preserve"> charges would need to increase to ensure recovery of at least attributable costs (as required by the pricing principles, to avoid cross-subsidisation) under the direct implementation option. The NTC acknowledges the impact that direct implementation would have on operators and this is reflected in the development of alternative options with more moderate impacts across the industry. The NTC considers that the charges for buses under the recommended three-year price path are reasonable both in total, and in a relative </w:t>
            </w:r>
            <w:r w:rsidRPr="008F31E5">
              <w:rPr>
                <w:sz w:val="18"/>
                <w:szCs w:val="20"/>
              </w:rPr>
              <w:lastRenderedPageBreak/>
              <w:t xml:space="preserve">sense when compared </w:t>
            </w:r>
            <w:r w:rsidR="00531F8D">
              <w:rPr>
                <w:sz w:val="18"/>
                <w:szCs w:val="20"/>
              </w:rPr>
              <w:t>with</w:t>
            </w:r>
            <w:r w:rsidR="00531F8D" w:rsidRPr="008F31E5">
              <w:rPr>
                <w:sz w:val="18"/>
                <w:szCs w:val="20"/>
              </w:rPr>
              <w:t xml:space="preserve"> </w:t>
            </w:r>
            <w:r w:rsidRPr="008F31E5">
              <w:rPr>
                <w:sz w:val="18"/>
                <w:szCs w:val="20"/>
              </w:rPr>
              <w:t>other heavy vehicle types.</w:t>
            </w:r>
            <w:r w:rsidR="009E61AA">
              <w:rPr>
                <w:sz w:val="18"/>
                <w:szCs w:val="20"/>
              </w:rPr>
              <w:t xml:space="preserve"> </w:t>
            </w:r>
          </w:p>
        </w:tc>
      </w:tr>
      <w:tr w:rsidR="00F74539" w:rsidRPr="008F31E5" w14:paraId="6BC9A71D" w14:textId="77777777" w:rsidTr="00FE2CF6">
        <w:tc>
          <w:tcPr>
            <w:tcW w:w="1166" w:type="dxa"/>
          </w:tcPr>
          <w:p w14:paraId="4606AA07" w14:textId="66CB9D68" w:rsidR="0070512E" w:rsidRPr="008F31E5" w:rsidRDefault="0070512E" w:rsidP="008F31E5">
            <w:pPr>
              <w:pStyle w:val="BodyCopy"/>
              <w:spacing w:before="60" w:after="60"/>
              <w:rPr>
                <w:sz w:val="18"/>
                <w:szCs w:val="20"/>
              </w:rPr>
            </w:pPr>
            <w:r w:rsidRPr="008F31E5">
              <w:rPr>
                <w:sz w:val="18"/>
                <w:szCs w:val="20"/>
              </w:rPr>
              <w:lastRenderedPageBreak/>
              <w:t>Bus Industry Confederation</w:t>
            </w:r>
          </w:p>
        </w:tc>
        <w:tc>
          <w:tcPr>
            <w:tcW w:w="902" w:type="dxa"/>
          </w:tcPr>
          <w:p w14:paraId="08B5B473" w14:textId="486AE5E8"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3DD85474" w14:textId="460819C6"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2F2CB438" w14:textId="0DC040FE" w:rsidR="0070512E" w:rsidRPr="008F31E5" w:rsidRDefault="0070512E" w:rsidP="008F31E5">
            <w:pPr>
              <w:pStyle w:val="BodyCopy"/>
              <w:spacing w:before="60" w:after="60"/>
              <w:rPr>
                <w:sz w:val="18"/>
                <w:szCs w:val="20"/>
              </w:rPr>
            </w:pPr>
            <w:r w:rsidRPr="008F31E5">
              <w:rPr>
                <w:sz w:val="18"/>
                <w:szCs w:val="20"/>
              </w:rPr>
              <w:t>The other two implementation pathways necessarily deliver much smaller increases in registration charges for buses but the proposed increases for 2-axle buses &gt;</w:t>
            </w:r>
            <w:r w:rsidR="00DC6D51">
              <w:rPr>
                <w:sz w:val="18"/>
                <w:szCs w:val="20"/>
              </w:rPr>
              <w:t xml:space="preserve"> </w:t>
            </w:r>
            <w:r w:rsidRPr="008F31E5">
              <w:rPr>
                <w:sz w:val="18"/>
                <w:szCs w:val="20"/>
              </w:rPr>
              <w:t>12 tonnes and 3-axle buses in both of these pathways are faster than the overall rate of increase in each pathway, particularly for 2-axle buses &gt; 12 tonnes GVM in year 1 for the 3.5% p.a. pathway. In this pathway the proposed year 1 increase is 5.7%, falling to &lt;</w:t>
            </w:r>
            <w:r w:rsidR="00DC6D51">
              <w:rPr>
                <w:sz w:val="18"/>
                <w:szCs w:val="20"/>
              </w:rPr>
              <w:t xml:space="preserve"> </w:t>
            </w:r>
            <w:r w:rsidRPr="008F31E5">
              <w:rPr>
                <w:sz w:val="18"/>
                <w:szCs w:val="20"/>
              </w:rPr>
              <w:t>3% annual increase in the second and third years. It is hard to understand the reasoning, if any, behind this changing rate of annual registration charge growth over the three years, other than as an attempt to strike early in terms of narrowing what the NTC sees as the revenue/expenditure gap for this vehicle class. The increases proposed for 3-axle buses under the 3.5% p.a. pathway are more even across the three years but larger than 3.5% in each.</w:t>
            </w:r>
            <w:r w:rsidRPr="008F31E5">
              <w:rPr>
                <w:sz w:val="18"/>
                <w:szCs w:val="20"/>
              </w:rPr>
              <w:br/>
            </w:r>
            <w:r w:rsidRPr="008F31E5">
              <w:rPr>
                <w:sz w:val="18"/>
                <w:szCs w:val="20"/>
              </w:rPr>
              <w:br/>
              <w:t>For the 6% annual charge growth pathway, 2-axle buses &gt;</w:t>
            </w:r>
            <w:r w:rsidR="00DC6D51">
              <w:rPr>
                <w:sz w:val="18"/>
                <w:szCs w:val="20"/>
              </w:rPr>
              <w:t xml:space="preserve"> </w:t>
            </w:r>
            <w:r w:rsidRPr="008F31E5">
              <w:rPr>
                <w:sz w:val="18"/>
                <w:szCs w:val="20"/>
              </w:rPr>
              <w:t>12 tonnes again are hit hardest in year 1 but less so thereafter, whereas the proposed increases for 3-axle buses are 6% or more each year, reaching 20% higher than current charges by year 3. Given the stresses that the tourism sector has been under during COVID, price penalties of this magnitude would be seen as particularly burdensome. This adds to the reasons for rejecting this pathway.</w:t>
            </w:r>
          </w:p>
        </w:tc>
        <w:tc>
          <w:tcPr>
            <w:tcW w:w="3672" w:type="dxa"/>
            <w:gridSpan w:val="2"/>
          </w:tcPr>
          <w:p w14:paraId="610A8628" w14:textId="4966A9E5" w:rsidR="0070512E" w:rsidRPr="008F31E5" w:rsidRDefault="0070512E" w:rsidP="008F31E5">
            <w:pPr>
              <w:pStyle w:val="BodyCopy"/>
              <w:spacing w:before="60" w:after="60"/>
              <w:rPr>
                <w:sz w:val="18"/>
                <w:szCs w:val="20"/>
              </w:rPr>
            </w:pPr>
            <w:r w:rsidRPr="008F31E5">
              <w:rPr>
                <w:sz w:val="18"/>
                <w:szCs w:val="20"/>
              </w:rPr>
              <w:t>The variation in the rates of annual increase to total registration charges reflect the NTC</w:t>
            </w:r>
            <w:r w:rsidR="00531F8D">
              <w:rPr>
                <w:sz w:val="18"/>
                <w:szCs w:val="20"/>
              </w:rPr>
              <w:t>’</w:t>
            </w:r>
            <w:r w:rsidRPr="008F31E5">
              <w:rPr>
                <w:sz w:val="18"/>
                <w:szCs w:val="20"/>
              </w:rPr>
              <w:t>s modelling assumption to hold the regulatory component charges constant in years 2 and 3, given the unknown future NHVR budget and heavy vehicle fleet in these years. The percentage increase in the roads component of registration charges is the same throughout the three-year period in the C-RIS.</w:t>
            </w:r>
          </w:p>
        </w:tc>
      </w:tr>
      <w:tr w:rsidR="00F74539" w:rsidRPr="008F31E5" w14:paraId="14163265" w14:textId="77777777" w:rsidTr="00FE2CF6">
        <w:tc>
          <w:tcPr>
            <w:tcW w:w="1166" w:type="dxa"/>
          </w:tcPr>
          <w:p w14:paraId="321CE3AB" w14:textId="2C628968"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1956F2C3" w14:textId="4802E3E0"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37ABDBF0" w14:textId="09BF10E0"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57214966" w14:textId="0054602C" w:rsidR="0070512E" w:rsidRPr="008F31E5" w:rsidRDefault="0070512E" w:rsidP="008F31E5">
            <w:pPr>
              <w:pStyle w:val="BodyCopy"/>
              <w:spacing w:before="60" w:after="60"/>
              <w:rPr>
                <w:sz w:val="18"/>
                <w:szCs w:val="20"/>
              </w:rPr>
            </w:pPr>
            <w:r w:rsidRPr="008F31E5">
              <w:rPr>
                <w:sz w:val="18"/>
                <w:szCs w:val="20"/>
              </w:rPr>
              <w:t>Some simple calculations can show the scale of the increase in road charges for 2-axle buses &gt;</w:t>
            </w:r>
            <w:r w:rsidR="00DC6D51">
              <w:rPr>
                <w:sz w:val="18"/>
                <w:szCs w:val="20"/>
              </w:rPr>
              <w:t xml:space="preserve"> </w:t>
            </w:r>
            <w:r w:rsidRPr="008F31E5">
              <w:rPr>
                <w:sz w:val="18"/>
                <w:szCs w:val="20"/>
              </w:rPr>
              <w:t>12 tonnes, the workhorses of urban route services and school bus services, under the three implementation pathways, using Melbourne average route bus data to demonstrate the results. Melbourne data suggests that a route bus averages 58,000 kilometres annually at a fuel economy rate of 42.2L/100 kms. With the RUC at the current 26.4c/L and registration charges of $651, total annual road charge payments of $7113 per vehicle p.a. result.</w:t>
            </w:r>
            <w:r w:rsidRPr="008F31E5">
              <w:rPr>
                <w:sz w:val="18"/>
                <w:szCs w:val="20"/>
              </w:rPr>
              <w:br/>
            </w:r>
            <w:r w:rsidRPr="008F31E5">
              <w:rPr>
                <w:sz w:val="18"/>
                <w:szCs w:val="20"/>
              </w:rPr>
              <w:br/>
              <w:t xml:space="preserve">In year 1 of the direct implementation pathway, when the RUC increases to 32.2c/L and the registration charge to $2606, the total charge payments increase to $10,487, an increase of $3375, or +47.4% in one year, over half of which comes from increased </w:t>
            </w:r>
            <w:r w:rsidRPr="008F31E5">
              <w:rPr>
                <w:sz w:val="18"/>
                <w:szCs w:val="20"/>
              </w:rPr>
              <w:lastRenderedPageBreak/>
              <w:t>registration charges. This is a huge increase, not identified in NTC (2021) and likely to have little appeal to political decision-makers, once confronted with the numbers. We examine impacts here for a typical urban route bus. With average operator costs per route bus kilometre of ~$5.40 and 58,000 annual average kilometres run, road charges amount to 2.27% of total bus operating costs under current charges. However, this would increase to 3.31% of (higher) total operating costs under direct implementation. The increase in total costs per bus would add 1.08% to total bus costs. Under state route bus service contracts, all this cost increase (of $3375 per vehicle) would typically fall on state budgets.</w:t>
            </w:r>
            <w:r w:rsidRPr="008F31E5">
              <w:rPr>
                <w:sz w:val="18"/>
                <w:szCs w:val="20"/>
              </w:rPr>
              <w:br/>
            </w:r>
            <w:r w:rsidRPr="008F31E5">
              <w:rPr>
                <w:sz w:val="18"/>
                <w:szCs w:val="20"/>
              </w:rPr>
              <w:br/>
              <w:t>This scale of charge increase should be sufficient to rule out direct implementation as a politically acceptable alternative for the bus sector. Given the rate of increase in the RUC paid by all HVs implied by this implementation pathway (22%, as noted above), political unacceptability should be the case for all HV classes.</w:t>
            </w:r>
          </w:p>
        </w:tc>
        <w:tc>
          <w:tcPr>
            <w:tcW w:w="3672" w:type="dxa"/>
            <w:gridSpan w:val="2"/>
          </w:tcPr>
          <w:p w14:paraId="3309A546" w14:textId="25852F9C"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60E5F9E1" w14:textId="77777777" w:rsidTr="00FE2CF6">
        <w:tc>
          <w:tcPr>
            <w:tcW w:w="1166" w:type="dxa"/>
          </w:tcPr>
          <w:p w14:paraId="3297F681" w14:textId="5B3E2077"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0AD873FB" w14:textId="31ECE61D"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2CE611BE" w14:textId="11FC6285"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ptions</w:t>
            </w:r>
            <w:r w:rsidR="00321E50">
              <w:rPr>
                <w:sz w:val="18"/>
                <w:szCs w:val="20"/>
              </w:rPr>
              <w:t xml:space="preserve"> – </w:t>
            </w:r>
            <w:r>
              <w:rPr>
                <w:sz w:val="18"/>
                <w:szCs w:val="20"/>
              </w:rPr>
              <w:t>i</w:t>
            </w:r>
            <w:r w:rsidR="0070512E" w:rsidRPr="008F31E5">
              <w:rPr>
                <w:sz w:val="18"/>
                <w:szCs w:val="20"/>
              </w:rPr>
              <w:t>mpact on industry</w:t>
            </w:r>
          </w:p>
        </w:tc>
        <w:tc>
          <w:tcPr>
            <w:tcW w:w="7201" w:type="dxa"/>
          </w:tcPr>
          <w:p w14:paraId="11436A49" w14:textId="40FD0D3E" w:rsidR="0070512E" w:rsidRPr="008F31E5" w:rsidRDefault="0070512E" w:rsidP="008F31E5">
            <w:pPr>
              <w:pStyle w:val="BodyCopy"/>
              <w:spacing w:before="60" w:after="60"/>
              <w:rPr>
                <w:sz w:val="18"/>
                <w:szCs w:val="20"/>
              </w:rPr>
            </w:pPr>
            <w:r w:rsidRPr="008F31E5">
              <w:rPr>
                <w:sz w:val="18"/>
                <w:szCs w:val="20"/>
              </w:rPr>
              <w:t>It was argued above that the third implementation pathway, which involves 6% annual charge increases, is also likely to find little political interest in the current COVID environment. The touring sector of the bus industry would be particularly hard hit, as it tries to recover from COVID.</w:t>
            </w:r>
            <w:r w:rsidRPr="008F31E5">
              <w:rPr>
                <w:sz w:val="18"/>
                <w:szCs w:val="20"/>
              </w:rPr>
              <w:br/>
            </w:r>
            <w:r w:rsidRPr="008F31E5">
              <w:rPr>
                <w:sz w:val="18"/>
                <w:szCs w:val="20"/>
              </w:rPr>
              <w:br/>
              <w:t>For 2-axle route buses &gt;</w:t>
            </w:r>
            <w:r w:rsidR="00531F8D">
              <w:rPr>
                <w:sz w:val="18"/>
                <w:szCs w:val="20"/>
              </w:rPr>
              <w:t xml:space="preserve"> </w:t>
            </w:r>
            <w:r w:rsidRPr="008F31E5">
              <w:rPr>
                <w:sz w:val="18"/>
                <w:szCs w:val="20"/>
              </w:rPr>
              <w:t>12 tonnes, the average charges paid in year 3 under the 6% pathway would be $8</w:t>
            </w:r>
            <w:r w:rsidR="00531F8D">
              <w:rPr>
                <w:sz w:val="18"/>
                <w:szCs w:val="20"/>
              </w:rPr>
              <w:t>,</w:t>
            </w:r>
            <w:r w:rsidRPr="008F31E5">
              <w:rPr>
                <w:sz w:val="18"/>
                <w:szCs w:val="20"/>
              </w:rPr>
              <w:t>458, some 18.9% higher than current annual payments. This high rate of increase would help to narrow the gap between overall HV revenues and allocated costs, but it is high in the current economic climate</w:t>
            </w:r>
            <w:r w:rsidR="00531F8D">
              <w:rPr>
                <w:sz w:val="18"/>
                <w:szCs w:val="20"/>
              </w:rPr>
              <w:t>,</w:t>
            </w:r>
            <w:r w:rsidRPr="008F31E5">
              <w:rPr>
                <w:sz w:val="18"/>
                <w:szCs w:val="20"/>
              </w:rPr>
              <w:t xml:space="preserve"> and one must ask why you would penalize a sector that generates so many positive external benefits, as discussed in section 4.4, with this increased burden. Also, given that the HV sector over-recovered on its allocated costs for several years prior to 2017</w:t>
            </w:r>
            <w:r w:rsidR="00531F8D">
              <w:rPr>
                <w:sz w:val="18"/>
                <w:szCs w:val="20"/>
              </w:rPr>
              <w:t>–</w:t>
            </w:r>
            <w:r w:rsidRPr="008F31E5">
              <w:rPr>
                <w:sz w:val="18"/>
                <w:szCs w:val="20"/>
              </w:rPr>
              <w:t>18, there is arguably no urgency to close the gap for the sector as a whole, including bus, at least until such time as the economy has stabilised post COVID. The 6% implementation pathway deserves no further attention.</w:t>
            </w:r>
          </w:p>
        </w:tc>
        <w:tc>
          <w:tcPr>
            <w:tcW w:w="3672" w:type="dxa"/>
            <w:gridSpan w:val="2"/>
          </w:tcPr>
          <w:p w14:paraId="62513833" w14:textId="018049C5"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F053096" w14:textId="77777777" w:rsidTr="00FE2CF6">
        <w:tc>
          <w:tcPr>
            <w:tcW w:w="1166" w:type="dxa"/>
          </w:tcPr>
          <w:p w14:paraId="71B02884" w14:textId="79704C38"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0E0F52DB" w14:textId="6844A2ED"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7CEA5B9E" w14:textId="25800D71"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45C9C837" w14:textId="0E8D0A51" w:rsidR="0070512E" w:rsidRPr="008F31E5" w:rsidRDefault="0070512E" w:rsidP="008F31E5">
            <w:pPr>
              <w:pStyle w:val="BodyCopy"/>
              <w:spacing w:before="60" w:after="60"/>
              <w:rPr>
                <w:sz w:val="18"/>
                <w:szCs w:val="20"/>
              </w:rPr>
            </w:pPr>
            <w:r w:rsidRPr="008F31E5">
              <w:rPr>
                <w:sz w:val="18"/>
                <w:szCs w:val="20"/>
              </w:rPr>
              <w:t>This leaves the 3.5% annual increase implementation pathway as the only one likely to be politically palatable, or some other (currently unspecified) variant thereof, that probably involves smaller annual rates of charge increase. As noted above, the 3.5% rate of increase was chosen by NTC on the basis that it keeps overall HV cost recovery at around its current level, in a context of increasing aggregate HV road-related expenditures that need to be recovered – hence the need for some increase in charges. For a typical 2-axle metro route bus, the annual charges paid in year 3 under this pathway would be $7</w:t>
            </w:r>
            <w:r w:rsidR="00531F8D">
              <w:rPr>
                <w:sz w:val="18"/>
                <w:szCs w:val="20"/>
              </w:rPr>
              <w:t>,</w:t>
            </w:r>
            <w:r w:rsidRPr="008F31E5">
              <w:rPr>
                <w:sz w:val="18"/>
                <w:szCs w:val="20"/>
              </w:rPr>
              <w:t xml:space="preserve">893, which is 11.0% higher than current charges. This is a lot better than the 47.4% increase in year 1 under the direct implementation pathway but is still a substantial increase in charge levels. The impact of the decision to increase the cost allocation component that is based on ESAs remains a major influence here, with the added nuisance of an unwarrantedly high regulatory charge component of the registration </w:t>
            </w:r>
            <w:r w:rsidRPr="008F31E5">
              <w:rPr>
                <w:sz w:val="18"/>
                <w:szCs w:val="20"/>
              </w:rPr>
              <w:lastRenderedPageBreak/>
              <w:t>charge.</w:t>
            </w:r>
            <w:r w:rsidRPr="008F31E5">
              <w:rPr>
                <w:sz w:val="18"/>
                <w:szCs w:val="20"/>
              </w:rPr>
              <w:br/>
            </w:r>
            <w:r w:rsidRPr="008F31E5">
              <w:rPr>
                <w:sz w:val="18"/>
                <w:szCs w:val="20"/>
              </w:rPr>
              <w:br/>
              <w:t>The 3.5% annual increase implementation pathway is the preferred option over the direct implementation pathway and 6% annual increase pathway. However</w:t>
            </w:r>
            <w:r w:rsidR="00531F8D">
              <w:rPr>
                <w:sz w:val="18"/>
                <w:szCs w:val="20"/>
              </w:rPr>
              <w:t>,</w:t>
            </w:r>
            <w:r w:rsidRPr="008F31E5">
              <w:rPr>
                <w:sz w:val="18"/>
                <w:szCs w:val="20"/>
              </w:rPr>
              <w:t xml:space="preserve"> with many other major price indices growing more slowly, such as CPI (+1.57% p.a. for Australia between December 2015 and December 2020) and average weekly earnings (+2.25% p.a. for persons/earnings from November 2015 to November 2020), there are grounds for a charging alternative that is pitched at around 2% p.a. annual rate of increase over the three-year charge period. This would lead to an increase of $435 over current charges for 2-axle buses &gt; 12 tonnes in urban route service. Over the three-year charge period, a full review of the charging regime should be undertaken, including cost allocation, as part of the HVRR program.</w:t>
            </w:r>
            <w:r w:rsidRPr="008F31E5">
              <w:rPr>
                <w:sz w:val="18"/>
                <w:szCs w:val="20"/>
              </w:rPr>
              <w:br/>
            </w:r>
            <w:r w:rsidRPr="008F31E5">
              <w:rPr>
                <w:sz w:val="18"/>
                <w:szCs w:val="20"/>
              </w:rPr>
              <w:br/>
              <w:t>Cost increases from the three charge pathways for 3-axle buses are much bigger than those for the 2-axle metro route buses &gt; 12 tonnes in absolute dollar terms, largely because of the RUCs (fuel charges) paid by the 3-axle buses, which travel much longer distances per year than urban route buses. To illustrate this, the BAN assumes that a 3-axle bus operates for 500,000 kilometres per year, providing a long</w:t>
            </w:r>
            <w:r w:rsidR="00DF4933">
              <w:rPr>
                <w:sz w:val="18"/>
                <w:szCs w:val="20"/>
              </w:rPr>
              <w:t>-</w:t>
            </w:r>
            <w:r w:rsidRPr="008F31E5">
              <w:rPr>
                <w:sz w:val="18"/>
                <w:szCs w:val="20"/>
              </w:rPr>
              <w:t>distance public transport service, with a fuel economy rate of 31.8L/100kms. In that case, the direct implementation pathway would increase total road charges for the 3-axle bus by around $14,106 over current charges in year 1, much larger than the increase of $3375 estimated for 2-axle metro route buses &gt; 12 tonnes. About two-thirds of the increased costs for 3-axle buses come via RUC payments, given the long distances travelled, but registration charges also increase substantially (by $4</w:t>
            </w:r>
            <w:r w:rsidR="00DF4933">
              <w:rPr>
                <w:sz w:val="18"/>
                <w:szCs w:val="20"/>
              </w:rPr>
              <w:t>,</w:t>
            </w:r>
            <w:r w:rsidRPr="008F31E5">
              <w:rPr>
                <w:sz w:val="18"/>
                <w:szCs w:val="20"/>
              </w:rPr>
              <w:t>884). The 6% pathway would increase 3-axle bus costs by $8</w:t>
            </w:r>
            <w:r w:rsidR="00DF4933">
              <w:rPr>
                <w:sz w:val="18"/>
                <w:szCs w:val="20"/>
              </w:rPr>
              <w:t>,</w:t>
            </w:r>
            <w:r w:rsidRPr="008F31E5">
              <w:rPr>
                <w:sz w:val="18"/>
                <w:szCs w:val="20"/>
              </w:rPr>
              <w:t>660 in year 3, compared to current charges, while the 3.5% pathway still adds a substantial $4</w:t>
            </w:r>
            <w:r w:rsidR="00DF4933">
              <w:rPr>
                <w:sz w:val="18"/>
                <w:szCs w:val="20"/>
              </w:rPr>
              <w:t>,</w:t>
            </w:r>
            <w:r w:rsidRPr="008F31E5">
              <w:rPr>
                <w:sz w:val="18"/>
                <w:szCs w:val="20"/>
              </w:rPr>
              <w:t>966 in year 3 to the costs of this 3-axle bus. Reducing the rate of charge increase to 2% p.a. would mean that a 3-axle bus doing 500,000</w:t>
            </w:r>
            <w:r w:rsidR="00DF4933">
              <w:rPr>
                <w:sz w:val="18"/>
                <w:szCs w:val="20"/>
              </w:rPr>
              <w:t xml:space="preserve"> </w:t>
            </w:r>
            <w:r w:rsidRPr="008F31E5">
              <w:rPr>
                <w:sz w:val="18"/>
                <w:szCs w:val="20"/>
              </w:rPr>
              <w:t>kms a year would pay an extra $2</w:t>
            </w:r>
            <w:r w:rsidR="00DF4933">
              <w:rPr>
                <w:sz w:val="18"/>
                <w:szCs w:val="20"/>
              </w:rPr>
              <w:t>,</w:t>
            </w:r>
            <w:r w:rsidRPr="008F31E5">
              <w:rPr>
                <w:sz w:val="18"/>
                <w:szCs w:val="20"/>
              </w:rPr>
              <w:t>736 in year 3, mainly through higher RUC payments.</w:t>
            </w:r>
          </w:p>
        </w:tc>
        <w:tc>
          <w:tcPr>
            <w:tcW w:w="3672" w:type="dxa"/>
            <w:gridSpan w:val="2"/>
          </w:tcPr>
          <w:p w14:paraId="6912BDB8" w14:textId="319AB2BB"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16F4CDCA" w14:textId="77777777" w:rsidTr="00FE2CF6">
        <w:tc>
          <w:tcPr>
            <w:tcW w:w="1166" w:type="dxa"/>
          </w:tcPr>
          <w:p w14:paraId="55259DD1" w14:textId="6428FC20"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1F244507" w14:textId="2C2B4760"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4D78D8D0" w14:textId="7217C9A7"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991F1F">
              <w:rPr>
                <w:sz w:val="18"/>
                <w:szCs w:val="20"/>
              </w:rPr>
              <w:t>o</w:t>
            </w:r>
            <w:r w:rsidRPr="008F31E5">
              <w:rPr>
                <w:sz w:val="18"/>
                <w:szCs w:val="20"/>
              </w:rPr>
              <w:t>ptions (</w:t>
            </w:r>
            <w:r w:rsidR="00991F1F">
              <w:rPr>
                <w:sz w:val="18"/>
                <w:szCs w:val="20"/>
              </w:rPr>
              <w:t>g</w:t>
            </w:r>
            <w:r w:rsidRPr="008F31E5">
              <w:rPr>
                <w:sz w:val="18"/>
                <w:szCs w:val="20"/>
              </w:rPr>
              <w:t>eneral)</w:t>
            </w:r>
          </w:p>
        </w:tc>
        <w:tc>
          <w:tcPr>
            <w:tcW w:w="7201" w:type="dxa"/>
          </w:tcPr>
          <w:p w14:paraId="3022710A" w14:textId="45FF8D05" w:rsidR="0070512E" w:rsidRPr="008F31E5" w:rsidRDefault="0070512E" w:rsidP="008F31E5">
            <w:pPr>
              <w:pStyle w:val="BodyCopy"/>
              <w:spacing w:before="60" w:after="60"/>
              <w:rPr>
                <w:sz w:val="18"/>
                <w:szCs w:val="20"/>
              </w:rPr>
            </w:pPr>
            <w:r w:rsidRPr="008F31E5">
              <w:rPr>
                <w:sz w:val="18"/>
                <w:szCs w:val="20"/>
              </w:rPr>
              <w:t>There are some examples discussed in this submission that precedes the answers to these questions. The BAN also notes that, if registration charges are reduced on one or more vehicle classes (as we propose for bus) then state revenues will reduce. This should not be a serious issue, since electrification of the vehicle fleet in coming years will be far more disruptive of governmental transport revenue flows.</w:t>
            </w:r>
          </w:p>
        </w:tc>
        <w:tc>
          <w:tcPr>
            <w:tcW w:w="3672" w:type="dxa"/>
            <w:gridSpan w:val="2"/>
          </w:tcPr>
          <w:p w14:paraId="34575F6E" w14:textId="16C77133"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B796D90" w14:textId="77777777" w:rsidTr="00FE2CF6">
        <w:tc>
          <w:tcPr>
            <w:tcW w:w="1166" w:type="dxa"/>
          </w:tcPr>
          <w:p w14:paraId="48877528" w14:textId="135D342A" w:rsidR="0070512E" w:rsidRPr="008F31E5" w:rsidRDefault="0070512E" w:rsidP="008F31E5">
            <w:pPr>
              <w:pStyle w:val="BodyCopy"/>
              <w:spacing w:before="60" w:after="60"/>
              <w:rPr>
                <w:sz w:val="18"/>
                <w:szCs w:val="20"/>
              </w:rPr>
            </w:pPr>
            <w:r w:rsidRPr="008F31E5">
              <w:rPr>
                <w:sz w:val="18"/>
                <w:szCs w:val="20"/>
              </w:rPr>
              <w:t>Motor Trade Association SA/NT</w:t>
            </w:r>
          </w:p>
        </w:tc>
        <w:tc>
          <w:tcPr>
            <w:tcW w:w="902" w:type="dxa"/>
          </w:tcPr>
          <w:p w14:paraId="0FA650E8" w14:textId="135DE939"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7A7A91CB" w14:textId="1D509478"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4B381DD2" w14:textId="4111F9A0" w:rsidR="0070512E" w:rsidRPr="008F31E5" w:rsidRDefault="0070512E" w:rsidP="008F31E5">
            <w:pPr>
              <w:pStyle w:val="BodyCopy"/>
              <w:spacing w:before="60" w:after="60"/>
              <w:rPr>
                <w:sz w:val="18"/>
                <w:szCs w:val="20"/>
              </w:rPr>
            </w:pPr>
            <w:r w:rsidRPr="008F31E5">
              <w:rPr>
                <w:sz w:val="18"/>
                <w:szCs w:val="20"/>
              </w:rPr>
              <w:t>The NTC has correctly identified the direct implementation option would cause significant cost increases to certain classes of heavy vehicles. As the ESA values for bus classes have either doubled or tripled these represent a major adjustment to the respective cost allocation.</w:t>
            </w:r>
            <w:r w:rsidRPr="008F31E5">
              <w:rPr>
                <w:sz w:val="18"/>
                <w:szCs w:val="20"/>
              </w:rPr>
              <w:br/>
            </w:r>
            <w:r w:rsidRPr="008F31E5">
              <w:rPr>
                <w:sz w:val="18"/>
                <w:szCs w:val="20"/>
              </w:rPr>
              <w:br/>
              <w:t xml:space="preserve">Combined with the full cost recovery under the direct implementation option this would impact three axle buses – i.e. </w:t>
            </w:r>
            <w:r w:rsidR="00531F8D">
              <w:rPr>
                <w:sz w:val="18"/>
                <w:szCs w:val="20"/>
              </w:rPr>
              <w:t>c</w:t>
            </w:r>
            <w:r w:rsidRPr="008F31E5">
              <w:rPr>
                <w:sz w:val="18"/>
                <w:szCs w:val="20"/>
              </w:rPr>
              <w:t xml:space="preserve">oaches – with a registration cost increase from $2,731 to </w:t>
            </w:r>
            <w:r w:rsidRPr="008F31E5">
              <w:rPr>
                <w:sz w:val="18"/>
                <w:szCs w:val="20"/>
              </w:rPr>
              <w:lastRenderedPageBreak/>
              <w:t>$7,615 and dual axis busses over 12 tonnes from $651 to $2,606. The MTA represents members who operate vehicles in these classes and have been experiencing major business disruptions caused by the impact of COVID-19 pandemic. The impost caused by option one on these members would be significant. Implementation options 2 and 3 are a better compromise between cost recovery of infrastructure allocations and spreading out the impact over time to achieve cost recovery as per the pricing principals.</w:t>
            </w:r>
          </w:p>
        </w:tc>
        <w:tc>
          <w:tcPr>
            <w:tcW w:w="3672" w:type="dxa"/>
            <w:gridSpan w:val="2"/>
          </w:tcPr>
          <w:p w14:paraId="42DCCB8B" w14:textId="7C4E7885"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5A70D62E" w14:textId="77777777" w:rsidTr="00FE2CF6">
        <w:tc>
          <w:tcPr>
            <w:tcW w:w="1166" w:type="dxa"/>
          </w:tcPr>
          <w:p w14:paraId="6C6CED86" w14:textId="79A6EF3E" w:rsidR="0070512E" w:rsidRPr="008F31E5" w:rsidRDefault="0070512E" w:rsidP="008F31E5">
            <w:pPr>
              <w:pStyle w:val="BodyCopy"/>
              <w:spacing w:before="60" w:after="60"/>
              <w:rPr>
                <w:sz w:val="18"/>
                <w:szCs w:val="20"/>
              </w:rPr>
            </w:pPr>
            <w:r w:rsidRPr="008F31E5">
              <w:rPr>
                <w:sz w:val="18"/>
                <w:szCs w:val="20"/>
              </w:rPr>
              <w:t>Motor Trade Association SA/NT</w:t>
            </w:r>
          </w:p>
        </w:tc>
        <w:tc>
          <w:tcPr>
            <w:tcW w:w="902" w:type="dxa"/>
          </w:tcPr>
          <w:p w14:paraId="29E12112" w14:textId="14C8DDCA"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3CBE7EE3" w14:textId="6284E024"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7316B203" w14:textId="47E184D3" w:rsidR="0070512E" w:rsidRPr="008F31E5" w:rsidRDefault="0070512E" w:rsidP="008F31E5">
            <w:pPr>
              <w:pStyle w:val="BodyCopy"/>
              <w:spacing w:before="60" w:after="60"/>
              <w:rPr>
                <w:sz w:val="18"/>
                <w:szCs w:val="20"/>
              </w:rPr>
            </w:pPr>
            <w:r w:rsidRPr="008F31E5">
              <w:rPr>
                <w:sz w:val="18"/>
                <w:szCs w:val="20"/>
              </w:rPr>
              <w:t>The preferred option is implementation option 2 with the cost increases fixed at 3.5% per annum.</w:t>
            </w:r>
            <w:r w:rsidRPr="008F31E5">
              <w:rPr>
                <w:sz w:val="18"/>
                <w:szCs w:val="20"/>
              </w:rPr>
              <w:br/>
            </w:r>
            <w:r w:rsidRPr="008F31E5">
              <w:rPr>
                <w:sz w:val="18"/>
                <w:szCs w:val="20"/>
              </w:rPr>
              <w:br/>
              <w:t>This provides the lowest implementation, especially to a passenger transport sector, greatly impacted by the impacts of the COVID pandemic. Options that impose a huge sudden increase to individual classes are not supported and need to be avoided.</w:t>
            </w:r>
          </w:p>
        </w:tc>
        <w:tc>
          <w:tcPr>
            <w:tcW w:w="3672" w:type="dxa"/>
            <w:gridSpan w:val="2"/>
          </w:tcPr>
          <w:p w14:paraId="48B81E57" w14:textId="69727758"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084EEA2" w14:textId="77777777" w:rsidTr="00FE2CF6">
        <w:tc>
          <w:tcPr>
            <w:tcW w:w="1166" w:type="dxa"/>
          </w:tcPr>
          <w:p w14:paraId="35D5961A" w14:textId="14352260"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5DEC32CB" w14:textId="78F15D0E"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49657D4C" w14:textId="755DFA31"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5584A77F" w14:textId="2FBF7F07" w:rsidR="0070512E" w:rsidRPr="008F31E5" w:rsidRDefault="0070512E" w:rsidP="008F31E5">
            <w:pPr>
              <w:pStyle w:val="BodyCopy"/>
              <w:spacing w:before="60" w:after="60"/>
              <w:rPr>
                <w:sz w:val="18"/>
                <w:szCs w:val="20"/>
              </w:rPr>
            </w:pPr>
            <w:r w:rsidRPr="008F31E5">
              <w:rPr>
                <w:sz w:val="18"/>
                <w:szCs w:val="20"/>
              </w:rPr>
              <w:t>As noted in the C</w:t>
            </w:r>
            <w:r w:rsidR="00D82989">
              <w:rPr>
                <w:sz w:val="18"/>
                <w:szCs w:val="20"/>
              </w:rPr>
              <w:t>-</w:t>
            </w:r>
            <w:r w:rsidRPr="008F31E5">
              <w:rPr>
                <w:sz w:val="18"/>
                <w:szCs w:val="20"/>
              </w:rPr>
              <w:t>RIS, predictability of changes to heavy vehicle charges is important to permit operators to plan and reflect cost changes in their pricing and contracts (with the caveat that many smaller operators do not have the ability to pass on these costs).</w:t>
            </w:r>
          </w:p>
        </w:tc>
        <w:tc>
          <w:tcPr>
            <w:tcW w:w="3672" w:type="dxa"/>
            <w:gridSpan w:val="2"/>
          </w:tcPr>
          <w:p w14:paraId="5D1A99A3" w14:textId="7BB4B212"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42F80BEB" w14:textId="77777777" w:rsidTr="00FE2CF6">
        <w:tc>
          <w:tcPr>
            <w:tcW w:w="1166" w:type="dxa"/>
          </w:tcPr>
          <w:p w14:paraId="66C3B6AF" w14:textId="5574724C"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7D443EBF" w14:textId="5E8BD7A6"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3E282A29" w14:textId="35CEB747"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i</w:t>
            </w:r>
            <w:r w:rsidR="0070512E" w:rsidRPr="008F31E5">
              <w:rPr>
                <w:sz w:val="18"/>
                <w:szCs w:val="20"/>
              </w:rPr>
              <w:t>mpact on industry</w:t>
            </w:r>
          </w:p>
        </w:tc>
        <w:tc>
          <w:tcPr>
            <w:tcW w:w="7201" w:type="dxa"/>
          </w:tcPr>
          <w:p w14:paraId="25E63BA4" w14:textId="4773F8EE" w:rsidR="0070512E" w:rsidRPr="008F31E5" w:rsidRDefault="0070512E" w:rsidP="008F31E5">
            <w:pPr>
              <w:pStyle w:val="BodyCopy"/>
              <w:spacing w:before="60" w:after="60"/>
              <w:rPr>
                <w:sz w:val="18"/>
                <w:szCs w:val="20"/>
              </w:rPr>
            </w:pPr>
            <w:r w:rsidRPr="008F31E5">
              <w:rPr>
                <w:sz w:val="18"/>
                <w:szCs w:val="20"/>
              </w:rPr>
              <w:t>As indicated earlier, implementing a significant increase in heavy vehicle charges of even the smallest magnitude would be more severe than would otherwise be the case given the current uncertain economic climate and the ongoing impact of the pandemic</w:t>
            </w:r>
            <w:r w:rsidR="00DF4933">
              <w:rPr>
                <w:sz w:val="18"/>
                <w:szCs w:val="20"/>
              </w:rPr>
              <w:t xml:space="preserve"> </w:t>
            </w:r>
            <w:r w:rsidRPr="008F31E5">
              <w:rPr>
                <w:sz w:val="18"/>
                <w:szCs w:val="20"/>
              </w:rPr>
              <w:t>...</w:t>
            </w:r>
            <w:r w:rsidRPr="008F31E5">
              <w:rPr>
                <w:sz w:val="18"/>
                <w:szCs w:val="20"/>
              </w:rPr>
              <w:br/>
            </w:r>
            <w:r w:rsidRPr="008F31E5">
              <w:rPr>
                <w:sz w:val="18"/>
                <w:szCs w:val="20"/>
              </w:rPr>
              <w:br/>
              <w:t>In response to Question 23, we believe that the NTC should assist to move to a new model for HVRR that does not rely on PAYGO, given its defects. Plus work needs to be done on reforming the tax base, especially in relation to the fuel tax excise.</w:t>
            </w:r>
          </w:p>
        </w:tc>
        <w:tc>
          <w:tcPr>
            <w:tcW w:w="3672" w:type="dxa"/>
            <w:gridSpan w:val="2"/>
          </w:tcPr>
          <w:p w14:paraId="0C8AC6C4" w14:textId="699CE93E"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57271068" w14:textId="77777777" w:rsidTr="00FE2CF6">
        <w:tc>
          <w:tcPr>
            <w:tcW w:w="1166" w:type="dxa"/>
          </w:tcPr>
          <w:p w14:paraId="40EE117C" w14:textId="6F51BB01"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08219718" w14:textId="35DCD4FF"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0BAE2D6B" w14:textId="3E207258" w:rsidR="0070512E" w:rsidRPr="008F31E5" w:rsidRDefault="0070512E" w:rsidP="008F31E5">
            <w:pPr>
              <w:pStyle w:val="BodyCopy"/>
              <w:spacing w:before="60" w:after="60"/>
              <w:rPr>
                <w:sz w:val="18"/>
                <w:szCs w:val="20"/>
              </w:rPr>
            </w:pPr>
            <w:r w:rsidRPr="008F31E5">
              <w:rPr>
                <w:sz w:val="18"/>
                <w:szCs w:val="20"/>
              </w:rPr>
              <w:t xml:space="preserve">Impl. </w:t>
            </w:r>
            <w:r w:rsidR="004019B7">
              <w:rPr>
                <w:sz w:val="18"/>
                <w:szCs w:val="20"/>
              </w:rPr>
              <w:t>o</w:t>
            </w:r>
            <w:r w:rsidRPr="008F31E5">
              <w:rPr>
                <w:sz w:val="18"/>
                <w:szCs w:val="20"/>
              </w:rPr>
              <w:t>pt.</w:t>
            </w:r>
            <w:r w:rsidR="00321E50">
              <w:rPr>
                <w:sz w:val="18"/>
                <w:szCs w:val="20"/>
              </w:rPr>
              <w:t xml:space="preserve"> – </w:t>
            </w:r>
            <w:r w:rsidR="00991F1F">
              <w:rPr>
                <w:sz w:val="18"/>
                <w:szCs w:val="20"/>
              </w:rPr>
              <w:t>m</w:t>
            </w:r>
            <w:r w:rsidRPr="008F31E5">
              <w:rPr>
                <w:sz w:val="18"/>
                <w:szCs w:val="20"/>
              </w:rPr>
              <w:t>ulti-year price periods</w:t>
            </w:r>
          </w:p>
        </w:tc>
        <w:tc>
          <w:tcPr>
            <w:tcW w:w="7201" w:type="dxa"/>
          </w:tcPr>
          <w:p w14:paraId="3411101A" w14:textId="0E3C1EED" w:rsidR="0070512E" w:rsidRPr="008F31E5" w:rsidRDefault="0070512E" w:rsidP="008F31E5">
            <w:pPr>
              <w:pStyle w:val="BodyCopy"/>
              <w:spacing w:before="60" w:after="60"/>
              <w:rPr>
                <w:sz w:val="18"/>
                <w:szCs w:val="20"/>
              </w:rPr>
            </w:pPr>
            <w:r w:rsidRPr="008F31E5">
              <w:rPr>
                <w:sz w:val="18"/>
                <w:szCs w:val="20"/>
              </w:rPr>
              <w:t>The three-year fixed path specifying fixed percentage increases in overall heavy vehicle charges is likely to be the most preferred method with industry.</w:t>
            </w:r>
          </w:p>
        </w:tc>
        <w:tc>
          <w:tcPr>
            <w:tcW w:w="3672" w:type="dxa"/>
            <w:gridSpan w:val="2"/>
          </w:tcPr>
          <w:p w14:paraId="0DA3920F" w14:textId="43ACF1F9"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2059537F" w14:textId="77777777" w:rsidTr="00FE2CF6">
        <w:tc>
          <w:tcPr>
            <w:tcW w:w="1166" w:type="dxa"/>
          </w:tcPr>
          <w:p w14:paraId="10AD4026" w14:textId="2D7FF6B2" w:rsidR="0070512E" w:rsidRPr="008F31E5" w:rsidRDefault="0070512E" w:rsidP="008F31E5">
            <w:pPr>
              <w:pStyle w:val="BodyCopy"/>
              <w:spacing w:before="60" w:after="60"/>
              <w:rPr>
                <w:sz w:val="18"/>
                <w:szCs w:val="20"/>
              </w:rPr>
            </w:pPr>
            <w:r w:rsidRPr="008F31E5">
              <w:rPr>
                <w:sz w:val="18"/>
                <w:szCs w:val="20"/>
              </w:rPr>
              <w:t>Philip Laird</w:t>
            </w:r>
          </w:p>
        </w:tc>
        <w:tc>
          <w:tcPr>
            <w:tcW w:w="902" w:type="dxa"/>
          </w:tcPr>
          <w:p w14:paraId="6182A787" w14:textId="73E3FE5E"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6C61C8F2" w14:textId="7FEE128D"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objectives</w:t>
            </w:r>
          </w:p>
        </w:tc>
        <w:tc>
          <w:tcPr>
            <w:tcW w:w="7201" w:type="dxa"/>
          </w:tcPr>
          <w:p w14:paraId="7E66E31F" w14:textId="106B1541" w:rsidR="0070512E" w:rsidRPr="008F31E5" w:rsidRDefault="0070512E" w:rsidP="008F31E5">
            <w:pPr>
              <w:pStyle w:val="BodyCopy"/>
              <w:spacing w:before="60" w:after="60"/>
              <w:rPr>
                <w:sz w:val="18"/>
                <w:szCs w:val="20"/>
              </w:rPr>
            </w:pPr>
            <w:r w:rsidRPr="008F31E5">
              <w:rPr>
                <w:sz w:val="18"/>
                <w:szCs w:val="20"/>
              </w:rPr>
              <w:t>The current system for road pricing was put in place in 1992 when it was found wanting by the Industry (now Productivity) Commission in its 1991</w:t>
            </w:r>
            <w:r w:rsidR="00DF4933">
              <w:rPr>
                <w:sz w:val="18"/>
                <w:szCs w:val="20"/>
              </w:rPr>
              <w:t>–</w:t>
            </w:r>
            <w:r w:rsidRPr="008F31E5">
              <w:rPr>
                <w:sz w:val="18"/>
                <w:szCs w:val="20"/>
              </w:rPr>
              <w:t>92 Annual Report, p</w:t>
            </w:r>
            <w:r w:rsidR="00D82989">
              <w:rPr>
                <w:sz w:val="18"/>
                <w:szCs w:val="20"/>
              </w:rPr>
              <w:t xml:space="preserve"> </w:t>
            </w:r>
            <w:r w:rsidRPr="008F31E5">
              <w:rPr>
                <w:sz w:val="18"/>
                <w:szCs w:val="20"/>
              </w:rPr>
              <w:t>197</w:t>
            </w:r>
            <w:r w:rsidR="00D82989">
              <w:rPr>
                <w:sz w:val="18"/>
                <w:szCs w:val="20"/>
              </w:rPr>
              <w:t>–</w:t>
            </w:r>
            <w:r w:rsidRPr="008F31E5">
              <w:rPr>
                <w:sz w:val="18"/>
                <w:szCs w:val="20"/>
              </w:rPr>
              <w:t xml:space="preserve">198): </w:t>
            </w:r>
            <w:r w:rsidR="00E12DE2">
              <w:rPr>
                <w:sz w:val="18"/>
                <w:szCs w:val="20"/>
              </w:rPr>
              <w:t>‘</w:t>
            </w:r>
            <w:r w:rsidRPr="008F31E5">
              <w:rPr>
                <w:sz w:val="18"/>
                <w:szCs w:val="20"/>
              </w:rPr>
              <w:t>The result is that some vehicles</w:t>
            </w:r>
            <w:r w:rsidR="00321E50">
              <w:rPr>
                <w:sz w:val="18"/>
                <w:szCs w:val="20"/>
              </w:rPr>
              <w:t xml:space="preserve"> – </w:t>
            </w:r>
            <w:r w:rsidRPr="008F31E5">
              <w:rPr>
                <w:sz w:val="18"/>
                <w:szCs w:val="20"/>
              </w:rPr>
              <w:t>the heaviest travelling long annual distances</w:t>
            </w:r>
            <w:r w:rsidR="00321E50">
              <w:rPr>
                <w:sz w:val="18"/>
                <w:szCs w:val="20"/>
              </w:rPr>
              <w:t xml:space="preserve"> – </w:t>
            </w:r>
            <w:r w:rsidRPr="008F31E5">
              <w:rPr>
                <w:sz w:val="18"/>
                <w:szCs w:val="20"/>
              </w:rPr>
              <w:t>will meet less than 20 per cent of their attributed costs. ... Differences between the recommended charges and road related costs are greatest for vehicles competing with rail. The charges, as recommended, will therefore potentially distort the long-haul freight market as rail reforms take effect</w:t>
            </w:r>
            <w:r w:rsidR="00DF4933">
              <w:rPr>
                <w:sz w:val="18"/>
                <w:szCs w:val="20"/>
              </w:rPr>
              <w:t xml:space="preserve"> </w:t>
            </w:r>
            <w:r w:rsidRPr="008F31E5">
              <w:rPr>
                <w:sz w:val="18"/>
                <w:szCs w:val="20"/>
              </w:rPr>
              <w:t>.</w:t>
            </w:r>
            <w:r w:rsidR="00DF4933">
              <w:rPr>
                <w:sz w:val="18"/>
                <w:szCs w:val="20"/>
              </w:rPr>
              <w:t>.</w:t>
            </w:r>
            <w:r w:rsidRPr="008F31E5">
              <w:rPr>
                <w:sz w:val="18"/>
                <w:szCs w:val="20"/>
              </w:rPr>
              <w:t>.</w:t>
            </w:r>
            <w:r w:rsidR="00E12DE2">
              <w:rPr>
                <w:sz w:val="18"/>
                <w:szCs w:val="20"/>
              </w:rPr>
              <w:t>’</w:t>
            </w:r>
            <w:r w:rsidRPr="008F31E5">
              <w:rPr>
                <w:sz w:val="18"/>
                <w:szCs w:val="20"/>
              </w:rPr>
              <w:br/>
            </w:r>
            <w:r w:rsidRPr="008F31E5">
              <w:rPr>
                <w:sz w:val="18"/>
                <w:szCs w:val="20"/>
              </w:rPr>
              <w:br/>
              <w:t xml:space="preserve">On the other hand, there are claims that the NTC charges as approved by </w:t>
            </w:r>
            <w:r w:rsidR="00D82989">
              <w:rPr>
                <w:sz w:val="18"/>
                <w:szCs w:val="20"/>
              </w:rPr>
              <w:t>m</w:t>
            </w:r>
            <w:r w:rsidRPr="008F31E5">
              <w:rPr>
                <w:sz w:val="18"/>
                <w:szCs w:val="20"/>
              </w:rPr>
              <w:t>inisters, amount, in most years (but not all years) to full cost recovery</w:t>
            </w:r>
            <w:r w:rsidR="00D82989">
              <w:rPr>
                <w:sz w:val="18"/>
                <w:szCs w:val="20"/>
              </w:rPr>
              <w:t>.</w:t>
            </w:r>
            <w:r w:rsidRPr="008F31E5">
              <w:rPr>
                <w:sz w:val="18"/>
                <w:szCs w:val="20"/>
              </w:rPr>
              <w:br/>
            </w:r>
            <w:r w:rsidRPr="008F31E5">
              <w:rPr>
                <w:sz w:val="18"/>
                <w:szCs w:val="20"/>
              </w:rPr>
              <w:br/>
              <w:t xml:space="preserve">The process used for determining and approving these charges has problems. These </w:t>
            </w:r>
            <w:r w:rsidRPr="008F31E5">
              <w:rPr>
                <w:sz w:val="18"/>
                <w:szCs w:val="20"/>
              </w:rPr>
              <w:lastRenderedPageBreak/>
              <w:t xml:space="preserve">were brought to light c2005 when </w:t>
            </w:r>
            <w:r w:rsidR="00D82989">
              <w:rPr>
                <w:sz w:val="18"/>
                <w:szCs w:val="20"/>
              </w:rPr>
              <w:t>m</w:t>
            </w:r>
            <w:r w:rsidRPr="008F31E5">
              <w:rPr>
                <w:sz w:val="18"/>
                <w:szCs w:val="20"/>
              </w:rPr>
              <w:t>inisters declined to implement a benign determination of the NTC in the face of industry pressure (as noted by the Australian Financial Review). It is submitted that the long standing NTC determined charges, coupled with ongoing relaxation of mass and dimension limits, has distorted the long</w:t>
            </w:r>
            <w:r w:rsidR="00DF4933">
              <w:rPr>
                <w:sz w:val="18"/>
                <w:szCs w:val="20"/>
              </w:rPr>
              <w:t>-</w:t>
            </w:r>
            <w:r w:rsidRPr="008F31E5">
              <w:rPr>
                <w:sz w:val="18"/>
                <w:szCs w:val="20"/>
              </w:rPr>
              <w:t>haul land freight market and, that these charges do not assist coastal shipping.</w:t>
            </w:r>
            <w:r w:rsidRPr="008F31E5">
              <w:rPr>
                <w:sz w:val="18"/>
                <w:szCs w:val="20"/>
              </w:rPr>
              <w:br/>
            </w:r>
            <w:r w:rsidRPr="008F31E5">
              <w:rPr>
                <w:sz w:val="18"/>
                <w:szCs w:val="20"/>
              </w:rPr>
              <w:br/>
              <w:t xml:space="preserve">In 2006, the Productivity Commission in its report Road and Rail Freight Infrastructure Pricing found the NTC methodology for allocation of road system costs to heavy trucks as </w:t>
            </w:r>
            <w:r w:rsidR="00E12DE2">
              <w:rPr>
                <w:sz w:val="18"/>
                <w:szCs w:val="20"/>
              </w:rPr>
              <w:t>‘</w:t>
            </w:r>
            <w:r w:rsidRPr="008F31E5">
              <w:rPr>
                <w:sz w:val="18"/>
                <w:szCs w:val="20"/>
              </w:rPr>
              <w:t>conservative</w:t>
            </w:r>
            <w:r w:rsidR="00E12DE2">
              <w:rPr>
                <w:sz w:val="18"/>
                <w:szCs w:val="20"/>
              </w:rPr>
              <w:t>’</w:t>
            </w:r>
            <w:r w:rsidRPr="008F31E5">
              <w:rPr>
                <w:sz w:val="18"/>
                <w:szCs w:val="20"/>
              </w:rPr>
              <w:t>.</w:t>
            </w:r>
          </w:p>
        </w:tc>
        <w:tc>
          <w:tcPr>
            <w:tcW w:w="3672" w:type="dxa"/>
            <w:gridSpan w:val="2"/>
          </w:tcPr>
          <w:p w14:paraId="4C241C2A" w14:textId="39F0687C" w:rsidR="0070512E" w:rsidRPr="008F31E5" w:rsidRDefault="0070512E" w:rsidP="008F31E5">
            <w:pPr>
              <w:pStyle w:val="BodyCopy"/>
              <w:spacing w:before="60" w:after="60"/>
              <w:rPr>
                <w:sz w:val="18"/>
                <w:szCs w:val="20"/>
              </w:rPr>
            </w:pPr>
            <w:r w:rsidRPr="008F31E5">
              <w:rPr>
                <w:sz w:val="18"/>
                <w:szCs w:val="20"/>
              </w:rPr>
              <w:lastRenderedPageBreak/>
              <w:t>Noted. Mode neutrality is not in scope for this determination, and is not covered by pricing principles.</w:t>
            </w:r>
            <w:r w:rsidR="009E61AA">
              <w:rPr>
                <w:sz w:val="18"/>
                <w:szCs w:val="20"/>
              </w:rPr>
              <w:t xml:space="preserve"> </w:t>
            </w:r>
            <w:r w:rsidRPr="008F31E5">
              <w:rPr>
                <w:sz w:val="18"/>
                <w:szCs w:val="20"/>
              </w:rPr>
              <w:t xml:space="preserve">However, there is an argument that achieving full cost recovery of the identified heavy vehicle cost base would be non-distortionary between modes at the national network level. Cost allocation has been re-evaluated since those previous reviews. The NTC has always put forward an option for setting heavy vehicle charges that would achieve full cost recovery to ministers; however, in recent years implementation </w:t>
            </w:r>
            <w:r w:rsidRPr="008F31E5">
              <w:rPr>
                <w:sz w:val="18"/>
                <w:szCs w:val="20"/>
              </w:rPr>
              <w:lastRenderedPageBreak/>
              <w:t>decisions have not achieved cost recovery (with instances of both over-recovery and under-recovery).</w:t>
            </w:r>
          </w:p>
        </w:tc>
      </w:tr>
      <w:tr w:rsidR="00F74539" w:rsidRPr="008F31E5" w14:paraId="570548A1" w14:textId="77777777" w:rsidTr="00FE2CF6">
        <w:tc>
          <w:tcPr>
            <w:tcW w:w="1166" w:type="dxa"/>
          </w:tcPr>
          <w:p w14:paraId="1DE4F99E" w14:textId="2127E2B5" w:rsidR="0070512E" w:rsidRPr="008F31E5" w:rsidRDefault="0070512E" w:rsidP="008F31E5">
            <w:pPr>
              <w:pStyle w:val="BodyCopy"/>
              <w:spacing w:before="60" w:after="60"/>
              <w:rPr>
                <w:sz w:val="18"/>
                <w:szCs w:val="20"/>
              </w:rPr>
            </w:pPr>
            <w:r w:rsidRPr="008F31E5">
              <w:rPr>
                <w:sz w:val="18"/>
                <w:szCs w:val="20"/>
              </w:rPr>
              <w:lastRenderedPageBreak/>
              <w:t>Philip Laird</w:t>
            </w:r>
          </w:p>
        </w:tc>
        <w:tc>
          <w:tcPr>
            <w:tcW w:w="902" w:type="dxa"/>
          </w:tcPr>
          <w:p w14:paraId="7448EB00" w14:textId="0CA26426"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2C6C5F94" w14:textId="20CFF5DB" w:rsidR="0070512E" w:rsidRPr="008F31E5" w:rsidRDefault="0070512E" w:rsidP="008F31E5">
            <w:pPr>
              <w:pStyle w:val="BodyCopy"/>
              <w:spacing w:before="60" w:after="60"/>
              <w:rPr>
                <w:sz w:val="18"/>
                <w:szCs w:val="20"/>
              </w:rPr>
            </w:pPr>
            <w:r w:rsidRPr="008F31E5">
              <w:rPr>
                <w:sz w:val="18"/>
                <w:szCs w:val="20"/>
              </w:rPr>
              <w:t>Det</w:t>
            </w:r>
            <w:r w:rsidR="00D82989">
              <w:rPr>
                <w:sz w:val="18"/>
                <w:szCs w:val="20"/>
              </w:rPr>
              <w:t>ermination</w:t>
            </w:r>
            <w:r w:rsidRPr="008F31E5">
              <w:rPr>
                <w:sz w:val="18"/>
                <w:szCs w:val="20"/>
              </w:rPr>
              <w:t xml:space="preserve"> </w:t>
            </w:r>
            <w:r w:rsidR="00991F1F">
              <w:rPr>
                <w:sz w:val="18"/>
                <w:szCs w:val="20"/>
              </w:rPr>
              <w:t>o</w:t>
            </w:r>
            <w:r w:rsidRPr="008F31E5">
              <w:rPr>
                <w:sz w:val="18"/>
                <w:szCs w:val="20"/>
              </w:rPr>
              <w:t>pt</w:t>
            </w:r>
            <w:r w:rsidR="00D82989">
              <w:rPr>
                <w:sz w:val="18"/>
                <w:szCs w:val="20"/>
              </w:rPr>
              <w:t>ions</w:t>
            </w:r>
            <w:r w:rsidR="00321E50">
              <w:rPr>
                <w:sz w:val="18"/>
                <w:szCs w:val="20"/>
              </w:rPr>
              <w:t xml:space="preserve"> – </w:t>
            </w:r>
            <w:r w:rsidR="00991F1F">
              <w:rPr>
                <w:sz w:val="18"/>
                <w:szCs w:val="20"/>
              </w:rPr>
              <w:t>e</w:t>
            </w:r>
            <w:r w:rsidRPr="008F31E5">
              <w:rPr>
                <w:sz w:val="18"/>
                <w:szCs w:val="20"/>
              </w:rPr>
              <w:t xml:space="preserve">conomic </w:t>
            </w:r>
            <w:r w:rsidRPr="008B4A42">
              <w:rPr>
                <w:spacing w:val="-6"/>
                <w:sz w:val="18"/>
                <w:szCs w:val="20"/>
              </w:rPr>
              <w:t>considerations</w:t>
            </w:r>
          </w:p>
        </w:tc>
        <w:tc>
          <w:tcPr>
            <w:tcW w:w="7201" w:type="dxa"/>
          </w:tcPr>
          <w:p w14:paraId="549B7EEA" w14:textId="29A0A7AA" w:rsidR="0070512E" w:rsidRPr="008F31E5" w:rsidRDefault="0070512E" w:rsidP="008F31E5">
            <w:pPr>
              <w:pStyle w:val="BodyCopy"/>
              <w:spacing w:before="60" w:after="60"/>
              <w:rPr>
                <w:sz w:val="18"/>
                <w:szCs w:val="20"/>
              </w:rPr>
            </w:pPr>
            <w:r w:rsidRPr="008F31E5">
              <w:rPr>
                <w:sz w:val="18"/>
                <w:szCs w:val="20"/>
              </w:rPr>
              <w:t>In addition, since 2015 there has been further relaxation of mass and dimension limits. The very least that could be done, when such concessions are approved by the authorities, is that mass distance pricing at a full road cost recovery level could be a precondition,</w:t>
            </w:r>
            <w:r w:rsidR="00D82989">
              <w:rPr>
                <w:sz w:val="18"/>
                <w:szCs w:val="20"/>
              </w:rPr>
              <w:t xml:space="preserve"> </w:t>
            </w:r>
            <w:r w:rsidRPr="008F31E5">
              <w:rPr>
                <w:sz w:val="18"/>
                <w:szCs w:val="20"/>
              </w:rPr>
              <w:t xml:space="preserve">with the additional revenue going to maintain and upgrade roads. Put another way, the productivity gains should be shared with </w:t>
            </w:r>
            <w:r w:rsidR="00D82989">
              <w:rPr>
                <w:sz w:val="18"/>
                <w:szCs w:val="20"/>
              </w:rPr>
              <w:t>l</w:t>
            </w:r>
            <w:r w:rsidRPr="008F31E5">
              <w:rPr>
                <w:sz w:val="18"/>
                <w:szCs w:val="20"/>
              </w:rPr>
              <w:t xml:space="preserve">ocal </w:t>
            </w:r>
            <w:r w:rsidR="00D82989">
              <w:rPr>
                <w:sz w:val="18"/>
                <w:szCs w:val="20"/>
              </w:rPr>
              <w:t>g</w:t>
            </w:r>
            <w:r w:rsidRPr="008F31E5">
              <w:rPr>
                <w:sz w:val="18"/>
                <w:szCs w:val="20"/>
              </w:rPr>
              <w:t>overnment and the road agencies.</w:t>
            </w:r>
          </w:p>
        </w:tc>
        <w:tc>
          <w:tcPr>
            <w:tcW w:w="3672" w:type="dxa"/>
            <w:gridSpan w:val="2"/>
          </w:tcPr>
          <w:p w14:paraId="6C60C227" w14:textId="0F9F80A3" w:rsidR="0070512E" w:rsidRPr="008F31E5" w:rsidRDefault="0070512E" w:rsidP="008F31E5">
            <w:pPr>
              <w:pStyle w:val="BodyCopy"/>
              <w:spacing w:before="60" w:after="60"/>
              <w:rPr>
                <w:sz w:val="18"/>
                <w:szCs w:val="20"/>
              </w:rPr>
            </w:pPr>
            <w:r w:rsidRPr="008F31E5">
              <w:rPr>
                <w:sz w:val="18"/>
                <w:szCs w:val="20"/>
              </w:rPr>
              <w:t>Noted, but issues of the charging mechanism and hypothecation fall outside the scope of this heavy vehicle charges determination.</w:t>
            </w:r>
          </w:p>
        </w:tc>
      </w:tr>
      <w:tr w:rsidR="00F74539" w:rsidRPr="008F31E5" w14:paraId="2D923B9F" w14:textId="77777777" w:rsidTr="00FE2CF6">
        <w:tc>
          <w:tcPr>
            <w:tcW w:w="1166" w:type="dxa"/>
          </w:tcPr>
          <w:p w14:paraId="00C02913" w14:textId="1230FDA4" w:rsidR="0070512E" w:rsidRPr="008F31E5" w:rsidRDefault="0070512E" w:rsidP="008F31E5">
            <w:pPr>
              <w:pStyle w:val="BodyCopy"/>
              <w:spacing w:before="60" w:after="60"/>
              <w:rPr>
                <w:sz w:val="18"/>
                <w:szCs w:val="20"/>
              </w:rPr>
            </w:pPr>
            <w:r w:rsidRPr="008F31E5">
              <w:rPr>
                <w:sz w:val="18"/>
                <w:szCs w:val="20"/>
              </w:rPr>
              <w:t>VTA</w:t>
            </w:r>
          </w:p>
        </w:tc>
        <w:tc>
          <w:tcPr>
            <w:tcW w:w="902" w:type="dxa"/>
          </w:tcPr>
          <w:p w14:paraId="66F4768C" w14:textId="4CE8ACFE" w:rsidR="0070512E" w:rsidRPr="008F31E5" w:rsidRDefault="0070512E" w:rsidP="008F31E5">
            <w:pPr>
              <w:pStyle w:val="BodyCopy"/>
              <w:spacing w:before="60" w:after="60"/>
              <w:rPr>
                <w:sz w:val="18"/>
                <w:szCs w:val="20"/>
              </w:rPr>
            </w:pPr>
            <w:r w:rsidRPr="008F31E5">
              <w:rPr>
                <w:sz w:val="18"/>
                <w:szCs w:val="20"/>
              </w:rPr>
              <w:t>23</w:t>
            </w:r>
          </w:p>
        </w:tc>
        <w:tc>
          <w:tcPr>
            <w:tcW w:w="1171" w:type="dxa"/>
          </w:tcPr>
          <w:p w14:paraId="4B74BEFD" w14:textId="1C39F3AE"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ptions</w:t>
            </w:r>
            <w:r w:rsidR="00321E50">
              <w:rPr>
                <w:sz w:val="18"/>
                <w:szCs w:val="20"/>
              </w:rPr>
              <w:t xml:space="preserve"> – </w:t>
            </w:r>
            <w:r>
              <w:rPr>
                <w:sz w:val="18"/>
                <w:szCs w:val="20"/>
              </w:rPr>
              <w:t>i</w:t>
            </w:r>
            <w:r w:rsidR="0070512E" w:rsidRPr="008F31E5">
              <w:rPr>
                <w:sz w:val="18"/>
                <w:szCs w:val="20"/>
              </w:rPr>
              <w:t>mpact on industry</w:t>
            </w:r>
          </w:p>
        </w:tc>
        <w:tc>
          <w:tcPr>
            <w:tcW w:w="7201" w:type="dxa"/>
          </w:tcPr>
          <w:p w14:paraId="58CFC4F4" w14:textId="4F70B412" w:rsidR="0070512E" w:rsidRPr="008F31E5" w:rsidRDefault="0070512E" w:rsidP="008F31E5">
            <w:pPr>
              <w:pStyle w:val="BodyCopy"/>
              <w:spacing w:before="60" w:after="60"/>
              <w:rPr>
                <w:sz w:val="18"/>
                <w:szCs w:val="20"/>
              </w:rPr>
            </w:pPr>
            <w:r w:rsidRPr="008F31E5">
              <w:rPr>
                <w:sz w:val="18"/>
                <w:szCs w:val="20"/>
              </w:rPr>
              <w:t>The VTA maintains that there should be no changes made to the cost allocation matrix to the PAYGO model contained in the ‘Consultation Regulation Impact Statement’ for implementation in 2022</w:t>
            </w:r>
            <w:r w:rsidR="00052D7C">
              <w:rPr>
                <w:sz w:val="18"/>
                <w:szCs w:val="20"/>
              </w:rPr>
              <w:t>–</w:t>
            </w:r>
            <w:r w:rsidRPr="008F31E5">
              <w:rPr>
                <w:sz w:val="18"/>
                <w:szCs w:val="20"/>
              </w:rPr>
              <w:t>23. The VTA proposes that the implementation of the increased PAYGO costs should allow the transition to full cost recovery at a measured pace as a direct implementation approach would immediately impose an unreasonable burden on heavy vehicle operators. The VTA maintains that these increases should not exceed CPI for the defined periods.</w:t>
            </w:r>
            <w:r w:rsidRPr="008F31E5">
              <w:rPr>
                <w:sz w:val="18"/>
                <w:szCs w:val="20"/>
              </w:rPr>
              <w:br/>
            </w:r>
            <w:r w:rsidRPr="008F31E5">
              <w:rPr>
                <w:sz w:val="18"/>
                <w:szCs w:val="20"/>
              </w:rPr>
              <w:br/>
              <w:t>There is a fundamental assumption which needs to be highlighted when applying these proposed increases to the PAYGO model. Governments and government agencies assume that in order to achieve full cost recovery, it is a matter of heavy vehicle operators passing on these increase costs to their customers and through their contractual arrangements.</w:t>
            </w:r>
            <w:r w:rsidRPr="008F31E5">
              <w:rPr>
                <w:sz w:val="18"/>
                <w:szCs w:val="20"/>
              </w:rPr>
              <w:br/>
            </w:r>
            <w:r w:rsidRPr="008F31E5">
              <w:rPr>
                <w:sz w:val="18"/>
                <w:szCs w:val="20"/>
              </w:rPr>
              <w:br/>
              <w:t>In reality this is not the case as the imposition for the PAYGO model and its complexities to be communicated to customers is extremely difficult and operators are unable to pass on these increased charges. As stated earlier, we wish to highlight that heavy vehicle operators pay a disproportionate share of the costs.</w:t>
            </w:r>
          </w:p>
        </w:tc>
        <w:tc>
          <w:tcPr>
            <w:tcW w:w="3672" w:type="dxa"/>
            <w:gridSpan w:val="2"/>
          </w:tcPr>
          <w:p w14:paraId="35C3A4B3" w14:textId="7516A050"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677C12FB" w14:textId="77777777" w:rsidTr="00FE2CF6">
        <w:tc>
          <w:tcPr>
            <w:tcW w:w="1166" w:type="dxa"/>
          </w:tcPr>
          <w:p w14:paraId="5E061F5F" w14:textId="7C7F45C8" w:rsidR="0070512E" w:rsidRPr="008F31E5" w:rsidRDefault="0070512E" w:rsidP="008F31E5">
            <w:pPr>
              <w:pStyle w:val="BodyCopy"/>
              <w:spacing w:before="60" w:after="60"/>
              <w:rPr>
                <w:sz w:val="18"/>
                <w:szCs w:val="20"/>
              </w:rPr>
            </w:pPr>
            <w:r w:rsidRPr="008F31E5">
              <w:rPr>
                <w:sz w:val="18"/>
                <w:szCs w:val="20"/>
              </w:rPr>
              <w:t>ALRTA</w:t>
            </w:r>
          </w:p>
        </w:tc>
        <w:tc>
          <w:tcPr>
            <w:tcW w:w="902" w:type="dxa"/>
          </w:tcPr>
          <w:p w14:paraId="2BEE6CD5" w14:textId="1541660A"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74D201BD" w14:textId="399A8FC7" w:rsidR="0070512E" w:rsidRPr="008F31E5" w:rsidRDefault="00991F1F"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price periods</w:t>
            </w:r>
          </w:p>
        </w:tc>
        <w:tc>
          <w:tcPr>
            <w:tcW w:w="7201" w:type="dxa"/>
          </w:tcPr>
          <w:p w14:paraId="3799B21C" w14:textId="1B3067C4" w:rsidR="0070512E" w:rsidRPr="008F31E5" w:rsidRDefault="0070512E" w:rsidP="008F31E5">
            <w:pPr>
              <w:pStyle w:val="BodyCopy"/>
              <w:spacing w:before="60" w:after="60"/>
              <w:rPr>
                <w:sz w:val="18"/>
                <w:szCs w:val="20"/>
              </w:rPr>
            </w:pPr>
            <w:r w:rsidRPr="008F31E5">
              <w:rPr>
                <w:sz w:val="18"/>
                <w:szCs w:val="20"/>
              </w:rPr>
              <w:t>ALRTA strongly supports the adoption of a three-year pricing path. This will give greater certainty to road transport operators and government alike</w:t>
            </w:r>
            <w:r w:rsidR="00DF4933">
              <w:rPr>
                <w:sz w:val="18"/>
                <w:szCs w:val="20"/>
              </w:rPr>
              <w:t xml:space="preserve"> </w:t>
            </w:r>
            <w:r w:rsidRPr="008F31E5">
              <w:rPr>
                <w:sz w:val="18"/>
                <w:szCs w:val="20"/>
              </w:rPr>
              <w:t>...</w:t>
            </w:r>
            <w:r w:rsidRPr="008F31E5">
              <w:rPr>
                <w:sz w:val="18"/>
                <w:szCs w:val="20"/>
              </w:rPr>
              <w:br/>
            </w:r>
            <w:r w:rsidRPr="008F31E5">
              <w:rPr>
                <w:sz w:val="18"/>
                <w:szCs w:val="20"/>
              </w:rPr>
              <w:br/>
              <w:t>...</w:t>
            </w:r>
            <w:r w:rsidR="00734C17">
              <w:rPr>
                <w:sz w:val="18"/>
                <w:szCs w:val="20"/>
              </w:rPr>
              <w:t xml:space="preserve"> </w:t>
            </w:r>
            <w:r w:rsidRPr="008F31E5">
              <w:rPr>
                <w:sz w:val="18"/>
                <w:szCs w:val="20"/>
              </w:rPr>
              <w:t xml:space="preserve">ALRTA member operators are similarly mindful of the market’s current ability to absorb price increases. After a significant period of unforeseen disasters including drought, fire, floods and disease pandemic, there are many customers unable or unwilling to absorb </w:t>
            </w:r>
            <w:r w:rsidRPr="008F31E5">
              <w:rPr>
                <w:sz w:val="18"/>
                <w:szCs w:val="20"/>
              </w:rPr>
              <w:lastRenderedPageBreak/>
              <w:t>increases above CPI. At this stage, the focus of governments should be on supporting an economic recovery. Increasing charges on road transport will have a general negative impact on the cost of producing most goods and services in Australia.</w:t>
            </w:r>
            <w:r w:rsidRPr="008F31E5">
              <w:rPr>
                <w:sz w:val="18"/>
                <w:szCs w:val="20"/>
              </w:rPr>
              <w:br/>
            </w:r>
            <w:r w:rsidRPr="008F31E5">
              <w:rPr>
                <w:sz w:val="18"/>
                <w:szCs w:val="20"/>
              </w:rPr>
              <w:br/>
              <w:t>It is also important to consider the increased regulatory burden currently placed on the road transport sector arising via strict internal border crossing restrictions. Road transport businesses must develop and apply COVID Safe plans, invest in PPE, apply additional training/oversight, and modify otherwise efficient transport operations to comply with the rules. At a driver level, there is untold additional cost and time associated with regularly attending COVID testing clinics, applying for border crossing permits, queueing at border crossings, driving additional distances to testing locations or spending unproductive time waiting for test results to be returned.</w:t>
            </w:r>
            <w:r w:rsidRPr="008F31E5">
              <w:rPr>
                <w:sz w:val="18"/>
                <w:szCs w:val="20"/>
              </w:rPr>
              <w:br/>
            </w:r>
            <w:r w:rsidRPr="008F31E5">
              <w:rPr>
                <w:sz w:val="18"/>
                <w:szCs w:val="20"/>
              </w:rPr>
              <w:br/>
              <w:t>For these reasons, ALRTA recommends that charging increases should be lower than the minimum 3.5 per cent annual increases suggested by NTC. However, ALRTA also acknowledges the increase in road infrastructure investment occurring in rural and regional areas. On this basis, ALRTA is prepared to consider a larger charging increase than those proposed by ATA. In our view, a reasonable price path over the next three years is as follows: 2.5 per cent, 3.0 per cent and 3.0 per</w:t>
            </w:r>
            <w:r w:rsidR="00D82989">
              <w:rPr>
                <w:sz w:val="18"/>
                <w:szCs w:val="20"/>
              </w:rPr>
              <w:t xml:space="preserve"> </w:t>
            </w:r>
            <w:r w:rsidRPr="008F31E5">
              <w:rPr>
                <w:sz w:val="18"/>
                <w:szCs w:val="20"/>
              </w:rPr>
              <w:t>cent.</w:t>
            </w:r>
          </w:p>
        </w:tc>
        <w:tc>
          <w:tcPr>
            <w:tcW w:w="3672" w:type="dxa"/>
            <w:gridSpan w:val="2"/>
          </w:tcPr>
          <w:p w14:paraId="1E52BF28" w14:textId="0E4A7610" w:rsidR="0070512E" w:rsidRPr="008F31E5" w:rsidRDefault="0070512E" w:rsidP="008F31E5">
            <w:pPr>
              <w:pStyle w:val="BodyCopy"/>
              <w:spacing w:before="60" w:after="60"/>
              <w:rPr>
                <w:sz w:val="18"/>
                <w:szCs w:val="20"/>
              </w:rPr>
            </w:pPr>
            <w:r w:rsidRPr="008F31E5">
              <w:rPr>
                <w:sz w:val="18"/>
                <w:szCs w:val="20"/>
              </w:rPr>
              <w:lastRenderedPageBreak/>
              <w:t>Noted. The NTC is recommending that heavy vehicle charges be set for a three-year period from 2022</w:t>
            </w:r>
            <w:r w:rsidR="000C2377">
              <w:rPr>
                <w:sz w:val="18"/>
                <w:szCs w:val="20"/>
              </w:rPr>
              <w:t>–</w:t>
            </w:r>
            <w:r w:rsidRPr="008F31E5">
              <w:rPr>
                <w:sz w:val="18"/>
                <w:szCs w:val="20"/>
              </w:rPr>
              <w:t>23 to 2024</w:t>
            </w:r>
            <w:r w:rsidR="000C2377">
              <w:rPr>
                <w:sz w:val="18"/>
                <w:szCs w:val="20"/>
              </w:rPr>
              <w:t>–</w:t>
            </w:r>
            <w:r w:rsidRPr="008F31E5">
              <w:rPr>
                <w:sz w:val="18"/>
                <w:szCs w:val="20"/>
              </w:rPr>
              <w:t xml:space="preserve">25. </w:t>
            </w:r>
          </w:p>
        </w:tc>
      </w:tr>
      <w:tr w:rsidR="00F74539" w:rsidRPr="008F31E5" w14:paraId="1EDC7146" w14:textId="77777777" w:rsidTr="00FE2CF6">
        <w:tc>
          <w:tcPr>
            <w:tcW w:w="1166" w:type="dxa"/>
          </w:tcPr>
          <w:p w14:paraId="1DF122E5" w14:textId="39A4F541" w:rsidR="0070512E" w:rsidRPr="008F31E5" w:rsidRDefault="0070512E" w:rsidP="008F31E5">
            <w:pPr>
              <w:pStyle w:val="BodyCopy"/>
              <w:spacing w:before="60" w:after="60"/>
              <w:rPr>
                <w:sz w:val="18"/>
                <w:szCs w:val="20"/>
              </w:rPr>
            </w:pPr>
            <w:r w:rsidRPr="008F31E5">
              <w:rPr>
                <w:sz w:val="18"/>
                <w:szCs w:val="20"/>
              </w:rPr>
              <w:t>ARTC</w:t>
            </w:r>
          </w:p>
        </w:tc>
        <w:tc>
          <w:tcPr>
            <w:tcW w:w="902" w:type="dxa"/>
          </w:tcPr>
          <w:p w14:paraId="46D45A65" w14:textId="08F45857"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5B9CBF2A" w14:textId="54460906"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734C17">
              <w:rPr>
                <w:sz w:val="18"/>
                <w:szCs w:val="20"/>
              </w:rPr>
              <w:t>o</w:t>
            </w:r>
            <w:r w:rsidRPr="008F31E5">
              <w:rPr>
                <w:sz w:val="18"/>
                <w:szCs w:val="20"/>
              </w:rPr>
              <w:t>ptions (</w:t>
            </w:r>
            <w:r w:rsidR="00734C17">
              <w:rPr>
                <w:sz w:val="18"/>
                <w:szCs w:val="20"/>
              </w:rPr>
              <w:t>g</w:t>
            </w:r>
            <w:r w:rsidRPr="008F31E5">
              <w:rPr>
                <w:sz w:val="18"/>
                <w:szCs w:val="20"/>
              </w:rPr>
              <w:t>eneral)</w:t>
            </w:r>
          </w:p>
        </w:tc>
        <w:tc>
          <w:tcPr>
            <w:tcW w:w="7201" w:type="dxa"/>
          </w:tcPr>
          <w:p w14:paraId="275E8C5F" w14:textId="7240BE56" w:rsidR="0070512E" w:rsidRPr="008F31E5" w:rsidRDefault="0070512E" w:rsidP="008F31E5">
            <w:pPr>
              <w:pStyle w:val="BodyCopy"/>
              <w:spacing w:before="60" w:after="60"/>
              <w:rPr>
                <w:sz w:val="18"/>
                <w:szCs w:val="20"/>
              </w:rPr>
            </w:pPr>
            <w:r w:rsidRPr="008F31E5">
              <w:rPr>
                <w:sz w:val="18"/>
                <w:szCs w:val="20"/>
              </w:rPr>
              <w:t>[Supports] The 3-year price path implementation; provided that the commitment to impose this price path in future years is not subject to reverse by political decision and the price path is implemented in full. This is critical as the political decisions to limit the full recovery of the (limited) cost base that currently applies has contributed to excess consumption of the road network and the freight transport market failure that has resulted.</w:t>
            </w:r>
          </w:p>
        </w:tc>
        <w:tc>
          <w:tcPr>
            <w:tcW w:w="3672" w:type="dxa"/>
            <w:gridSpan w:val="2"/>
          </w:tcPr>
          <w:p w14:paraId="713BD161" w14:textId="2AEA5378"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8802470" w14:textId="77777777" w:rsidTr="00FE2CF6">
        <w:tc>
          <w:tcPr>
            <w:tcW w:w="1166" w:type="dxa"/>
          </w:tcPr>
          <w:p w14:paraId="09F247CD" w14:textId="08619229"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2EB92DE2" w14:textId="20EDB8C1"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1122099A" w14:textId="14194F02" w:rsidR="0070512E" w:rsidRPr="008F31E5" w:rsidRDefault="00734C17"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price periods</w:t>
            </w:r>
          </w:p>
        </w:tc>
        <w:tc>
          <w:tcPr>
            <w:tcW w:w="7201" w:type="dxa"/>
          </w:tcPr>
          <w:p w14:paraId="61D70BE5" w14:textId="269C2E04" w:rsidR="0070512E" w:rsidRPr="008F31E5" w:rsidRDefault="0070512E" w:rsidP="008F31E5">
            <w:pPr>
              <w:pStyle w:val="BodyCopy"/>
              <w:spacing w:before="60" w:after="60"/>
              <w:rPr>
                <w:sz w:val="18"/>
                <w:szCs w:val="20"/>
              </w:rPr>
            </w:pPr>
            <w:r w:rsidRPr="008F31E5">
              <w:rPr>
                <w:sz w:val="18"/>
                <w:szCs w:val="20"/>
              </w:rPr>
              <w:t>The ATA has long argued that heavy vehicle charges should be set over a fixed, multi-year determination period, with the NTC able to determine a smooth path for charges throughout each period</w:t>
            </w:r>
            <w:r w:rsidR="005A378F">
              <w:rPr>
                <w:sz w:val="18"/>
                <w:szCs w:val="20"/>
              </w:rPr>
              <w:t xml:space="preserve"> </w:t>
            </w:r>
            <w:r w:rsidRPr="008F31E5">
              <w:rPr>
                <w:sz w:val="18"/>
                <w:szCs w:val="20"/>
              </w:rPr>
              <w:t>…</w:t>
            </w:r>
            <w:r w:rsidRPr="008F31E5">
              <w:rPr>
                <w:sz w:val="18"/>
                <w:szCs w:val="20"/>
              </w:rPr>
              <w:br/>
            </w:r>
            <w:r w:rsidRPr="008F31E5">
              <w:rPr>
                <w:sz w:val="18"/>
                <w:szCs w:val="20"/>
              </w:rPr>
              <w:br/>
              <w:t>...</w:t>
            </w:r>
            <w:r w:rsidR="00E12DE2">
              <w:rPr>
                <w:sz w:val="18"/>
                <w:szCs w:val="20"/>
              </w:rPr>
              <w:t xml:space="preserve"> </w:t>
            </w:r>
            <w:r w:rsidRPr="008F31E5">
              <w:rPr>
                <w:sz w:val="18"/>
                <w:szCs w:val="20"/>
              </w:rPr>
              <w:t>Although the ATA has previously argued for a five</w:t>
            </w:r>
            <w:r w:rsidR="00DF4933">
              <w:rPr>
                <w:sz w:val="18"/>
                <w:szCs w:val="20"/>
              </w:rPr>
              <w:t>-</w:t>
            </w:r>
            <w:r w:rsidRPr="008F31E5">
              <w:rPr>
                <w:sz w:val="18"/>
                <w:szCs w:val="20"/>
              </w:rPr>
              <w:t>year determination period, we consider a three</w:t>
            </w:r>
            <w:r w:rsidR="00052D7C">
              <w:rPr>
                <w:sz w:val="18"/>
                <w:szCs w:val="20"/>
              </w:rPr>
              <w:t>-</w:t>
            </w:r>
            <w:r w:rsidRPr="008F31E5">
              <w:rPr>
                <w:sz w:val="18"/>
                <w:szCs w:val="20"/>
              </w:rPr>
              <w:t>year period workable. The ATA does not, however, agree with the NTC’s argument that—</w:t>
            </w:r>
            <w:r w:rsidRPr="008F31E5">
              <w:rPr>
                <w:sz w:val="18"/>
                <w:szCs w:val="20"/>
              </w:rPr>
              <w:br/>
              <w:t>The heavy vehicle charges set under this methodology could be replaced at any time with charges set under a new methodology introduced as part of HVRR.</w:t>
            </w:r>
            <w:r w:rsidRPr="008F31E5">
              <w:rPr>
                <w:sz w:val="18"/>
                <w:szCs w:val="20"/>
              </w:rPr>
              <w:br/>
            </w:r>
            <w:r w:rsidRPr="008F31E5">
              <w:rPr>
                <w:sz w:val="18"/>
                <w:szCs w:val="20"/>
              </w:rPr>
              <w:br/>
              <w:t>The point of having a fixed pricing period is to deliver a smooth, certain path for heavy vehicle charges. Setting charges under a new methodology – unless the new charges for remainder of the pricing period matched the old PAYGO charges – would not deliver this outcome.</w:t>
            </w:r>
            <w:r w:rsidRPr="008F31E5">
              <w:rPr>
                <w:sz w:val="18"/>
                <w:szCs w:val="20"/>
              </w:rPr>
              <w:br/>
            </w:r>
            <w:r w:rsidRPr="008F31E5">
              <w:rPr>
                <w:sz w:val="18"/>
                <w:szCs w:val="20"/>
              </w:rPr>
              <w:br/>
              <w:t xml:space="preserve">Based on the RBA’s August 2021 output growth and inflation forecast, a reasonable </w:t>
            </w:r>
            <w:r w:rsidRPr="008F31E5">
              <w:rPr>
                <w:sz w:val="18"/>
                <w:szCs w:val="20"/>
              </w:rPr>
              <w:lastRenderedPageBreak/>
              <w:t>pricing path would be a 2 per cent increase in 2022</w:t>
            </w:r>
            <w:r w:rsidR="00052D7C">
              <w:rPr>
                <w:sz w:val="18"/>
                <w:szCs w:val="20"/>
              </w:rPr>
              <w:t>–</w:t>
            </w:r>
            <w:r w:rsidRPr="008F31E5">
              <w:rPr>
                <w:sz w:val="18"/>
                <w:szCs w:val="20"/>
              </w:rPr>
              <w:t>23, followed by a 3 per cent increase in each of 2023</w:t>
            </w:r>
            <w:r w:rsidR="00052D7C">
              <w:rPr>
                <w:sz w:val="18"/>
                <w:szCs w:val="20"/>
              </w:rPr>
              <w:t>–</w:t>
            </w:r>
            <w:r w:rsidRPr="008F31E5">
              <w:rPr>
                <w:sz w:val="18"/>
                <w:szCs w:val="20"/>
              </w:rPr>
              <w:t>24 and 2024</w:t>
            </w:r>
            <w:r w:rsidR="00052D7C">
              <w:rPr>
                <w:sz w:val="18"/>
                <w:szCs w:val="20"/>
              </w:rPr>
              <w:t>–</w:t>
            </w:r>
            <w:r w:rsidRPr="008F31E5">
              <w:rPr>
                <w:sz w:val="18"/>
                <w:szCs w:val="20"/>
              </w:rPr>
              <w:t>25.</w:t>
            </w:r>
          </w:p>
        </w:tc>
        <w:tc>
          <w:tcPr>
            <w:tcW w:w="3672" w:type="dxa"/>
            <w:gridSpan w:val="2"/>
          </w:tcPr>
          <w:p w14:paraId="11F03DD1" w14:textId="0C3B6A68" w:rsidR="0070512E" w:rsidRPr="008F31E5" w:rsidRDefault="0070512E" w:rsidP="008F31E5">
            <w:pPr>
              <w:pStyle w:val="BodyCopy"/>
              <w:spacing w:before="60" w:after="60"/>
              <w:rPr>
                <w:sz w:val="18"/>
                <w:szCs w:val="20"/>
              </w:rPr>
            </w:pPr>
            <w:r w:rsidRPr="008F31E5">
              <w:rPr>
                <w:sz w:val="18"/>
                <w:szCs w:val="20"/>
              </w:rPr>
              <w:lastRenderedPageBreak/>
              <w:t>Noted</w:t>
            </w:r>
            <w:r w:rsidR="005B711C">
              <w:rPr>
                <w:sz w:val="18"/>
                <w:szCs w:val="20"/>
              </w:rPr>
              <w:t>.</w:t>
            </w:r>
          </w:p>
        </w:tc>
      </w:tr>
      <w:tr w:rsidR="00F74539" w:rsidRPr="008F31E5" w14:paraId="23C66BC3" w14:textId="77777777" w:rsidTr="00FE2CF6">
        <w:tc>
          <w:tcPr>
            <w:tcW w:w="1166" w:type="dxa"/>
          </w:tcPr>
          <w:p w14:paraId="7702A84A" w14:textId="2230F6AE" w:rsidR="0070512E" w:rsidRPr="008F31E5" w:rsidRDefault="0070512E" w:rsidP="008F31E5">
            <w:pPr>
              <w:pStyle w:val="BodyCopy"/>
              <w:spacing w:before="60" w:after="60"/>
              <w:rPr>
                <w:sz w:val="18"/>
                <w:szCs w:val="20"/>
              </w:rPr>
            </w:pPr>
            <w:r w:rsidRPr="008F31E5">
              <w:rPr>
                <w:sz w:val="18"/>
                <w:szCs w:val="20"/>
              </w:rPr>
              <w:t>ATA</w:t>
            </w:r>
          </w:p>
        </w:tc>
        <w:tc>
          <w:tcPr>
            <w:tcW w:w="902" w:type="dxa"/>
          </w:tcPr>
          <w:p w14:paraId="3BFF034A" w14:textId="5AD591F6"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412DF0A5" w14:textId="5BBA5521" w:rsidR="0070512E" w:rsidRPr="008F31E5" w:rsidRDefault="00734C17"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price periods</w:t>
            </w:r>
          </w:p>
        </w:tc>
        <w:tc>
          <w:tcPr>
            <w:tcW w:w="7201" w:type="dxa"/>
          </w:tcPr>
          <w:p w14:paraId="2D16A884" w14:textId="77777777" w:rsidR="00052D7C" w:rsidRDefault="0070512E" w:rsidP="008F31E5">
            <w:pPr>
              <w:pStyle w:val="BodyCopy"/>
              <w:spacing w:before="60" w:after="60"/>
              <w:rPr>
                <w:sz w:val="18"/>
                <w:szCs w:val="20"/>
              </w:rPr>
            </w:pPr>
            <w:r w:rsidRPr="008F31E5">
              <w:rPr>
                <w:sz w:val="18"/>
                <w:szCs w:val="20"/>
              </w:rPr>
              <w:t>One of the goals of moving to a fixed multi-year pricing period is that it would provide industry with information about future heavy vehicle charges so they could plan with certainty. Businesses cannot use information about future charges unless they can find it.</w:t>
            </w:r>
          </w:p>
          <w:p w14:paraId="48870F66" w14:textId="77777777" w:rsidR="00052D7C" w:rsidRDefault="0070512E" w:rsidP="008F31E5">
            <w:pPr>
              <w:pStyle w:val="BodyCopy"/>
              <w:spacing w:before="60" w:after="60"/>
              <w:rPr>
                <w:sz w:val="18"/>
                <w:szCs w:val="20"/>
              </w:rPr>
            </w:pPr>
            <w:r w:rsidRPr="008F31E5">
              <w:rPr>
                <w:sz w:val="18"/>
                <w:szCs w:val="20"/>
              </w:rPr>
              <w:br/>
              <w:t>In the ATA’s view, the NTC should restructure the heavy vehicle charges information on its website to provide authoritative information about the charges that are to apply in each year of the determination.</w:t>
            </w:r>
          </w:p>
          <w:p w14:paraId="51008CBB" w14:textId="0CC34E4A" w:rsidR="00052D7C" w:rsidRDefault="0070512E" w:rsidP="008F31E5">
            <w:pPr>
              <w:pStyle w:val="BodyCopy"/>
              <w:spacing w:before="60" w:after="60"/>
              <w:rPr>
                <w:sz w:val="18"/>
                <w:szCs w:val="20"/>
              </w:rPr>
            </w:pPr>
            <w:r w:rsidRPr="008F31E5">
              <w:rPr>
                <w:sz w:val="18"/>
                <w:szCs w:val="20"/>
              </w:rPr>
              <w:br/>
              <w:t>It would also be desirable for the legal instruments determining the charges to cover the whole of the determination and not just a single year.</w:t>
            </w:r>
            <w:r w:rsidR="00D82989">
              <w:rPr>
                <w:sz w:val="18"/>
                <w:szCs w:val="20"/>
              </w:rPr>
              <w:t xml:space="preserve"> </w:t>
            </w:r>
            <w:r w:rsidRPr="008F31E5">
              <w:rPr>
                <w:sz w:val="18"/>
                <w:szCs w:val="20"/>
              </w:rPr>
              <w:t>Accordingly, the ATA considers that the Heavy Vehicle Charges Model Law should be amended to set registration charges for whole of the three</w:t>
            </w:r>
            <w:r w:rsidR="00052D7C">
              <w:rPr>
                <w:sz w:val="18"/>
                <w:szCs w:val="20"/>
              </w:rPr>
              <w:t>-</w:t>
            </w:r>
            <w:r w:rsidRPr="008F31E5">
              <w:rPr>
                <w:sz w:val="18"/>
                <w:szCs w:val="20"/>
              </w:rPr>
              <w:t>year determination period.</w:t>
            </w:r>
          </w:p>
          <w:p w14:paraId="1A75BDB7" w14:textId="6071B893" w:rsidR="0070512E" w:rsidRPr="008F31E5" w:rsidRDefault="0070512E" w:rsidP="008F31E5">
            <w:pPr>
              <w:pStyle w:val="BodyCopy"/>
              <w:spacing w:before="60" w:after="60"/>
              <w:rPr>
                <w:sz w:val="18"/>
                <w:szCs w:val="20"/>
              </w:rPr>
            </w:pPr>
            <w:r w:rsidRPr="008F31E5">
              <w:rPr>
                <w:sz w:val="18"/>
                <w:szCs w:val="20"/>
              </w:rPr>
              <w:br/>
              <w:t>Similarly, the 2022 road user charge determination should set the road user charge for 2022</w:t>
            </w:r>
            <w:r w:rsidR="00052D7C">
              <w:rPr>
                <w:sz w:val="18"/>
                <w:szCs w:val="20"/>
              </w:rPr>
              <w:t>–</w:t>
            </w:r>
            <w:r w:rsidRPr="008F31E5">
              <w:rPr>
                <w:sz w:val="18"/>
                <w:szCs w:val="20"/>
              </w:rPr>
              <w:t>23, 2023</w:t>
            </w:r>
            <w:r w:rsidR="00052D7C">
              <w:rPr>
                <w:sz w:val="18"/>
                <w:szCs w:val="20"/>
              </w:rPr>
              <w:t>–</w:t>
            </w:r>
            <w:r w:rsidRPr="008F31E5">
              <w:rPr>
                <w:sz w:val="18"/>
                <w:szCs w:val="20"/>
              </w:rPr>
              <w:t>24 and 2024</w:t>
            </w:r>
            <w:r w:rsidR="00052D7C">
              <w:rPr>
                <w:sz w:val="18"/>
                <w:szCs w:val="20"/>
              </w:rPr>
              <w:t>–</w:t>
            </w:r>
            <w:r w:rsidRPr="008F31E5">
              <w:rPr>
                <w:sz w:val="18"/>
                <w:szCs w:val="20"/>
              </w:rPr>
              <w:t>25 and not just a single year.</w:t>
            </w:r>
            <w:r w:rsidR="00D82989">
              <w:rPr>
                <w:sz w:val="18"/>
                <w:szCs w:val="20"/>
              </w:rPr>
              <w:t xml:space="preserve"> </w:t>
            </w:r>
            <w:r w:rsidRPr="008F31E5">
              <w:rPr>
                <w:sz w:val="18"/>
                <w:szCs w:val="20"/>
              </w:rPr>
              <w:t>The ATA is satisfied that a three</w:t>
            </w:r>
            <w:r w:rsidR="00052D7C">
              <w:rPr>
                <w:sz w:val="18"/>
                <w:szCs w:val="20"/>
              </w:rPr>
              <w:t>-</w:t>
            </w:r>
            <w:r w:rsidRPr="008F31E5">
              <w:rPr>
                <w:sz w:val="18"/>
                <w:szCs w:val="20"/>
              </w:rPr>
              <w:t xml:space="preserve">year determination would meet the requirements of sections 43-10(9)-(12) of the </w:t>
            </w:r>
            <w:r w:rsidRPr="008B4A42">
              <w:rPr>
                <w:i/>
                <w:iCs/>
                <w:sz w:val="18"/>
                <w:szCs w:val="20"/>
              </w:rPr>
              <w:t>Fuel Tax Act 2006</w:t>
            </w:r>
            <w:r w:rsidRPr="008F31E5">
              <w:rPr>
                <w:sz w:val="18"/>
                <w:szCs w:val="20"/>
              </w:rPr>
              <w:t xml:space="preserve"> (Cth). The ATA’s legal advice is attached.</w:t>
            </w:r>
          </w:p>
        </w:tc>
        <w:tc>
          <w:tcPr>
            <w:tcW w:w="3672" w:type="dxa"/>
            <w:gridSpan w:val="2"/>
          </w:tcPr>
          <w:p w14:paraId="31FBCBCE" w14:textId="2636F8E3" w:rsidR="0070512E" w:rsidRPr="008F31E5" w:rsidRDefault="0070512E" w:rsidP="008F31E5">
            <w:pPr>
              <w:pStyle w:val="BodyCopy"/>
              <w:spacing w:before="60" w:after="60"/>
              <w:rPr>
                <w:sz w:val="18"/>
                <w:szCs w:val="20"/>
              </w:rPr>
            </w:pPr>
            <w:r w:rsidRPr="008F31E5">
              <w:rPr>
                <w:sz w:val="18"/>
                <w:szCs w:val="20"/>
              </w:rPr>
              <w:t xml:space="preserve">Noted. The NTC will endeavour to embed both RUC and the roads component of registration charges in the regulatory instruments for a three-year period. We will also review the way heavy vehicle charges are presented on our website as part of implementing any new charges approved by ITMM with a view to make the information as useful to heavy vehicle operators as possible. </w:t>
            </w:r>
          </w:p>
        </w:tc>
      </w:tr>
      <w:tr w:rsidR="00F74539" w:rsidRPr="008F31E5" w14:paraId="026EEF96" w14:textId="77777777" w:rsidTr="00FE2CF6">
        <w:tc>
          <w:tcPr>
            <w:tcW w:w="1166" w:type="dxa"/>
          </w:tcPr>
          <w:p w14:paraId="0E20EE16" w14:textId="4B742523"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205A7818" w14:textId="4E4D8001"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49BDE9BD" w14:textId="5E8924B1" w:rsidR="0070512E" w:rsidRPr="008F31E5" w:rsidRDefault="0070512E" w:rsidP="008F31E5">
            <w:pPr>
              <w:pStyle w:val="BodyCopy"/>
              <w:spacing w:before="60" w:after="60"/>
              <w:rPr>
                <w:sz w:val="18"/>
                <w:szCs w:val="20"/>
              </w:rPr>
            </w:pPr>
            <w:r w:rsidRPr="008B4A42">
              <w:rPr>
                <w:spacing w:val="-8"/>
                <w:sz w:val="18"/>
                <w:szCs w:val="20"/>
              </w:rPr>
              <w:t>Implementation</w:t>
            </w:r>
            <w:r w:rsidRPr="008F31E5">
              <w:rPr>
                <w:sz w:val="18"/>
                <w:szCs w:val="20"/>
              </w:rPr>
              <w:t xml:space="preserve"> </w:t>
            </w:r>
            <w:r w:rsidR="00A855E8">
              <w:rPr>
                <w:sz w:val="18"/>
                <w:szCs w:val="20"/>
              </w:rPr>
              <w:t>o</w:t>
            </w:r>
            <w:r w:rsidRPr="008F31E5">
              <w:rPr>
                <w:sz w:val="18"/>
                <w:szCs w:val="20"/>
              </w:rPr>
              <w:t>ptions (</w:t>
            </w:r>
            <w:r w:rsidR="00734C17">
              <w:rPr>
                <w:sz w:val="18"/>
                <w:szCs w:val="20"/>
              </w:rPr>
              <w:t>g</w:t>
            </w:r>
            <w:r w:rsidRPr="008F31E5">
              <w:rPr>
                <w:sz w:val="18"/>
                <w:szCs w:val="20"/>
              </w:rPr>
              <w:t>eneral)</w:t>
            </w:r>
          </w:p>
        </w:tc>
        <w:tc>
          <w:tcPr>
            <w:tcW w:w="7201" w:type="dxa"/>
          </w:tcPr>
          <w:p w14:paraId="76958E7E" w14:textId="31AC1C78" w:rsidR="00E12DE2" w:rsidRDefault="0070512E" w:rsidP="008F31E5">
            <w:pPr>
              <w:pStyle w:val="BodyCopy"/>
              <w:spacing w:before="60" w:after="60"/>
              <w:rPr>
                <w:sz w:val="18"/>
                <w:szCs w:val="20"/>
              </w:rPr>
            </w:pPr>
            <w:r w:rsidRPr="008F31E5">
              <w:rPr>
                <w:sz w:val="18"/>
                <w:szCs w:val="20"/>
              </w:rPr>
              <w:t xml:space="preserve">The bus industry preference is for a new implementation option, Option D, which has 2% annual charge increases. The industry also proposes a review of the registration charges proposed for bus, designed to at least cover attributable costs. The reasons for this approach/preference are set out in detail in this submission. In summary, </w:t>
            </w:r>
            <w:r w:rsidR="00D82989">
              <w:rPr>
                <w:sz w:val="18"/>
                <w:szCs w:val="20"/>
              </w:rPr>
              <w:t>s</w:t>
            </w:r>
            <w:r w:rsidRPr="008F31E5">
              <w:rPr>
                <w:sz w:val="18"/>
                <w:szCs w:val="20"/>
              </w:rPr>
              <w:t>ection 4.4 puts the case this way:</w:t>
            </w:r>
            <w:r w:rsidRPr="008F31E5">
              <w:rPr>
                <w:sz w:val="18"/>
                <w:szCs w:val="20"/>
              </w:rPr>
              <w:br/>
              <w:t>Recognising:</w:t>
            </w:r>
          </w:p>
          <w:p w14:paraId="35F6E520" w14:textId="4C1CC17A" w:rsidR="00E12DE2" w:rsidRDefault="0070512E" w:rsidP="00E12DE2">
            <w:pPr>
              <w:pStyle w:val="BodyCopy"/>
              <w:numPr>
                <w:ilvl w:val="3"/>
                <w:numId w:val="63"/>
              </w:numPr>
              <w:spacing w:before="60" w:after="60"/>
              <w:ind w:left="168" w:hanging="168"/>
              <w:rPr>
                <w:sz w:val="18"/>
                <w:szCs w:val="20"/>
              </w:rPr>
            </w:pPr>
            <w:r w:rsidRPr="008F31E5">
              <w:rPr>
                <w:sz w:val="18"/>
                <w:szCs w:val="20"/>
              </w:rPr>
              <w:t>the substantial charging impact on bus, particularly 2-axle buses &gt; 12 tonnes and 3-axle buses, arising from changes in the way ESA-kms have been used in the cost allocation process, and uncertainties about the accuracy of the ESA-km allocation process;</w:t>
            </w:r>
          </w:p>
          <w:p w14:paraId="1C617199" w14:textId="20D7048D" w:rsidR="00E12DE2" w:rsidRDefault="0070512E" w:rsidP="00E12DE2">
            <w:pPr>
              <w:pStyle w:val="BodyCopy"/>
              <w:numPr>
                <w:ilvl w:val="3"/>
                <w:numId w:val="63"/>
              </w:numPr>
              <w:spacing w:before="60" w:after="60"/>
              <w:ind w:left="168" w:hanging="168"/>
              <w:rPr>
                <w:sz w:val="18"/>
                <w:szCs w:val="20"/>
              </w:rPr>
            </w:pPr>
            <w:r w:rsidRPr="008F31E5">
              <w:rPr>
                <w:sz w:val="18"/>
                <w:szCs w:val="20"/>
              </w:rPr>
              <w:t>questions about the way regulatory costs are allocated through the registration charge;</w:t>
            </w:r>
          </w:p>
          <w:p w14:paraId="422D31E4" w14:textId="4CB08ED9" w:rsidR="00E12DE2" w:rsidRDefault="0070512E" w:rsidP="00E12DE2">
            <w:pPr>
              <w:pStyle w:val="BodyCopy"/>
              <w:numPr>
                <w:ilvl w:val="3"/>
                <w:numId w:val="63"/>
              </w:numPr>
              <w:spacing w:before="60" w:after="60"/>
              <w:ind w:left="168" w:hanging="168"/>
              <w:rPr>
                <w:sz w:val="18"/>
                <w:szCs w:val="20"/>
              </w:rPr>
            </w:pPr>
            <w:r w:rsidRPr="008F31E5">
              <w:rPr>
                <w:sz w:val="18"/>
                <w:szCs w:val="20"/>
              </w:rPr>
              <w:t>the societal external benefits that are associated with bus use and likely loss of external benefits if bus charges increase substantially</w:t>
            </w:r>
            <w:r w:rsidR="0005466C">
              <w:rPr>
                <w:sz w:val="18"/>
                <w:szCs w:val="20"/>
              </w:rPr>
              <w:t>;</w:t>
            </w:r>
            <w:r w:rsidRPr="008F31E5">
              <w:rPr>
                <w:sz w:val="18"/>
                <w:szCs w:val="20"/>
              </w:rPr>
              <w:t xml:space="preserve"> and</w:t>
            </w:r>
          </w:p>
          <w:p w14:paraId="03556CF5" w14:textId="66C270A6" w:rsidR="00E12DE2" w:rsidRDefault="0070512E" w:rsidP="00E12DE2">
            <w:pPr>
              <w:pStyle w:val="BodyCopy"/>
              <w:numPr>
                <w:ilvl w:val="3"/>
                <w:numId w:val="63"/>
              </w:numPr>
              <w:spacing w:before="60" w:after="60"/>
              <w:ind w:left="168" w:hanging="168"/>
              <w:rPr>
                <w:sz w:val="18"/>
                <w:szCs w:val="20"/>
              </w:rPr>
            </w:pPr>
            <w:r w:rsidRPr="008F31E5">
              <w:rPr>
                <w:sz w:val="18"/>
                <w:szCs w:val="20"/>
              </w:rPr>
              <w:t xml:space="preserve"> acknowledging that bus understands the importance of covering at least its (accurately estimated) attributable costs,</w:t>
            </w:r>
            <w:r w:rsidR="00E12DE2">
              <w:rPr>
                <w:sz w:val="18"/>
                <w:szCs w:val="20"/>
              </w:rPr>
              <w:t xml:space="preserve"> </w:t>
            </w:r>
            <w:r w:rsidRPr="008F31E5">
              <w:rPr>
                <w:sz w:val="18"/>
                <w:szCs w:val="20"/>
              </w:rPr>
              <w:t>the bus industry requests that NTC find a way to mitigate the impact of its cost allocation decisions on the bus sector, which will be hit hard by those decisions. The following specific actions are proposed.</w:t>
            </w:r>
          </w:p>
          <w:p w14:paraId="15BCDA45" w14:textId="1FB1F482" w:rsidR="0070512E" w:rsidRPr="008F31E5" w:rsidRDefault="0070512E" w:rsidP="008F31E5">
            <w:pPr>
              <w:pStyle w:val="BodyCopy"/>
              <w:spacing w:before="60" w:after="60"/>
              <w:rPr>
                <w:sz w:val="18"/>
                <w:szCs w:val="20"/>
              </w:rPr>
            </w:pPr>
            <w:r w:rsidRPr="008F31E5">
              <w:rPr>
                <w:sz w:val="18"/>
                <w:szCs w:val="20"/>
              </w:rPr>
              <w:br/>
              <w:t xml:space="preserve">1. There should be an urgent review of the cost allocation procedures used as a </w:t>
            </w:r>
            <w:r w:rsidRPr="008F31E5">
              <w:rPr>
                <w:sz w:val="18"/>
                <w:szCs w:val="20"/>
              </w:rPr>
              <w:lastRenderedPageBreak/>
              <w:t>contributor to the HV charging process, particularly in relation to ESA-kms.</w:t>
            </w:r>
            <w:r w:rsidRPr="008F31E5">
              <w:rPr>
                <w:sz w:val="18"/>
                <w:szCs w:val="20"/>
              </w:rPr>
              <w:br/>
              <w:t xml:space="preserve">2. NTC should examine the implications of a 3-year 2% p.a. implementation pathway which would become Option D, this being the bus industry’s preferred pathway. This rate of charge would apply to all vehicles and would mean a slight step backwards in the rate of overall cost recovery achieved, as compared to the current NTC options. However, as noted in </w:t>
            </w:r>
            <w:r w:rsidR="00D82989">
              <w:rPr>
                <w:sz w:val="18"/>
                <w:szCs w:val="20"/>
              </w:rPr>
              <w:t>s</w:t>
            </w:r>
            <w:r w:rsidRPr="008F31E5">
              <w:rPr>
                <w:sz w:val="18"/>
                <w:szCs w:val="20"/>
              </w:rPr>
              <w:t xml:space="preserve">ection 2.3, HV charges sometimes under-recover allocated expenditures but also sometimes they over-recover, so this is a moving target: under-recovery is not a given. A 2% p.a. implementation pathway is likely to be defensible in the current political environment and it will provide the responsible </w:t>
            </w:r>
            <w:r w:rsidR="00D82989">
              <w:rPr>
                <w:sz w:val="18"/>
                <w:szCs w:val="20"/>
              </w:rPr>
              <w:t>m</w:t>
            </w:r>
            <w:r w:rsidRPr="008F31E5">
              <w:rPr>
                <w:sz w:val="18"/>
                <w:szCs w:val="20"/>
              </w:rPr>
              <w:t>inisters with a wider range of options to consider.</w:t>
            </w:r>
            <w:r w:rsidRPr="008F31E5">
              <w:rPr>
                <w:sz w:val="18"/>
                <w:szCs w:val="20"/>
              </w:rPr>
              <w:br/>
              <w:t>3. NTC should review the proposed levels of registration charges for bus, taking account of the results from the review of ESA-km attribution factors from proposal 1, the safety performance of bus compared to trucks and how this is best be reflected in the way their costs of the NHVR are recovered. Bus registration charges, by bus category, should be set to at least recover well estimated attributable costs, with any charges above that base limited to the proposed 2% p.a. pathway we propose for Option D.</w:t>
            </w:r>
          </w:p>
        </w:tc>
        <w:tc>
          <w:tcPr>
            <w:tcW w:w="3672" w:type="dxa"/>
            <w:gridSpan w:val="2"/>
          </w:tcPr>
          <w:p w14:paraId="090E3E0B" w14:textId="7E98937B" w:rsidR="0070512E" w:rsidRPr="008F31E5" w:rsidRDefault="0070512E" w:rsidP="008F31E5">
            <w:pPr>
              <w:pStyle w:val="BodyCopy"/>
              <w:spacing w:before="60" w:after="60"/>
              <w:rPr>
                <w:sz w:val="18"/>
                <w:szCs w:val="20"/>
              </w:rPr>
            </w:pPr>
            <w:r w:rsidRPr="008F31E5">
              <w:rPr>
                <w:sz w:val="18"/>
                <w:szCs w:val="20"/>
              </w:rPr>
              <w:lastRenderedPageBreak/>
              <w:t xml:space="preserve">Noted. However, the pricing principles do not specifically reference societal external benefits, while avoidance of cross-subsidisation is an important pricing principle to adhere to under the direct implementation option. The increase in costs to buses largely reflects the new estimates of AGM and ESA values for buses as part of this determination, which is further increased by changes in cost allocation under </w:t>
            </w:r>
            <w:r w:rsidR="00D82989">
              <w:rPr>
                <w:sz w:val="18"/>
                <w:szCs w:val="20"/>
              </w:rPr>
              <w:t>o</w:t>
            </w:r>
            <w:r w:rsidRPr="008F31E5">
              <w:rPr>
                <w:sz w:val="18"/>
                <w:szCs w:val="20"/>
              </w:rPr>
              <w:t>ption B. The two other implementation options are proposed as alternatives, recognising the impacts on industry under direct implementation.</w:t>
            </w:r>
          </w:p>
        </w:tc>
      </w:tr>
      <w:tr w:rsidR="00F74539" w:rsidRPr="008F31E5" w14:paraId="5A540AB9" w14:textId="77777777" w:rsidTr="00FE2CF6">
        <w:tc>
          <w:tcPr>
            <w:tcW w:w="1166" w:type="dxa"/>
          </w:tcPr>
          <w:p w14:paraId="74E9FAD2" w14:textId="41C184D5"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4F48465F" w14:textId="0E3486F3"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22C093A3" w14:textId="2DFDBE6A" w:rsidR="0070512E" w:rsidRPr="008F31E5" w:rsidRDefault="00734C17"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w:t>
            </w:r>
            <w:r>
              <w:rPr>
                <w:sz w:val="18"/>
                <w:szCs w:val="20"/>
              </w:rPr>
              <w:t>i</w:t>
            </w:r>
            <w:r w:rsidR="0070512E" w:rsidRPr="008F31E5">
              <w:rPr>
                <w:sz w:val="18"/>
                <w:szCs w:val="20"/>
              </w:rPr>
              <w:t>ce periods</w:t>
            </w:r>
          </w:p>
        </w:tc>
        <w:tc>
          <w:tcPr>
            <w:tcW w:w="7201" w:type="dxa"/>
          </w:tcPr>
          <w:p w14:paraId="50ECA7FC" w14:textId="39C965F7" w:rsidR="0070512E" w:rsidRPr="008F31E5" w:rsidRDefault="0070512E" w:rsidP="008F31E5">
            <w:pPr>
              <w:pStyle w:val="BodyCopy"/>
              <w:spacing w:before="60" w:after="60"/>
              <w:rPr>
                <w:sz w:val="18"/>
                <w:szCs w:val="20"/>
              </w:rPr>
            </w:pPr>
            <w:r w:rsidRPr="008F31E5">
              <w:rPr>
                <w:sz w:val="18"/>
                <w:szCs w:val="20"/>
              </w:rPr>
              <w:t>We note, however, that a similar proposal has been set out in the C</w:t>
            </w:r>
            <w:r w:rsidR="00AF4D60">
              <w:rPr>
                <w:sz w:val="18"/>
                <w:szCs w:val="20"/>
              </w:rPr>
              <w:t>-</w:t>
            </w:r>
            <w:r w:rsidRPr="008F31E5">
              <w:rPr>
                <w:sz w:val="18"/>
                <w:szCs w:val="20"/>
              </w:rPr>
              <w:t>RIS. The C</w:t>
            </w:r>
            <w:r w:rsidR="00AF4D60">
              <w:rPr>
                <w:sz w:val="18"/>
                <w:szCs w:val="20"/>
              </w:rPr>
              <w:t>-</w:t>
            </w:r>
            <w:r w:rsidRPr="008F31E5">
              <w:rPr>
                <w:sz w:val="18"/>
                <w:szCs w:val="20"/>
              </w:rPr>
              <w:t>RIS has as an implementation option a three-year price path with a fixed percentage increase each year. The illustrations in the C</w:t>
            </w:r>
            <w:r w:rsidR="00AF4D60">
              <w:rPr>
                <w:sz w:val="18"/>
                <w:szCs w:val="20"/>
              </w:rPr>
              <w:t>-</w:t>
            </w:r>
            <w:r w:rsidRPr="008F31E5">
              <w:rPr>
                <w:sz w:val="18"/>
                <w:szCs w:val="20"/>
              </w:rPr>
              <w:t>RIS are respectively for a 3.5% and a 6% fixed price increase.</w:t>
            </w:r>
            <w:r w:rsidR="008B4A42">
              <w:rPr>
                <w:sz w:val="18"/>
                <w:szCs w:val="20"/>
              </w:rPr>
              <w:t xml:space="preserve"> </w:t>
            </w:r>
            <w:r w:rsidRPr="008F31E5">
              <w:rPr>
                <w:sz w:val="18"/>
                <w:szCs w:val="20"/>
              </w:rPr>
              <w:t>In this submission, we indicate our preference for the current charges to be increased at the rate of inflation or 3.5% (whichever is the lower) until the HVRR process delivers a new model for heavy vehicle charges. Alternatively, the lower cost fixed price increase of 3.5% set out in the C</w:t>
            </w:r>
            <w:r w:rsidR="00AF4D60">
              <w:rPr>
                <w:sz w:val="18"/>
                <w:szCs w:val="20"/>
              </w:rPr>
              <w:t>-</w:t>
            </w:r>
            <w:r w:rsidRPr="008F31E5">
              <w:rPr>
                <w:sz w:val="18"/>
                <w:szCs w:val="20"/>
              </w:rPr>
              <w:t>RIS is supported no matter the particular interim model utilised. For simplicity, however, we recommend the charging model in place before HVRR is implemented remains the current PAYGO model despite its inadequacies, some of which are discussed in this submission.</w:t>
            </w:r>
          </w:p>
        </w:tc>
        <w:tc>
          <w:tcPr>
            <w:tcW w:w="3672" w:type="dxa"/>
            <w:gridSpan w:val="2"/>
          </w:tcPr>
          <w:p w14:paraId="21F54B3C" w14:textId="0AD8C81A"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37FBF7E" w14:textId="77777777" w:rsidTr="00FE2CF6">
        <w:tc>
          <w:tcPr>
            <w:tcW w:w="1166" w:type="dxa"/>
          </w:tcPr>
          <w:p w14:paraId="652C3173" w14:textId="3811C668"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6B71E53D" w14:textId="1029D0ED"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0B74348C" w14:textId="184B1F19" w:rsidR="0070512E" w:rsidRPr="008F31E5" w:rsidRDefault="00734C17"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w:t>
            </w:r>
            <w:r>
              <w:rPr>
                <w:sz w:val="18"/>
                <w:szCs w:val="20"/>
              </w:rPr>
              <w:t>i</w:t>
            </w:r>
            <w:r w:rsidR="0070512E" w:rsidRPr="008F31E5">
              <w:rPr>
                <w:sz w:val="18"/>
                <w:szCs w:val="20"/>
              </w:rPr>
              <w:t>ce periods</w:t>
            </w:r>
          </w:p>
        </w:tc>
        <w:tc>
          <w:tcPr>
            <w:tcW w:w="7201" w:type="dxa"/>
          </w:tcPr>
          <w:p w14:paraId="04109B2E" w14:textId="32A071A5" w:rsidR="0070512E" w:rsidRPr="008F31E5" w:rsidRDefault="0070512E" w:rsidP="008F31E5">
            <w:pPr>
              <w:pStyle w:val="BodyCopy"/>
              <w:spacing w:before="60" w:after="60"/>
              <w:rPr>
                <w:sz w:val="18"/>
                <w:szCs w:val="20"/>
              </w:rPr>
            </w:pPr>
            <w:r w:rsidRPr="008F31E5">
              <w:rPr>
                <w:sz w:val="18"/>
                <w:szCs w:val="20"/>
              </w:rPr>
              <w:t xml:space="preserve">This solution, we submit, is contemplated by the federal </w:t>
            </w:r>
            <w:r w:rsidR="00AF4D60">
              <w:rPr>
                <w:sz w:val="18"/>
                <w:szCs w:val="20"/>
              </w:rPr>
              <w:t>g</w:t>
            </w:r>
            <w:r w:rsidRPr="008F31E5">
              <w:rPr>
                <w:sz w:val="18"/>
                <w:szCs w:val="20"/>
              </w:rPr>
              <w:t>overnment’s cost recovery guidelines3, in particular relating to partial cost recovery as follows:</w:t>
            </w:r>
            <w:r w:rsidRPr="008F31E5">
              <w:rPr>
                <w:sz w:val="18"/>
                <w:szCs w:val="20"/>
              </w:rPr>
              <w:br/>
            </w:r>
            <w:r w:rsidRPr="008F31E5">
              <w:rPr>
                <w:sz w:val="18"/>
                <w:szCs w:val="20"/>
              </w:rPr>
              <w:br/>
              <w:t>Australian Government entities should generally set charges to recover the full cost of providing specific activities. Partial cost recovery, which occurs when less than the full cost of a government activity is recovered, may be appropriate in some circumstances where:</w:t>
            </w:r>
            <w:r w:rsidRPr="008F31E5">
              <w:rPr>
                <w:sz w:val="18"/>
                <w:szCs w:val="20"/>
              </w:rPr>
              <w:br/>
              <w:t>a. charges are being ‘phased in’</w:t>
            </w:r>
            <w:r w:rsidRPr="008F31E5">
              <w:rPr>
                <w:sz w:val="18"/>
                <w:szCs w:val="20"/>
              </w:rPr>
              <w:br/>
              <w:t>b. full cost recovery would be inconsistent with community service obligations endorsed by the Australian Government</w:t>
            </w:r>
            <w:r w:rsidRPr="008F31E5">
              <w:rPr>
                <w:sz w:val="18"/>
                <w:szCs w:val="20"/>
              </w:rPr>
              <w:br/>
              <w:t xml:space="preserve">c. the Australian Government has made an explicit policy decision to charge for part of the costs of an activity. </w:t>
            </w:r>
          </w:p>
        </w:tc>
        <w:tc>
          <w:tcPr>
            <w:tcW w:w="3672" w:type="dxa"/>
            <w:gridSpan w:val="2"/>
          </w:tcPr>
          <w:p w14:paraId="0C1DEFA8" w14:textId="00F26317"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09EBD744" w14:textId="77777777" w:rsidTr="00FE2CF6">
        <w:tc>
          <w:tcPr>
            <w:tcW w:w="1166" w:type="dxa"/>
          </w:tcPr>
          <w:p w14:paraId="06E23F36" w14:textId="1CF55442" w:rsidR="0070512E" w:rsidRPr="008F31E5" w:rsidRDefault="0070512E" w:rsidP="008F31E5">
            <w:pPr>
              <w:pStyle w:val="BodyCopy"/>
              <w:spacing w:before="60" w:after="60"/>
              <w:rPr>
                <w:sz w:val="18"/>
                <w:szCs w:val="20"/>
              </w:rPr>
            </w:pPr>
            <w:r w:rsidRPr="008F31E5">
              <w:rPr>
                <w:sz w:val="18"/>
                <w:szCs w:val="20"/>
              </w:rPr>
              <w:lastRenderedPageBreak/>
              <w:t>NatRoad</w:t>
            </w:r>
          </w:p>
        </w:tc>
        <w:tc>
          <w:tcPr>
            <w:tcW w:w="902" w:type="dxa"/>
          </w:tcPr>
          <w:p w14:paraId="309FA69A" w14:textId="2F40D3DD"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77C72D52" w14:textId="2D00CC61" w:rsidR="0070512E" w:rsidRPr="008F31E5" w:rsidRDefault="00734C17"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w:t>
            </w:r>
            <w:r>
              <w:rPr>
                <w:sz w:val="18"/>
                <w:szCs w:val="20"/>
              </w:rPr>
              <w:t>i</w:t>
            </w:r>
            <w:r w:rsidR="0070512E" w:rsidRPr="008F31E5">
              <w:rPr>
                <w:sz w:val="18"/>
                <w:szCs w:val="20"/>
              </w:rPr>
              <w:t>ce periods</w:t>
            </w:r>
          </w:p>
        </w:tc>
        <w:tc>
          <w:tcPr>
            <w:tcW w:w="7201" w:type="dxa"/>
          </w:tcPr>
          <w:p w14:paraId="2F2298A7" w14:textId="1FF42232" w:rsidR="0070512E" w:rsidRPr="008F31E5" w:rsidRDefault="0070512E" w:rsidP="008F31E5">
            <w:pPr>
              <w:pStyle w:val="BodyCopy"/>
              <w:spacing w:before="60" w:after="60"/>
              <w:rPr>
                <w:sz w:val="18"/>
                <w:szCs w:val="20"/>
              </w:rPr>
            </w:pPr>
            <w:r w:rsidRPr="008F31E5">
              <w:rPr>
                <w:sz w:val="18"/>
                <w:szCs w:val="20"/>
              </w:rPr>
              <w:t xml:space="preserve">The NatRoad proposed solution will best accommodate the balance of competing factors that are in play when considering an interim determination: the trade-off between cost recovery over time and the impact on the industry, particularly an industry that has been hit hard by a range of external factors. The industry has sequentially suffered from the impact of bushfires, floods and now COVID-19, as acknowledged by </w:t>
            </w:r>
            <w:r w:rsidR="00AF4D60">
              <w:rPr>
                <w:sz w:val="18"/>
                <w:szCs w:val="20"/>
              </w:rPr>
              <w:t>t</w:t>
            </w:r>
            <w:r w:rsidRPr="008F31E5">
              <w:rPr>
                <w:sz w:val="18"/>
                <w:szCs w:val="20"/>
              </w:rPr>
              <w:t xml:space="preserve">ransport </w:t>
            </w:r>
            <w:r w:rsidR="00AF4D60">
              <w:rPr>
                <w:sz w:val="18"/>
                <w:szCs w:val="20"/>
              </w:rPr>
              <w:t>m</w:t>
            </w:r>
            <w:r w:rsidRPr="008F31E5">
              <w:rPr>
                <w:sz w:val="18"/>
                <w:szCs w:val="20"/>
              </w:rPr>
              <w:t>inisters. These events and difficult industry conditions have constrained the industry’s ability to cope with increased costs, inclusive of government charges.</w:t>
            </w:r>
          </w:p>
        </w:tc>
        <w:tc>
          <w:tcPr>
            <w:tcW w:w="3672" w:type="dxa"/>
            <w:gridSpan w:val="2"/>
          </w:tcPr>
          <w:p w14:paraId="5D470DDE" w14:textId="707539D5"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61A36310" w14:textId="77777777" w:rsidTr="00FE2CF6">
        <w:tc>
          <w:tcPr>
            <w:tcW w:w="1166" w:type="dxa"/>
          </w:tcPr>
          <w:p w14:paraId="37AE0879" w14:textId="0AAE1E9A"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2A87C959" w14:textId="650C8EDD"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3644286F" w14:textId="55698190" w:rsidR="0070512E" w:rsidRPr="008F31E5" w:rsidRDefault="0070512E" w:rsidP="008F31E5">
            <w:pPr>
              <w:pStyle w:val="BodyCopy"/>
              <w:spacing w:before="60" w:after="60"/>
              <w:rPr>
                <w:sz w:val="18"/>
                <w:szCs w:val="20"/>
              </w:rPr>
            </w:pPr>
            <w:r w:rsidRPr="002A61B5">
              <w:rPr>
                <w:spacing w:val="-8"/>
                <w:sz w:val="18"/>
                <w:szCs w:val="20"/>
              </w:rPr>
              <w:t>Implementation</w:t>
            </w:r>
            <w:r w:rsidRPr="008F31E5">
              <w:rPr>
                <w:sz w:val="18"/>
                <w:szCs w:val="20"/>
              </w:rPr>
              <w:t xml:space="preserve"> </w:t>
            </w:r>
            <w:r w:rsidR="00734C17">
              <w:rPr>
                <w:sz w:val="18"/>
                <w:szCs w:val="20"/>
              </w:rPr>
              <w:t>o</w:t>
            </w:r>
            <w:r w:rsidRPr="008F31E5">
              <w:rPr>
                <w:sz w:val="18"/>
                <w:szCs w:val="20"/>
              </w:rPr>
              <w:t>ptions (</w:t>
            </w:r>
            <w:r w:rsidR="00734C17">
              <w:rPr>
                <w:sz w:val="18"/>
                <w:szCs w:val="20"/>
              </w:rPr>
              <w:t>g</w:t>
            </w:r>
            <w:r w:rsidRPr="008F31E5">
              <w:rPr>
                <w:sz w:val="18"/>
                <w:szCs w:val="20"/>
              </w:rPr>
              <w:t>eneral)</w:t>
            </w:r>
          </w:p>
        </w:tc>
        <w:tc>
          <w:tcPr>
            <w:tcW w:w="7201" w:type="dxa"/>
          </w:tcPr>
          <w:p w14:paraId="6FD000A4" w14:textId="20467B00" w:rsidR="0070512E" w:rsidRPr="008F31E5" w:rsidRDefault="0070512E" w:rsidP="008F31E5">
            <w:pPr>
              <w:pStyle w:val="BodyCopy"/>
              <w:spacing w:before="60" w:after="60"/>
              <w:rPr>
                <w:sz w:val="18"/>
                <w:szCs w:val="20"/>
              </w:rPr>
            </w:pPr>
            <w:r w:rsidRPr="008F31E5">
              <w:rPr>
                <w:sz w:val="18"/>
                <w:szCs w:val="20"/>
              </w:rPr>
              <w:t>The C</w:t>
            </w:r>
            <w:r w:rsidR="00AF4D60">
              <w:rPr>
                <w:sz w:val="18"/>
                <w:szCs w:val="20"/>
              </w:rPr>
              <w:t>-</w:t>
            </w:r>
            <w:r w:rsidRPr="008F31E5">
              <w:rPr>
                <w:sz w:val="18"/>
                <w:szCs w:val="20"/>
              </w:rPr>
              <w:t xml:space="preserve">RIS indicates that: </w:t>
            </w:r>
            <w:r w:rsidR="00052D7C">
              <w:rPr>
                <w:sz w:val="18"/>
                <w:szCs w:val="20"/>
              </w:rPr>
              <w:t>‘</w:t>
            </w:r>
            <w:r w:rsidRPr="008F31E5">
              <w:rPr>
                <w:sz w:val="18"/>
                <w:szCs w:val="20"/>
              </w:rPr>
              <w:t>The increases of 3.5 per cent shown in example 1 of the three-year fixed price path option are intended to reflect the actual average annual growth rate in the heavy vehicle cost base from 2012–13 to 2021–22.</w:t>
            </w:r>
            <w:r w:rsidR="00052D7C">
              <w:rPr>
                <w:sz w:val="18"/>
                <w:szCs w:val="20"/>
              </w:rPr>
              <w:t>’</w:t>
            </w:r>
            <w:r w:rsidRPr="008F31E5">
              <w:rPr>
                <w:sz w:val="18"/>
                <w:szCs w:val="20"/>
              </w:rPr>
              <w:t xml:space="preserve"> That percentage increase or the rate of inflation, whichever is the lower, therefore remains the NatRoad preferred outcome. We therefore agree with fixed percentage price increases, a smooth pricing path for implementation.</w:t>
            </w:r>
          </w:p>
        </w:tc>
        <w:tc>
          <w:tcPr>
            <w:tcW w:w="3672" w:type="dxa"/>
            <w:gridSpan w:val="2"/>
          </w:tcPr>
          <w:p w14:paraId="19B57703" w14:textId="3607F9FD"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4E01627F" w14:textId="77777777" w:rsidTr="00FE2CF6">
        <w:tc>
          <w:tcPr>
            <w:tcW w:w="1166" w:type="dxa"/>
          </w:tcPr>
          <w:p w14:paraId="541C46C3" w14:textId="54D8BD61"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5BD37A89" w14:textId="2DD19C5D" w:rsidR="0070512E" w:rsidRPr="008F31E5" w:rsidRDefault="0070512E" w:rsidP="008F31E5">
            <w:pPr>
              <w:pStyle w:val="BodyCopy"/>
              <w:spacing w:before="60" w:after="60"/>
              <w:rPr>
                <w:sz w:val="18"/>
                <w:szCs w:val="20"/>
              </w:rPr>
            </w:pPr>
            <w:r w:rsidRPr="008F31E5">
              <w:rPr>
                <w:sz w:val="18"/>
                <w:szCs w:val="20"/>
              </w:rPr>
              <w:t>24</w:t>
            </w:r>
          </w:p>
        </w:tc>
        <w:tc>
          <w:tcPr>
            <w:tcW w:w="1171" w:type="dxa"/>
          </w:tcPr>
          <w:p w14:paraId="5B10AF7C" w14:textId="12366296" w:rsidR="0070512E" w:rsidRPr="008F31E5" w:rsidRDefault="00734C17" w:rsidP="008F31E5">
            <w:pPr>
              <w:pStyle w:val="BodyCopy"/>
              <w:spacing w:before="60" w:after="60"/>
              <w:rPr>
                <w:sz w:val="18"/>
                <w:szCs w:val="20"/>
              </w:rPr>
            </w:pPr>
            <w:r w:rsidRPr="005603DA">
              <w:rPr>
                <w:spacing w:val="-8"/>
                <w:sz w:val="18"/>
                <w:szCs w:val="20"/>
              </w:rPr>
              <w:t>Implementation</w:t>
            </w:r>
            <w:r w:rsidRPr="008F31E5">
              <w:rPr>
                <w:sz w:val="18"/>
                <w:szCs w:val="20"/>
              </w:rPr>
              <w:t xml:space="preserve"> </w:t>
            </w:r>
            <w:r>
              <w:rPr>
                <w:sz w:val="18"/>
                <w:szCs w:val="20"/>
              </w:rPr>
              <w:t>o</w:t>
            </w:r>
            <w:r w:rsidRPr="008F31E5">
              <w:rPr>
                <w:sz w:val="18"/>
                <w:szCs w:val="20"/>
              </w:rPr>
              <w:t xml:space="preserve">ptions </w:t>
            </w:r>
            <w:r w:rsidR="00321E50">
              <w:rPr>
                <w:sz w:val="18"/>
                <w:szCs w:val="20"/>
              </w:rPr>
              <w:t xml:space="preserve">– </w:t>
            </w:r>
            <w:r>
              <w:rPr>
                <w:sz w:val="18"/>
                <w:szCs w:val="20"/>
              </w:rPr>
              <w:t>m</w:t>
            </w:r>
            <w:r w:rsidR="0070512E" w:rsidRPr="008F31E5">
              <w:rPr>
                <w:sz w:val="18"/>
                <w:szCs w:val="20"/>
              </w:rPr>
              <w:t>ulti-year price periods</w:t>
            </w:r>
          </w:p>
        </w:tc>
        <w:tc>
          <w:tcPr>
            <w:tcW w:w="7201" w:type="dxa"/>
          </w:tcPr>
          <w:p w14:paraId="2A292075" w14:textId="6759A99F" w:rsidR="0070512E" w:rsidRPr="008F31E5" w:rsidRDefault="0070512E" w:rsidP="008F31E5">
            <w:pPr>
              <w:pStyle w:val="BodyCopy"/>
              <w:spacing w:before="60" w:after="60"/>
              <w:rPr>
                <w:sz w:val="18"/>
                <w:szCs w:val="20"/>
              </w:rPr>
            </w:pPr>
            <w:r w:rsidRPr="008F31E5">
              <w:rPr>
                <w:sz w:val="18"/>
                <w:szCs w:val="20"/>
              </w:rPr>
              <w:t>Given the estimated range of under recovery as suggested in Table 22 (i.e. the cost bases for all options exceed revenue from current heavy vehicle charges by a range of between 8.2 per cent and 27.7 per cent), the NHVR suggests that a multi-year implementation model is likely to attract more support from industry and governments than any direct implementation initiative that attempts to redress the estimated heavy vehicle revenue shortfall.</w:t>
            </w:r>
          </w:p>
        </w:tc>
        <w:tc>
          <w:tcPr>
            <w:tcW w:w="3672" w:type="dxa"/>
            <w:gridSpan w:val="2"/>
          </w:tcPr>
          <w:p w14:paraId="06CEFE60" w14:textId="6B0E3E37"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0465B9B4" w14:textId="77777777" w:rsidTr="00FE2CF6">
        <w:tc>
          <w:tcPr>
            <w:tcW w:w="1166" w:type="dxa"/>
          </w:tcPr>
          <w:p w14:paraId="262C6FC4" w14:textId="19E61E5D" w:rsidR="0070512E" w:rsidRPr="008F31E5" w:rsidRDefault="0070512E" w:rsidP="008F31E5">
            <w:pPr>
              <w:pStyle w:val="BodyCopy"/>
              <w:spacing w:before="60" w:after="60"/>
              <w:rPr>
                <w:sz w:val="18"/>
                <w:szCs w:val="20"/>
              </w:rPr>
            </w:pPr>
            <w:r w:rsidRPr="008F31E5">
              <w:rPr>
                <w:sz w:val="18"/>
                <w:szCs w:val="20"/>
              </w:rPr>
              <w:t>ALRTA</w:t>
            </w:r>
          </w:p>
        </w:tc>
        <w:tc>
          <w:tcPr>
            <w:tcW w:w="902" w:type="dxa"/>
          </w:tcPr>
          <w:p w14:paraId="11C86C93" w14:textId="77777777" w:rsidR="0070512E" w:rsidRPr="008F31E5" w:rsidRDefault="0070512E" w:rsidP="008F31E5">
            <w:pPr>
              <w:pStyle w:val="BodyCopy"/>
              <w:spacing w:before="60" w:after="60"/>
              <w:rPr>
                <w:sz w:val="18"/>
                <w:szCs w:val="20"/>
              </w:rPr>
            </w:pPr>
          </w:p>
        </w:tc>
        <w:tc>
          <w:tcPr>
            <w:tcW w:w="1171" w:type="dxa"/>
          </w:tcPr>
          <w:p w14:paraId="50FA09FC" w14:textId="0A00B334" w:rsidR="0070512E" w:rsidRPr="008F31E5" w:rsidRDefault="0070512E" w:rsidP="008F31E5">
            <w:pPr>
              <w:pStyle w:val="BodyCopy"/>
              <w:spacing w:before="60" w:after="60"/>
              <w:rPr>
                <w:sz w:val="18"/>
                <w:szCs w:val="20"/>
              </w:rPr>
            </w:pPr>
            <w:r w:rsidRPr="008F31E5">
              <w:rPr>
                <w:sz w:val="18"/>
                <w:szCs w:val="20"/>
              </w:rPr>
              <w:t>PAYGO (general)</w:t>
            </w:r>
          </w:p>
        </w:tc>
        <w:tc>
          <w:tcPr>
            <w:tcW w:w="7201" w:type="dxa"/>
          </w:tcPr>
          <w:p w14:paraId="235DE66F" w14:textId="75CD2495" w:rsidR="0070512E" w:rsidRPr="008F31E5" w:rsidRDefault="0070512E" w:rsidP="008F31E5">
            <w:pPr>
              <w:pStyle w:val="BodyCopy"/>
              <w:spacing w:before="60" w:after="60"/>
              <w:rPr>
                <w:sz w:val="18"/>
                <w:szCs w:val="20"/>
              </w:rPr>
            </w:pPr>
            <w:r w:rsidRPr="008F31E5">
              <w:rPr>
                <w:sz w:val="18"/>
                <w:szCs w:val="20"/>
              </w:rPr>
              <w:t>ALRTA has participated in several NTC briefing sessions and worked closely with the ATA Transport and Economics Committee during the preparation of a submission. ALRTA generally supports the positions and technical recommendations contained in the ATA submission.</w:t>
            </w:r>
          </w:p>
        </w:tc>
        <w:tc>
          <w:tcPr>
            <w:tcW w:w="3672" w:type="dxa"/>
            <w:gridSpan w:val="2"/>
          </w:tcPr>
          <w:p w14:paraId="645DFAA7" w14:textId="07B526D3"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381D25C5" w14:textId="77777777" w:rsidTr="00FE2CF6">
        <w:tc>
          <w:tcPr>
            <w:tcW w:w="1166" w:type="dxa"/>
          </w:tcPr>
          <w:p w14:paraId="4D91EA7C" w14:textId="2C278D62" w:rsidR="0070512E" w:rsidRPr="008F31E5" w:rsidRDefault="0070512E" w:rsidP="008F31E5">
            <w:pPr>
              <w:pStyle w:val="BodyCopy"/>
              <w:spacing w:before="60" w:after="60"/>
              <w:rPr>
                <w:sz w:val="18"/>
                <w:szCs w:val="20"/>
              </w:rPr>
            </w:pPr>
            <w:r w:rsidRPr="008F31E5">
              <w:rPr>
                <w:sz w:val="18"/>
                <w:szCs w:val="20"/>
              </w:rPr>
              <w:t>Bus Industry Confederation</w:t>
            </w:r>
          </w:p>
        </w:tc>
        <w:tc>
          <w:tcPr>
            <w:tcW w:w="902" w:type="dxa"/>
          </w:tcPr>
          <w:p w14:paraId="71DD6472" w14:textId="77777777" w:rsidR="0070512E" w:rsidRPr="008F31E5" w:rsidRDefault="0070512E" w:rsidP="008F31E5">
            <w:pPr>
              <w:pStyle w:val="BodyCopy"/>
              <w:spacing w:before="60" w:after="60"/>
              <w:rPr>
                <w:sz w:val="18"/>
                <w:szCs w:val="20"/>
              </w:rPr>
            </w:pPr>
          </w:p>
        </w:tc>
        <w:tc>
          <w:tcPr>
            <w:tcW w:w="1171" w:type="dxa"/>
          </w:tcPr>
          <w:p w14:paraId="55635B9B" w14:textId="57E776AE" w:rsidR="0070512E" w:rsidRPr="008F31E5" w:rsidRDefault="0070512E" w:rsidP="008F31E5">
            <w:pPr>
              <w:pStyle w:val="BodyCopy"/>
              <w:spacing w:before="60" w:after="60"/>
              <w:rPr>
                <w:sz w:val="18"/>
                <w:szCs w:val="20"/>
              </w:rPr>
            </w:pPr>
            <w:r w:rsidRPr="008F31E5">
              <w:rPr>
                <w:sz w:val="18"/>
                <w:szCs w:val="20"/>
              </w:rPr>
              <w:t>Limitations of the current charging framework</w:t>
            </w:r>
          </w:p>
        </w:tc>
        <w:tc>
          <w:tcPr>
            <w:tcW w:w="7201" w:type="dxa"/>
          </w:tcPr>
          <w:p w14:paraId="5FBE1C41" w14:textId="4E305738" w:rsidR="0070512E" w:rsidRPr="008F31E5" w:rsidRDefault="0070512E" w:rsidP="008F31E5">
            <w:pPr>
              <w:pStyle w:val="BodyCopy"/>
              <w:spacing w:before="60" w:after="60"/>
              <w:rPr>
                <w:sz w:val="18"/>
                <w:szCs w:val="20"/>
              </w:rPr>
            </w:pPr>
            <w:r w:rsidRPr="008F31E5">
              <w:rPr>
                <w:sz w:val="18"/>
                <w:szCs w:val="20"/>
              </w:rPr>
              <w:t>As the vehicle fleet electrifies, the RUC will become increasingly irrelevant. The current level of electrification is very low, such that the RUC and registration charges will be adequate for the upcoming determination. However, as electrification accelerates, as it inevitably will under pressures for Australia to improve its greenhouse gas emission performance, pressures will increase to move to an alternative road pricing model, across all vehicle classes. Any future alternative road pricing model should be based on (telematics driven) mass/distance/location (MDL) pricing, an approach that is also better suited to incorporate charges for external costs of HV road use. The BAN notes that external costs are not considered under the current pricing model. Efficient road use needs to also recognise, as part of the pricing model, the externalities (i</w:t>
            </w:r>
            <w:r w:rsidR="00AF4D60">
              <w:rPr>
                <w:sz w:val="18"/>
                <w:szCs w:val="20"/>
              </w:rPr>
              <w:t>.</w:t>
            </w:r>
            <w:r w:rsidRPr="008F31E5">
              <w:rPr>
                <w:sz w:val="18"/>
                <w:szCs w:val="20"/>
              </w:rPr>
              <w:t>e. congestion mitigation, environmental gains, road safety savings, social inclusion benefits).</w:t>
            </w:r>
          </w:p>
        </w:tc>
        <w:tc>
          <w:tcPr>
            <w:tcW w:w="3672" w:type="dxa"/>
            <w:gridSpan w:val="2"/>
          </w:tcPr>
          <w:p w14:paraId="1B4EC661" w14:textId="6D390DB7" w:rsidR="0070512E" w:rsidRPr="008F31E5" w:rsidRDefault="0070512E" w:rsidP="008F31E5">
            <w:pPr>
              <w:pStyle w:val="BodyCopy"/>
              <w:spacing w:before="60" w:after="60"/>
              <w:rPr>
                <w:sz w:val="18"/>
                <w:szCs w:val="20"/>
              </w:rPr>
            </w:pPr>
            <w:r w:rsidRPr="008F31E5">
              <w:rPr>
                <w:sz w:val="18"/>
                <w:szCs w:val="20"/>
              </w:rPr>
              <w:t>Noted.</w:t>
            </w:r>
          </w:p>
        </w:tc>
      </w:tr>
      <w:tr w:rsidR="00F74539" w:rsidRPr="008F31E5" w14:paraId="7FA72DB3" w14:textId="77777777" w:rsidTr="00FE2CF6">
        <w:tc>
          <w:tcPr>
            <w:tcW w:w="1166" w:type="dxa"/>
          </w:tcPr>
          <w:p w14:paraId="513EC8B0" w14:textId="0467B9E7" w:rsidR="0070512E" w:rsidRPr="008F31E5" w:rsidRDefault="0070512E" w:rsidP="008F31E5">
            <w:pPr>
              <w:pStyle w:val="BodyCopy"/>
              <w:spacing w:before="60" w:after="60"/>
              <w:rPr>
                <w:sz w:val="18"/>
                <w:szCs w:val="20"/>
              </w:rPr>
            </w:pPr>
            <w:r w:rsidRPr="008F31E5">
              <w:rPr>
                <w:sz w:val="18"/>
                <w:szCs w:val="20"/>
              </w:rPr>
              <w:t>NatRoad</w:t>
            </w:r>
          </w:p>
        </w:tc>
        <w:tc>
          <w:tcPr>
            <w:tcW w:w="902" w:type="dxa"/>
          </w:tcPr>
          <w:p w14:paraId="70A5E4C5" w14:textId="77777777" w:rsidR="0070512E" w:rsidRPr="008F31E5" w:rsidRDefault="0070512E" w:rsidP="008F31E5">
            <w:pPr>
              <w:pStyle w:val="BodyCopy"/>
              <w:spacing w:before="60" w:after="60"/>
              <w:rPr>
                <w:sz w:val="18"/>
                <w:szCs w:val="20"/>
              </w:rPr>
            </w:pPr>
          </w:p>
        </w:tc>
        <w:tc>
          <w:tcPr>
            <w:tcW w:w="1171" w:type="dxa"/>
          </w:tcPr>
          <w:p w14:paraId="27465BCB" w14:textId="65C0D22B" w:rsidR="0070512E" w:rsidRPr="008F31E5" w:rsidRDefault="0070512E" w:rsidP="008F31E5">
            <w:pPr>
              <w:pStyle w:val="BodyCopy"/>
              <w:spacing w:before="60" w:after="60"/>
              <w:rPr>
                <w:sz w:val="18"/>
                <w:szCs w:val="20"/>
              </w:rPr>
            </w:pPr>
            <w:r w:rsidRPr="008F31E5">
              <w:rPr>
                <w:sz w:val="18"/>
                <w:szCs w:val="20"/>
              </w:rPr>
              <w:t xml:space="preserve">Limitations of the current </w:t>
            </w:r>
            <w:r w:rsidRPr="008F31E5">
              <w:rPr>
                <w:sz w:val="18"/>
                <w:szCs w:val="20"/>
              </w:rPr>
              <w:lastRenderedPageBreak/>
              <w:t>charging framework</w:t>
            </w:r>
          </w:p>
        </w:tc>
        <w:tc>
          <w:tcPr>
            <w:tcW w:w="7201" w:type="dxa"/>
          </w:tcPr>
          <w:p w14:paraId="513C48E5" w14:textId="0535858C" w:rsidR="0070512E" w:rsidRPr="008F31E5" w:rsidRDefault="0070512E" w:rsidP="008F31E5">
            <w:pPr>
              <w:pStyle w:val="BodyCopy"/>
              <w:spacing w:before="60" w:after="60"/>
              <w:rPr>
                <w:sz w:val="18"/>
                <w:szCs w:val="20"/>
              </w:rPr>
            </w:pPr>
            <w:r w:rsidRPr="008F31E5">
              <w:rPr>
                <w:sz w:val="18"/>
                <w:szCs w:val="20"/>
              </w:rPr>
              <w:lastRenderedPageBreak/>
              <w:t>In simple terms, the PAYGO model for heavy vehicle charges is broken. It should not be used other than as a 2021</w:t>
            </w:r>
            <w:r w:rsidR="00052D7C">
              <w:rPr>
                <w:sz w:val="18"/>
                <w:szCs w:val="20"/>
              </w:rPr>
              <w:t>–</w:t>
            </w:r>
            <w:r w:rsidRPr="008F31E5">
              <w:rPr>
                <w:sz w:val="18"/>
                <w:szCs w:val="20"/>
              </w:rPr>
              <w:t>22 baseline on which to calculate future HV charges.</w:t>
            </w:r>
            <w:r w:rsidRPr="008F31E5">
              <w:rPr>
                <w:sz w:val="18"/>
                <w:szCs w:val="20"/>
              </w:rPr>
              <w:br/>
            </w:r>
            <w:r w:rsidRPr="008F31E5">
              <w:rPr>
                <w:sz w:val="18"/>
                <w:szCs w:val="20"/>
              </w:rPr>
              <w:br/>
              <w:t xml:space="preserve">It assumes that all Australia’s roads are sealed when the majority are not. It operates to </w:t>
            </w:r>
            <w:r w:rsidRPr="008F31E5">
              <w:rPr>
                <w:sz w:val="18"/>
                <w:szCs w:val="20"/>
              </w:rPr>
              <w:lastRenderedPageBreak/>
              <w:t>include all costs incurred in one year in the next year’s charges. Capital and current costs are not separated.</w:t>
            </w:r>
            <w:r w:rsidRPr="008F31E5">
              <w:rPr>
                <w:sz w:val="18"/>
                <w:szCs w:val="20"/>
              </w:rPr>
              <w:br/>
            </w:r>
            <w:r w:rsidRPr="008F31E5">
              <w:rPr>
                <w:sz w:val="18"/>
                <w:szCs w:val="20"/>
              </w:rPr>
              <w:br/>
              <w:t xml:space="preserve">And it results in payments flowing to </w:t>
            </w:r>
            <w:r w:rsidR="00052D7C">
              <w:rPr>
                <w:sz w:val="18"/>
                <w:szCs w:val="20"/>
              </w:rPr>
              <w:t>s</w:t>
            </w:r>
            <w:r w:rsidRPr="008F31E5">
              <w:rPr>
                <w:sz w:val="18"/>
                <w:szCs w:val="20"/>
              </w:rPr>
              <w:t xml:space="preserve">tates and </w:t>
            </w:r>
            <w:r w:rsidR="00052D7C">
              <w:rPr>
                <w:sz w:val="18"/>
                <w:szCs w:val="20"/>
              </w:rPr>
              <w:t>t</w:t>
            </w:r>
            <w:r w:rsidRPr="008F31E5">
              <w:rPr>
                <w:sz w:val="18"/>
                <w:szCs w:val="20"/>
              </w:rPr>
              <w:t>erritories that do not take into account the real cost recovery need for road construction and maintenance as that is related to heavy vehicle usage.</w:t>
            </w:r>
            <w:r w:rsidRPr="008F31E5">
              <w:rPr>
                <w:sz w:val="18"/>
                <w:szCs w:val="20"/>
              </w:rPr>
              <w:br/>
            </w:r>
            <w:r w:rsidRPr="008F31E5">
              <w:rPr>
                <w:sz w:val="18"/>
                <w:szCs w:val="20"/>
              </w:rPr>
              <w:br/>
              <w:t>A new model is needed to underpin the HVRR process. In the meantime, a fixed price increase is a better outcome than PAYGO or alternative models.</w:t>
            </w:r>
          </w:p>
        </w:tc>
        <w:tc>
          <w:tcPr>
            <w:tcW w:w="3672" w:type="dxa"/>
            <w:gridSpan w:val="2"/>
          </w:tcPr>
          <w:p w14:paraId="10C56458" w14:textId="40D01606" w:rsidR="0070512E" w:rsidRPr="008F31E5" w:rsidRDefault="0070512E" w:rsidP="008F31E5">
            <w:pPr>
              <w:pStyle w:val="BodyCopy"/>
              <w:spacing w:before="60" w:after="60"/>
              <w:rPr>
                <w:sz w:val="18"/>
                <w:szCs w:val="20"/>
              </w:rPr>
            </w:pPr>
            <w:r w:rsidRPr="008F31E5">
              <w:rPr>
                <w:sz w:val="18"/>
                <w:szCs w:val="20"/>
              </w:rPr>
              <w:lastRenderedPageBreak/>
              <w:t>Noted.</w:t>
            </w:r>
          </w:p>
        </w:tc>
      </w:tr>
      <w:tr w:rsidR="00F74539" w:rsidRPr="008F31E5" w14:paraId="25E47E4D" w14:textId="77777777" w:rsidTr="00FE2CF6">
        <w:tc>
          <w:tcPr>
            <w:tcW w:w="1166" w:type="dxa"/>
          </w:tcPr>
          <w:p w14:paraId="4B9132E6" w14:textId="1A538978" w:rsidR="0070512E" w:rsidRPr="008F31E5" w:rsidRDefault="0070512E" w:rsidP="008F31E5">
            <w:pPr>
              <w:pStyle w:val="BodyCopy"/>
              <w:spacing w:before="60" w:after="60"/>
              <w:rPr>
                <w:sz w:val="18"/>
                <w:szCs w:val="20"/>
              </w:rPr>
            </w:pPr>
            <w:r w:rsidRPr="008F31E5">
              <w:rPr>
                <w:sz w:val="18"/>
                <w:szCs w:val="20"/>
              </w:rPr>
              <w:t>NHVR</w:t>
            </w:r>
          </w:p>
        </w:tc>
        <w:tc>
          <w:tcPr>
            <w:tcW w:w="902" w:type="dxa"/>
          </w:tcPr>
          <w:p w14:paraId="1C5A7999" w14:textId="77777777" w:rsidR="0070512E" w:rsidRPr="008F31E5" w:rsidRDefault="0070512E" w:rsidP="008F31E5">
            <w:pPr>
              <w:pStyle w:val="BodyCopy"/>
              <w:spacing w:before="60" w:after="60"/>
              <w:rPr>
                <w:sz w:val="18"/>
                <w:szCs w:val="20"/>
              </w:rPr>
            </w:pPr>
          </w:p>
        </w:tc>
        <w:tc>
          <w:tcPr>
            <w:tcW w:w="1171" w:type="dxa"/>
          </w:tcPr>
          <w:p w14:paraId="55F7A677" w14:textId="1218E08D" w:rsidR="0070512E" w:rsidRPr="008F31E5" w:rsidRDefault="0070512E" w:rsidP="008F31E5">
            <w:pPr>
              <w:pStyle w:val="BodyCopy"/>
              <w:spacing w:before="60" w:after="60"/>
              <w:rPr>
                <w:sz w:val="18"/>
                <w:szCs w:val="20"/>
              </w:rPr>
            </w:pPr>
            <w:r w:rsidRPr="008F31E5">
              <w:rPr>
                <w:sz w:val="18"/>
                <w:szCs w:val="20"/>
              </w:rPr>
              <w:t xml:space="preserve">Pricing </w:t>
            </w:r>
            <w:r w:rsidR="00734C17">
              <w:rPr>
                <w:sz w:val="18"/>
                <w:szCs w:val="20"/>
              </w:rPr>
              <w:t>p</w:t>
            </w:r>
            <w:r w:rsidRPr="008F31E5">
              <w:rPr>
                <w:sz w:val="18"/>
                <w:szCs w:val="20"/>
              </w:rPr>
              <w:t>rinciples</w:t>
            </w:r>
          </w:p>
        </w:tc>
        <w:tc>
          <w:tcPr>
            <w:tcW w:w="7201" w:type="dxa"/>
          </w:tcPr>
          <w:p w14:paraId="18BA12CD" w14:textId="7E35D903" w:rsidR="0070512E" w:rsidRPr="008F31E5" w:rsidRDefault="0070512E" w:rsidP="008F31E5">
            <w:pPr>
              <w:pStyle w:val="BodyCopy"/>
              <w:spacing w:before="60" w:after="60"/>
              <w:rPr>
                <w:sz w:val="18"/>
                <w:szCs w:val="20"/>
              </w:rPr>
            </w:pPr>
            <w:r w:rsidRPr="008F31E5">
              <w:rPr>
                <w:sz w:val="18"/>
                <w:szCs w:val="20"/>
              </w:rPr>
              <w:t>Moving forward, the NHVR supports the pricing principles originating from the Australian Transport Council (ATC) (now called the Infrastructure and Transport Ministers’ Meeting, ITMM) and the National Cabinet (formerly the Council of Australian Governments). These principles provide guidance on how road use prices should promote optimal use of infrastructure, vehicle, and transport modes.</w:t>
            </w:r>
            <w:r w:rsidRPr="008F31E5">
              <w:rPr>
                <w:sz w:val="18"/>
                <w:szCs w:val="20"/>
              </w:rPr>
              <w:br/>
            </w:r>
            <w:r w:rsidRPr="008F31E5">
              <w:rPr>
                <w:sz w:val="18"/>
                <w:szCs w:val="20"/>
              </w:rPr>
              <w:br/>
              <w:t>In adopting these principles, the NHVR notes key considerations need to be explored including the ongoing impacts of COVID-19 on the Australian economy as well as the implementation of the Heavy Vehicle Road Reform on future determinations.</w:t>
            </w:r>
          </w:p>
        </w:tc>
        <w:tc>
          <w:tcPr>
            <w:tcW w:w="3672" w:type="dxa"/>
            <w:gridSpan w:val="2"/>
          </w:tcPr>
          <w:p w14:paraId="357007B5" w14:textId="4CC56F67" w:rsidR="0070512E" w:rsidRPr="008F31E5" w:rsidRDefault="0070512E" w:rsidP="008F31E5">
            <w:pPr>
              <w:pStyle w:val="BodyCopy"/>
              <w:spacing w:before="60" w:after="60"/>
              <w:rPr>
                <w:sz w:val="18"/>
                <w:szCs w:val="20"/>
              </w:rPr>
            </w:pPr>
            <w:r w:rsidRPr="008F31E5">
              <w:rPr>
                <w:sz w:val="18"/>
                <w:szCs w:val="20"/>
              </w:rPr>
              <w:t>Noted</w:t>
            </w:r>
            <w:r w:rsidR="005B711C">
              <w:rPr>
                <w:sz w:val="18"/>
                <w:szCs w:val="20"/>
              </w:rPr>
              <w:t>.</w:t>
            </w:r>
          </w:p>
        </w:tc>
      </w:tr>
      <w:tr w:rsidR="00F74539" w:rsidRPr="008F31E5" w14:paraId="2E7AE67D" w14:textId="77777777" w:rsidTr="00FE2CF6">
        <w:tc>
          <w:tcPr>
            <w:tcW w:w="1166" w:type="dxa"/>
          </w:tcPr>
          <w:p w14:paraId="49CE17C1" w14:textId="11CD7D10" w:rsidR="0070512E" w:rsidRPr="008F31E5" w:rsidRDefault="0070512E" w:rsidP="008F31E5">
            <w:pPr>
              <w:pStyle w:val="BodyCopy"/>
              <w:spacing w:before="60" w:after="60"/>
              <w:rPr>
                <w:sz w:val="18"/>
                <w:szCs w:val="20"/>
              </w:rPr>
            </w:pPr>
            <w:r w:rsidRPr="008F31E5">
              <w:rPr>
                <w:sz w:val="18"/>
                <w:szCs w:val="20"/>
              </w:rPr>
              <w:t>Philip Laird</w:t>
            </w:r>
          </w:p>
        </w:tc>
        <w:tc>
          <w:tcPr>
            <w:tcW w:w="902" w:type="dxa"/>
          </w:tcPr>
          <w:p w14:paraId="02722168" w14:textId="77777777" w:rsidR="0070512E" w:rsidRPr="008F31E5" w:rsidRDefault="0070512E" w:rsidP="008F31E5">
            <w:pPr>
              <w:pStyle w:val="BodyCopy"/>
              <w:spacing w:before="60" w:after="60"/>
              <w:rPr>
                <w:sz w:val="18"/>
                <w:szCs w:val="20"/>
              </w:rPr>
            </w:pPr>
          </w:p>
        </w:tc>
        <w:tc>
          <w:tcPr>
            <w:tcW w:w="1171" w:type="dxa"/>
          </w:tcPr>
          <w:p w14:paraId="6F784189" w14:textId="77777777" w:rsidR="0070512E" w:rsidRPr="008F31E5" w:rsidRDefault="0070512E" w:rsidP="008F31E5">
            <w:pPr>
              <w:pStyle w:val="BodyCopy"/>
              <w:spacing w:before="60" w:after="60"/>
              <w:rPr>
                <w:sz w:val="18"/>
                <w:szCs w:val="20"/>
              </w:rPr>
            </w:pPr>
          </w:p>
        </w:tc>
        <w:tc>
          <w:tcPr>
            <w:tcW w:w="7201" w:type="dxa"/>
          </w:tcPr>
          <w:p w14:paraId="73770BCC" w14:textId="235DF882" w:rsidR="0070512E" w:rsidRPr="008F31E5" w:rsidRDefault="0070512E" w:rsidP="008F31E5">
            <w:pPr>
              <w:pStyle w:val="BodyCopy"/>
              <w:spacing w:before="60" w:after="60"/>
              <w:rPr>
                <w:sz w:val="18"/>
                <w:szCs w:val="20"/>
              </w:rPr>
            </w:pPr>
            <w:r w:rsidRPr="008F31E5">
              <w:rPr>
                <w:sz w:val="18"/>
                <w:szCs w:val="20"/>
              </w:rPr>
              <w:t>All motorists (except for electric vehicles) are now paying fuel excise, indexed to CPI, presently at 42.7 cents per litre. Yet a moderately laden semitrailer will cause 10,000 times the road wear and tear that an average sized car does. It does not make sense why the operator (and clients) of the semitrailer need only pay 26.4 cents per litre in discounted (since the year 2000) fuel excise. New Zealand has had since 1978 mass distance charges for heavy trucks</w:t>
            </w:r>
            <w:r w:rsidR="005D40CD">
              <w:rPr>
                <w:sz w:val="18"/>
                <w:szCs w:val="20"/>
              </w:rPr>
              <w:t xml:space="preserve"> </w:t>
            </w:r>
            <w:r w:rsidRPr="008F31E5">
              <w:rPr>
                <w:sz w:val="18"/>
                <w:szCs w:val="20"/>
              </w:rPr>
              <w:t>...</w:t>
            </w:r>
            <w:r w:rsidR="005D40CD">
              <w:rPr>
                <w:sz w:val="18"/>
                <w:szCs w:val="20"/>
              </w:rPr>
              <w:t xml:space="preserve"> </w:t>
            </w:r>
            <w:r w:rsidRPr="008F31E5">
              <w:rPr>
                <w:sz w:val="18"/>
                <w:szCs w:val="20"/>
              </w:rPr>
              <w:t>As before, distance-based charging for the heavier trucks is long overdue.</w:t>
            </w:r>
          </w:p>
        </w:tc>
        <w:tc>
          <w:tcPr>
            <w:tcW w:w="3672" w:type="dxa"/>
            <w:gridSpan w:val="2"/>
          </w:tcPr>
          <w:p w14:paraId="390C7896" w14:textId="662EA2DE" w:rsidR="0070512E" w:rsidRPr="008F31E5" w:rsidRDefault="0070512E" w:rsidP="008F31E5">
            <w:pPr>
              <w:pStyle w:val="BodyCopy"/>
              <w:spacing w:before="60" w:after="60"/>
              <w:rPr>
                <w:sz w:val="18"/>
                <w:szCs w:val="20"/>
              </w:rPr>
            </w:pPr>
            <w:r w:rsidRPr="008F31E5">
              <w:rPr>
                <w:sz w:val="18"/>
                <w:szCs w:val="20"/>
              </w:rPr>
              <w:t xml:space="preserve">Fuel excise is a tax set by the government. Heavy vehicle charges historically have been set to achieve cost recovery independent of inflation. </w:t>
            </w:r>
          </w:p>
        </w:tc>
      </w:tr>
      <w:tr w:rsidR="00F74539" w:rsidRPr="008F31E5" w14:paraId="763C7447" w14:textId="77777777" w:rsidTr="00FE2CF6">
        <w:tc>
          <w:tcPr>
            <w:tcW w:w="1166" w:type="dxa"/>
          </w:tcPr>
          <w:p w14:paraId="3BE914A4" w14:textId="065C71DF" w:rsidR="0070512E" w:rsidRPr="008F31E5" w:rsidRDefault="0070512E" w:rsidP="008F31E5">
            <w:pPr>
              <w:pStyle w:val="BodyCopy"/>
              <w:spacing w:before="60" w:after="60"/>
              <w:rPr>
                <w:sz w:val="18"/>
                <w:szCs w:val="20"/>
              </w:rPr>
            </w:pPr>
            <w:r w:rsidRPr="008F31E5">
              <w:rPr>
                <w:sz w:val="18"/>
                <w:szCs w:val="20"/>
              </w:rPr>
              <w:t>CILTA</w:t>
            </w:r>
          </w:p>
        </w:tc>
        <w:tc>
          <w:tcPr>
            <w:tcW w:w="902" w:type="dxa"/>
          </w:tcPr>
          <w:p w14:paraId="77C99923" w14:textId="77777777" w:rsidR="0070512E" w:rsidRPr="008F31E5" w:rsidRDefault="0070512E" w:rsidP="008F31E5">
            <w:pPr>
              <w:pStyle w:val="BodyCopy"/>
              <w:spacing w:before="60" w:after="60"/>
              <w:rPr>
                <w:sz w:val="18"/>
                <w:szCs w:val="20"/>
              </w:rPr>
            </w:pPr>
          </w:p>
        </w:tc>
        <w:tc>
          <w:tcPr>
            <w:tcW w:w="1171" w:type="dxa"/>
          </w:tcPr>
          <w:p w14:paraId="0C04D173" w14:textId="77777777" w:rsidR="0070512E" w:rsidRPr="008F31E5" w:rsidRDefault="0070512E" w:rsidP="008F31E5">
            <w:pPr>
              <w:pStyle w:val="BodyCopy"/>
              <w:spacing w:before="60" w:after="60"/>
              <w:rPr>
                <w:sz w:val="18"/>
                <w:szCs w:val="20"/>
              </w:rPr>
            </w:pPr>
          </w:p>
        </w:tc>
        <w:tc>
          <w:tcPr>
            <w:tcW w:w="7201" w:type="dxa"/>
          </w:tcPr>
          <w:p w14:paraId="2FE3D476" w14:textId="2B085F58" w:rsidR="0070512E" w:rsidRPr="008F31E5" w:rsidRDefault="0070512E" w:rsidP="008F31E5">
            <w:pPr>
              <w:pStyle w:val="BodyCopy"/>
              <w:spacing w:before="60" w:after="60"/>
              <w:rPr>
                <w:sz w:val="18"/>
                <w:szCs w:val="20"/>
              </w:rPr>
            </w:pPr>
            <w:r w:rsidRPr="008F31E5">
              <w:rPr>
                <w:sz w:val="18"/>
                <w:szCs w:val="20"/>
              </w:rPr>
              <w:t>However, as Table 1 shows all registration charges do not always get levied on a steady upward trend and there have been some notable hiccups in recent times in the expected ‘smooth’ registration charges line matching a smoothed moving average, cost recovery function.</w:t>
            </w:r>
          </w:p>
        </w:tc>
        <w:tc>
          <w:tcPr>
            <w:tcW w:w="3672" w:type="dxa"/>
            <w:gridSpan w:val="2"/>
          </w:tcPr>
          <w:p w14:paraId="525A88BC" w14:textId="262B096C" w:rsidR="0070512E" w:rsidRPr="008F31E5" w:rsidRDefault="0070512E" w:rsidP="008F31E5">
            <w:pPr>
              <w:pStyle w:val="BodyCopy"/>
              <w:spacing w:before="60" w:after="60"/>
              <w:rPr>
                <w:sz w:val="18"/>
                <w:szCs w:val="20"/>
              </w:rPr>
            </w:pPr>
            <w:r w:rsidRPr="008F31E5">
              <w:rPr>
                <w:sz w:val="18"/>
                <w:szCs w:val="20"/>
              </w:rPr>
              <w:t>Noted. Increases for individual vehicle categories may arise because of changes to usage data or updated data on vehicles masses or ESAs.</w:t>
            </w:r>
          </w:p>
        </w:tc>
      </w:tr>
      <w:tr w:rsidR="00F74539" w:rsidRPr="008F31E5" w14:paraId="36979A1C" w14:textId="77777777" w:rsidTr="00FE2CF6">
        <w:tc>
          <w:tcPr>
            <w:tcW w:w="1166" w:type="dxa"/>
          </w:tcPr>
          <w:p w14:paraId="0845BBC9" w14:textId="1927D1A3" w:rsidR="0070512E" w:rsidRPr="008F31E5" w:rsidRDefault="0070512E" w:rsidP="008F31E5">
            <w:pPr>
              <w:pStyle w:val="BodyCopy"/>
              <w:spacing w:before="60" w:after="60"/>
              <w:rPr>
                <w:sz w:val="18"/>
                <w:szCs w:val="20"/>
              </w:rPr>
            </w:pPr>
            <w:r w:rsidRPr="008F31E5">
              <w:rPr>
                <w:sz w:val="18"/>
                <w:szCs w:val="20"/>
              </w:rPr>
              <w:t>CILTA</w:t>
            </w:r>
          </w:p>
        </w:tc>
        <w:tc>
          <w:tcPr>
            <w:tcW w:w="902" w:type="dxa"/>
          </w:tcPr>
          <w:p w14:paraId="7641C863" w14:textId="77777777" w:rsidR="0070512E" w:rsidRPr="008F31E5" w:rsidRDefault="0070512E" w:rsidP="008F31E5">
            <w:pPr>
              <w:pStyle w:val="BodyCopy"/>
              <w:spacing w:before="60" w:after="60"/>
              <w:rPr>
                <w:sz w:val="18"/>
                <w:szCs w:val="20"/>
              </w:rPr>
            </w:pPr>
          </w:p>
        </w:tc>
        <w:tc>
          <w:tcPr>
            <w:tcW w:w="1171" w:type="dxa"/>
          </w:tcPr>
          <w:p w14:paraId="54B16AE9" w14:textId="77777777" w:rsidR="0070512E" w:rsidRPr="008F31E5" w:rsidRDefault="0070512E" w:rsidP="008F31E5">
            <w:pPr>
              <w:pStyle w:val="BodyCopy"/>
              <w:spacing w:before="60" w:after="60"/>
              <w:rPr>
                <w:sz w:val="18"/>
                <w:szCs w:val="20"/>
              </w:rPr>
            </w:pPr>
          </w:p>
        </w:tc>
        <w:tc>
          <w:tcPr>
            <w:tcW w:w="7201" w:type="dxa"/>
          </w:tcPr>
          <w:p w14:paraId="355F4AAE" w14:textId="7331F50D" w:rsidR="0070512E" w:rsidRPr="008F31E5" w:rsidRDefault="0070512E" w:rsidP="008F31E5">
            <w:pPr>
              <w:pStyle w:val="BodyCopy"/>
              <w:spacing w:before="60" w:after="60"/>
              <w:rPr>
                <w:sz w:val="18"/>
                <w:szCs w:val="20"/>
              </w:rPr>
            </w:pPr>
            <w:r w:rsidRPr="008F31E5">
              <w:rPr>
                <w:sz w:val="18"/>
                <w:szCs w:val="20"/>
              </w:rPr>
              <w:t>Table 2 reflects the gradual increases and the more recent stabili</w:t>
            </w:r>
            <w:r w:rsidR="005D40CD">
              <w:rPr>
                <w:sz w:val="18"/>
                <w:szCs w:val="20"/>
              </w:rPr>
              <w:t>s</w:t>
            </w:r>
            <w:r w:rsidRPr="008F31E5">
              <w:rPr>
                <w:sz w:val="18"/>
                <w:szCs w:val="20"/>
              </w:rPr>
              <w:t>ation of the Road User Charge. However, at this level along with the rises in State registration fees, especially since the CPI cap on registration charges was lifted in July 2009, there has still been massive over</w:t>
            </w:r>
            <w:r w:rsidR="005D40CD">
              <w:rPr>
                <w:sz w:val="18"/>
                <w:szCs w:val="20"/>
              </w:rPr>
              <w:t>-</w:t>
            </w:r>
            <w:r w:rsidRPr="008F31E5">
              <w:rPr>
                <w:sz w:val="18"/>
                <w:szCs w:val="20"/>
              </w:rPr>
              <w:t>recovery of costs from the industry.</w:t>
            </w:r>
          </w:p>
        </w:tc>
        <w:tc>
          <w:tcPr>
            <w:tcW w:w="3672" w:type="dxa"/>
            <w:gridSpan w:val="2"/>
          </w:tcPr>
          <w:p w14:paraId="23C0CD7A" w14:textId="3243B677" w:rsidR="0070512E" w:rsidRPr="008F31E5" w:rsidRDefault="0070512E" w:rsidP="008F31E5">
            <w:pPr>
              <w:pStyle w:val="BodyCopy"/>
              <w:spacing w:before="60" w:after="60"/>
              <w:rPr>
                <w:sz w:val="18"/>
                <w:szCs w:val="20"/>
              </w:rPr>
            </w:pPr>
            <w:r w:rsidRPr="008F31E5">
              <w:rPr>
                <w:sz w:val="18"/>
                <w:szCs w:val="20"/>
              </w:rPr>
              <w:t>The consultation RIS contains information on the relationship between heavy vehicle charges revenue and the identified heavy vehicle cost base over time. In more recent years, the heavy vehicle cost base has exceeded revenue, which indicates that charges have under-recovered the cost base over this period.</w:t>
            </w:r>
            <w:r w:rsidR="009E61AA">
              <w:rPr>
                <w:sz w:val="18"/>
                <w:szCs w:val="20"/>
              </w:rPr>
              <w:t xml:space="preserve"> </w:t>
            </w:r>
          </w:p>
        </w:tc>
      </w:tr>
      <w:tr w:rsidR="00F74539" w:rsidRPr="008F31E5" w14:paraId="3F2F0D08" w14:textId="77777777" w:rsidTr="00FE2CF6">
        <w:tc>
          <w:tcPr>
            <w:tcW w:w="1166" w:type="dxa"/>
          </w:tcPr>
          <w:p w14:paraId="71000760" w14:textId="3931444C" w:rsidR="0070512E" w:rsidRPr="008F31E5" w:rsidRDefault="0070512E" w:rsidP="008F31E5">
            <w:pPr>
              <w:pStyle w:val="BodyCopy"/>
              <w:spacing w:before="60" w:after="60"/>
              <w:rPr>
                <w:sz w:val="18"/>
                <w:szCs w:val="20"/>
              </w:rPr>
            </w:pPr>
            <w:r w:rsidRPr="008F31E5">
              <w:rPr>
                <w:sz w:val="18"/>
                <w:szCs w:val="20"/>
              </w:rPr>
              <w:lastRenderedPageBreak/>
              <w:t>CILTA</w:t>
            </w:r>
          </w:p>
        </w:tc>
        <w:tc>
          <w:tcPr>
            <w:tcW w:w="902" w:type="dxa"/>
          </w:tcPr>
          <w:p w14:paraId="2927DA99" w14:textId="77777777" w:rsidR="0070512E" w:rsidRPr="008F31E5" w:rsidRDefault="0070512E" w:rsidP="008F31E5">
            <w:pPr>
              <w:pStyle w:val="BodyCopy"/>
              <w:spacing w:before="60" w:after="60"/>
              <w:rPr>
                <w:sz w:val="18"/>
                <w:szCs w:val="20"/>
              </w:rPr>
            </w:pPr>
          </w:p>
        </w:tc>
        <w:tc>
          <w:tcPr>
            <w:tcW w:w="1171" w:type="dxa"/>
          </w:tcPr>
          <w:p w14:paraId="78F9E8A2" w14:textId="77777777" w:rsidR="0070512E" w:rsidRPr="008F31E5" w:rsidRDefault="0070512E" w:rsidP="008F31E5">
            <w:pPr>
              <w:pStyle w:val="BodyCopy"/>
              <w:spacing w:before="60" w:after="60"/>
              <w:rPr>
                <w:sz w:val="18"/>
                <w:szCs w:val="20"/>
              </w:rPr>
            </w:pPr>
          </w:p>
        </w:tc>
        <w:tc>
          <w:tcPr>
            <w:tcW w:w="7201" w:type="dxa"/>
          </w:tcPr>
          <w:p w14:paraId="265E92E1" w14:textId="52CB8443" w:rsidR="0070512E" w:rsidRPr="008F31E5" w:rsidRDefault="0070512E" w:rsidP="008F31E5">
            <w:pPr>
              <w:pStyle w:val="BodyCopy"/>
              <w:spacing w:before="60" w:after="60"/>
              <w:rPr>
                <w:sz w:val="18"/>
                <w:szCs w:val="20"/>
              </w:rPr>
            </w:pPr>
            <w:r w:rsidRPr="008F31E5">
              <w:rPr>
                <w:sz w:val="18"/>
                <w:szCs w:val="20"/>
              </w:rPr>
              <w:t xml:space="preserve">As has often been stated by this author there is a light year of difference between operations in the ‘Hire and Reward’ sector versus the ‘Ancillary’ </w:t>
            </w:r>
            <w:r w:rsidR="00DF4933">
              <w:rPr>
                <w:sz w:val="18"/>
                <w:szCs w:val="20"/>
              </w:rPr>
              <w:t>s</w:t>
            </w:r>
            <w:r w:rsidRPr="008F31E5">
              <w:rPr>
                <w:sz w:val="18"/>
                <w:szCs w:val="20"/>
              </w:rPr>
              <w:t>ector</w:t>
            </w:r>
            <w:r w:rsidR="00193E2E">
              <w:rPr>
                <w:sz w:val="18"/>
                <w:szCs w:val="20"/>
              </w:rPr>
              <w:t xml:space="preserve"> </w:t>
            </w:r>
            <w:r w:rsidRPr="008F31E5">
              <w:rPr>
                <w:sz w:val="18"/>
                <w:szCs w:val="20"/>
              </w:rPr>
              <w:t>…</w:t>
            </w:r>
            <w:r w:rsidRPr="008F31E5">
              <w:rPr>
                <w:sz w:val="18"/>
                <w:szCs w:val="20"/>
              </w:rPr>
              <w:br/>
            </w:r>
            <w:r w:rsidRPr="008F31E5">
              <w:rPr>
                <w:sz w:val="18"/>
                <w:szCs w:val="20"/>
              </w:rPr>
              <w:br/>
              <w:t>Firstly, Ancillary fleets, although many are small, these dominate the Australian road fleet population...This is over six times the kilometres performed by the ancillary operator, and yet their registration charges under the current PAYGO methodology are the same!!!!! This is because the current charges are based on average kilometre by vehicle configuration which gives a massive cross subsidy to the Hire and Reward sector.</w:t>
            </w:r>
          </w:p>
        </w:tc>
        <w:tc>
          <w:tcPr>
            <w:tcW w:w="3672" w:type="dxa"/>
            <w:gridSpan w:val="2"/>
          </w:tcPr>
          <w:p w14:paraId="15357751" w14:textId="0B04F9A7" w:rsidR="0070512E" w:rsidRPr="008F31E5" w:rsidRDefault="0070512E" w:rsidP="008F31E5">
            <w:pPr>
              <w:pStyle w:val="BodyCopy"/>
              <w:spacing w:before="60" w:after="60"/>
              <w:rPr>
                <w:sz w:val="18"/>
                <w:szCs w:val="20"/>
              </w:rPr>
            </w:pPr>
            <w:r w:rsidRPr="008F31E5">
              <w:rPr>
                <w:sz w:val="18"/>
                <w:szCs w:val="20"/>
              </w:rPr>
              <w:t>With the current charges consisting of RUC and yearly registration charges, it would not be possible to discriminate between different industry sectors, even if this was thought desirable. Also, the data on hire and reward v</w:t>
            </w:r>
            <w:r w:rsidR="005D40CD">
              <w:rPr>
                <w:sz w:val="18"/>
                <w:szCs w:val="20"/>
              </w:rPr>
              <w:t>ersu</w:t>
            </w:r>
            <w:r w:rsidRPr="008F31E5">
              <w:rPr>
                <w:sz w:val="18"/>
                <w:szCs w:val="20"/>
              </w:rPr>
              <w:t>s ancillary in the SMVU may not be suitable, given the tendency for more detailed data in the SMVU to have higher relative standard errors (and therefore lower reliability).</w:t>
            </w:r>
          </w:p>
        </w:tc>
      </w:tr>
      <w:tr w:rsidR="00F74539" w:rsidRPr="008F31E5" w14:paraId="36B5ADC4" w14:textId="77777777" w:rsidTr="00FE2CF6">
        <w:tc>
          <w:tcPr>
            <w:tcW w:w="1166" w:type="dxa"/>
          </w:tcPr>
          <w:p w14:paraId="0B13C500" w14:textId="543B8709" w:rsidR="0070512E" w:rsidRPr="008F31E5" w:rsidRDefault="0070512E" w:rsidP="008F31E5">
            <w:pPr>
              <w:pStyle w:val="BodyCopy"/>
              <w:spacing w:before="60" w:after="60"/>
              <w:rPr>
                <w:sz w:val="18"/>
                <w:szCs w:val="20"/>
              </w:rPr>
            </w:pPr>
            <w:r w:rsidRPr="008F31E5">
              <w:rPr>
                <w:sz w:val="18"/>
                <w:szCs w:val="20"/>
              </w:rPr>
              <w:t>CILTA</w:t>
            </w:r>
          </w:p>
        </w:tc>
        <w:tc>
          <w:tcPr>
            <w:tcW w:w="902" w:type="dxa"/>
          </w:tcPr>
          <w:p w14:paraId="1079435B" w14:textId="77777777" w:rsidR="0070512E" w:rsidRPr="008F31E5" w:rsidRDefault="0070512E" w:rsidP="008F31E5">
            <w:pPr>
              <w:pStyle w:val="BodyCopy"/>
              <w:spacing w:before="60" w:after="60"/>
              <w:rPr>
                <w:sz w:val="18"/>
                <w:szCs w:val="20"/>
              </w:rPr>
            </w:pPr>
          </w:p>
        </w:tc>
        <w:tc>
          <w:tcPr>
            <w:tcW w:w="1171" w:type="dxa"/>
          </w:tcPr>
          <w:p w14:paraId="1719AFEF" w14:textId="77777777" w:rsidR="0070512E" w:rsidRPr="008F31E5" w:rsidRDefault="0070512E" w:rsidP="008F31E5">
            <w:pPr>
              <w:pStyle w:val="BodyCopy"/>
              <w:spacing w:before="60" w:after="60"/>
              <w:rPr>
                <w:sz w:val="18"/>
                <w:szCs w:val="20"/>
              </w:rPr>
            </w:pPr>
          </w:p>
        </w:tc>
        <w:tc>
          <w:tcPr>
            <w:tcW w:w="7201" w:type="dxa"/>
          </w:tcPr>
          <w:p w14:paraId="4F7F2E4D" w14:textId="7554C00B" w:rsidR="0070512E" w:rsidRPr="008F31E5" w:rsidRDefault="0070512E" w:rsidP="008F31E5">
            <w:pPr>
              <w:pStyle w:val="BodyCopy"/>
              <w:spacing w:before="60" w:after="60"/>
              <w:rPr>
                <w:sz w:val="18"/>
                <w:szCs w:val="20"/>
              </w:rPr>
            </w:pPr>
            <w:r w:rsidRPr="008F31E5">
              <w:rPr>
                <w:sz w:val="18"/>
                <w:szCs w:val="20"/>
              </w:rPr>
              <w:t>As a thought, the new road charging body could develop ‘two’ Road User Charges and ‘two’ Diesel Fuel Rebate rates, one for the Hire and Reward sector and one for the Ancillary sector.</w:t>
            </w:r>
          </w:p>
        </w:tc>
        <w:tc>
          <w:tcPr>
            <w:tcW w:w="3672" w:type="dxa"/>
            <w:gridSpan w:val="2"/>
          </w:tcPr>
          <w:p w14:paraId="5D202EF1" w14:textId="76951C28" w:rsidR="0070512E" w:rsidRPr="008F31E5" w:rsidRDefault="0070512E" w:rsidP="008F31E5">
            <w:pPr>
              <w:pStyle w:val="BodyCopy"/>
              <w:spacing w:before="60" w:after="60"/>
              <w:rPr>
                <w:sz w:val="18"/>
                <w:szCs w:val="20"/>
              </w:rPr>
            </w:pPr>
            <w:r w:rsidRPr="008F31E5">
              <w:rPr>
                <w:sz w:val="18"/>
                <w:szCs w:val="20"/>
              </w:rPr>
              <w:t>This approach would add complexity and would require significant change including to legislation. Also, it is unlikely that the application of the separate rates could be enforced at reasonable cost under the current system.</w:t>
            </w:r>
            <w:r w:rsidR="009E61AA">
              <w:rPr>
                <w:sz w:val="18"/>
                <w:szCs w:val="20"/>
              </w:rPr>
              <w:t xml:space="preserve"> </w:t>
            </w:r>
          </w:p>
        </w:tc>
      </w:tr>
      <w:tr w:rsidR="00F74539" w:rsidRPr="008F31E5" w14:paraId="5366A3A7" w14:textId="77777777" w:rsidTr="00FE2CF6">
        <w:tc>
          <w:tcPr>
            <w:tcW w:w="1166" w:type="dxa"/>
          </w:tcPr>
          <w:p w14:paraId="72D8065A" w14:textId="1FF8FE72" w:rsidR="0070512E" w:rsidRPr="008F31E5" w:rsidRDefault="0070512E" w:rsidP="008F31E5">
            <w:pPr>
              <w:pStyle w:val="BodyCopy"/>
              <w:spacing w:before="60" w:after="60"/>
              <w:rPr>
                <w:sz w:val="18"/>
                <w:szCs w:val="20"/>
              </w:rPr>
            </w:pPr>
            <w:r w:rsidRPr="008F31E5">
              <w:rPr>
                <w:sz w:val="18"/>
                <w:szCs w:val="20"/>
              </w:rPr>
              <w:t>VTA</w:t>
            </w:r>
          </w:p>
        </w:tc>
        <w:tc>
          <w:tcPr>
            <w:tcW w:w="902" w:type="dxa"/>
          </w:tcPr>
          <w:p w14:paraId="647895D7" w14:textId="0C62241D" w:rsidR="0070512E" w:rsidRPr="008F31E5" w:rsidRDefault="0070512E" w:rsidP="008F31E5">
            <w:pPr>
              <w:pStyle w:val="BodyCopy"/>
              <w:spacing w:before="60" w:after="60"/>
              <w:rPr>
                <w:sz w:val="18"/>
                <w:szCs w:val="20"/>
              </w:rPr>
            </w:pPr>
          </w:p>
        </w:tc>
        <w:tc>
          <w:tcPr>
            <w:tcW w:w="1171" w:type="dxa"/>
          </w:tcPr>
          <w:p w14:paraId="01194FB9" w14:textId="3BF0DEB2" w:rsidR="0070512E" w:rsidRPr="008F31E5" w:rsidRDefault="0070512E" w:rsidP="008F31E5">
            <w:pPr>
              <w:pStyle w:val="BodyCopy"/>
              <w:spacing w:before="60" w:after="60"/>
              <w:rPr>
                <w:sz w:val="18"/>
                <w:szCs w:val="20"/>
              </w:rPr>
            </w:pPr>
            <w:r w:rsidRPr="008F31E5">
              <w:rPr>
                <w:sz w:val="18"/>
                <w:szCs w:val="20"/>
              </w:rPr>
              <w:t>Expenditure template and accountability</w:t>
            </w:r>
          </w:p>
        </w:tc>
        <w:tc>
          <w:tcPr>
            <w:tcW w:w="7201" w:type="dxa"/>
          </w:tcPr>
          <w:p w14:paraId="7D5C03A3" w14:textId="77777777" w:rsidR="0005466C" w:rsidRDefault="0070512E" w:rsidP="008F31E5">
            <w:pPr>
              <w:pStyle w:val="BodyCopy"/>
              <w:spacing w:before="60" w:after="60"/>
              <w:rPr>
                <w:sz w:val="18"/>
                <w:szCs w:val="20"/>
              </w:rPr>
            </w:pPr>
            <w:r w:rsidRPr="008F31E5">
              <w:rPr>
                <w:sz w:val="18"/>
                <w:szCs w:val="20"/>
              </w:rPr>
              <w:t>The VTA wishes to highlight several points and they include the following:</w:t>
            </w:r>
          </w:p>
          <w:p w14:paraId="67E436D9" w14:textId="1498C11F" w:rsidR="0005466C" w:rsidRDefault="0070512E" w:rsidP="00AF4D60">
            <w:pPr>
              <w:pStyle w:val="BodyCopy"/>
              <w:numPr>
                <w:ilvl w:val="3"/>
                <w:numId w:val="63"/>
              </w:numPr>
              <w:spacing w:before="60" w:after="60"/>
              <w:ind w:left="168" w:hanging="168"/>
              <w:rPr>
                <w:sz w:val="18"/>
                <w:szCs w:val="20"/>
              </w:rPr>
            </w:pPr>
            <w:r w:rsidRPr="008F31E5">
              <w:rPr>
                <w:sz w:val="18"/>
                <w:szCs w:val="20"/>
              </w:rPr>
              <w:t>We recognise the complexities involved with the PAYGO model and the inherent limitations in the PAYGO methodology.</w:t>
            </w:r>
          </w:p>
          <w:p w14:paraId="6986FFDC" w14:textId="1F9480D3" w:rsidR="0005466C" w:rsidRDefault="0070512E" w:rsidP="0005466C">
            <w:pPr>
              <w:pStyle w:val="BodyCopy"/>
              <w:numPr>
                <w:ilvl w:val="3"/>
                <w:numId w:val="63"/>
              </w:numPr>
              <w:spacing w:before="60" w:after="60"/>
              <w:ind w:left="168" w:hanging="168"/>
              <w:rPr>
                <w:sz w:val="18"/>
                <w:szCs w:val="20"/>
              </w:rPr>
            </w:pPr>
            <w:r w:rsidRPr="008F31E5">
              <w:rPr>
                <w:sz w:val="18"/>
                <w:szCs w:val="20"/>
              </w:rPr>
              <w:t>Heavy vehicles should not be expected to continue to ‘over-pay’ their share of the costs.</w:t>
            </w:r>
          </w:p>
          <w:p w14:paraId="3B734C80" w14:textId="7EACA8CC" w:rsidR="0005466C" w:rsidRDefault="0070512E" w:rsidP="0005466C">
            <w:pPr>
              <w:pStyle w:val="BodyCopy"/>
              <w:numPr>
                <w:ilvl w:val="3"/>
                <w:numId w:val="63"/>
              </w:numPr>
              <w:spacing w:before="60" w:after="60"/>
              <w:ind w:left="168" w:hanging="168"/>
              <w:rPr>
                <w:sz w:val="18"/>
                <w:szCs w:val="20"/>
              </w:rPr>
            </w:pPr>
            <w:r w:rsidRPr="008F31E5">
              <w:rPr>
                <w:sz w:val="18"/>
                <w:szCs w:val="20"/>
              </w:rPr>
              <w:t>Due consideration and adjustment should be made to the tolls allocated to ’light’ vehicles.</w:t>
            </w:r>
          </w:p>
          <w:p w14:paraId="16257537" w14:textId="2B3BDF46" w:rsidR="0005466C" w:rsidRDefault="0070512E" w:rsidP="0005466C">
            <w:pPr>
              <w:pStyle w:val="BodyCopy"/>
              <w:numPr>
                <w:ilvl w:val="3"/>
                <w:numId w:val="63"/>
              </w:numPr>
              <w:spacing w:before="60" w:after="60"/>
              <w:ind w:left="168" w:hanging="168"/>
              <w:rPr>
                <w:sz w:val="18"/>
                <w:szCs w:val="20"/>
              </w:rPr>
            </w:pPr>
            <w:r w:rsidRPr="008F31E5">
              <w:rPr>
                <w:sz w:val="18"/>
                <w:szCs w:val="20"/>
              </w:rPr>
              <w:t>Extrapolation of the data/evidence presented does not accurately cover the fact that heavy vehicles do not travel on all roads.</w:t>
            </w:r>
          </w:p>
          <w:p w14:paraId="43140DED" w14:textId="7A5EB950" w:rsidR="0070512E" w:rsidRPr="008F31E5" w:rsidRDefault="0070512E" w:rsidP="0005466C">
            <w:pPr>
              <w:pStyle w:val="BodyCopy"/>
              <w:numPr>
                <w:ilvl w:val="3"/>
                <w:numId w:val="63"/>
              </w:numPr>
              <w:spacing w:before="60" w:after="60"/>
              <w:ind w:left="168" w:hanging="168"/>
              <w:rPr>
                <w:sz w:val="18"/>
                <w:szCs w:val="20"/>
              </w:rPr>
            </w:pPr>
            <w:r w:rsidRPr="008F31E5">
              <w:rPr>
                <w:sz w:val="18"/>
                <w:szCs w:val="20"/>
              </w:rPr>
              <w:t>The impact and disproportionate tolls paid by heavy vehicles for toll road use which are three times higher (or more) than light vehicle tolls.</w:t>
            </w:r>
          </w:p>
        </w:tc>
        <w:tc>
          <w:tcPr>
            <w:tcW w:w="3672" w:type="dxa"/>
            <w:gridSpan w:val="2"/>
          </w:tcPr>
          <w:p w14:paraId="5194A615" w14:textId="400D2250" w:rsidR="005B711C" w:rsidRDefault="0070512E" w:rsidP="008F31E5">
            <w:pPr>
              <w:pStyle w:val="BodyCopy"/>
              <w:spacing w:before="60" w:after="60"/>
              <w:rPr>
                <w:sz w:val="18"/>
                <w:szCs w:val="20"/>
              </w:rPr>
            </w:pPr>
            <w:r w:rsidRPr="008F31E5">
              <w:rPr>
                <w:sz w:val="18"/>
                <w:szCs w:val="20"/>
              </w:rPr>
              <w:t>The NTC</w:t>
            </w:r>
            <w:r w:rsidR="00AF4D60">
              <w:rPr>
                <w:sz w:val="18"/>
                <w:szCs w:val="20"/>
              </w:rPr>
              <w:t>’</w:t>
            </w:r>
            <w:r w:rsidRPr="008F31E5">
              <w:rPr>
                <w:sz w:val="18"/>
                <w:szCs w:val="20"/>
              </w:rPr>
              <w:t>s response to these issues is as follows:</w:t>
            </w:r>
          </w:p>
          <w:p w14:paraId="416DB53B" w14:textId="77777777" w:rsidR="005B711C" w:rsidRDefault="0070512E" w:rsidP="005B711C">
            <w:pPr>
              <w:pStyle w:val="BodyCopy"/>
              <w:numPr>
                <w:ilvl w:val="3"/>
                <w:numId w:val="63"/>
              </w:numPr>
              <w:spacing w:before="60" w:after="60"/>
              <w:ind w:left="168" w:hanging="168"/>
              <w:rPr>
                <w:sz w:val="18"/>
                <w:szCs w:val="20"/>
              </w:rPr>
            </w:pPr>
            <w:r w:rsidRPr="008F31E5">
              <w:rPr>
                <w:sz w:val="18"/>
                <w:szCs w:val="20"/>
              </w:rPr>
              <w:t>Noted.</w:t>
            </w:r>
          </w:p>
          <w:p w14:paraId="609E7E71" w14:textId="3687130A" w:rsidR="005B711C" w:rsidRDefault="0070512E" w:rsidP="005B711C">
            <w:pPr>
              <w:pStyle w:val="BodyCopy"/>
              <w:numPr>
                <w:ilvl w:val="3"/>
                <w:numId w:val="63"/>
              </w:numPr>
              <w:spacing w:before="60" w:after="60"/>
              <w:ind w:left="168" w:hanging="168"/>
              <w:rPr>
                <w:sz w:val="18"/>
                <w:szCs w:val="20"/>
              </w:rPr>
            </w:pPr>
            <w:r w:rsidRPr="008F31E5">
              <w:rPr>
                <w:sz w:val="18"/>
                <w:szCs w:val="20"/>
              </w:rPr>
              <w:t>Any direct implementation options are seeking to recover heavy vehicles</w:t>
            </w:r>
            <w:r w:rsidR="00AF4D60">
              <w:rPr>
                <w:sz w:val="18"/>
                <w:szCs w:val="20"/>
              </w:rPr>
              <w:t>’</w:t>
            </w:r>
            <w:r w:rsidRPr="008F31E5">
              <w:rPr>
                <w:sz w:val="18"/>
                <w:szCs w:val="20"/>
              </w:rPr>
              <w:t xml:space="preserve"> allocated costs (as calculated under the relevant model settings), while the price paths would be recovering less revenue than this.</w:t>
            </w:r>
          </w:p>
          <w:p w14:paraId="15F03837" w14:textId="3F96D9F9" w:rsidR="005B711C" w:rsidRDefault="0070512E" w:rsidP="005B711C">
            <w:pPr>
              <w:pStyle w:val="BodyCopy"/>
              <w:numPr>
                <w:ilvl w:val="3"/>
                <w:numId w:val="63"/>
              </w:numPr>
              <w:spacing w:before="60" w:after="60"/>
              <w:ind w:left="168" w:hanging="168"/>
              <w:rPr>
                <w:sz w:val="18"/>
                <w:szCs w:val="20"/>
              </w:rPr>
            </w:pPr>
            <w:r w:rsidRPr="008F31E5">
              <w:rPr>
                <w:sz w:val="18"/>
                <w:szCs w:val="20"/>
              </w:rPr>
              <w:t xml:space="preserve">Under the proposed treatment of innovative funding and financing, toll revenue received by governments (including from light vehicles) is to be subtracted from the </w:t>
            </w:r>
            <w:r w:rsidR="00494648">
              <w:rPr>
                <w:sz w:val="18"/>
                <w:szCs w:val="20"/>
              </w:rPr>
              <w:t>heavy vehicle</w:t>
            </w:r>
            <w:r w:rsidR="00494648" w:rsidRPr="008F31E5">
              <w:rPr>
                <w:sz w:val="18"/>
                <w:szCs w:val="20"/>
              </w:rPr>
              <w:t xml:space="preserve"> </w:t>
            </w:r>
            <w:r w:rsidRPr="008F31E5">
              <w:rPr>
                <w:sz w:val="18"/>
                <w:szCs w:val="20"/>
              </w:rPr>
              <w:t>cost base (while government costs on these roads would be added, so that it is the net costs from innovative funding and financing added or subtracted, as relevant).</w:t>
            </w:r>
          </w:p>
          <w:p w14:paraId="20EC5AD6" w14:textId="77777777" w:rsidR="005B711C" w:rsidRDefault="0070512E" w:rsidP="005B711C">
            <w:pPr>
              <w:pStyle w:val="BodyCopy"/>
              <w:numPr>
                <w:ilvl w:val="3"/>
                <w:numId w:val="63"/>
              </w:numPr>
              <w:spacing w:before="60" w:after="60"/>
              <w:ind w:left="168" w:hanging="168"/>
              <w:rPr>
                <w:sz w:val="18"/>
                <w:szCs w:val="20"/>
              </w:rPr>
            </w:pPr>
            <w:r w:rsidRPr="008F31E5">
              <w:rPr>
                <w:sz w:val="18"/>
                <w:szCs w:val="20"/>
              </w:rPr>
              <w:t xml:space="preserve">This issue is recognised to some extent in that a significant share of expenditure on local roads (75 per cent in urban areas; 50 per cent in rural areas) is excluded from allocable costs, on the basis that these </w:t>
            </w:r>
            <w:r w:rsidRPr="008F31E5">
              <w:rPr>
                <w:sz w:val="18"/>
                <w:szCs w:val="20"/>
              </w:rPr>
              <w:lastRenderedPageBreak/>
              <w:t>roads are used for access and amenity purposes.</w:t>
            </w:r>
          </w:p>
          <w:p w14:paraId="73670CE5" w14:textId="23AC1EDD" w:rsidR="0070512E" w:rsidRPr="008F31E5" w:rsidRDefault="0070512E" w:rsidP="005B711C">
            <w:pPr>
              <w:pStyle w:val="BodyCopy"/>
              <w:numPr>
                <w:ilvl w:val="3"/>
                <w:numId w:val="63"/>
              </w:numPr>
              <w:spacing w:before="60" w:after="60"/>
              <w:ind w:left="168" w:hanging="168"/>
              <w:rPr>
                <w:sz w:val="18"/>
                <w:szCs w:val="20"/>
              </w:rPr>
            </w:pPr>
            <w:r w:rsidRPr="008F31E5">
              <w:rPr>
                <w:sz w:val="18"/>
                <w:szCs w:val="20"/>
              </w:rPr>
              <w:t>The level of tolls set by private sector operators is out of scope for the determination. The PAYGO model is designed to recover the (net) costs incurred by governments on government</w:t>
            </w:r>
            <w:r w:rsidR="00AF4D60">
              <w:rPr>
                <w:sz w:val="18"/>
                <w:szCs w:val="20"/>
              </w:rPr>
              <w:t>-</w:t>
            </w:r>
            <w:r w:rsidRPr="008F31E5">
              <w:rPr>
                <w:sz w:val="18"/>
                <w:szCs w:val="20"/>
              </w:rPr>
              <w:t xml:space="preserve">owned and </w:t>
            </w:r>
            <w:r w:rsidR="00AF4D60">
              <w:rPr>
                <w:sz w:val="18"/>
                <w:szCs w:val="20"/>
              </w:rPr>
              <w:t>-</w:t>
            </w:r>
            <w:r w:rsidRPr="008F31E5">
              <w:rPr>
                <w:sz w:val="18"/>
                <w:szCs w:val="20"/>
              </w:rPr>
              <w:t>operated roads.</w:t>
            </w:r>
          </w:p>
        </w:tc>
      </w:tr>
    </w:tbl>
    <w:p w14:paraId="109CD248" w14:textId="77777777" w:rsidR="00756E1D" w:rsidRDefault="00756E1D" w:rsidP="001015AB">
      <w:pPr>
        <w:pStyle w:val="BodyCopy"/>
      </w:pPr>
    </w:p>
    <w:p w14:paraId="5CE5CC15" w14:textId="77777777" w:rsidR="00D72FAD" w:rsidRDefault="00D72FAD" w:rsidP="00BD61D2">
      <w:pPr>
        <w:pStyle w:val="BodyCopy"/>
        <w:sectPr w:rsidR="00D72FAD" w:rsidSect="00B943FB">
          <w:pgSz w:w="16840" w:h="11907" w:orient="landscape" w:code="9"/>
          <w:pgMar w:top="1440" w:right="851" w:bottom="1440" w:left="1985" w:header="283" w:footer="1134" w:gutter="0"/>
          <w:cols w:space="720"/>
          <w:docGrid w:linePitch="272"/>
        </w:sectPr>
      </w:pPr>
    </w:p>
    <w:p w14:paraId="541A309D" w14:textId="31D75C9D" w:rsidR="007E2895" w:rsidRDefault="007E2895" w:rsidP="00BD61D2">
      <w:pPr>
        <w:pStyle w:val="BodyCopy"/>
      </w:pPr>
    </w:p>
    <w:p w14:paraId="2E08CB87" w14:textId="60E20B37" w:rsidR="00D72FAD" w:rsidRDefault="00D72FAD" w:rsidP="00BD61D2">
      <w:pPr>
        <w:pStyle w:val="BodyCopy"/>
      </w:pPr>
    </w:p>
    <w:p w14:paraId="5AD5238E" w14:textId="3C43D782" w:rsidR="00D72FAD" w:rsidRDefault="00D72FAD" w:rsidP="00BD61D2">
      <w:pPr>
        <w:pStyle w:val="BodyCopy"/>
      </w:pPr>
    </w:p>
    <w:p w14:paraId="11AF72D7" w14:textId="00717FDE" w:rsidR="00D72FAD" w:rsidRDefault="00D72FAD" w:rsidP="00BD61D2">
      <w:pPr>
        <w:pStyle w:val="BodyCopy"/>
      </w:pPr>
    </w:p>
    <w:p w14:paraId="1D4314D5" w14:textId="4502B0A6" w:rsidR="00D72FAD" w:rsidRDefault="00D72FAD" w:rsidP="00BD61D2">
      <w:pPr>
        <w:pStyle w:val="BodyCopy"/>
      </w:pPr>
    </w:p>
    <w:p w14:paraId="133FB35D" w14:textId="77777777" w:rsidR="00D72FAD" w:rsidRPr="001015AB" w:rsidRDefault="00D72FAD" w:rsidP="00BD61D2">
      <w:pPr>
        <w:pStyle w:val="BodyCopy"/>
      </w:pPr>
    </w:p>
    <w:p w14:paraId="47FE3704" w14:textId="570B4354" w:rsidR="00AA6D50" w:rsidRDefault="00AA6D50" w:rsidP="007E2914">
      <w:pPr>
        <w:pStyle w:val="BodyCopy"/>
      </w:pPr>
      <w:bookmarkStart w:id="2438" w:name="_Toc65221028"/>
      <w:bookmarkEnd w:id="2438"/>
    </w:p>
    <w:p w14:paraId="6622C9D3" w14:textId="28776DBD" w:rsidR="00AA6D50" w:rsidRDefault="00AA6D50" w:rsidP="007E2914">
      <w:pPr>
        <w:pStyle w:val="BodyCopy"/>
      </w:pPr>
    </w:p>
    <w:p w14:paraId="08B9A416" w14:textId="3566EC79" w:rsidR="00AA6D50" w:rsidRDefault="00AA6D50" w:rsidP="007E2914">
      <w:pPr>
        <w:pStyle w:val="BodyCopy"/>
      </w:pPr>
    </w:p>
    <w:p w14:paraId="488A9C72" w14:textId="0CADB8B8" w:rsidR="00AA6D50" w:rsidRDefault="00AA6D50" w:rsidP="007E2914">
      <w:pPr>
        <w:pStyle w:val="BodyCopy"/>
      </w:pPr>
    </w:p>
    <w:p w14:paraId="7F941D58" w14:textId="77777777" w:rsidR="00AA6D50" w:rsidRDefault="00AA6D50" w:rsidP="007E2914">
      <w:pPr>
        <w:pStyle w:val="BodyCopy"/>
      </w:pPr>
    </w:p>
    <w:p w14:paraId="5C387C16" w14:textId="77777777" w:rsidR="006668BE" w:rsidRDefault="006668BE" w:rsidP="00E35DEB">
      <w:pPr>
        <w:spacing w:before="0" w:after="0"/>
      </w:pPr>
    </w:p>
    <w:p w14:paraId="1C8C2C3C" w14:textId="77777777" w:rsidR="006668BE" w:rsidRDefault="006668BE" w:rsidP="00E35DEB">
      <w:pPr>
        <w:spacing w:before="0" w:after="0"/>
      </w:pPr>
    </w:p>
    <w:p w14:paraId="4B44DEC8" w14:textId="77777777" w:rsidR="006668BE" w:rsidRDefault="006668BE" w:rsidP="00E35DEB">
      <w:pPr>
        <w:spacing w:before="0" w:after="0"/>
      </w:pPr>
    </w:p>
    <w:p w14:paraId="0799D47A" w14:textId="77777777" w:rsidR="006668BE" w:rsidRDefault="006668BE" w:rsidP="00E35DEB">
      <w:pPr>
        <w:spacing w:before="0" w:after="0"/>
      </w:pPr>
    </w:p>
    <w:p w14:paraId="1CE5B653" w14:textId="77777777" w:rsidR="006668BE" w:rsidRDefault="006668BE" w:rsidP="00E35DEB">
      <w:pPr>
        <w:spacing w:before="0" w:after="0"/>
      </w:pPr>
    </w:p>
    <w:p w14:paraId="76C7C75A" w14:textId="77777777" w:rsidR="006668BE" w:rsidRDefault="006668BE" w:rsidP="00E35DEB">
      <w:pPr>
        <w:spacing w:before="0" w:after="0"/>
      </w:pPr>
    </w:p>
    <w:p w14:paraId="63F22186" w14:textId="77777777" w:rsidR="006668BE" w:rsidRDefault="006668BE" w:rsidP="00E35DEB">
      <w:pPr>
        <w:spacing w:before="0" w:after="0"/>
      </w:pPr>
    </w:p>
    <w:p w14:paraId="6F4FCBE3" w14:textId="77777777" w:rsidR="006668BE" w:rsidRDefault="006668BE" w:rsidP="00E35DEB">
      <w:pPr>
        <w:spacing w:before="0" w:after="0"/>
      </w:pPr>
    </w:p>
    <w:p w14:paraId="6A78D788" w14:textId="77777777" w:rsidR="006668BE" w:rsidRDefault="006668BE" w:rsidP="00E35DEB">
      <w:pPr>
        <w:spacing w:before="0" w:after="0"/>
      </w:pPr>
    </w:p>
    <w:p w14:paraId="5056FA33" w14:textId="77777777" w:rsidR="006668BE" w:rsidRDefault="006668BE" w:rsidP="00E35DEB">
      <w:pPr>
        <w:spacing w:before="0" w:after="0"/>
      </w:pPr>
    </w:p>
    <w:p w14:paraId="39198848" w14:textId="77777777" w:rsidR="006668BE" w:rsidRDefault="006668BE" w:rsidP="00E35DEB">
      <w:pPr>
        <w:spacing w:before="0" w:after="0"/>
      </w:pPr>
    </w:p>
    <w:p w14:paraId="0D1F300E" w14:textId="77777777" w:rsidR="006668BE" w:rsidRDefault="006668BE" w:rsidP="00E35DEB">
      <w:pPr>
        <w:spacing w:before="0" w:after="0"/>
      </w:pPr>
    </w:p>
    <w:p w14:paraId="3B2A4D35" w14:textId="77777777" w:rsidR="006668BE" w:rsidRDefault="006668BE" w:rsidP="00E35DEB">
      <w:pPr>
        <w:spacing w:before="0" w:after="0"/>
      </w:pPr>
    </w:p>
    <w:p w14:paraId="23793D18" w14:textId="77777777" w:rsidR="006668BE" w:rsidRDefault="006668BE" w:rsidP="00E35DEB">
      <w:pPr>
        <w:spacing w:before="0" w:after="0"/>
      </w:pPr>
    </w:p>
    <w:p w14:paraId="3F501041" w14:textId="77777777" w:rsidR="006668BE" w:rsidRDefault="006668BE" w:rsidP="00E35DEB">
      <w:pPr>
        <w:spacing w:before="0" w:after="0"/>
      </w:pPr>
    </w:p>
    <w:p w14:paraId="67BA613A" w14:textId="77777777" w:rsidR="006668BE" w:rsidRDefault="006668BE" w:rsidP="00E35DEB">
      <w:pPr>
        <w:spacing w:before="0" w:after="0"/>
      </w:pPr>
    </w:p>
    <w:p w14:paraId="09251AFE" w14:textId="77777777" w:rsidR="006668BE" w:rsidRDefault="006668BE" w:rsidP="00E35DEB">
      <w:pPr>
        <w:spacing w:before="0" w:after="0"/>
      </w:pPr>
    </w:p>
    <w:p w14:paraId="368BB804" w14:textId="77777777" w:rsidR="006668BE" w:rsidRDefault="006668BE" w:rsidP="00E35DEB">
      <w:pPr>
        <w:spacing w:before="0" w:after="0"/>
      </w:pPr>
    </w:p>
    <w:p w14:paraId="0DACCC09" w14:textId="48BED917" w:rsidR="006668BE" w:rsidRDefault="006668BE" w:rsidP="00E35DEB">
      <w:pPr>
        <w:spacing w:before="0" w:after="0"/>
      </w:pPr>
    </w:p>
    <w:p w14:paraId="5C9B20D2" w14:textId="5D5719E9" w:rsidR="002708FD" w:rsidRDefault="002708FD" w:rsidP="00E35DEB">
      <w:pPr>
        <w:spacing w:before="0" w:after="0"/>
      </w:pPr>
    </w:p>
    <w:p w14:paraId="7189E52B" w14:textId="28E2C29D" w:rsidR="002708FD" w:rsidRDefault="002708FD" w:rsidP="00E35DEB">
      <w:pPr>
        <w:spacing w:before="0" w:after="0"/>
      </w:pPr>
    </w:p>
    <w:p w14:paraId="1E50CC31" w14:textId="77777777" w:rsidR="002708FD" w:rsidRDefault="002708FD" w:rsidP="00E35DEB">
      <w:pPr>
        <w:spacing w:before="0" w:after="0"/>
      </w:pPr>
    </w:p>
    <w:p w14:paraId="794A17C0" w14:textId="77777777" w:rsidR="006668BE" w:rsidRDefault="006668BE" w:rsidP="00E35DEB">
      <w:pPr>
        <w:spacing w:before="0" w:after="0"/>
      </w:pPr>
    </w:p>
    <w:p w14:paraId="3E9BD768" w14:textId="79C30D04" w:rsidR="00E35DEB" w:rsidRPr="00907FF5" w:rsidRDefault="003D7D8F" w:rsidP="00E35DEB">
      <w:pPr>
        <w:spacing w:before="0" w:after="0"/>
      </w:pPr>
      <w:r w:rsidRPr="00907FF5">
        <w:rPr>
          <w:noProof/>
          <w:lang w:eastAsia="en-AU"/>
        </w:rPr>
        <mc:AlternateContent>
          <mc:Choice Requires="wpg">
            <w:drawing>
              <wp:anchor distT="0" distB="0" distL="114300" distR="114300" simplePos="0" relativeHeight="251658303" behindDoc="0" locked="0" layoutInCell="1" allowOverlap="1" wp14:anchorId="53F69332" wp14:editId="5D16BE0D">
                <wp:simplePos x="0" y="0"/>
                <wp:positionH relativeFrom="margin">
                  <wp:posOffset>-905774</wp:posOffset>
                </wp:positionH>
                <wp:positionV relativeFrom="paragraph">
                  <wp:posOffset>1061780</wp:posOffset>
                </wp:positionV>
                <wp:extent cx="7534620" cy="3451431"/>
                <wp:effectExtent l="0" t="0" r="9525" b="0"/>
                <wp:wrapNone/>
                <wp:docPr id="41" name="Group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534620" cy="3451431"/>
                          <a:chOff x="0" y="-372204"/>
                          <a:chExt cx="7534620" cy="3451431"/>
                        </a:xfrm>
                      </wpg:grpSpPr>
                      <wps:wsp>
                        <wps:cNvPr id="39" name="Rectangle 39"/>
                        <wps:cNvSpPr/>
                        <wps:spPr>
                          <a:xfrm>
                            <a:off x="0" y="0"/>
                            <a:ext cx="7534620" cy="30792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Graphic 21"/>
                          <pic:cNvPicPr>
                            <a:picLocks noChangeAspect="1"/>
                          </pic:cNvPicPr>
                        </pic:nvPicPr>
                        <pic:blipFill>
                          <a:blip r:embed="rId6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3"/>
                              </a:ext>
                            </a:extLst>
                          </a:blip>
                          <a:stretch>
                            <a:fillRect/>
                          </a:stretch>
                        </pic:blipFill>
                        <pic:spPr>
                          <a:xfrm>
                            <a:off x="3931906" y="-372204"/>
                            <a:ext cx="3587931" cy="2354580"/>
                          </a:xfrm>
                          <a:prstGeom prst="rect">
                            <a:avLst/>
                          </a:prstGeom>
                        </pic:spPr>
                      </pic:pic>
                      <wps:wsp>
                        <wps:cNvPr id="9" name="Text Box 9"/>
                        <wps:cNvSpPr txBox="1"/>
                        <wps:spPr>
                          <a:xfrm>
                            <a:off x="323999" y="201198"/>
                            <a:ext cx="2239645" cy="1336040"/>
                          </a:xfrm>
                          <a:prstGeom prst="rect">
                            <a:avLst/>
                          </a:prstGeom>
                          <a:noFill/>
                          <a:ln>
                            <a:noFill/>
                          </a:ln>
                          <a:effectLst/>
                          <a:extLst>
                            <a:ext uri="{C572A759-6A51-4108-AA02-DFA0A04FC94B}">
                              <ma14:wrappingTextBoxFlag xmlns:adec="http://schemas.microsoft.com/office/drawing/2017/decorative" xmlns:pic="http://schemas.openxmlformats.org/drawingml/2006/picture" xmlns:dgm="http://schemas.openxmlformats.org/drawingml/2006/diagram"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c="http://schemas.openxmlformats.org/drawingml/2006/chart"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9BD7C7" w14:textId="77777777" w:rsidR="00EB0EE2" w:rsidRPr="0097712C" w:rsidRDefault="00EB0EE2" w:rsidP="00E35DEB">
                              <w:pPr>
                                <w:pStyle w:val="BodyCopy"/>
                              </w:pPr>
                              <w:r w:rsidRPr="0097712C">
                                <w:rPr>
                                  <w:b/>
                                </w:rPr>
                                <w:t>National Transport Commission</w:t>
                              </w:r>
                              <w:r w:rsidRPr="0097712C">
                                <w:br/>
                                <w:t>Level 3/600 Bourke Street</w:t>
                              </w:r>
                              <w:r w:rsidRPr="0097712C">
                                <w:br/>
                                <w:t>Melbourne VIC 3000</w:t>
                              </w:r>
                              <w:r w:rsidRPr="0097712C">
                                <w:br/>
                                <w:t xml:space="preserve">Ph: (03) 9236 5000 </w:t>
                              </w:r>
                              <w:r w:rsidRPr="0097712C">
                                <w:br/>
                                <w:t xml:space="preserve">Email: </w:t>
                              </w:r>
                              <w:hyperlink r:id="rId64" w:history="1">
                                <w:r w:rsidRPr="0097712C">
                                  <w:t>enquiries@ntc.gov.au</w:t>
                                </w:r>
                              </w:hyperlink>
                              <w:r w:rsidRPr="0097712C">
                                <w:t xml:space="preserve"> </w:t>
                              </w:r>
                              <w:r w:rsidRPr="0097712C">
                                <w:br/>
                              </w:r>
                              <w:hyperlink r:id="rId65" w:history="1">
                                <w:r w:rsidRPr="0097712C">
                                  <w:rPr>
                                    <w:b/>
                                    <w:u w:val="single"/>
                                  </w:rPr>
                                  <w:t>www.ntc.gov.au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F69332" id="Group 41" o:spid="_x0000_s1028" style="position:absolute;margin-left:-71.3pt;margin-top:83.6pt;width:593.3pt;height:271.75pt;z-index:251658303;mso-position-horizontal-relative:margin;mso-height-relative:margin" coordorigin=",-3722" coordsize="75346,3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">
                <v:rect id="Rectangle 39" o:spid="_x0000_s1029" style="position:absolute;width:75346;height:30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 o:spid="_x0000_s1030" type="#_x0000_t75" style="position:absolute;left:39319;top:-3722;width:35879;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">
                  <v:imagedata r:id="rId66" o:title=""/>
                  <v:path arrowok="t"/>
                </v:shape>
                <v:shape id="Text Box 9" o:spid="_x0000_s1031" type="#_x0000_t202" style="position:absolute;left:3239;top:2011;width:22397;height:1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B9BD7C7" w14:textId="77777777" w:rsidR="00EB0EE2" w:rsidRPr="0097712C" w:rsidRDefault="00EB0EE2" w:rsidP="00E35DEB">
                        <w:pPr>
                          <w:pStyle w:val="BodyCopy"/>
                        </w:pPr>
                        <w:r w:rsidRPr="0097712C">
                          <w:rPr>
                            <w:b/>
                          </w:rPr>
                          <w:t>National Transport Commission</w:t>
                        </w:r>
                        <w:r w:rsidRPr="0097712C">
                          <w:br/>
                          <w:t>Level 3/600 Bourke Street</w:t>
                        </w:r>
                        <w:r w:rsidRPr="0097712C">
                          <w:br/>
                          <w:t>Melbourne VIC 3000</w:t>
                        </w:r>
                        <w:r w:rsidRPr="0097712C">
                          <w:br/>
                          <w:t xml:space="preserve">Ph: (03) 9236 5000 </w:t>
                        </w:r>
                        <w:r w:rsidRPr="0097712C">
                          <w:br/>
                          <w:t xml:space="preserve">Email: </w:t>
                        </w:r>
                        <w:hyperlink r:id="rId67" w:history="1">
                          <w:r w:rsidRPr="0097712C">
                            <w:t>enquiries@ntc.gov.au</w:t>
                          </w:r>
                        </w:hyperlink>
                        <w:r w:rsidRPr="0097712C">
                          <w:t xml:space="preserve"> </w:t>
                        </w:r>
                        <w:r w:rsidRPr="0097712C">
                          <w:br/>
                        </w:r>
                        <w:hyperlink r:id="rId68" w:history="1">
                          <w:r w:rsidRPr="0097712C">
                            <w:rPr>
                              <w:b/>
                              <w:u w:val="single"/>
                            </w:rPr>
                            <w:t>www.ntc.gov.au</w:t>
                          </w:r>
                        </w:hyperlink>
                      </w:p>
                    </w:txbxContent>
                  </v:textbox>
                </v:shape>
                <w10:wrap anchorx="margin"/>
              </v:group>
            </w:pict>
          </mc:Fallback>
        </mc:AlternateContent>
      </w:r>
    </w:p>
    <w:sectPr w:rsidR="00E35DEB" w:rsidRPr="00907FF5" w:rsidSect="00D72FAD">
      <w:pgSz w:w="11907" w:h="16840" w:code="9"/>
      <w:pgMar w:top="851" w:right="1440" w:bottom="1985" w:left="1440" w:header="283" w:footer="113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CDE9B" w14:textId="77777777" w:rsidR="00EB0EE2" w:rsidRDefault="00EB0EE2">
      <w:r>
        <w:separator/>
      </w:r>
    </w:p>
    <w:p w14:paraId="1EA4CB15" w14:textId="77777777" w:rsidR="00EB0EE2" w:rsidRDefault="00EB0EE2"/>
  </w:endnote>
  <w:endnote w:type="continuationSeparator" w:id="0">
    <w:p w14:paraId="7D1C3DFF" w14:textId="77777777" w:rsidR="00EB0EE2" w:rsidRDefault="00EB0EE2">
      <w:r>
        <w:continuationSeparator/>
      </w:r>
    </w:p>
    <w:p w14:paraId="3F835C2B" w14:textId="77777777" w:rsidR="00EB0EE2" w:rsidRDefault="00EB0EE2"/>
  </w:endnote>
  <w:endnote w:type="continuationNotice" w:id="1">
    <w:p w14:paraId="4AB102C8" w14:textId="77777777" w:rsidR="00EB0EE2" w:rsidRDefault="00EB0E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inePrint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80806" w14:textId="77777777" w:rsidR="00EB0EE2" w:rsidRDefault="00EB0EE2" w:rsidP="00556F8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978BC67" w14:textId="77777777" w:rsidR="00EB0EE2" w:rsidRPr="00C91BF9" w:rsidRDefault="00EB0EE2" w:rsidP="00EE42C0">
    <w:pPr>
      <w:pStyle w:val="Footer"/>
      <w:tabs>
        <w:tab w:val="right" w:pos="8760"/>
      </w:tabs>
      <w:ind w:right="360" w:firstLine="360"/>
    </w:pPr>
    <w:r>
      <w:rPr>
        <w:sz w:val="14"/>
      </w:rPr>
      <w:tab/>
    </w:r>
    <w:r w:rsidRPr="00C91BF9">
      <w:rPr>
        <w:color w:val="003867"/>
        <w:sz w:val="14"/>
        <w:szCs w:val="24"/>
      </w:rPr>
      <w:t>&lt;Insert title of paper here&gt;</w:t>
    </w:r>
    <w:r w:rsidRPr="00C91BF9">
      <w:rPr>
        <w:color w:val="953048"/>
        <w:sz w:val="14"/>
        <w:szCs w:val="24"/>
      </w:rPr>
      <w:t xml:space="preserve"> &lt;insert the month and year the paper was released&gt;</w:t>
    </w:r>
  </w:p>
  <w:p w14:paraId="17E07664" w14:textId="77777777" w:rsidR="00EB0EE2" w:rsidRDefault="00EB0E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70CBF" w14:textId="4A4614C8" w:rsidR="00EB0EE2" w:rsidRPr="00CD6B04" w:rsidRDefault="00EB0EE2" w:rsidP="00FF7943">
    <w:pPr>
      <w:jc w:val="both"/>
      <w:rPr>
        <w:b/>
        <w:bCs/>
        <w:sz w:val="16"/>
        <w:szCs w:val="16"/>
      </w:rPr>
    </w:pPr>
    <w:r w:rsidRPr="0063170E">
      <w:rPr>
        <w:b/>
        <w:bCs/>
        <w:sz w:val="16"/>
        <w:szCs w:val="16"/>
      </w:rPr>
      <w:t xml:space="preserve">Heavy vehicle charges determination: </w:t>
    </w:r>
    <w:r>
      <w:rPr>
        <w:b/>
        <w:bCs/>
        <w:sz w:val="16"/>
        <w:szCs w:val="16"/>
      </w:rPr>
      <w:t>decis</w:t>
    </w:r>
    <w:r w:rsidRPr="0063170E">
      <w:rPr>
        <w:b/>
        <w:bCs/>
        <w:sz w:val="16"/>
        <w:szCs w:val="16"/>
      </w:rPr>
      <w:t>ion regulation impact statement</w:t>
    </w:r>
  </w:p>
  <w:p w14:paraId="10C0A25A" w14:textId="28AB0036" w:rsidR="00EB0EE2" w:rsidRDefault="00EB0EE2" w:rsidP="00FF7943">
    <w:pPr>
      <w:framePr w:w="567" w:h="361" w:hRule="exact" w:hSpace="284" w:vSpace="284" w:wrap="around" w:vAnchor="text" w:hAnchor="page" w:x="1417" w:y="516" w:anchorLock="1"/>
      <w:jc w:val="both"/>
    </w:pPr>
    <w:r>
      <w:fldChar w:fldCharType="begin"/>
    </w:r>
    <w:r>
      <w:instrText xml:space="preserve"> PAGE   \* MERGEFORMAT </w:instrText>
    </w:r>
    <w:r>
      <w:fldChar w:fldCharType="separate"/>
    </w:r>
    <w:r w:rsidR="00DB7051">
      <w:rPr>
        <w:noProof/>
      </w:rPr>
      <w:t>81</w:t>
    </w:r>
    <w:r>
      <w:rPr>
        <w:noProof/>
      </w:rPr>
      <w:fldChar w:fldCharType="end"/>
    </w:r>
  </w:p>
  <w:p w14:paraId="49211B8E" w14:textId="37D1C90F" w:rsidR="00EB0EE2" w:rsidRPr="00FF7943" w:rsidRDefault="00EB0EE2" w:rsidP="00FF7943">
    <w:pPr>
      <w:pStyle w:val="Footer"/>
    </w:pPr>
    <w:r w:rsidRPr="00FF7943">
      <w:rPr>
        <w:b/>
      </w:rPr>
      <w:fldChar w:fldCharType="begin"/>
    </w:r>
    <w:r w:rsidRPr="00FF7943">
      <w:rPr>
        <w:b/>
      </w:rPr>
      <w:instrText xml:space="preserve"> STYLEREF "Report title" \* MERGEFORMAT </w:instrText>
    </w:r>
    <w:r w:rsidRPr="00FF7943">
      <w:rPr>
        <w:b/>
      </w:rPr>
      <w:fldChar w:fldCharType="separate"/>
    </w:r>
    <w:r w:rsidR="00DB7051">
      <w:rPr>
        <w:b/>
        <w:noProof/>
      </w:rPr>
      <w:t>December 2021</w:t>
    </w:r>
    <w:r w:rsidRPr="00FF7943">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BFC0F" w14:textId="77777777" w:rsidR="00EB0EE2" w:rsidRPr="001F62E1" w:rsidRDefault="00EB0EE2" w:rsidP="003934DB">
    <w:pPr>
      <w:jc w:val="both"/>
    </w:pPr>
  </w:p>
  <w:p w14:paraId="03317D81" w14:textId="77777777" w:rsidR="00EB0EE2" w:rsidRDefault="00EB0EE2" w:rsidP="003934DB">
    <w:pPr>
      <w:framePr w:w="567" w:h="361" w:hRule="exact" w:hSpace="284" w:vSpace="284" w:wrap="around" w:vAnchor="text" w:hAnchor="page" w:x="1417" w:y="516" w:anchorLock="1"/>
      <w:jc w:val="both"/>
    </w:pPr>
    <w:r>
      <w:fldChar w:fldCharType="begin"/>
    </w:r>
    <w:r>
      <w:instrText xml:space="preserve"> PAGE   \* MERGEFORMAT </w:instrText>
    </w:r>
    <w:r>
      <w:fldChar w:fldCharType="separate"/>
    </w:r>
    <w:r>
      <w:t>21</w:t>
    </w:r>
    <w:r>
      <w:rPr>
        <w:noProof/>
      </w:rPr>
      <w:fldChar w:fldCharType="end"/>
    </w:r>
  </w:p>
  <w:p w14:paraId="1CA87E3B" w14:textId="12E85BBF" w:rsidR="00EB0EE2" w:rsidRPr="00FF7943" w:rsidRDefault="00EB0EE2" w:rsidP="003934DB">
    <w:pPr>
      <w:pStyle w:val="Footer"/>
    </w:pPr>
    <w:r w:rsidRPr="00FF7943">
      <w:rPr>
        <w:b/>
      </w:rPr>
      <w:fldChar w:fldCharType="begin"/>
    </w:r>
    <w:r w:rsidRPr="00FF7943">
      <w:rPr>
        <w:b/>
      </w:rPr>
      <w:instrText xml:space="preserve"> STYLEREF "Report title" \* MERGEFORMAT </w:instrText>
    </w:r>
    <w:r w:rsidRPr="00FF7943">
      <w:rPr>
        <w:b/>
      </w:rPr>
      <w:fldChar w:fldCharType="separate"/>
    </w:r>
    <w:r w:rsidR="00225EEA">
      <w:rPr>
        <w:b/>
        <w:noProof/>
      </w:rPr>
      <w:t>Heavy vehicle charges determination: decision regulation impact statement</w:t>
    </w:r>
    <w:r w:rsidRPr="00FF7943">
      <w:rPr>
        <w:b/>
      </w:rPr>
      <w:fldChar w:fldCharType="end"/>
    </w:r>
    <w:r w:rsidRPr="00FF7943">
      <w:t xml:space="preserve"> </w:t>
    </w:r>
    <w:r>
      <w:rPr>
        <w:noProof/>
      </w:rPr>
      <w:fldChar w:fldCharType="begin"/>
    </w:r>
    <w:r>
      <w:rPr>
        <w:noProof/>
      </w:rPr>
      <w:instrText xml:space="preserve"> STYLEREF "Report date" \* MERGEFORMAT </w:instrText>
    </w:r>
    <w:r>
      <w:rPr>
        <w:noProof/>
      </w:rPr>
      <w:fldChar w:fldCharType="end"/>
    </w:r>
  </w:p>
  <w:p w14:paraId="06FF520A" w14:textId="77777777" w:rsidR="00EB0EE2" w:rsidRDefault="00EB0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58F48" w14:textId="77777777" w:rsidR="00EB0EE2" w:rsidRDefault="00EB0EE2">
      <w:r>
        <w:separator/>
      </w:r>
    </w:p>
    <w:p w14:paraId="3F86A130" w14:textId="77777777" w:rsidR="00EB0EE2" w:rsidRDefault="00EB0EE2"/>
  </w:footnote>
  <w:footnote w:type="continuationSeparator" w:id="0">
    <w:p w14:paraId="4CA49F38" w14:textId="77777777" w:rsidR="00EB0EE2" w:rsidRDefault="00EB0EE2">
      <w:r>
        <w:continuationSeparator/>
      </w:r>
    </w:p>
    <w:p w14:paraId="627D0228" w14:textId="77777777" w:rsidR="00EB0EE2" w:rsidRDefault="00EB0EE2"/>
  </w:footnote>
  <w:footnote w:type="continuationNotice" w:id="1">
    <w:p w14:paraId="5A7E8E5B" w14:textId="77777777" w:rsidR="00EB0EE2" w:rsidRDefault="00EB0EE2">
      <w:pPr>
        <w:spacing w:before="0" w:after="0"/>
      </w:pPr>
    </w:p>
  </w:footnote>
  <w:footnote w:id="2">
    <w:p w14:paraId="3A758FB8" w14:textId="5C5C2404" w:rsidR="00EB0EE2" w:rsidRDefault="00EB0EE2">
      <w:pPr>
        <w:pStyle w:val="FootnoteText"/>
      </w:pPr>
      <w:r>
        <w:rPr>
          <w:rStyle w:val="FootnoteReference"/>
        </w:rPr>
        <w:footnoteRef/>
      </w:r>
      <w:r>
        <w:t xml:space="preserve"> This work was developed by the Victorian Department of Transport and the Department of Treasury and Finance to inform discussions around cost allocation. It is not approved Victorian Government policy.</w:t>
      </w:r>
    </w:p>
  </w:footnote>
  <w:footnote w:id="3">
    <w:p w14:paraId="77EA38FC" w14:textId="0D57E7CC" w:rsidR="00EB0EE2" w:rsidRDefault="00EB0EE2">
      <w:pPr>
        <w:pStyle w:val="FootnoteText"/>
      </w:pPr>
      <w:r>
        <w:rPr>
          <w:rStyle w:val="FootnoteReference"/>
        </w:rPr>
        <w:footnoteRef/>
      </w:r>
      <w:r>
        <w:t xml:space="preserve"> These allocable road expenditure figures are based on the seven-year exponential moving average and are in effect the ‘total cost base’ in the PAYGO model that is to be allocated between heavy and light vehicles for the purposes of calculating heavy vehicle charges for 2014–15 and 2022–23, respectively.</w:t>
      </w:r>
    </w:p>
  </w:footnote>
  <w:footnote w:id="4">
    <w:p w14:paraId="4DC4A856" w14:textId="77777777" w:rsidR="00EB0EE2" w:rsidRDefault="00EB0EE2" w:rsidP="002D006C">
      <w:pPr>
        <w:pStyle w:val="FootnoteText"/>
      </w:pPr>
      <w:r>
        <w:rPr>
          <w:rStyle w:val="FootnoteReference"/>
        </w:rPr>
        <w:footnoteRef/>
      </w:r>
      <w:r>
        <w:t xml:space="preserve"> This potential reduction assumes that the NTC would continue to request data for the prototype FLCB model.</w:t>
      </w:r>
    </w:p>
  </w:footnote>
  <w:footnote w:id="5">
    <w:p w14:paraId="4F968D29" w14:textId="11809BC6" w:rsidR="00EB0EE2" w:rsidRDefault="00EB0EE2" w:rsidP="002D006C">
      <w:pPr>
        <w:pStyle w:val="FootnoteText"/>
      </w:pPr>
      <w:r>
        <w:rPr>
          <w:rStyle w:val="FootnoteReference"/>
        </w:rPr>
        <w:footnoteRef/>
      </w:r>
      <w:r>
        <w:t xml:space="preserve"> </w:t>
      </w:r>
      <w:r w:rsidRPr="006351AF">
        <w:t>The NTC’s expenditure template guidelines state: ‘All road expenditure related to roads where a toll applies or other source of direct charge applies to use of the road should not be included in reported expenditure’.</w:t>
      </w:r>
    </w:p>
  </w:footnote>
  <w:footnote w:id="6">
    <w:p w14:paraId="5DB247C4" w14:textId="5ABCC34B" w:rsidR="00EB0EE2" w:rsidRDefault="00EB0EE2" w:rsidP="002D006C">
      <w:pPr>
        <w:pStyle w:val="FootnoteText"/>
      </w:pPr>
      <w:r>
        <w:rPr>
          <w:rStyle w:val="FootnoteReference"/>
        </w:rPr>
        <w:footnoteRef/>
      </w:r>
      <w:r>
        <w:t xml:space="preserve"> </w:t>
      </w:r>
      <w:r w:rsidRPr="00F439BA">
        <w:t xml:space="preserve">The Productivity Commission’s 2014 </w:t>
      </w:r>
      <w:r w:rsidRPr="00CD6B04">
        <w:t>Public Infrastructure</w:t>
      </w:r>
      <w:r w:rsidRPr="00F439BA">
        <w:t xml:space="preserve"> inquiry report describes availability payments as: ‘the government making payments to a private provider which are not linked to service utilisation or patronage levels, but some other </w:t>
      </w:r>
      <w:r>
        <w:t>‘</w:t>
      </w:r>
      <w:r w:rsidRPr="00F439BA">
        <w:t>service based</w:t>
      </w:r>
      <w:r>
        <w:t>’</w:t>
      </w:r>
      <w:r w:rsidRPr="00F439BA">
        <w:t xml:space="preserve"> metrics determined by government’</w:t>
      </w:r>
      <w:r>
        <w:t xml:space="preserve"> </w:t>
      </w:r>
      <w:sdt>
        <w:sdtPr>
          <w:id w:val="-1460953542"/>
          <w:citation/>
        </w:sdtPr>
        <w:sdtContent>
          <w:r>
            <w:fldChar w:fldCharType="begin"/>
          </w:r>
          <w:r>
            <w:instrText xml:space="preserve">CITATION Pro14 \p 240 \l 3081 </w:instrText>
          </w:r>
          <w:r>
            <w:fldChar w:fldCharType="separate"/>
          </w:r>
          <w:r>
            <w:rPr>
              <w:noProof/>
            </w:rPr>
            <w:t>(Productivity Commission, 2014, p. 240)</w:t>
          </w:r>
          <w:r>
            <w:fldChar w:fldCharType="end"/>
          </w:r>
        </w:sdtContent>
      </w:sdt>
      <w:r>
        <w:t>.</w:t>
      </w:r>
    </w:p>
  </w:footnote>
  <w:footnote w:id="7">
    <w:p w14:paraId="1B781D4C" w14:textId="2F2E42BD" w:rsidR="00EB0EE2" w:rsidRDefault="00EB0EE2" w:rsidP="002D006C">
      <w:pPr>
        <w:pStyle w:val="FootnoteText"/>
      </w:pPr>
      <w:r>
        <w:rPr>
          <w:rStyle w:val="FootnoteReference"/>
        </w:rPr>
        <w:footnoteRef/>
      </w:r>
      <w:r>
        <w:t xml:space="preserve"> </w:t>
      </w:r>
      <w:r w:rsidRPr="0057189E">
        <w:t xml:space="preserve">The Productivity Commission’s 2014 </w:t>
      </w:r>
      <w:r w:rsidRPr="00CD6B04">
        <w:t>Public Infrastructure</w:t>
      </w:r>
      <w:r w:rsidRPr="0057189E">
        <w:t xml:space="preserve"> inquiry report identified four possible methods of value capture: betterment levies; tax increment financing; hypothecation of tax increments to an infrastructure fund; and property development</w:t>
      </w:r>
      <w:r>
        <w:t xml:space="preserve"> </w:t>
      </w:r>
      <w:sdt>
        <w:sdtPr>
          <w:id w:val="1779213756"/>
          <w:citation/>
        </w:sdtPr>
        <w:sdtContent>
          <w:r>
            <w:fldChar w:fldCharType="begin"/>
          </w:r>
          <w:r>
            <w:instrText xml:space="preserve"> CITATION Pro14 \l 3081 </w:instrText>
          </w:r>
          <w:r>
            <w:fldChar w:fldCharType="separate"/>
          </w:r>
          <w:r>
            <w:rPr>
              <w:noProof/>
            </w:rPr>
            <w:t>(Productivity Commission, 2014)</w:t>
          </w:r>
          <w:r>
            <w:fldChar w:fldCharType="end"/>
          </w:r>
        </w:sdtContent>
      </w:sdt>
      <w:r>
        <w:t>.</w:t>
      </w:r>
    </w:p>
  </w:footnote>
  <w:footnote w:id="8">
    <w:p w14:paraId="6A08A015" w14:textId="77777777" w:rsidR="00EB0EE2" w:rsidRDefault="00EB0EE2" w:rsidP="002D006C">
      <w:pPr>
        <w:pStyle w:val="FootnoteText"/>
      </w:pPr>
      <w:r>
        <w:rPr>
          <w:rStyle w:val="FootnoteReference"/>
        </w:rPr>
        <w:footnoteRef/>
      </w:r>
      <w:r>
        <w:t xml:space="preserve"> </w:t>
      </w:r>
      <w:r w:rsidRPr="00840684">
        <w:t>Asset recycling involves governments raising revenue from privatising existing infrastructure and hypothecating it to invest in new infrastructure.</w:t>
      </w:r>
    </w:p>
  </w:footnote>
  <w:footnote w:id="9">
    <w:p w14:paraId="67F23DA9" w14:textId="77777777" w:rsidR="00EB0EE2" w:rsidRDefault="00EB0EE2" w:rsidP="002D006C">
      <w:pPr>
        <w:pStyle w:val="FootnoteText"/>
      </w:pPr>
      <w:r>
        <w:rPr>
          <w:rStyle w:val="FootnoteReference"/>
        </w:rPr>
        <w:footnoteRef/>
      </w:r>
      <w:r>
        <w:t xml:space="preserve"> </w:t>
      </w:r>
      <w:r w:rsidRPr="004270F9">
        <w:t>The inconsistency arises because the current exclusion of toll road</w:t>
      </w:r>
      <w:r>
        <w:t>s</w:t>
      </w:r>
      <w:r w:rsidRPr="004270F9">
        <w:t xml:space="preserve"> from the cost base is on the basis that the revenue fully funds the relevant costs. Adding the costs but not offsetting them with any revenue received would overstate governments’ true net cost.</w:t>
      </w:r>
    </w:p>
  </w:footnote>
  <w:footnote w:id="10">
    <w:p w14:paraId="53347C25" w14:textId="77777777" w:rsidR="00EB0EE2" w:rsidRDefault="00EB0EE2" w:rsidP="002D006C">
      <w:pPr>
        <w:pStyle w:val="FootnoteText"/>
      </w:pPr>
      <w:r>
        <w:rPr>
          <w:rStyle w:val="FootnoteReference"/>
        </w:rPr>
        <w:footnoteRef/>
      </w:r>
      <w:r>
        <w:t xml:space="preserve"> </w:t>
      </w:r>
      <w:r w:rsidRPr="003D6C43">
        <w:t>The inconsistency arises because the current exclusion of toll roads from the cost base is on the basis that the revenue fully funds the relevant costs. Subtracting the revenue received but not considering any government costs incurred would understate governments’ true net cost.</w:t>
      </w:r>
    </w:p>
  </w:footnote>
  <w:footnote w:id="11">
    <w:p w14:paraId="1F8B8C08" w14:textId="0B0D0BD0" w:rsidR="00EB0EE2" w:rsidRDefault="00EB0EE2" w:rsidP="002D006C">
      <w:pPr>
        <w:pStyle w:val="FootnoteText"/>
      </w:pPr>
      <w:r>
        <w:rPr>
          <w:rStyle w:val="FootnoteReference"/>
        </w:rPr>
        <w:footnoteRef/>
      </w:r>
      <w:r>
        <w:t xml:space="preserve"> The local government expenditure that is included in the PAYGO model is based on the ABS’s </w:t>
      </w:r>
      <w:r w:rsidRPr="009B2791">
        <w:rPr>
          <w:i/>
          <w:iCs/>
        </w:rPr>
        <w:t xml:space="preserve">Government </w:t>
      </w:r>
      <w:r>
        <w:rPr>
          <w:i/>
          <w:iCs/>
        </w:rPr>
        <w:t>f</w:t>
      </w:r>
      <w:r w:rsidRPr="009B2791">
        <w:rPr>
          <w:i/>
          <w:iCs/>
        </w:rPr>
        <w:t xml:space="preserve">inance </w:t>
      </w:r>
      <w:r>
        <w:rPr>
          <w:i/>
          <w:iCs/>
        </w:rPr>
        <w:t>s</w:t>
      </w:r>
      <w:r w:rsidRPr="009B2791">
        <w:rPr>
          <w:i/>
          <w:iCs/>
        </w:rPr>
        <w:t>tatistics</w:t>
      </w:r>
      <w:r>
        <w:t xml:space="preserve"> publication. However, expenditure on local roads in the PAYGO model has a large percentage excluded from the cost base calculations – 75 per cent in urban areas and 50 per cent in rural areas – on the basis that local roads provide access and amenity benefits, and therefore costs should be recovered through other funding sources such as council rates.</w:t>
      </w:r>
    </w:p>
  </w:footnote>
  <w:footnote w:id="12">
    <w:p w14:paraId="45A10356" w14:textId="77777777" w:rsidR="00EB0EE2" w:rsidRDefault="00EB0EE2" w:rsidP="007932A1">
      <w:pPr>
        <w:pStyle w:val="FootnoteText"/>
      </w:pPr>
      <w:r>
        <w:rPr>
          <w:rStyle w:val="FootnoteReference"/>
        </w:rPr>
        <w:footnoteRef/>
      </w:r>
      <w:r>
        <w:t xml:space="preserve"> The RSE is a measure of the reliability of the data. The ABS notes the following about sampling error and the RSE: </w:t>
      </w:r>
    </w:p>
    <w:p w14:paraId="4D09CAB7" w14:textId="4032C4C5" w:rsidR="00EB0EE2" w:rsidRDefault="00EB0EE2" w:rsidP="007932A1">
      <w:pPr>
        <w:pStyle w:val="FootnoteText"/>
      </w:pPr>
      <w:r w:rsidRPr="000A7398">
        <w:rPr>
          <w:i/>
          <w:iCs/>
        </w:rPr>
        <w:t>‘Estimates from the SMVU are based on information collected for a sample of registered motor vehicles, rather than all registered vehicles. The estimates may differ from those that would have been produced if all registered motor vehicles had been included in the survey. This difference is referred to as sampling error. One measure of sampling error is the Relative Standard Error (RSE), which indicates the extent to which a survey estimate is likely to deviate from the true population, expressed as a percentage of the estimate. Estimates with a RSE of 25% or greater are subject to high sampling error and should be used with caution</w:t>
      </w:r>
      <w:r>
        <w:rPr>
          <w:i/>
          <w:iCs/>
        </w:rPr>
        <w:t xml:space="preserve"> </w:t>
      </w:r>
      <w:r w:rsidRPr="000A7398">
        <w:rPr>
          <w:i/>
          <w:iCs/>
        </w:rPr>
        <w:t>…</w:t>
      </w:r>
      <w:r>
        <w:rPr>
          <w:i/>
          <w:iCs/>
        </w:rPr>
        <w:t xml:space="preserve"> </w:t>
      </w:r>
      <w:r w:rsidRPr="000A7398">
        <w:rPr>
          <w:i/>
          <w:iCs/>
        </w:rPr>
        <w:t>It is important to consider the RSEs when using estimates produced from the SMVU as it affects the reliability of the estimates, and therefore the importance that can be placed on interpretations drawn from the data.'</w:t>
      </w:r>
      <w:r>
        <w:t xml:space="preserve"> </w:t>
      </w:r>
      <w:sdt>
        <w:sdtPr>
          <w:id w:val="-453167812"/>
          <w:citation/>
        </w:sdtPr>
        <w:sdtContent>
          <w:r>
            <w:fldChar w:fldCharType="begin"/>
          </w:r>
          <w:r>
            <w:instrText xml:space="preserve"> CITATION ABS20 \l 3081 </w:instrText>
          </w:r>
          <w:r>
            <w:fldChar w:fldCharType="separate"/>
          </w:r>
          <w:r>
            <w:rPr>
              <w:noProof/>
            </w:rPr>
            <w:t>(ABS, 2020)</w:t>
          </w:r>
          <w:r>
            <w:fldChar w:fldCharType="end"/>
          </w:r>
        </w:sdtContent>
      </w:sdt>
    </w:p>
  </w:footnote>
  <w:footnote w:id="13">
    <w:p w14:paraId="1B2FBC1C" w14:textId="0B2486F9" w:rsidR="00EB0EE2" w:rsidRDefault="00EB0EE2">
      <w:pPr>
        <w:pStyle w:val="FootnoteText"/>
      </w:pPr>
      <w:r>
        <w:rPr>
          <w:rStyle w:val="FootnoteReference"/>
        </w:rPr>
        <w:footnoteRef/>
      </w:r>
      <w:r>
        <w:t xml:space="preserve"> Economic theory suggests that the price paid by different groups of users of shared infrastructure should fall between avoidable and standalone cost. The avoidable cost is the extra cost of providing the infrastructure to a group of users where the infrastructure is already provided to other groups. The standalone cost is the cost of providing the infrastructure to that group where the infrastructure would be built for the use of that group alone. </w:t>
      </w:r>
    </w:p>
  </w:footnote>
  <w:footnote w:id="14">
    <w:p w14:paraId="08EEA106" w14:textId="0C3442F2" w:rsidR="00EB0EE2" w:rsidRDefault="00EB0EE2" w:rsidP="00CD0F5B">
      <w:pPr>
        <w:pStyle w:val="FootnoteText"/>
      </w:pPr>
      <w:r w:rsidRPr="4C5A85FC">
        <w:rPr>
          <w:rStyle w:val="FootnoteReference"/>
        </w:rPr>
        <w:footnoteRef/>
      </w:r>
      <w:r>
        <w:t xml:space="preserve"> HoustonKemp notes that some research carried out in the past suffered from a range of data and methodological issues and did not provide conclusive results </w:t>
      </w:r>
      <w:sdt>
        <w:sdtPr>
          <w:id w:val="907343035"/>
          <w:citation/>
        </w:sdtPr>
        <w:sdtContent>
          <w:r>
            <w:fldChar w:fldCharType="begin"/>
          </w:r>
          <w:r>
            <w:instrText xml:space="preserve">CITATION Hou17 \l 3081 </w:instrText>
          </w:r>
          <w:r>
            <w:fldChar w:fldCharType="separate"/>
          </w:r>
          <w:r>
            <w:rPr>
              <w:noProof/>
            </w:rPr>
            <w:t>(HoustonKemp, 2017)</w:t>
          </w:r>
          <w:r>
            <w:fldChar w:fldCharType="end"/>
          </w:r>
        </w:sdtContent>
      </w:sdt>
      <w:r>
        <w:t>.</w:t>
      </w:r>
    </w:p>
  </w:footnote>
  <w:footnote w:id="15">
    <w:p w14:paraId="55ECE706" w14:textId="2A0ABEBE" w:rsidR="00EB0EE2" w:rsidRDefault="00EB0EE2">
      <w:pPr>
        <w:pStyle w:val="FootnoteText"/>
      </w:pPr>
      <w:r>
        <w:rPr>
          <w:rStyle w:val="FootnoteReference"/>
        </w:rPr>
        <w:footnoteRef/>
      </w:r>
      <w:r>
        <w:t xml:space="preserve"> This work was developed by the Victorian Department of Transport and the Department of Treasury and Finance to inform discussions around cost allocation. It is not approved Victorian Government policy.</w:t>
      </w:r>
    </w:p>
  </w:footnote>
  <w:footnote w:id="16">
    <w:p w14:paraId="7A4B4A9A" w14:textId="43007E85" w:rsidR="00EB0EE2" w:rsidRDefault="00EB0EE2" w:rsidP="00CD0F5B">
      <w:pPr>
        <w:pStyle w:val="FootnoteText"/>
      </w:pPr>
      <w:r>
        <w:rPr>
          <w:rStyle w:val="FootnoteReference"/>
        </w:rPr>
        <w:footnoteRef/>
      </w:r>
      <w:r>
        <w:t xml:space="preserve"> The numbers in </w:t>
      </w:r>
      <w:r>
        <w:fldChar w:fldCharType="begin"/>
      </w:r>
      <w:r>
        <w:instrText xml:space="preserve"> REF _Ref82001186 \r \h </w:instrText>
      </w:r>
      <w:r>
        <w:fldChar w:fldCharType="separate"/>
      </w:r>
      <w:r w:rsidR="00225EEA">
        <w:t>Figure 6</w:t>
      </w:r>
      <w:r>
        <w:fldChar w:fldCharType="end"/>
      </w:r>
      <w:r>
        <w:t xml:space="preserve"> and </w:t>
      </w:r>
      <w:r>
        <w:fldChar w:fldCharType="begin"/>
      </w:r>
      <w:r>
        <w:instrText xml:space="preserve"> REF _Ref82001196 \r \h </w:instrText>
      </w:r>
      <w:r>
        <w:fldChar w:fldCharType="separate"/>
      </w:r>
      <w:r w:rsidR="00225EEA">
        <w:t>Figure 7</w:t>
      </w:r>
      <w:r>
        <w:fldChar w:fldCharType="end"/>
      </w:r>
      <w:r>
        <w:t xml:space="preserve"> reflect the PAYGO model settings as they applied prior to any of the technical changes proposed as part of this determination, which is appropriate as a point of comparison since they were the agreed settings for the PAYGO model during that time.</w:t>
      </w:r>
    </w:p>
  </w:footnote>
  <w:footnote w:id="17">
    <w:p w14:paraId="412ECC81" w14:textId="4C25FC72" w:rsidR="00EB0EE2" w:rsidRDefault="00EB0EE2" w:rsidP="00CD0F5B">
      <w:pPr>
        <w:pStyle w:val="FootnoteText"/>
      </w:pPr>
      <w:r>
        <w:rPr>
          <w:rStyle w:val="FootnoteReference"/>
        </w:rPr>
        <w:footnoteRef/>
      </w:r>
      <w:r>
        <w:t xml:space="preserve"> In practice there is some inherent inaccuracy in the cost recovery process, given the lag between the availability of usage data and the period for which charges are being set in the PAYGO system as outlined in section </w:t>
      </w:r>
      <w:r>
        <w:fldChar w:fldCharType="begin"/>
      </w:r>
      <w:r>
        <w:instrText xml:space="preserve"> REF _Ref61609390 \r \h </w:instrText>
      </w:r>
      <w:r>
        <w:fldChar w:fldCharType="separate"/>
      </w:r>
      <w:r w:rsidR="00225EEA">
        <w:t>2.2.8</w:t>
      </w:r>
      <w:r>
        <w:fldChar w:fldCharType="end"/>
      </w:r>
      <w:r>
        <w:t>. In addition, the degree of accuracy of the fuel estimate in the SMVU is unclear, but it remains the best available method of calculating the amount of RUC revenue in Australia.</w:t>
      </w:r>
    </w:p>
  </w:footnote>
  <w:footnote w:id="18">
    <w:p w14:paraId="3B6845D5" w14:textId="77777777" w:rsidR="00EB0EE2" w:rsidRPr="00E61A7E" w:rsidRDefault="00EB0EE2" w:rsidP="00CD0F5B">
      <w:pPr>
        <w:pStyle w:val="FootnoteText"/>
      </w:pPr>
      <w:r>
        <w:rPr>
          <w:rStyle w:val="FootnoteReference"/>
        </w:rPr>
        <w:footnoteRef/>
      </w:r>
      <w:r>
        <w:t xml:space="preserve"> </w:t>
      </w:r>
      <w:hyperlink r:id="rId1" w:history="1">
        <w:r w:rsidRPr="00157679">
          <w:rPr>
            <w:rStyle w:val="Hyperlink"/>
          </w:rPr>
          <w:t>https://www.abs.gov.au/websitedbs/d3310114.nsf/4a256353001af3ed4b2562bb00121564/5dff3ab82130e7e0ca257c070010f3b8/$FILE/SMVU_Survey_Guide_2019-20.pdf</w:t>
        </w:r>
      </w:hyperlink>
      <w:r w:rsidRPr="00E61A7E">
        <w:t xml:space="preserve">. </w:t>
      </w:r>
      <w:r>
        <w:t>The time period in the text is adjusted as relevant for the survey period.</w:t>
      </w:r>
    </w:p>
  </w:footnote>
  <w:footnote w:id="19">
    <w:p w14:paraId="5543A970" w14:textId="649B1F96" w:rsidR="00EB0EE2" w:rsidRDefault="00EB0EE2" w:rsidP="00CD0F5B">
      <w:pPr>
        <w:pStyle w:val="FootnoteText"/>
      </w:pPr>
      <w:r>
        <w:rPr>
          <w:rStyle w:val="FootnoteReference"/>
        </w:rPr>
        <w:footnoteRef/>
      </w:r>
      <w:r>
        <w:t xml:space="preserve"> The PAYGO model has a cross-subsidy check to ensure each vehicle class recovers at least its attributable costs through the charges paid (registration and RUC). However, beyond this cross-subsidy check – and an overall check that the charges paid by all heavy vehicles recover revenue equivalent to the heavy vehicle cost base – the PAYGO model does not automatically calculate/adjust charges for individual vehicle classes based on the results of the cost allocation process.</w:t>
      </w:r>
    </w:p>
  </w:footnote>
  <w:footnote w:id="20">
    <w:p w14:paraId="0DA94643" w14:textId="03C7C708" w:rsidR="00EB0EE2" w:rsidRDefault="00EB0EE2">
      <w:pPr>
        <w:pStyle w:val="FootnoteText"/>
      </w:pPr>
      <w:r>
        <w:rPr>
          <w:rStyle w:val="FootnoteReference"/>
        </w:rPr>
        <w:footnoteRef/>
      </w:r>
      <w:r>
        <w:t xml:space="preserve"> The impacts calculated would be different if calculated in a different order. For example, the impact of a revised cost allocation approach depends in part on the SMVU data (which determines the kilometre data for each of the cost allocation parameters) and on revisions to AGM and ESA factors.</w:t>
      </w:r>
    </w:p>
  </w:footnote>
  <w:footnote w:id="21">
    <w:p w14:paraId="1C38690B" w14:textId="1FBE5203" w:rsidR="00EB0EE2" w:rsidRDefault="00EB0EE2">
      <w:pPr>
        <w:pStyle w:val="FootnoteText"/>
      </w:pPr>
      <w:r>
        <w:rPr>
          <w:rStyle w:val="FootnoteReference"/>
        </w:rPr>
        <w:footnoteRef/>
      </w:r>
      <w:r>
        <w:t xml:space="preserve"> Estimated revenue if 2021–22 charges were frozen and applied in 2022–23 is </w:t>
      </w:r>
      <w:r w:rsidRPr="00F83193">
        <w:t>$3.4</w:t>
      </w:r>
      <w:r>
        <w:t xml:space="preserve">4 </w:t>
      </w:r>
      <w:r w:rsidRPr="00F83193">
        <w:t>b</w:t>
      </w:r>
      <w:r>
        <w:t>illion (including the estimated revenue loss due to RUC leakages).</w:t>
      </w:r>
      <w:r w:rsidRPr="00FA5065">
        <w:t xml:space="preserve"> </w:t>
      </w:r>
      <w:r>
        <w:t xml:space="preserve">The cost base under option A is </w:t>
      </w:r>
      <w:r w:rsidRPr="00F83193">
        <w:t>$</w:t>
      </w:r>
      <w:r>
        <w:t>4</w:t>
      </w:r>
      <w:r w:rsidRPr="00F83193">
        <w:t>.</w:t>
      </w:r>
      <w:r>
        <w:t>22</w:t>
      </w:r>
      <w:r w:rsidRPr="00C81931">
        <w:t xml:space="preserve"> </w:t>
      </w:r>
      <w:r w:rsidRPr="00F83193">
        <w:t>b</w:t>
      </w:r>
      <w:r>
        <w:t>illion, while under option C it is $</w:t>
      </w:r>
      <w:r w:rsidRPr="00C241A6">
        <w:t>4</w:t>
      </w:r>
      <w:r>
        <w:t>.92</w:t>
      </w:r>
      <w:r w:rsidRPr="00C81931">
        <w:t xml:space="preserve"> </w:t>
      </w:r>
      <w:r w:rsidRPr="00F83193">
        <w:t>b</w:t>
      </w:r>
      <w:r>
        <w:t>illion.</w:t>
      </w:r>
    </w:p>
  </w:footnote>
  <w:footnote w:id="22">
    <w:p w14:paraId="1845276B" w14:textId="1FD09FFB" w:rsidR="00EB0EE2" w:rsidRDefault="00EB0EE2">
      <w:pPr>
        <w:pStyle w:val="FootnoteText"/>
      </w:pPr>
      <w:r>
        <w:rPr>
          <w:rStyle w:val="FootnoteReference"/>
        </w:rPr>
        <w:footnoteRef/>
      </w:r>
      <w:r>
        <w:t xml:space="preserve"> In a very small number of cases (primarily affecting short combination trucks), charges have also been increased to maintain the relativities logic in the charging schedule (e.g. type 2 trucks should cost more than type </w:t>
      </w:r>
      <w:r w:rsidRPr="00CD263A">
        <w:rPr>
          <w:szCs w:val="18"/>
        </w:rPr>
        <w:t>1), even</w:t>
      </w:r>
      <w:r>
        <w:t xml:space="preserve"> though they would not otherwise have been in breach of the cross-subsidisation pricing principle.</w:t>
      </w:r>
    </w:p>
  </w:footnote>
  <w:footnote w:id="23">
    <w:p w14:paraId="2A9F7DB6" w14:textId="2FDA52BC" w:rsidR="00EB0EE2" w:rsidRDefault="00EB0EE2">
      <w:pPr>
        <w:pStyle w:val="FootnoteText"/>
      </w:pPr>
      <w:r>
        <w:rPr>
          <w:rStyle w:val="FootnoteReference"/>
        </w:rPr>
        <w:footnoteRef/>
      </w:r>
      <w:r>
        <w:t xml:space="preserve"> That is, by 4.25 per cent, 4.5 per cent and 5.0 per cent for each year under pathway 1; and 7.5 per cent each year under pathway 2.</w:t>
      </w:r>
    </w:p>
  </w:footnote>
  <w:footnote w:id="24">
    <w:p w14:paraId="7908140A" w14:textId="04287153" w:rsidR="00EB0EE2" w:rsidRDefault="00EB0EE2">
      <w:pPr>
        <w:pStyle w:val="FootnoteText"/>
      </w:pPr>
      <w:r>
        <w:rPr>
          <w:rStyle w:val="FootnoteReference"/>
        </w:rPr>
        <w:footnoteRef/>
      </w:r>
      <w:r>
        <w:t xml:space="preserve"> While the amount of revenue collected nationally is the same under a uniform or differential increase, there would be differences in the revenue collected by an individual jurisdiction because the mix of the fleet registered in each jurisdiction will affect relative outcomes.</w:t>
      </w:r>
    </w:p>
  </w:footnote>
  <w:footnote w:id="25">
    <w:p w14:paraId="01056BFC" w14:textId="18D31C17" w:rsidR="00EB0EE2" w:rsidRDefault="00EB0EE2">
      <w:pPr>
        <w:pStyle w:val="FootnoteText"/>
      </w:pPr>
      <w:r>
        <w:rPr>
          <w:rStyle w:val="FootnoteReference"/>
        </w:rPr>
        <w:footnoteRef/>
      </w:r>
      <w:r>
        <w:t xml:space="preserve"> The cost base under option B is $4.52 billion, while estimated revenue collected from heavy vehicle charges in 2022–23 if the previous year’s charges were frozen is $3.44 billion (this figure includes the estimated impact on revenue of RUC leakages). </w:t>
      </w:r>
    </w:p>
  </w:footnote>
  <w:footnote w:id="26">
    <w:p w14:paraId="770F47B4" w14:textId="77777777" w:rsidR="00EB0EE2" w:rsidRPr="00357D40" w:rsidRDefault="00EB0EE2" w:rsidP="008514F2">
      <w:pPr>
        <w:pStyle w:val="BodyCopy"/>
        <w:rPr>
          <w:rStyle w:val="FootnoteTextChar"/>
        </w:rPr>
      </w:pPr>
      <w:r>
        <w:rPr>
          <w:rStyle w:val="FootnoteReference"/>
        </w:rPr>
        <w:footnoteRef/>
      </w:r>
      <w:r>
        <w:t xml:space="preserve"> </w:t>
      </w:r>
      <w:r w:rsidRPr="00357D40">
        <w:rPr>
          <w:rStyle w:val="FootnoteTextChar"/>
        </w:rPr>
        <w:t>Given that the registered heavy vehicle fleet has tended to grow over time – but has been assumed to remain constant for modelling purposes here – the charges in years 2 and 3 may be expected to be lower than the indicative charges modelled here (unless the NHVR’s approved budget increases at a faster rate than the fleet).</w:t>
      </w:r>
    </w:p>
    <w:p w14:paraId="3DE2B31A" w14:textId="203EC904" w:rsidR="00EB0EE2" w:rsidRDefault="00EB0EE2">
      <w:pPr>
        <w:pStyle w:val="FootnoteText"/>
      </w:pPr>
    </w:p>
  </w:footnote>
  <w:footnote w:id="27">
    <w:p w14:paraId="6677FA88" w14:textId="7AE34AB2" w:rsidR="00EB0EE2" w:rsidRDefault="00EB0EE2" w:rsidP="00B062ED">
      <w:pPr>
        <w:pStyle w:val="FootnoteText"/>
      </w:pPr>
      <w:r>
        <w:rPr>
          <w:rStyle w:val="FootnoteReference"/>
        </w:rPr>
        <w:footnoteRef/>
      </w:r>
      <w:r>
        <w:t xml:space="preserve"> </w:t>
      </w:r>
      <w:r w:rsidRPr="007F3D57">
        <w:t>In practice, there may be an opportunity cost if the borrowed money could have been put to a use with a higher benefit</w:t>
      </w:r>
      <w:r>
        <w:t>–</w:t>
      </w:r>
      <w:r w:rsidRPr="007F3D57">
        <w:t>cost ratio than making the loan to the private sector participant. However, the government would be no worse off in financial terms so long as the principal is repaid, along with an interest rate at least as high as the government’s cost of borrowing.</w:t>
      </w:r>
    </w:p>
  </w:footnote>
  <w:footnote w:id="28">
    <w:p w14:paraId="23D3115E" w14:textId="77777777" w:rsidR="00EB0EE2" w:rsidRDefault="00EB0EE2" w:rsidP="00B062ED">
      <w:pPr>
        <w:pStyle w:val="FootnoteText"/>
      </w:pPr>
      <w:r>
        <w:rPr>
          <w:rStyle w:val="FootnoteReference"/>
        </w:rPr>
        <w:footnoteRef/>
      </w:r>
      <w:r>
        <w:t xml:space="preserve"> </w:t>
      </w:r>
      <w:r w:rsidRPr="00F41A18">
        <w:t>From a modelling perspective, this could be treated by calculating the net present value of the concession and entering that into the model as expenditure once, or potentially calculating the difference annually between government borrowing costs and interest payments received.</w:t>
      </w:r>
    </w:p>
  </w:footnote>
  <w:footnote w:id="29">
    <w:p w14:paraId="162B5225" w14:textId="214ACED9" w:rsidR="00EB0EE2" w:rsidRDefault="00EB0EE2">
      <w:pPr>
        <w:pStyle w:val="FootnoteText"/>
      </w:pPr>
      <w:r>
        <w:rPr>
          <w:rStyle w:val="FootnoteReference"/>
        </w:rPr>
        <w:footnoteRef/>
      </w:r>
      <w:r>
        <w:t xml:space="preserve"> </w:t>
      </w:r>
      <w:r w:rsidRPr="00630179">
        <w:t>An exponential moving average is currently used to apply greater weights to the most recent years.</w:t>
      </w:r>
    </w:p>
  </w:footnote>
  <w:footnote w:id="30">
    <w:p w14:paraId="480F7998" w14:textId="59DC8D8C" w:rsidR="00EB0EE2" w:rsidRDefault="00EB0EE2">
      <w:pPr>
        <w:pStyle w:val="FootnoteText"/>
      </w:pPr>
      <w:r>
        <w:rPr>
          <w:rStyle w:val="FootnoteReference"/>
        </w:rPr>
        <w:footnoteRef/>
      </w:r>
      <w:r>
        <w:t xml:space="preserve"> Based on the average distance and fuel consumption in that vehicle class.</w:t>
      </w:r>
    </w:p>
  </w:footnote>
  <w:footnote w:id="31">
    <w:p w14:paraId="40457E45" w14:textId="7C15D468" w:rsidR="00EB0EE2" w:rsidRDefault="00EB0EE2">
      <w:pPr>
        <w:pStyle w:val="FootnoteText"/>
      </w:pPr>
      <w:r>
        <w:rPr>
          <w:rStyle w:val="FootnoteReference"/>
        </w:rPr>
        <w:footnoteRef/>
      </w:r>
      <w:r>
        <w:t xml:space="preserve"> VKT, PCU-km, AGM-km and ESA-km.</w:t>
      </w:r>
    </w:p>
  </w:footnote>
  <w:footnote w:id="32">
    <w:p w14:paraId="40FEE348" w14:textId="5BBDF1D3" w:rsidR="00EB0EE2" w:rsidRDefault="00EB0EE2">
      <w:pPr>
        <w:pStyle w:val="FootnoteText"/>
      </w:pPr>
      <w:r>
        <w:rPr>
          <w:rStyle w:val="FootnoteReference"/>
        </w:rPr>
        <w:footnoteRef/>
      </w:r>
      <w:r>
        <w:t xml:space="preserve"> The regulatory component of registration charges is ignored for the purposes of this cross-subsidy check because this is a separate process designed to recover the </w:t>
      </w:r>
      <w:r w:rsidRPr="00B63F6C">
        <w:t>National Heavy Vehicle Regulator</w:t>
      </w:r>
      <w:r>
        <w:t>’s budget from vehicles registered in participating jurisdictions.</w:t>
      </w:r>
    </w:p>
  </w:footnote>
  <w:footnote w:id="33">
    <w:p w14:paraId="1664BC2B" w14:textId="1C014702" w:rsidR="00EB0EE2" w:rsidRDefault="00EB0EE2">
      <w:pPr>
        <w:pStyle w:val="FootnoteText"/>
      </w:pPr>
      <w:r>
        <w:rPr>
          <w:rStyle w:val="FootnoteReference"/>
        </w:rPr>
        <w:footnoteRef/>
      </w:r>
      <w:r>
        <w:t xml:space="preserve"> For example, a 3-axle semitrailer could potentially fit in several of the PAYGO model’s single-combination vehicle classes (5-, 6- and 7-axle rigs) as well as B-doubles, B-triples, double road trains and triple road trains.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586A" w14:textId="29D634C6" w:rsidR="00EB0EE2" w:rsidRDefault="00EB0EE2"/>
  <w:p w14:paraId="1B71A3B7" w14:textId="77777777" w:rsidR="00EB0EE2" w:rsidRDefault="00EB0E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D8395" w14:textId="19B35CA9" w:rsidR="00EB0EE2" w:rsidRDefault="00EB0E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5215" w14:textId="52733C1E" w:rsidR="00EB0EE2" w:rsidRDefault="00EB0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F1AAE14"/>
    <w:lvl w:ilvl="0">
      <w:start w:val="1"/>
      <w:numFmt w:val="decimal"/>
      <w:pStyle w:val="Heading1"/>
      <w:lvlText w:val="%1"/>
      <w:lvlJc w:val="left"/>
      <w:pPr>
        <w:ind w:left="7" w:hanging="432"/>
      </w:pPr>
      <w:rPr>
        <w:rFonts w:hint="default"/>
        <w:b w:val="0"/>
        <w:i w:val="0"/>
      </w:rPr>
    </w:lvl>
    <w:lvl w:ilvl="1">
      <w:start w:val="1"/>
      <w:numFmt w:val="decimal"/>
      <w:pStyle w:val="Heading2"/>
      <w:lvlText w:val="%1.%2"/>
      <w:lvlJc w:val="left"/>
      <w:pPr>
        <w:ind w:left="2155" w:hanging="454"/>
      </w:pPr>
      <w:rPr>
        <w:rFonts w:hint="default"/>
        <w:sz w:val="28"/>
        <w:szCs w:val="28"/>
      </w:rPr>
    </w:lvl>
    <w:lvl w:ilvl="2">
      <w:start w:val="1"/>
      <w:numFmt w:val="decimal"/>
      <w:pStyle w:val="Heading3"/>
      <w:lvlText w:val="%1.%2.%3"/>
      <w:lvlJc w:val="left"/>
      <w:pPr>
        <w:ind w:left="5682"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3417" w:hanging="864"/>
      </w:pPr>
      <w:rPr>
        <w:rFonts w:hint="default"/>
      </w:rPr>
    </w:lvl>
    <w:lvl w:ilvl="4">
      <w:start w:val="1"/>
      <w:numFmt w:val="decimal"/>
      <w:pStyle w:val="Heading5"/>
      <w:lvlText w:val="%1.%2.%3.%4.%5"/>
      <w:lvlJc w:val="left"/>
      <w:pPr>
        <w:ind w:left="583" w:hanging="1008"/>
      </w:pPr>
      <w:rPr>
        <w:rFonts w:hint="default"/>
      </w:rPr>
    </w:lvl>
    <w:lvl w:ilvl="5">
      <w:start w:val="1"/>
      <w:numFmt w:val="decimal"/>
      <w:pStyle w:val="Heading6"/>
      <w:lvlText w:val="%1.%2.%3.%4.%5.%6"/>
      <w:lvlJc w:val="left"/>
      <w:pPr>
        <w:ind w:left="727" w:hanging="1152"/>
      </w:pPr>
      <w:rPr>
        <w:rFonts w:hint="default"/>
      </w:rPr>
    </w:lvl>
    <w:lvl w:ilvl="6">
      <w:start w:val="1"/>
      <w:numFmt w:val="decimal"/>
      <w:pStyle w:val="Heading7"/>
      <w:lvlText w:val="%1.%2.%3.%4.%5.%6.%7"/>
      <w:lvlJc w:val="left"/>
      <w:pPr>
        <w:ind w:left="871" w:hanging="1296"/>
      </w:pPr>
      <w:rPr>
        <w:rFonts w:hint="default"/>
      </w:rPr>
    </w:lvl>
    <w:lvl w:ilvl="7">
      <w:start w:val="1"/>
      <w:numFmt w:val="decimal"/>
      <w:pStyle w:val="Heading8"/>
      <w:lvlText w:val="%1.%2.%3.%4.%5.%6.%7.%8"/>
      <w:lvlJc w:val="left"/>
      <w:pPr>
        <w:ind w:left="1015" w:hanging="1440"/>
      </w:pPr>
      <w:rPr>
        <w:rFonts w:hint="default"/>
      </w:rPr>
    </w:lvl>
    <w:lvl w:ilvl="8">
      <w:start w:val="1"/>
      <w:numFmt w:val="decimal"/>
      <w:pStyle w:val="Heading9"/>
      <w:lvlText w:val="%1.%2.%3.%4.%5.%6.%7.%8.%9"/>
      <w:lvlJc w:val="left"/>
      <w:pPr>
        <w:ind w:left="1159" w:hanging="1584"/>
      </w:pPr>
      <w:rPr>
        <w:rFonts w:hint="default"/>
      </w:rPr>
    </w:lvl>
  </w:abstractNum>
  <w:abstractNum w:abstractNumId="1" w15:restartNumberingAfterBreak="0">
    <w:nsid w:val="04B2557E"/>
    <w:multiLevelType w:val="hybridMultilevel"/>
    <w:tmpl w:val="7E3C573E"/>
    <w:lvl w:ilvl="0" w:tplc="409E64A4">
      <w:start w:val="1"/>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E0031"/>
    <w:multiLevelType w:val="hybridMultilevel"/>
    <w:tmpl w:val="9B92ACBE"/>
    <w:lvl w:ilvl="0" w:tplc="0F2A21B8">
      <w:start w:val="1"/>
      <w:numFmt w:val="bullet"/>
      <w:pStyle w:val="LightList-Accent3"/>
      <w:lvlText w:val=""/>
      <w:lvlJc w:val="left"/>
      <w:pPr>
        <w:ind w:left="720" w:hanging="360"/>
      </w:pPr>
      <w:rPr>
        <w:rFonts w:ascii="Wingdings" w:hAnsi="Wingdings" w:hint="default"/>
        <w:color w:val="24312A"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E4B73"/>
    <w:multiLevelType w:val="hybridMultilevel"/>
    <w:tmpl w:val="7FB0F242"/>
    <w:lvl w:ilvl="0" w:tplc="5BEAB1F2">
      <w:start w:val="1"/>
      <w:numFmt w:val="bullet"/>
      <w:lvlText w:val=""/>
      <w:lvlJc w:val="left"/>
      <w:pPr>
        <w:ind w:left="720" w:hanging="360"/>
      </w:pPr>
      <w:rPr>
        <w:rFonts w:ascii="Symbol" w:hAnsi="Symbol" w:hint="default"/>
      </w:rPr>
    </w:lvl>
    <w:lvl w:ilvl="1" w:tplc="3E6E5308">
      <w:start w:val="1"/>
      <w:numFmt w:val="bullet"/>
      <w:lvlText w:val="o"/>
      <w:lvlJc w:val="left"/>
      <w:pPr>
        <w:ind w:left="1440" w:hanging="360"/>
      </w:pPr>
      <w:rPr>
        <w:rFonts w:ascii="Courier New" w:hAnsi="Courier New" w:hint="default"/>
      </w:rPr>
    </w:lvl>
    <w:lvl w:ilvl="2" w:tplc="F32C87DE">
      <w:start w:val="1"/>
      <w:numFmt w:val="bullet"/>
      <w:lvlText w:val=""/>
      <w:lvlJc w:val="left"/>
      <w:pPr>
        <w:ind w:left="2160" w:hanging="360"/>
      </w:pPr>
      <w:rPr>
        <w:rFonts w:ascii="Wingdings" w:hAnsi="Wingdings" w:hint="default"/>
      </w:rPr>
    </w:lvl>
    <w:lvl w:ilvl="3" w:tplc="C6BEDCA2">
      <w:start w:val="1"/>
      <w:numFmt w:val="bullet"/>
      <w:lvlText w:val=""/>
      <w:lvlJc w:val="left"/>
      <w:pPr>
        <w:ind w:left="2880" w:hanging="360"/>
      </w:pPr>
      <w:rPr>
        <w:rFonts w:ascii="Symbol" w:hAnsi="Symbol" w:hint="default"/>
      </w:rPr>
    </w:lvl>
    <w:lvl w:ilvl="4" w:tplc="BF92D426">
      <w:start w:val="1"/>
      <w:numFmt w:val="bullet"/>
      <w:lvlText w:val="o"/>
      <w:lvlJc w:val="left"/>
      <w:pPr>
        <w:ind w:left="3600" w:hanging="360"/>
      </w:pPr>
      <w:rPr>
        <w:rFonts w:ascii="Courier New" w:hAnsi="Courier New" w:hint="default"/>
      </w:rPr>
    </w:lvl>
    <w:lvl w:ilvl="5" w:tplc="707CD64E">
      <w:start w:val="1"/>
      <w:numFmt w:val="bullet"/>
      <w:lvlText w:val=""/>
      <w:lvlJc w:val="left"/>
      <w:pPr>
        <w:ind w:left="4320" w:hanging="360"/>
      </w:pPr>
      <w:rPr>
        <w:rFonts w:ascii="Wingdings" w:hAnsi="Wingdings" w:hint="default"/>
      </w:rPr>
    </w:lvl>
    <w:lvl w:ilvl="6" w:tplc="2E44711C">
      <w:start w:val="1"/>
      <w:numFmt w:val="bullet"/>
      <w:lvlText w:val=""/>
      <w:lvlJc w:val="left"/>
      <w:pPr>
        <w:ind w:left="5040" w:hanging="360"/>
      </w:pPr>
      <w:rPr>
        <w:rFonts w:ascii="Symbol" w:hAnsi="Symbol" w:hint="default"/>
      </w:rPr>
    </w:lvl>
    <w:lvl w:ilvl="7" w:tplc="B524A5DE">
      <w:start w:val="1"/>
      <w:numFmt w:val="bullet"/>
      <w:lvlText w:val="o"/>
      <w:lvlJc w:val="left"/>
      <w:pPr>
        <w:ind w:left="5760" w:hanging="360"/>
      </w:pPr>
      <w:rPr>
        <w:rFonts w:ascii="Courier New" w:hAnsi="Courier New" w:hint="default"/>
      </w:rPr>
    </w:lvl>
    <w:lvl w:ilvl="8" w:tplc="E4120E9A">
      <w:start w:val="1"/>
      <w:numFmt w:val="bullet"/>
      <w:lvlText w:val=""/>
      <w:lvlJc w:val="left"/>
      <w:pPr>
        <w:ind w:left="6480" w:hanging="360"/>
      </w:pPr>
      <w:rPr>
        <w:rFonts w:ascii="Wingdings" w:hAnsi="Wingdings" w:hint="default"/>
      </w:rPr>
    </w:lvl>
  </w:abstractNum>
  <w:abstractNum w:abstractNumId="4" w15:restartNumberingAfterBreak="0">
    <w:nsid w:val="0BF314E2"/>
    <w:multiLevelType w:val="hybridMultilevel"/>
    <w:tmpl w:val="9294D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233D72"/>
    <w:multiLevelType w:val="hybridMultilevel"/>
    <w:tmpl w:val="ECA4F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0143F"/>
    <w:multiLevelType w:val="hybridMultilevel"/>
    <w:tmpl w:val="E542D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5E78FB"/>
    <w:multiLevelType w:val="hybridMultilevel"/>
    <w:tmpl w:val="B984B690"/>
    <w:lvl w:ilvl="0" w:tplc="B40807C0">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A0776B"/>
    <w:multiLevelType w:val="hybridMultilevel"/>
    <w:tmpl w:val="7A12613A"/>
    <w:lvl w:ilvl="0" w:tplc="5F025CAE">
      <w:start w:val="1"/>
      <w:numFmt w:val="bullet"/>
      <w:pStyle w:val="List-bulletlvl2"/>
      <w:lvlText w:val="–"/>
      <w:lvlJc w:val="left"/>
      <w:pPr>
        <w:ind w:left="851" w:hanging="284"/>
      </w:pPr>
      <w:rPr>
        <w:rFonts w:ascii="Arial" w:hAnsi="Arial" w:hint="default"/>
        <w:color w:val="10CFC9" w:themeColor="accent1"/>
        <w:position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B7D12"/>
    <w:multiLevelType w:val="hybridMultilevel"/>
    <w:tmpl w:val="3B8A9AE4"/>
    <w:lvl w:ilvl="0" w:tplc="CE3ED45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961079"/>
    <w:multiLevelType w:val="hybridMultilevel"/>
    <w:tmpl w:val="832471A2"/>
    <w:lvl w:ilvl="0" w:tplc="B84E2A78">
      <w:start w:val="1"/>
      <w:numFmt w:val="decimal"/>
      <w:pStyle w:val="List-number"/>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1118D7"/>
    <w:multiLevelType w:val="hybridMultilevel"/>
    <w:tmpl w:val="67B4EE46"/>
    <w:lvl w:ilvl="0" w:tplc="409E64A4">
      <w:start w:val="1"/>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62188"/>
    <w:multiLevelType w:val="hybridMultilevel"/>
    <w:tmpl w:val="113EC044"/>
    <w:lvl w:ilvl="0" w:tplc="77F69FF6">
      <w:start w:val="1"/>
      <w:numFmt w:val="bullet"/>
      <w:pStyle w:val="ListBullet"/>
      <w:lvlText w:val=""/>
      <w:lvlJc w:val="left"/>
      <w:pPr>
        <w:tabs>
          <w:tab w:val="num" w:pos="340"/>
        </w:tabs>
        <w:ind w:left="340" w:hanging="340"/>
      </w:pPr>
      <w:rPr>
        <w:rFonts w:ascii="Symbol" w:hAnsi="Symbol" w:hint="default"/>
        <w:color w:val="10CFC9"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13904"/>
    <w:multiLevelType w:val="hybridMultilevel"/>
    <w:tmpl w:val="6850559C"/>
    <w:lvl w:ilvl="0" w:tplc="5442F27E">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1843B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067181"/>
    <w:multiLevelType w:val="hybridMultilevel"/>
    <w:tmpl w:val="D5F21FFE"/>
    <w:lvl w:ilvl="0" w:tplc="79169BA6">
      <w:numFmt w:val="bullet"/>
      <w:lvlText w:val="•"/>
      <w:lvlJc w:val="left"/>
      <w:pPr>
        <w:ind w:left="1080" w:hanging="72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6891373"/>
    <w:multiLevelType w:val="hybridMultilevel"/>
    <w:tmpl w:val="C35E6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7854E23"/>
    <w:multiLevelType w:val="hybridMultilevel"/>
    <w:tmpl w:val="B5DAF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D143B5"/>
    <w:multiLevelType w:val="hybridMultilevel"/>
    <w:tmpl w:val="C756CD6A"/>
    <w:lvl w:ilvl="0" w:tplc="F724B95A">
      <w:start w:val="1"/>
      <w:numFmt w:val="bullet"/>
      <w:pStyle w:val="NTCBulletlist"/>
      <w:lvlText w:val=""/>
      <w:lvlJc w:val="left"/>
      <w:pPr>
        <w:ind w:left="227" w:hanging="227"/>
      </w:pPr>
      <w:rPr>
        <w:rFonts w:ascii="Wingdings" w:hAnsi="Wingdings" w:hint="default"/>
        <w:color w:val="10CFC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E0E39"/>
    <w:multiLevelType w:val="hybridMultilevel"/>
    <w:tmpl w:val="FA8678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6A0CCD"/>
    <w:multiLevelType w:val="hybridMultilevel"/>
    <w:tmpl w:val="FFFFFFFF"/>
    <w:lvl w:ilvl="0" w:tplc="91D8955A">
      <w:start w:val="1"/>
      <w:numFmt w:val="bullet"/>
      <w:lvlText w:val=""/>
      <w:lvlJc w:val="left"/>
      <w:pPr>
        <w:ind w:left="720" w:hanging="360"/>
      </w:pPr>
      <w:rPr>
        <w:rFonts w:ascii="Symbol" w:hAnsi="Symbol" w:hint="default"/>
      </w:rPr>
    </w:lvl>
    <w:lvl w:ilvl="1" w:tplc="3808E066">
      <w:start w:val="1"/>
      <w:numFmt w:val="bullet"/>
      <w:lvlText w:val="o"/>
      <w:lvlJc w:val="left"/>
      <w:pPr>
        <w:ind w:left="1440" w:hanging="360"/>
      </w:pPr>
      <w:rPr>
        <w:rFonts w:ascii="Courier New" w:hAnsi="Courier New" w:hint="default"/>
      </w:rPr>
    </w:lvl>
    <w:lvl w:ilvl="2" w:tplc="365CE876">
      <w:start w:val="1"/>
      <w:numFmt w:val="bullet"/>
      <w:lvlText w:val=""/>
      <w:lvlJc w:val="left"/>
      <w:pPr>
        <w:ind w:left="2160" w:hanging="360"/>
      </w:pPr>
      <w:rPr>
        <w:rFonts w:ascii="Wingdings" w:hAnsi="Wingdings" w:hint="default"/>
      </w:rPr>
    </w:lvl>
    <w:lvl w:ilvl="3" w:tplc="BC3CFDEE">
      <w:start w:val="1"/>
      <w:numFmt w:val="bullet"/>
      <w:lvlText w:val=""/>
      <w:lvlJc w:val="left"/>
      <w:pPr>
        <w:ind w:left="2880" w:hanging="360"/>
      </w:pPr>
      <w:rPr>
        <w:rFonts w:ascii="Symbol" w:hAnsi="Symbol" w:hint="default"/>
      </w:rPr>
    </w:lvl>
    <w:lvl w:ilvl="4" w:tplc="1E0ABEB8">
      <w:start w:val="1"/>
      <w:numFmt w:val="bullet"/>
      <w:lvlText w:val="o"/>
      <w:lvlJc w:val="left"/>
      <w:pPr>
        <w:ind w:left="3600" w:hanging="360"/>
      </w:pPr>
      <w:rPr>
        <w:rFonts w:ascii="Courier New" w:hAnsi="Courier New" w:hint="default"/>
      </w:rPr>
    </w:lvl>
    <w:lvl w:ilvl="5" w:tplc="09902572">
      <w:start w:val="1"/>
      <w:numFmt w:val="bullet"/>
      <w:lvlText w:val=""/>
      <w:lvlJc w:val="left"/>
      <w:pPr>
        <w:ind w:left="4320" w:hanging="360"/>
      </w:pPr>
      <w:rPr>
        <w:rFonts w:ascii="Wingdings" w:hAnsi="Wingdings" w:hint="default"/>
      </w:rPr>
    </w:lvl>
    <w:lvl w:ilvl="6" w:tplc="EA7E6842">
      <w:start w:val="1"/>
      <w:numFmt w:val="bullet"/>
      <w:lvlText w:val=""/>
      <w:lvlJc w:val="left"/>
      <w:pPr>
        <w:ind w:left="5040" w:hanging="360"/>
      </w:pPr>
      <w:rPr>
        <w:rFonts w:ascii="Symbol" w:hAnsi="Symbol" w:hint="default"/>
      </w:rPr>
    </w:lvl>
    <w:lvl w:ilvl="7" w:tplc="1B029884">
      <w:start w:val="1"/>
      <w:numFmt w:val="bullet"/>
      <w:lvlText w:val="o"/>
      <w:lvlJc w:val="left"/>
      <w:pPr>
        <w:ind w:left="5760" w:hanging="360"/>
      </w:pPr>
      <w:rPr>
        <w:rFonts w:ascii="Courier New" w:hAnsi="Courier New" w:hint="default"/>
      </w:rPr>
    </w:lvl>
    <w:lvl w:ilvl="8" w:tplc="6B5AF066">
      <w:start w:val="1"/>
      <w:numFmt w:val="bullet"/>
      <w:lvlText w:val=""/>
      <w:lvlJc w:val="left"/>
      <w:pPr>
        <w:ind w:left="6480" w:hanging="360"/>
      </w:pPr>
      <w:rPr>
        <w:rFonts w:ascii="Wingdings" w:hAnsi="Wingdings" w:hint="default"/>
      </w:rPr>
    </w:lvl>
  </w:abstractNum>
  <w:abstractNum w:abstractNumId="21" w15:restartNumberingAfterBreak="0">
    <w:nsid w:val="2E42507D"/>
    <w:multiLevelType w:val="hybridMultilevel"/>
    <w:tmpl w:val="1ADE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5A7CA5"/>
    <w:multiLevelType w:val="hybridMultilevel"/>
    <w:tmpl w:val="33A807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DA5DDF"/>
    <w:multiLevelType w:val="hybridMultilevel"/>
    <w:tmpl w:val="49AE11B2"/>
    <w:lvl w:ilvl="0" w:tplc="65026590">
      <w:start w:val="1"/>
      <w:numFmt w:val="decimal"/>
      <w:pStyle w:val="Figuretitle"/>
      <w:lvlText w:val="Figure %1."/>
      <w:lvlJc w:val="left"/>
      <w:pPr>
        <w:tabs>
          <w:tab w:val="num" w:pos="5983"/>
        </w:tabs>
        <w:ind w:left="5983" w:hanging="1021"/>
      </w:pPr>
      <w:rPr>
        <w:rFonts w:hint="default"/>
      </w:rPr>
    </w:lvl>
    <w:lvl w:ilvl="1" w:tplc="D3F87ED6">
      <w:numFmt w:val="decimal"/>
      <w:lvlText w:val=""/>
      <w:lvlJc w:val="left"/>
    </w:lvl>
    <w:lvl w:ilvl="2" w:tplc="3550D0CE">
      <w:numFmt w:val="decimal"/>
      <w:lvlText w:val=""/>
      <w:lvlJc w:val="left"/>
    </w:lvl>
    <w:lvl w:ilvl="3" w:tplc="08B448AC">
      <w:numFmt w:val="decimal"/>
      <w:lvlText w:val=""/>
      <w:lvlJc w:val="left"/>
    </w:lvl>
    <w:lvl w:ilvl="4" w:tplc="61AC843C">
      <w:numFmt w:val="decimal"/>
      <w:lvlText w:val=""/>
      <w:lvlJc w:val="left"/>
    </w:lvl>
    <w:lvl w:ilvl="5" w:tplc="917829B4">
      <w:numFmt w:val="decimal"/>
      <w:lvlText w:val=""/>
      <w:lvlJc w:val="left"/>
    </w:lvl>
    <w:lvl w:ilvl="6" w:tplc="2B92C488">
      <w:numFmt w:val="decimal"/>
      <w:lvlText w:val=""/>
      <w:lvlJc w:val="left"/>
    </w:lvl>
    <w:lvl w:ilvl="7" w:tplc="277C13B6">
      <w:numFmt w:val="decimal"/>
      <w:lvlText w:val=""/>
      <w:lvlJc w:val="left"/>
    </w:lvl>
    <w:lvl w:ilvl="8" w:tplc="B4247256">
      <w:numFmt w:val="decimal"/>
      <w:lvlText w:val=""/>
      <w:lvlJc w:val="left"/>
    </w:lvl>
  </w:abstractNum>
  <w:abstractNum w:abstractNumId="24" w15:restartNumberingAfterBreak="0">
    <w:nsid w:val="340B3D79"/>
    <w:multiLevelType w:val="hybridMultilevel"/>
    <w:tmpl w:val="342865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84D2212"/>
    <w:multiLevelType w:val="hybridMultilevel"/>
    <w:tmpl w:val="595C9E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4F375F"/>
    <w:multiLevelType w:val="hybridMultilevel"/>
    <w:tmpl w:val="D9B6C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D54E56"/>
    <w:multiLevelType w:val="hybridMultilevel"/>
    <w:tmpl w:val="2354B2E4"/>
    <w:lvl w:ilvl="0" w:tplc="A72A87A2">
      <w:start w:val="3"/>
      <w:numFmt w:val="bullet"/>
      <w:lvlText w:val="-"/>
      <w:lvlJc w:val="left"/>
      <w:pPr>
        <w:ind w:left="1080" w:hanging="360"/>
      </w:pPr>
      <w:rPr>
        <w:rFonts w:ascii="Arial" w:eastAsia="Cambr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BB31196"/>
    <w:multiLevelType w:val="hybridMultilevel"/>
    <w:tmpl w:val="DC4015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0D43C9"/>
    <w:multiLevelType w:val="hybridMultilevel"/>
    <w:tmpl w:val="3B58E8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0D479F"/>
    <w:multiLevelType w:val="multilevel"/>
    <w:tmpl w:val="93A0CDF4"/>
    <w:lvl w:ilvl="0">
      <w:start w:val="1"/>
      <w:numFmt w:val="upperLetter"/>
      <w:lvlText w:val="Appendix %1"/>
      <w:lvlJc w:val="left"/>
      <w:pPr>
        <w:tabs>
          <w:tab w:val="num" w:pos="4820"/>
        </w:tabs>
        <w:ind w:left="4820" w:hanging="2552"/>
      </w:pPr>
      <w:rPr>
        <w:rFonts w:ascii="Arial" w:hAnsi="Arial" w:hint="default"/>
        <w:color w:val="002954"/>
        <w:sz w:val="44"/>
      </w:rPr>
    </w:lvl>
    <w:lvl w:ilvl="1">
      <w:start w:val="1"/>
      <w:numFmt w:val="decimal"/>
      <w:lvlText w:val="%1.%2"/>
      <w:lvlJc w:val="left"/>
      <w:pPr>
        <w:tabs>
          <w:tab w:val="num" w:pos="680"/>
        </w:tabs>
        <w:ind w:left="680" w:hanging="680"/>
      </w:pPr>
      <w:rPr>
        <w:rFonts w:ascii="Arial" w:hAnsi="Arial" w:hint="default"/>
        <w:b/>
        <w:color w:val="002954"/>
        <w:sz w:val="28"/>
      </w:rPr>
    </w:lvl>
    <w:lvl w:ilvl="2">
      <w:start w:val="1"/>
      <w:numFmt w:val="decimal"/>
      <w:lvlText w:val="%1.%2.%3"/>
      <w:lvlJc w:val="left"/>
      <w:pPr>
        <w:tabs>
          <w:tab w:val="num" w:pos="680"/>
        </w:tabs>
        <w:ind w:left="680" w:hanging="680"/>
      </w:pPr>
      <w:rPr>
        <w:rFonts w:ascii="Arial" w:hAnsi="Arial" w:hint="default"/>
        <w:b/>
        <w:color w:val="002954"/>
        <w:sz w:val="24"/>
      </w:rPr>
    </w:lvl>
    <w:lvl w:ilvl="3">
      <w:start w:val="1"/>
      <w:numFmt w:val="decimal"/>
      <w:lvlText w:val="(%4)"/>
      <w:lvlJc w:val="left"/>
      <w:pPr>
        <w:ind w:left="396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31" w15:restartNumberingAfterBreak="0">
    <w:nsid w:val="41510F7C"/>
    <w:multiLevelType w:val="hybridMultilevel"/>
    <w:tmpl w:val="A0B0EA46"/>
    <w:numStyleLink w:val="AppendixHeadings"/>
  </w:abstractNum>
  <w:abstractNum w:abstractNumId="32" w15:restartNumberingAfterBreak="0">
    <w:nsid w:val="438F14F4"/>
    <w:multiLevelType w:val="hybridMultilevel"/>
    <w:tmpl w:val="5D1EE016"/>
    <w:lvl w:ilvl="0" w:tplc="8D4ACF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47B53B91"/>
    <w:multiLevelType w:val="hybridMultilevel"/>
    <w:tmpl w:val="0694C8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EE22BA"/>
    <w:multiLevelType w:val="hybridMultilevel"/>
    <w:tmpl w:val="F312B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41724F"/>
    <w:multiLevelType w:val="hybridMultilevel"/>
    <w:tmpl w:val="D0643B7C"/>
    <w:lvl w:ilvl="0" w:tplc="5CAA8416">
      <w:start w:val="4"/>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433B0B"/>
    <w:multiLevelType w:val="hybridMultilevel"/>
    <w:tmpl w:val="ABF8DD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ED04E48"/>
    <w:multiLevelType w:val="hybridMultilevel"/>
    <w:tmpl w:val="6B8C4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FD31B6"/>
    <w:multiLevelType w:val="hybridMultilevel"/>
    <w:tmpl w:val="AC909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B9500B"/>
    <w:multiLevelType w:val="hybridMultilevel"/>
    <w:tmpl w:val="6F662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2D211C"/>
    <w:multiLevelType w:val="multilevel"/>
    <w:tmpl w:val="9AB6D666"/>
    <w:styleLink w:val="Style1"/>
    <w:lvl w:ilvl="0">
      <w:start w:val="1"/>
      <w:numFmt w:val="bullet"/>
      <w:lvlText w:val=""/>
      <w:lvlJc w:val="left"/>
      <w:pPr>
        <w:ind w:left="340" w:hanging="340"/>
      </w:pPr>
      <w:rPr>
        <w:rFonts w:ascii="Symbol" w:hAnsi="Symbol" w:hint="default"/>
        <w:b w:val="0"/>
        <w:i w:val="0"/>
        <w:color w:val="ED7D31"/>
        <w:sz w:val="20"/>
      </w:rPr>
    </w:lvl>
    <w:lvl w:ilvl="1">
      <w:start w:val="1"/>
      <w:numFmt w:val="bullet"/>
      <w:lvlText w:val="&gt;"/>
      <w:lvlJc w:val="left"/>
      <w:pPr>
        <w:ind w:left="680" w:hanging="340"/>
      </w:pPr>
      <w:rPr>
        <w:rFonts w:ascii="Century Gothic" w:hAnsi="Century Gothic" w:hint="default"/>
        <w:color w:val="C9C9C9"/>
        <w:sz w:val="20"/>
      </w:rPr>
    </w:lvl>
    <w:lvl w:ilvl="2">
      <w:start w:val="1"/>
      <w:numFmt w:val="bullet"/>
      <w:lvlText w:val=""/>
      <w:lvlJc w:val="left"/>
      <w:pPr>
        <w:ind w:left="1020" w:hanging="340"/>
      </w:pPr>
      <w:rPr>
        <w:rFonts w:ascii="Wingdings" w:hAnsi="Wingdings" w:hint="default"/>
        <w:color w:val="C9C9C9"/>
        <w:sz w:val="20"/>
      </w:rPr>
    </w:lvl>
    <w:lvl w:ilvl="3">
      <w:start w:val="1"/>
      <w:numFmt w:val="bullet"/>
      <w:lvlText w:val=""/>
      <w:lvlJc w:val="left"/>
      <w:pPr>
        <w:ind w:left="1360" w:hanging="340"/>
      </w:pPr>
      <w:rPr>
        <w:rFonts w:ascii="Symbol" w:hAnsi="Symbol" w:hint="default"/>
        <w:color w:val="C9C9C9"/>
      </w:rPr>
    </w:lvl>
    <w:lvl w:ilvl="4">
      <w:start w:val="1"/>
      <w:numFmt w:val="bullet"/>
      <w:lvlText w:val="–"/>
      <w:lvlJc w:val="left"/>
      <w:pPr>
        <w:ind w:left="1700" w:hanging="340"/>
      </w:pPr>
      <w:rPr>
        <w:rFonts w:ascii="Century Gothic" w:hAnsi="Century Gothic" w:hint="default"/>
        <w:color w:val="C9C9C9"/>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1" w15:restartNumberingAfterBreak="0">
    <w:nsid w:val="58230B84"/>
    <w:multiLevelType w:val="hybridMultilevel"/>
    <w:tmpl w:val="3DA89F10"/>
    <w:lvl w:ilvl="0" w:tplc="8C7CFC86">
      <w:start w:val="2"/>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054C2F"/>
    <w:multiLevelType w:val="hybridMultilevel"/>
    <w:tmpl w:val="E7DA3FE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D74EB2"/>
    <w:multiLevelType w:val="hybridMultilevel"/>
    <w:tmpl w:val="8F0C20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560B14"/>
    <w:multiLevelType w:val="hybridMultilevel"/>
    <w:tmpl w:val="4B822BC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5D0673B3"/>
    <w:multiLevelType w:val="hybridMultilevel"/>
    <w:tmpl w:val="B0B214B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5E5F23D1"/>
    <w:multiLevelType w:val="hybridMultilevel"/>
    <w:tmpl w:val="849611C8"/>
    <w:lvl w:ilvl="0" w:tplc="F6A24D60">
      <w:start w:val="1"/>
      <w:numFmt w:val="decimal"/>
      <w:pStyle w:val="Questionslist"/>
      <w:lvlText w:val="Question %1:"/>
      <w:lvlJc w:val="left"/>
      <w:pPr>
        <w:ind w:left="786"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E9A10F8"/>
    <w:multiLevelType w:val="hybridMultilevel"/>
    <w:tmpl w:val="3E046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CC4DBA"/>
    <w:multiLevelType w:val="hybridMultilevel"/>
    <w:tmpl w:val="FFFFFFFF"/>
    <w:lvl w:ilvl="0" w:tplc="42C60382">
      <w:start w:val="1"/>
      <w:numFmt w:val="bullet"/>
      <w:lvlText w:val=""/>
      <w:lvlJc w:val="left"/>
      <w:pPr>
        <w:ind w:left="720" w:hanging="360"/>
      </w:pPr>
      <w:rPr>
        <w:rFonts w:ascii="Symbol" w:hAnsi="Symbol" w:hint="default"/>
      </w:rPr>
    </w:lvl>
    <w:lvl w:ilvl="1" w:tplc="E24E52D6">
      <w:start w:val="1"/>
      <w:numFmt w:val="bullet"/>
      <w:lvlText w:val="o"/>
      <w:lvlJc w:val="left"/>
      <w:pPr>
        <w:ind w:left="1440" w:hanging="360"/>
      </w:pPr>
      <w:rPr>
        <w:rFonts w:ascii="Courier New" w:hAnsi="Courier New" w:hint="default"/>
      </w:rPr>
    </w:lvl>
    <w:lvl w:ilvl="2" w:tplc="5AB440B4">
      <w:start w:val="1"/>
      <w:numFmt w:val="bullet"/>
      <w:lvlText w:val=""/>
      <w:lvlJc w:val="left"/>
      <w:pPr>
        <w:ind w:left="2160" w:hanging="360"/>
      </w:pPr>
      <w:rPr>
        <w:rFonts w:ascii="Wingdings" w:hAnsi="Wingdings" w:hint="default"/>
      </w:rPr>
    </w:lvl>
    <w:lvl w:ilvl="3" w:tplc="897865D2">
      <w:start w:val="1"/>
      <w:numFmt w:val="bullet"/>
      <w:lvlText w:val=""/>
      <w:lvlJc w:val="left"/>
      <w:pPr>
        <w:ind w:left="2880" w:hanging="360"/>
      </w:pPr>
      <w:rPr>
        <w:rFonts w:ascii="Symbol" w:hAnsi="Symbol" w:hint="default"/>
      </w:rPr>
    </w:lvl>
    <w:lvl w:ilvl="4" w:tplc="8044422A">
      <w:start w:val="1"/>
      <w:numFmt w:val="bullet"/>
      <w:lvlText w:val="o"/>
      <w:lvlJc w:val="left"/>
      <w:pPr>
        <w:ind w:left="3600" w:hanging="360"/>
      </w:pPr>
      <w:rPr>
        <w:rFonts w:ascii="Courier New" w:hAnsi="Courier New" w:hint="default"/>
      </w:rPr>
    </w:lvl>
    <w:lvl w:ilvl="5" w:tplc="A708847C">
      <w:start w:val="1"/>
      <w:numFmt w:val="bullet"/>
      <w:lvlText w:val=""/>
      <w:lvlJc w:val="left"/>
      <w:pPr>
        <w:ind w:left="4320" w:hanging="360"/>
      </w:pPr>
      <w:rPr>
        <w:rFonts w:ascii="Wingdings" w:hAnsi="Wingdings" w:hint="default"/>
      </w:rPr>
    </w:lvl>
    <w:lvl w:ilvl="6" w:tplc="E6F24FF8">
      <w:start w:val="1"/>
      <w:numFmt w:val="bullet"/>
      <w:lvlText w:val=""/>
      <w:lvlJc w:val="left"/>
      <w:pPr>
        <w:ind w:left="5040" w:hanging="360"/>
      </w:pPr>
      <w:rPr>
        <w:rFonts w:ascii="Symbol" w:hAnsi="Symbol" w:hint="default"/>
      </w:rPr>
    </w:lvl>
    <w:lvl w:ilvl="7" w:tplc="74EE5AB6">
      <w:start w:val="1"/>
      <w:numFmt w:val="bullet"/>
      <w:lvlText w:val="o"/>
      <w:lvlJc w:val="left"/>
      <w:pPr>
        <w:ind w:left="5760" w:hanging="360"/>
      </w:pPr>
      <w:rPr>
        <w:rFonts w:ascii="Courier New" w:hAnsi="Courier New" w:hint="default"/>
      </w:rPr>
    </w:lvl>
    <w:lvl w:ilvl="8" w:tplc="528AF100">
      <w:start w:val="1"/>
      <w:numFmt w:val="bullet"/>
      <w:lvlText w:val=""/>
      <w:lvlJc w:val="left"/>
      <w:pPr>
        <w:ind w:left="6480" w:hanging="360"/>
      </w:pPr>
      <w:rPr>
        <w:rFonts w:ascii="Wingdings" w:hAnsi="Wingdings" w:hint="default"/>
      </w:rPr>
    </w:lvl>
  </w:abstractNum>
  <w:abstractNum w:abstractNumId="49" w15:restartNumberingAfterBreak="0">
    <w:nsid w:val="6A04693F"/>
    <w:multiLevelType w:val="hybridMultilevel"/>
    <w:tmpl w:val="3EF6F854"/>
    <w:lvl w:ilvl="0" w:tplc="0C090001">
      <w:start w:val="1"/>
      <w:numFmt w:val="bullet"/>
      <w:lvlText w:val=""/>
      <w:lvlJc w:val="left"/>
      <w:pPr>
        <w:ind w:left="360" w:hanging="360"/>
      </w:pPr>
      <w:rPr>
        <w:rFonts w:ascii="Symbol" w:hAnsi="Symbol" w:hint="default"/>
      </w:rPr>
    </w:lvl>
    <w:lvl w:ilvl="1" w:tplc="FB522A26">
      <w:start w:val="1"/>
      <w:numFmt w:val="bullet"/>
      <w:lvlText w:val="o"/>
      <w:lvlJc w:val="left"/>
      <w:pPr>
        <w:ind w:left="720" w:hanging="363"/>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B212A5D"/>
    <w:multiLevelType w:val="hybridMultilevel"/>
    <w:tmpl w:val="F2F65B88"/>
    <w:lvl w:ilvl="0" w:tplc="E15E7702">
      <w:start w:val="1"/>
      <w:numFmt w:val="decimal"/>
      <w:pStyle w:val="Tabletitle"/>
      <w:lvlText w:val="Table %1."/>
      <w:lvlJc w:val="left"/>
      <w:pPr>
        <w:tabs>
          <w:tab w:val="num" w:pos="9727"/>
        </w:tabs>
        <w:ind w:left="9668" w:hanging="102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D9EAB8A">
      <w:numFmt w:val="decimal"/>
      <w:lvlText w:val=""/>
      <w:lvlJc w:val="left"/>
    </w:lvl>
    <w:lvl w:ilvl="2" w:tplc="39968A76">
      <w:numFmt w:val="decimal"/>
      <w:lvlText w:val=""/>
      <w:lvlJc w:val="left"/>
    </w:lvl>
    <w:lvl w:ilvl="3" w:tplc="564CFCA2">
      <w:numFmt w:val="decimal"/>
      <w:lvlText w:val=""/>
      <w:lvlJc w:val="left"/>
    </w:lvl>
    <w:lvl w:ilvl="4" w:tplc="912E0A84">
      <w:numFmt w:val="decimal"/>
      <w:lvlText w:val=""/>
      <w:lvlJc w:val="left"/>
    </w:lvl>
    <w:lvl w:ilvl="5" w:tplc="C136CFE6">
      <w:numFmt w:val="decimal"/>
      <w:lvlText w:val=""/>
      <w:lvlJc w:val="left"/>
    </w:lvl>
    <w:lvl w:ilvl="6" w:tplc="20EA1174">
      <w:numFmt w:val="decimal"/>
      <w:lvlText w:val=""/>
      <w:lvlJc w:val="left"/>
    </w:lvl>
    <w:lvl w:ilvl="7" w:tplc="FCC26BA6">
      <w:numFmt w:val="decimal"/>
      <w:lvlText w:val=""/>
      <w:lvlJc w:val="left"/>
    </w:lvl>
    <w:lvl w:ilvl="8" w:tplc="62165D10">
      <w:numFmt w:val="decimal"/>
      <w:lvlText w:val=""/>
      <w:lvlJc w:val="left"/>
    </w:lvl>
  </w:abstractNum>
  <w:abstractNum w:abstractNumId="51" w15:restartNumberingAfterBreak="0">
    <w:nsid w:val="6E2F3E03"/>
    <w:multiLevelType w:val="hybridMultilevel"/>
    <w:tmpl w:val="0694C8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FC06AEB"/>
    <w:multiLevelType w:val="hybridMultilevel"/>
    <w:tmpl w:val="350EC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C90E6C"/>
    <w:multiLevelType w:val="hybridMultilevel"/>
    <w:tmpl w:val="F794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FE00C2"/>
    <w:multiLevelType w:val="hybridMultilevel"/>
    <w:tmpl w:val="0DA49C8E"/>
    <w:lvl w:ilvl="0" w:tplc="759EB0EC">
      <w:start w:val="1"/>
      <w:numFmt w:val="bullet"/>
      <w:pStyle w:val="List-bulletlvl1"/>
      <w:lvlText w:val=""/>
      <w:lvlJc w:val="left"/>
      <w:pPr>
        <w:ind w:left="290" w:hanging="283"/>
      </w:pPr>
      <w:rPr>
        <w:rFonts w:ascii="Wingdings" w:hAnsi="Wingdings" w:hint="default"/>
        <w:color w:val="10CFC9"/>
        <w:position w:val="0"/>
        <w:sz w:val="22"/>
      </w:rPr>
    </w:lvl>
    <w:lvl w:ilvl="1" w:tplc="EB78DB22">
      <w:start w:val="1"/>
      <w:numFmt w:val="bullet"/>
      <w:lvlText w:val="–"/>
      <w:lvlJc w:val="left"/>
      <w:pPr>
        <w:ind w:left="1720" w:hanging="284"/>
      </w:pPr>
      <w:rPr>
        <w:rFonts w:ascii="Arial" w:hAnsi="Arial" w:hint="default"/>
        <w:b w:val="0"/>
        <w:i w:val="0"/>
        <w:color w:val="10CFC9"/>
      </w:rPr>
    </w:lvl>
    <w:lvl w:ilvl="2" w:tplc="32A41D02">
      <w:start w:val="1"/>
      <w:numFmt w:val="bullet"/>
      <w:lvlText w:val=""/>
      <w:lvlJc w:val="left"/>
      <w:pPr>
        <w:ind w:left="3029" w:hanging="360"/>
      </w:pPr>
      <w:rPr>
        <w:rFonts w:ascii="Wingdings" w:hAnsi="Wingdings" w:hint="default"/>
      </w:rPr>
    </w:lvl>
    <w:lvl w:ilvl="3" w:tplc="2CDA1EDE">
      <w:start w:val="1"/>
      <w:numFmt w:val="bullet"/>
      <w:lvlText w:val=""/>
      <w:lvlJc w:val="left"/>
      <w:pPr>
        <w:ind w:left="3749" w:hanging="360"/>
      </w:pPr>
      <w:rPr>
        <w:rFonts w:ascii="Symbol" w:hAnsi="Symbol" w:hint="default"/>
      </w:rPr>
    </w:lvl>
    <w:lvl w:ilvl="4" w:tplc="859E6E66">
      <w:start w:val="1"/>
      <w:numFmt w:val="bullet"/>
      <w:lvlText w:val="o"/>
      <w:lvlJc w:val="left"/>
      <w:pPr>
        <w:ind w:left="4469" w:hanging="360"/>
      </w:pPr>
      <w:rPr>
        <w:rFonts w:ascii="Courier New" w:hAnsi="Courier New" w:hint="default"/>
      </w:rPr>
    </w:lvl>
    <w:lvl w:ilvl="5" w:tplc="D23E2430">
      <w:start w:val="1"/>
      <w:numFmt w:val="bullet"/>
      <w:lvlText w:val=""/>
      <w:lvlJc w:val="left"/>
      <w:pPr>
        <w:ind w:left="5189" w:hanging="360"/>
      </w:pPr>
      <w:rPr>
        <w:rFonts w:ascii="Wingdings" w:hAnsi="Wingdings" w:hint="default"/>
      </w:rPr>
    </w:lvl>
    <w:lvl w:ilvl="6" w:tplc="C7660B10">
      <w:start w:val="1"/>
      <w:numFmt w:val="bullet"/>
      <w:lvlText w:val=""/>
      <w:lvlJc w:val="left"/>
      <w:pPr>
        <w:ind w:left="5909" w:hanging="360"/>
      </w:pPr>
      <w:rPr>
        <w:rFonts w:ascii="Symbol" w:hAnsi="Symbol" w:hint="default"/>
      </w:rPr>
    </w:lvl>
    <w:lvl w:ilvl="7" w:tplc="A3989BC4">
      <w:start w:val="1"/>
      <w:numFmt w:val="bullet"/>
      <w:lvlText w:val="o"/>
      <w:lvlJc w:val="left"/>
      <w:pPr>
        <w:ind w:left="6629" w:hanging="360"/>
      </w:pPr>
      <w:rPr>
        <w:rFonts w:ascii="Courier New" w:hAnsi="Courier New" w:hint="default"/>
      </w:rPr>
    </w:lvl>
    <w:lvl w:ilvl="8" w:tplc="23FA8C50">
      <w:start w:val="1"/>
      <w:numFmt w:val="bullet"/>
      <w:lvlText w:val=""/>
      <w:lvlJc w:val="left"/>
      <w:pPr>
        <w:ind w:left="7349" w:hanging="360"/>
      </w:pPr>
      <w:rPr>
        <w:rFonts w:ascii="Wingdings" w:hAnsi="Wingdings" w:hint="default"/>
      </w:rPr>
    </w:lvl>
  </w:abstractNum>
  <w:abstractNum w:abstractNumId="55" w15:restartNumberingAfterBreak="0">
    <w:nsid w:val="7320656B"/>
    <w:multiLevelType w:val="hybridMultilevel"/>
    <w:tmpl w:val="941ECF9C"/>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73B2357D"/>
    <w:multiLevelType w:val="hybridMultilevel"/>
    <w:tmpl w:val="E134350A"/>
    <w:lvl w:ilvl="0" w:tplc="A72A87A2">
      <w:start w:val="3"/>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245F05"/>
    <w:multiLevelType w:val="hybridMultilevel"/>
    <w:tmpl w:val="21A8A096"/>
    <w:lvl w:ilvl="0" w:tplc="CE3ED45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7995191B"/>
    <w:multiLevelType w:val="hybridMultilevel"/>
    <w:tmpl w:val="A0B0EA46"/>
    <w:styleLink w:val="AppendixHeadings"/>
    <w:lvl w:ilvl="0" w:tplc="1AAA6B5C">
      <w:start w:val="1"/>
      <w:numFmt w:val="bullet"/>
      <w:pStyle w:val="Head1-Appendix"/>
      <w:lvlText w:val=""/>
      <w:lvlJc w:val="left"/>
      <w:pPr>
        <w:tabs>
          <w:tab w:val="num" w:pos="720"/>
        </w:tabs>
        <w:ind w:left="720" w:hanging="360"/>
      </w:pPr>
      <w:rPr>
        <w:rFonts w:ascii="Wingdings" w:hAnsi="Wingdings" w:hint="default"/>
      </w:rPr>
    </w:lvl>
    <w:lvl w:ilvl="1" w:tplc="144036F6" w:tentative="1">
      <w:start w:val="1"/>
      <w:numFmt w:val="bullet"/>
      <w:lvlText w:val=""/>
      <w:lvlJc w:val="left"/>
      <w:pPr>
        <w:tabs>
          <w:tab w:val="num" w:pos="1440"/>
        </w:tabs>
        <w:ind w:left="1440" w:hanging="360"/>
      </w:pPr>
      <w:rPr>
        <w:rFonts w:ascii="Wingdings" w:hAnsi="Wingdings" w:hint="default"/>
      </w:rPr>
    </w:lvl>
    <w:lvl w:ilvl="2" w:tplc="FC084144" w:tentative="1">
      <w:start w:val="1"/>
      <w:numFmt w:val="bullet"/>
      <w:lvlText w:val=""/>
      <w:lvlJc w:val="left"/>
      <w:pPr>
        <w:tabs>
          <w:tab w:val="num" w:pos="2160"/>
        </w:tabs>
        <w:ind w:left="2160" w:hanging="360"/>
      </w:pPr>
      <w:rPr>
        <w:rFonts w:ascii="Wingdings" w:hAnsi="Wingdings" w:hint="default"/>
      </w:rPr>
    </w:lvl>
    <w:lvl w:ilvl="3" w:tplc="339A1212" w:tentative="1">
      <w:start w:val="1"/>
      <w:numFmt w:val="bullet"/>
      <w:lvlText w:val=""/>
      <w:lvlJc w:val="left"/>
      <w:pPr>
        <w:tabs>
          <w:tab w:val="num" w:pos="2880"/>
        </w:tabs>
        <w:ind w:left="2880" w:hanging="360"/>
      </w:pPr>
      <w:rPr>
        <w:rFonts w:ascii="Wingdings" w:hAnsi="Wingdings" w:hint="default"/>
      </w:rPr>
    </w:lvl>
    <w:lvl w:ilvl="4" w:tplc="AD004606" w:tentative="1">
      <w:start w:val="1"/>
      <w:numFmt w:val="bullet"/>
      <w:lvlText w:val=""/>
      <w:lvlJc w:val="left"/>
      <w:pPr>
        <w:tabs>
          <w:tab w:val="num" w:pos="3600"/>
        </w:tabs>
        <w:ind w:left="3600" w:hanging="360"/>
      </w:pPr>
      <w:rPr>
        <w:rFonts w:ascii="Wingdings" w:hAnsi="Wingdings" w:hint="default"/>
      </w:rPr>
    </w:lvl>
    <w:lvl w:ilvl="5" w:tplc="E5BE4E14" w:tentative="1">
      <w:start w:val="1"/>
      <w:numFmt w:val="bullet"/>
      <w:lvlText w:val=""/>
      <w:lvlJc w:val="left"/>
      <w:pPr>
        <w:tabs>
          <w:tab w:val="num" w:pos="4320"/>
        </w:tabs>
        <w:ind w:left="4320" w:hanging="360"/>
      </w:pPr>
      <w:rPr>
        <w:rFonts w:ascii="Wingdings" w:hAnsi="Wingdings" w:hint="default"/>
      </w:rPr>
    </w:lvl>
    <w:lvl w:ilvl="6" w:tplc="BE2AE26A" w:tentative="1">
      <w:start w:val="1"/>
      <w:numFmt w:val="bullet"/>
      <w:lvlText w:val=""/>
      <w:lvlJc w:val="left"/>
      <w:pPr>
        <w:tabs>
          <w:tab w:val="num" w:pos="5040"/>
        </w:tabs>
        <w:ind w:left="5040" w:hanging="360"/>
      </w:pPr>
      <w:rPr>
        <w:rFonts w:ascii="Wingdings" w:hAnsi="Wingdings" w:hint="default"/>
      </w:rPr>
    </w:lvl>
    <w:lvl w:ilvl="7" w:tplc="B0A4272C" w:tentative="1">
      <w:start w:val="1"/>
      <w:numFmt w:val="bullet"/>
      <w:lvlText w:val=""/>
      <w:lvlJc w:val="left"/>
      <w:pPr>
        <w:tabs>
          <w:tab w:val="num" w:pos="5760"/>
        </w:tabs>
        <w:ind w:left="5760" w:hanging="360"/>
      </w:pPr>
      <w:rPr>
        <w:rFonts w:ascii="Wingdings" w:hAnsi="Wingdings" w:hint="default"/>
      </w:rPr>
    </w:lvl>
    <w:lvl w:ilvl="8" w:tplc="2A7647C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EA25BC9"/>
    <w:multiLevelType w:val="hybridMultilevel"/>
    <w:tmpl w:val="8E283B82"/>
    <w:lvl w:ilvl="0" w:tplc="4086DF5C">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23"/>
  </w:num>
  <w:num w:numId="3">
    <w:abstractNumId w:val="50"/>
  </w:num>
  <w:num w:numId="4">
    <w:abstractNumId w:val="2"/>
  </w:num>
  <w:num w:numId="5">
    <w:abstractNumId w:val="10"/>
  </w:num>
  <w:num w:numId="6">
    <w:abstractNumId w:val="46"/>
  </w:num>
  <w:num w:numId="7">
    <w:abstractNumId w:val="12"/>
  </w:num>
  <w:num w:numId="8">
    <w:abstractNumId w:val="54"/>
  </w:num>
  <w:num w:numId="9">
    <w:abstractNumId w:val="30"/>
  </w:num>
  <w:num w:numId="10">
    <w:abstractNumId w:val="31"/>
    <w:lvlOverride w:ilvl="0">
      <w:lvl w:ilvl="0" w:tplc="862A9F34">
        <w:start w:val="1"/>
        <w:numFmt w:val="upperLetter"/>
        <w:pStyle w:val="Head1-Appendix"/>
        <w:lvlText w:val="Appendix %1"/>
        <w:lvlJc w:val="left"/>
        <w:pPr>
          <w:tabs>
            <w:tab w:val="num" w:pos="2552"/>
          </w:tabs>
          <w:ind w:left="2552" w:hanging="2552"/>
        </w:pPr>
        <w:rPr>
          <w:rFonts w:ascii="Arial" w:hAnsi="Arial" w:hint="default"/>
          <w:b/>
          <w:color w:val="auto"/>
          <w:sz w:val="44"/>
        </w:rPr>
      </w:lvl>
    </w:lvlOverride>
    <w:lvlOverride w:ilvl="1">
      <w:lvl w:ilvl="1" w:tplc="FD5C6324">
        <w:start w:val="1"/>
        <w:numFmt w:val="decimal"/>
        <w:lvlText w:val="%1.%2"/>
        <w:lvlJc w:val="left"/>
        <w:pPr>
          <w:tabs>
            <w:tab w:val="num" w:pos="9611"/>
          </w:tabs>
          <w:ind w:left="9611" w:hanging="680"/>
        </w:pPr>
        <w:rPr>
          <w:rFonts w:ascii="Arial" w:hAnsi="Arial" w:hint="default"/>
          <w:b/>
          <w:color w:val="auto"/>
          <w:sz w:val="28"/>
        </w:rPr>
      </w:lvl>
    </w:lvlOverride>
    <w:lvlOverride w:ilvl="2">
      <w:lvl w:ilvl="2" w:tplc="C1CE9EDE">
        <w:start w:val="1"/>
        <w:numFmt w:val="decimal"/>
        <w:lvlText w:val="%1.%2.%3"/>
        <w:lvlJc w:val="left"/>
        <w:pPr>
          <w:tabs>
            <w:tab w:val="num" w:pos="1815"/>
          </w:tabs>
          <w:ind w:left="1815" w:hanging="680"/>
        </w:pPr>
        <w:rPr>
          <w:rFonts w:ascii="Arial" w:hAnsi="Arial" w:hint="default"/>
          <w:b/>
          <w:color w:val="auto"/>
          <w:sz w:val="24"/>
        </w:rPr>
      </w:lvl>
    </w:lvlOverride>
    <w:lvlOverride w:ilvl="3">
      <w:lvl w:ilvl="3" w:tplc="2D14B246">
        <w:start w:val="1"/>
        <w:numFmt w:val="decimal"/>
        <w:lvlText w:val="(%4)"/>
        <w:lvlJc w:val="left"/>
        <w:pPr>
          <w:ind w:left="3960" w:hanging="360"/>
        </w:pPr>
        <w:rPr>
          <w:rFonts w:hint="default"/>
        </w:rPr>
      </w:lvl>
    </w:lvlOverride>
    <w:lvlOverride w:ilvl="4">
      <w:lvl w:ilvl="4" w:tplc="B0728440">
        <w:start w:val="1"/>
        <w:numFmt w:val="lowerLetter"/>
        <w:lvlText w:val="(%5)"/>
        <w:lvlJc w:val="left"/>
        <w:pPr>
          <w:ind w:left="4320" w:hanging="360"/>
        </w:pPr>
        <w:rPr>
          <w:rFonts w:hint="default"/>
        </w:rPr>
      </w:lvl>
    </w:lvlOverride>
    <w:lvlOverride w:ilvl="5">
      <w:lvl w:ilvl="5" w:tplc="0D2CAEA8">
        <w:start w:val="1"/>
        <w:numFmt w:val="lowerRoman"/>
        <w:lvlText w:val="(%6)"/>
        <w:lvlJc w:val="left"/>
        <w:pPr>
          <w:ind w:left="4680" w:hanging="360"/>
        </w:pPr>
        <w:rPr>
          <w:rFonts w:hint="default"/>
        </w:rPr>
      </w:lvl>
    </w:lvlOverride>
    <w:lvlOverride w:ilvl="6">
      <w:lvl w:ilvl="6" w:tplc="CDEA3D7A">
        <w:start w:val="1"/>
        <w:numFmt w:val="decimal"/>
        <w:lvlText w:val="%7."/>
        <w:lvlJc w:val="left"/>
        <w:pPr>
          <w:ind w:left="5040" w:hanging="360"/>
        </w:pPr>
        <w:rPr>
          <w:rFonts w:hint="default"/>
        </w:rPr>
      </w:lvl>
    </w:lvlOverride>
    <w:lvlOverride w:ilvl="7">
      <w:lvl w:ilvl="7" w:tplc="CB5868CC">
        <w:start w:val="1"/>
        <w:numFmt w:val="lowerLetter"/>
        <w:lvlText w:val="%8."/>
        <w:lvlJc w:val="left"/>
        <w:pPr>
          <w:ind w:left="5400" w:hanging="360"/>
        </w:pPr>
        <w:rPr>
          <w:rFonts w:hint="default"/>
        </w:rPr>
      </w:lvl>
    </w:lvlOverride>
    <w:lvlOverride w:ilvl="8">
      <w:lvl w:ilvl="8" w:tplc="ED3E1F3C">
        <w:start w:val="1"/>
        <w:numFmt w:val="lowerRoman"/>
        <w:lvlText w:val="%9."/>
        <w:lvlJc w:val="left"/>
        <w:pPr>
          <w:ind w:left="5760" w:hanging="360"/>
        </w:pPr>
        <w:rPr>
          <w:rFonts w:hint="default"/>
        </w:rPr>
      </w:lvl>
    </w:lvlOverride>
  </w:num>
  <w:num w:numId="11">
    <w:abstractNumId w:val="8"/>
  </w:num>
  <w:num w:numId="12">
    <w:abstractNumId w:val="18"/>
  </w:num>
  <w:num w:numId="13">
    <w:abstractNumId w:val="9"/>
  </w:num>
  <w:num w:numId="14">
    <w:abstractNumId w:val="29"/>
  </w:num>
  <w:num w:numId="15">
    <w:abstractNumId w:val="32"/>
  </w:num>
  <w:num w:numId="16">
    <w:abstractNumId w:val="55"/>
  </w:num>
  <w:num w:numId="17">
    <w:abstractNumId w:val="58"/>
  </w:num>
  <w:num w:numId="18">
    <w:abstractNumId w:val="4"/>
  </w:num>
  <w:num w:numId="19">
    <w:abstractNumId w:val="53"/>
  </w:num>
  <w:num w:numId="20">
    <w:abstractNumId w:val="21"/>
  </w:num>
  <w:num w:numId="21">
    <w:abstractNumId w:val="26"/>
  </w:num>
  <w:num w:numId="22">
    <w:abstractNumId w:val="47"/>
  </w:num>
  <w:num w:numId="23">
    <w:abstractNumId w:val="34"/>
  </w:num>
  <w:num w:numId="24">
    <w:abstractNumId w:val="39"/>
  </w:num>
  <w:num w:numId="25">
    <w:abstractNumId w:val="20"/>
  </w:num>
  <w:num w:numId="26">
    <w:abstractNumId w:val="38"/>
  </w:num>
  <w:num w:numId="27">
    <w:abstractNumId w:val="49"/>
  </w:num>
  <w:num w:numId="28">
    <w:abstractNumId w:val="5"/>
  </w:num>
  <w:num w:numId="29">
    <w:abstractNumId w:val="28"/>
  </w:num>
  <w:num w:numId="30">
    <w:abstractNumId w:val="17"/>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4"/>
  </w:num>
  <w:num w:numId="34">
    <w:abstractNumId w:val="46"/>
  </w:num>
  <w:num w:numId="35">
    <w:abstractNumId w:val="48"/>
  </w:num>
  <w:num w:numId="36">
    <w:abstractNumId w:val="32"/>
    <w:lvlOverride w:ilvl="0">
      <w:lvl w:ilvl="0" w:tplc="8D4ACFF4">
        <w:start w:val="1"/>
        <w:numFmt w:val="upperLetter"/>
        <w:lvlText w:val="Appendix %1"/>
        <w:lvlJc w:val="left"/>
        <w:pPr>
          <w:tabs>
            <w:tab w:val="num" w:pos="2552"/>
          </w:tabs>
          <w:ind w:left="2552" w:hanging="2552"/>
        </w:pPr>
        <w:rPr>
          <w:rFonts w:ascii="Arial" w:hAnsi="Arial" w:hint="default"/>
          <w:b/>
          <w:color w:val="auto"/>
          <w:sz w:val="44"/>
        </w:rPr>
      </w:lvl>
    </w:lvlOverride>
    <w:lvlOverride w:ilvl="1">
      <w:lvl w:ilvl="1" w:tplc="0C090019">
        <w:start w:val="1"/>
        <w:numFmt w:val="decimal"/>
        <w:lvlText w:val="%1.%2"/>
        <w:lvlJc w:val="left"/>
        <w:pPr>
          <w:tabs>
            <w:tab w:val="num" w:pos="9611"/>
          </w:tabs>
          <w:ind w:left="9611" w:hanging="680"/>
        </w:pPr>
        <w:rPr>
          <w:rFonts w:ascii="Arial" w:hAnsi="Arial" w:hint="default"/>
          <w:b/>
          <w:color w:val="auto"/>
          <w:sz w:val="28"/>
        </w:rPr>
      </w:lvl>
    </w:lvlOverride>
    <w:lvlOverride w:ilvl="2">
      <w:lvl w:ilvl="2" w:tplc="0C09001B">
        <w:start w:val="1"/>
        <w:numFmt w:val="decimal"/>
        <w:lvlText w:val="%1.%2.%3"/>
        <w:lvlJc w:val="left"/>
        <w:pPr>
          <w:tabs>
            <w:tab w:val="num" w:pos="1815"/>
          </w:tabs>
          <w:ind w:left="1815" w:hanging="680"/>
        </w:pPr>
        <w:rPr>
          <w:rFonts w:ascii="Arial" w:hAnsi="Arial" w:hint="default"/>
          <w:b/>
          <w:color w:val="auto"/>
          <w:sz w:val="24"/>
        </w:rPr>
      </w:lvl>
    </w:lvlOverride>
    <w:lvlOverride w:ilvl="3">
      <w:lvl w:ilvl="3" w:tplc="0C09000F">
        <w:start w:val="1"/>
        <w:numFmt w:val="decimal"/>
        <w:lvlText w:val="(%4)"/>
        <w:lvlJc w:val="left"/>
        <w:pPr>
          <w:ind w:left="3960" w:hanging="360"/>
        </w:pPr>
        <w:rPr>
          <w:rFonts w:hint="default"/>
        </w:rPr>
      </w:lvl>
    </w:lvlOverride>
    <w:lvlOverride w:ilvl="4">
      <w:lvl w:ilvl="4" w:tplc="0C090019">
        <w:start w:val="1"/>
        <w:numFmt w:val="lowerLetter"/>
        <w:lvlText w:val="(%5)"/>
        <w:lvlJc w:val="left"/>
        <w:pPr>
          <w:ind w:left="4320" w:hanging="360"/>
        </w:pPr>
        <w:rPr>
          <w:rFonts w:hint="default"/>
        </w:rPr>
      </w:lvl>
    </w:lvlOverride>
    <w:lvlOverride w:ilvl="5">
      <w:lvl w:ilvl="5" w:tplc="0C09001B">
        <w:start w:val="1"/>
        <w:numFmt w:val="lowerRoman"/>
        <w:lvlText w:val="(%6)"/>
        <w:lvlJc w:val="left"/>
        <w:pPr>
          <w:ind w:left="4680" w:hanging="360"/>
        </w:pPr>
        <w:rPr>
          <w:rFonts w:hint="default"/>
        </w:rPr>
      </w:lvl>
    </w:lvlOverride>
    <w:lvlOverride w:ilvl="6">
      <w:lvl w:ilvl="6" w:tplc="0C09000F">
        <w:start w:val="1"/>
        <w:numFmt w:val="decimal"/>
        <w:lvlText w:val="%7."/>
        <w:lvlJc w:val="left"/>
        <w:pPr>
          <w:ind w:left="5040" w:hanging="360"/>
        </w:pPr>
        <w:rPr>
          <w:rFonts w:hint="default"/>
        </w:rPr>
      </w:lvl>
    </w:lvlOverride>
    <w:lvlOverride w:ilvl="7">
      <w:lvl w:ilvl="7" w:tplc="0C090019">
        <w:start w:val="1"/>
        <w:numFmt w:val="lowerLetter"/>
        <w:lvlText w:val="%8."/>
        <w:lvlJc w:val="left"/>
        <w:pPr>
          <w:ind w:left="5400" w:hanging="360"/>
        </w:pPr>
        <w:rPr>
          <w:rFonts w:hint="default"/>
        </w:rPr>
      </w:lvl>
    </w:lvlOverride>
    <w:lvlOverride w:ilvl="8">
      <w:lvl w:ilvl="8" w:tplc="0C09001B">
        <w:start w:val="1"/>
        <w:numFmt w:val="lowerRoman"/>
        <w:lvlText w:val="%9."/>
        <w:lvlJc w:val="left"/>
        <w:pPr>
          <w:ind w:left="5760" w:hanging="360"/>
        </w:pPr>
        <w:rPr>
          <w:rFonts w:hint="default"/>
        </w:rPr>
      </w:lvl>
    </w:lvlOverride>
  </w:num>
  <w:num w:numId="37">
    <w:abstractNumId w:val="3"/>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36"/>
  </w:num>
  <w:num w:numId="41">
    <w:abstractNumId w:val="19"/>
  </w:num>
  <w:num w:numId="42">
    <w:abstractNumId w:val="46"/>
  </w:num>
  <w:num w:numId="43">
    <w:abstractNumId w:val="46"/>
    <w:lvlOverride w:ilvl="0">
      <w:startOverride w:val="1"/>
    </w:lvlOverride>
  </w:num>
  <w:num w:numId="44">
    <w:abstractNumId w:val="46"/>
    <w:lvlOverride w:ilvl="0">
      <w:startOverride w:val="1"/>
    </w:lvlOverride>
  </w:num>
  <w:num w:numId="45">
    <w:abstractNumId w:val="0"/>
    <w:lvlOverride w:ilvl="0">
      <w:lvl w:ilvl="0">
        <w:start w:val="1"/>
        <w:numFmt w:val="upperLetter"/>
        <w:pStyle w:val="Heading1"/>
        <w:lvlText w:val="Appendix %1"/>
        <w:lvlJc w:val="left"/>
        <w:pPr>
          <w:tabs>
            <w:tab w:val="num" w:pos="2552"/>
          </w:tabs>
          <w:ind w:left="2552" w:hanging="2552"/>
        </w:pPr>
        <w:rPr>
          <w:rFonts w:ascii="Arial" w:hAnsi="Arial" w:hint="default"/>
          <w:b/>
          <w:color w:val="auto"/>
          <w:sz w:val="44"/>
        </w:rPr>
      </w:lvl>
    </w:lvlOverride>
    <w:lvlOverride w:ilvl="1">
      <w:lvl w:ilvl="1">
        <w:start w:val="1"/>
        <w:numFmt w:val="decimal"/>
        <w:pStyle w:val="Heading2"/>
        <w:lvlText w:val="%1.%2"/>
        <w:lvlJc w:val="left"/>
        <w:pPr>
          <w:tabs>
            <w:tab w:val="num" w:pos="9611"/>
          </w:tabs>
          <w:ind w:left="9611" w:hanging="680"/>
        </w:pPr>
        <w:rPr>
          <w:rFonts w:ascii="Arial" w:hAnsi="Arial" w:hint="default"/>
          <w:b/>
          <w:color w:val="auto"/>
          <w:sz w:val="28"/>
        </w:rPr>
      </w:lvl>
    </w:lvlOverride>
    <w:lvlOverride w:ilvl="2">
      <w:lvl w:ilvl="2">
        <w:start w:val="1"/>
        <w:numFmt w:val="decimal"/>
        <w:pStyle w:val="Heading3"/>
        <w:lvlText w:val="%1.%2.%3"/>
        <w:lvlJc w:val="left"/>
        <w:pPr>
          <w:tabs>
            <w:tab w:val="num" w:pos="1815"/>
          </w:tabs>
          <w:ind w:left="1815" w:hanging="680"/>
        </w:pPr>
        <w:rPr>
          <w:rFonts w:ascii="Arial" w:hAnsi="Arial" w:hint="default"/>
          <w:b/>
          <w:color w:val="auto"/>
          <w:sz w:val="24"/>
        </w:rPr>
      </w:lvl>
    </w:lvlOverride>
    <w:lvlOverride w:ilvl="3">
      <w:lvl w:ilvl="3">
        <w:start w:val="1"/>
        <w:numFmt w:val="decimal"/>
        <w:pStyle w:val="Heading4"/>
        <w:lvlText w:val="(%4)"/>
        <w:lvlJc w:val="left"/>
        <w:pPr>
          <w:ind w:left="3960" w:hanging="360"/>
        </w:pPr>
        <w:rPr>
          <w:rFonts w:hint="default"/>
        </w:rPr>
      </w:lvl>
    </w:lvlOverride>
    <w:lvlOverride w:ilvl="4">
      <w:lvl w:ilvl="4">
        <w:start w:val="1"/>
        <w:numFmt w:val="lowerLetter"/>
        <w:pStyle w:val="Heading5"/>
        <w:lvlText w:val="(%5)"/>
        <w:lvlJc w:val="left"/>
        <w:pPr>
          <w:ind w:left="4320" w:hanging="360"/>
        </w:pPr>
        <w:rPr>
          <w:rFonts w:hint="default"/>
        </w:rPr>
      </w:lvl>
    </w:lvlOverride>
    <w:lvlOverride w:ilvl="5">
      <w:lvl w:ilvl="5">
        <w:start w:val="1"/>
        <w:numFmt w:val="lowerRoman"/>
        <w:pStyle w:val="Heading6"/>
        <w:lvlText w:val="(%6)"/>
        <w:lvlJc w:val="left"/>
        <w:pPr>
          <w:ind w:left="4680" w:hanging="360"/>
        </w:pPr>
        <w:rPr>
          <w:rFonts w:hint="default"/>
        </w:rPr>
      </w:lvl>
    </w:lvlOverride>
    <w:lvlOverride w:ilvl="6">
      <w:lvl w:ilvl="6">
        <w:start w:val="1"/>
        <w:numFmt w:val="decimal"/>
        <w:pStyle w:val="Heading7"/>
        <w:lvlText w:val="%7."/>
        <w:lvlJc w:val="left"/>
        <w:pPr>
          <w:ind w:left="5040" w:hanging="360"/>
        </w:pPr>
        <w:rPr>
          <w:rFonts w:hint="default"/>
        </w:rPr>
      </w:lvl>
    </w:lvlOverride>
    <w:lvlOverride w:ilvl="7">
      <w:lvl w:ilvl="7">
        <w:start w:val="1"/>
        <w:numFmt w:val="lowerLetter"/>
        <w:pStyle w:val="Heading8"/>
        <w:lvlText w:val="%8."/>
        <w:lvlJc w:val="left"/>
        <w:pPr>
          <w:ind w:left="5400" w:hanging="360"/>
        </w:pPr>
        <w:rPr>
          <w:rFonts w:hint="default"/>
        </w:rPr>
      </w:lvl>
    </w:lvlOverride>
    <w:lvlOverride w:ilvl="8">
      <w:lvl w:ilvl="8">
        <w:start w:val="1"/>
        <w:numFmt w:val="lowerRoman"/>
        <w:pStyle w:val="Heading9"/>
        <w:lvlText w:val="%9."/>
        <w:lvlJc w:val="left"/>
        <w:pPr>
          <w:ind w:left="5760" w:hanging="360"/>
        </w:pPr>
        <w:rPr>
          <w:rFonts w:hint="default"/>
        </w:rPr>
      </w:lvl>
    </w:lvlOverride>
  </w:num>
  <w:num w:numId="46">
    <w:abstractNumId w:val="54"/>
  </w:num>
  <w:num w:numId="47">
    <w:abstractNumId w:val="54"/>
  </w:num>
  <w:num w:numId="48">
    <w:abstractNumId w:val="54"/>
  </w:num>
  <w:num w:numId="49">
    <w:abstractNumId w:val="54"/>
  </w:num>
  <w:num w:numId="50">
    <w:abstractNumId w:val="54"/>
  </w:num>
  <w:num w:numId="51">
    <w:abstractNumId w:val="42"/>
  </w:num>
  <w:num w:numId="52">
    <w:abstractNumId w:val="57"/>
  </w:num>
  <w:num w:numId="53">
    <w:abstractNumId w:val="45"/>
  </w:num>
  <w:num w:numId="54">
    <w:abstractNumId w:val="10"/>
    <w:lvlOverride w:ilvl="0">
      <w:startOverride w:val="1"/>
    </w:lvlOverride>
  </w:num>
  <w:num w:numId="55">
    <w:abstractNumId w:val="22"/>
  </w:num>
  <w:num w:numId="56">
    <w:abstractNumId w:val="46"/>
    <w:lvlOverride w:ilvl="0">
      <w:startOverride w:val="1"/>
    </w:lvlOverride>
  </w:num>
  <w:num w:numId="57">
    <w:abstractNumId w:val="16"/>
  </w:num>
  <w:num w:numId="58">
    <w:abstractNumId w:val="7"/>
  </w:num>
  <w:num w:numId="59">
    <w:abstractNumId w:val="13"/>
  </w:num>
  <w:num w:numId="60">
    <w:abstractNumId w:val="43"/>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num>
  <w:num w:numId="63">
    <w:abstractNumId w:val="31"/>
    <w:lvlOverride w:ilvl="0">
      <w:lvl w:ilvl="0" w:tplc="862A9F34">
        <w:start w:val="1"/>
        <w:numFmt w:val="upperLetter"/>
        <w:pStyle w:val="Head1-Appendix"/>
        <w:lvlText w:val="Appendix %1"/>
        <w:lvlJc w:val="left"/>
        <w:pPr>
          <w:tabs>
            <w:tab w:val="num" w:pos="2694"/>
          </w:tabs>
          <w:ind w:left="2694" w:hanging="2552"/>
        </w:pPr>
        <w:rPr>
          <w:rFonts w:ascii="Arial" w:hAnsi="Arial" w:hint="default"/>
          <w:b/>
          <w:color w:val="auto"/>
          <w:sz w:val="44"/>
        </w:rPr>
      </w:lvl>
    </w:lvlOverride>
    <w:lvlOverride w:ilvl="1">
      <w:lvl w:ilvl="1" w:tplc="FD5C6324">
        <w:start w:val="1"/>
        <w:numFmt w:val="decimal"/>
        <w:lvlText w:val="%1.%2"/>
        <w:lvlJc w:val="left"/>
        <w:pPr>
          <w:tabs>
            <w:tab w:val="num" w:pos="822"/>
          </w:tabs>
          <w:ind w:left="822" w:hanging="680"/>
        </w:pPr>
        <w:rPr>
          <w:rFonts w:ascii="Arial" w:hAnsi="Arial" w:hint="default"/>
          <w:b/>
          <w:color w:val="auto"/>
          <w:sz w:val="28"/>
        </w:rPr>
      </w:lvl>
    </w:lvlOverride>
    <w:lvlOverride w:ilvl="2">
      <w:lvl w:ilvl="2" w:tplc="C1CE9EDE">
        <w:start w:val="1"/>
        <w:numFmt w:val="decimal"/>
        <w:lvlText w:val="%1.%2.%3"/>
        <w:lvlJc w:val="left"/>
        <w:pPr>
          <w:tabs>
            <w:tab w:val="num" w:pos="822"/>
          </w:tabs>
          <w:ind w:left="822" w:hanging="680"/>
        </w:pPr>
        <w:rPr>
          <w:rFonts w:ascii="Arial" w:hAnsi="Arial" w:hint="default"/>
          <w:b/>
          <w:color w:val="auto"/>
          <w:sz w:val="24"/>
        </w:rPr>
      </w:lvl>
    </w:lvlOverride>
  </w:num>
  <w:num w:numId="64">
    <w:abstractNumId w:val="10"/>
    <w:lvlOverride w:ilvl="0">
      <w:startOverride w:val="1"/>
    </w:lvlOverride>
  </w:num>
  <w:num w:numId="65">
    <w:abstractNumId w:val="10"/>
    <w:lvlOverride w:ilvl="0">
      <w:startOverride w:val="1"/>
    </w:lvlOverride>
  </w:num>
  <w:num w:numId="66">
    <w:abstractNumId w:val="40"/>
  </w:num>
  <w:num w:numId="67">
    <w:abstractNumId w:val="40"/>
  </w:num>
  <w:num w:numId="68">
    <w:abstractNumId w:val="54"/>
  </w:num>
  <w:num w:numId="69">
    <w:abstractNumId w:val="54"/>
  </w:num>
  <w:num w:numId="70">
    <w:abstractNumId w:val="10"/>
    <w:lvlOverride w:ilvl="0">
      <w:startOverride w:val="1"/>
    </w:lvlOverride>
  </w:num>
  <w:num w:numId="71">
    <w:abstractNumId w:val="35"/>
  </w:num>
  <w:num w:numId="72">
    <w:abstractNumId w:val="51"/>
  </w:num>
  <w:num w:numId="73">
    <w:abstractNumId w:val="25"/>
  </w:num>
  <w:num w:numId="74">
    <w:abstractNumId w:val="46"/>
    <w:lvlOverride w:ilvl="0">
      <w:startOverride w:val="1"/>
    </w:lvlOverride>
  </w:num>
  <w:num w:numId="75">
    <w:abstractNumId w:val="33"/>
  </w:num>
  <w:num w:numId="76">
    <w:abstractNumId w:val="46"/>
    <w:lvlOverride w:ilvl="0">
      <w:startOverride w:val="1"/>
    </w:lvlOverride>
  </w:num>
  <w:num w:numId="77">
    <w:abstractNumId w:val="46"/>
    <w:lvlOverride w:ilvl="0">
      <w:startOverride w:val="1"/>
    </w:lvlOverride>
  </w:num>
  <w:num w:numId="78">
    <w:abstractNumId w:val="46"/>
    <w:lvlOverride w:ilvl="0">
      <w:startOverride w:val="1"/>
    </w:lvlOverride>
  </w:num>
  <w:num w:numId="79">
    <w:abstractNumId w:val="46"/>
    <w:lvlOverride w:ilvl="0">
      <w:startOverride w:val="1"/>
    </w:lvlOverride>
  </w:num>
  <w:num w:numId="80">
    <w:abstractNumId w:val="54"/>
  </w:num>
  <w:num w:numId="81">
    <w:abstractNumId w:val="54"/>
  </w:num>
  <w:num w:numId="82">
    <w:abstractNumId w:val="54"/>
  </w:num>
  <w:num w:numId="83">
    <w:abstractNumId w:val="54"/>
  </w:num>
  <w:num w:numId="84">
    <w:abstractNumId w:val="56"/>
  </w:num>
  <w:num w:numId="85">
    <w:abstractNumId w:val="27"/>
  </w:num>
  <w:num w:numId="86">
    <w:abstractNumId w:val="37"/>
  </w:num>
  <w:num w:numId="87">
    <w:abstractNumId w:val="1"/>
  </w:num>
  <w:num w:numId="88">
    <w:abstractNumId w:val="11"/>
  </w:num>
  <w:num w:numId="89">
    <w:abstractNumId w:val="54"/>
  </w:num>
  <w:num w:numId="90">
    <w:abstractNumId w:val="18"/>
  </w:num>
  <w:num w:numId="9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lvl w:ilvl="0">
        <w:start w:val="1"/>
        <w:numFmt w:val="upperLetter"/>
        <w:pStyle w:val="Heading1"/>
        <w:lvlText w:val="Appendix %1"/>
        <w:lvlJc w:val="left"/>
        <w:pPr>
          <w:tabs>
            <w:tab w:val="num" w:pos="2552"/>
          </w:tabs>
          <w:ind w:left="2552" w:hanging="2552"/>
        </w:pPr>
        <w:rPr>
          <w:rFonts w:ascii="Arial" w:hAnsi="Arial" w:hint="default"/>
          <w:b/>
          <w:color w:val="auto"/>
          <w:sz w:val="44"/>
        </w:rPr>
      </w:lvl>
    </w:lvlOverride>
    <w:lvlOverride w:ilvl="1">
      <w:lvl w:ilvl="1">
        <w:start w:val="1"/>
        <w:numFmt w:val="decimal"/>
        <w:pStyle w:val="Heading2"/>
        <w:lvlText w:val="%1.%2"/>
        <w:lvlJc w:val="left"/>
        <w:pPr>
          <w:tabs>
            <w:tab w:val="num" w:pos="9611"/>
          </w:tabs>
          <w:ind w:left="9611" w:hanging="680"/>
        </w:pPr>
        <w:rPr>
          <w:rFonts w:ascii="Arial" w:hAnsi="Arial" w:hint="default"/>
          <w:b/>
          <w:color w:val="auto"/>
          <w:sz w:val="28"/>
        </w:rPr>
      </w:lvl>
    </w:lvlOverride>
    <w:lvlOverride w:ilvl="2">
      <w:lvl w:ilvl="2">
        <w:numFmt w:val="decimal"/>
        <w:pStyle w:val="Heading3"/>
        <w:lvlText w:val="%1.%2.%3"/>
        <w:lvlJc w:val="left"/>
        <w:pPr>
          <w:tabs>
            <w:tab w:val="num" w:pos="1815"/>
          </w:tabs>
          <w:ind w:left="1815" w:hanging="680"/>
        </w:pPr>
        <w:rPr>
          <w:b/>
          <w:color w:val="auto"/>
          <w:sz w:val="24"/>
        </w:rPr>
      </w:lvl>
    </w:lvlOverride>
    <w:lvlOverride w:ilvl="3">
      <w:lvl w:ilvl="3">
        <w:start w:val="1"/>
        <w:numFmt w:val="decimal"/>
        <w:pStyle w:val="Heading4"/>
        <w:lvlText w:val="(%4)"/>
        <w:lvlJc w:val="left"/>
        <w:pPr>
          <w:ind w:left="3960" w:hanging="360"/>
        </w:pPr>
        <w:rPr>
          <w:rFonts w:hint="default"/>
        </w:rPr>
      </w:lvl>
    </w:lvlOverride>
    <w:lvlOverride w:ilvl="4">
      <w:lvl w:ilvl="4">
        <w:start w:val="1"/>
        <w:numFmt w:val="lowerLetter"/>
        <w:pStyle w:val="Heading5"/>
        <w:lvlText w:val="(%5)"/>
        <w:lvlJc w:val="left"/>
        <w:pPr>
          <w:ind w:left="4320" w:hanging="360"/>
        </w:pPr>
        <w:rPr>
          <w:rFonts w:hint="default"/>
        </w:rPr>
      </w:lvl>
    </w:lvlOverride>
    <w:lvlOverride w:ilvl="5">
      <w:lvl w:ilvl="5">
        <w:start w:val="1"/>
        <w:numFmt w:val="lowerRoman"/>
        <w:pStyle w:val="Heading6"/>
        <w:lvlText w:val="(%6)"/>
        <w:lvlJc w:val="left"/>
        <w:pPr>
          <w:ind w:left="4680" w:hanging="360"/>
        </w:pPr>
        <w:rPr>
          <w:rFonts w:hint="default"/>
        </w:rPr>
      </w:lvl>
    </w:lvlOverride>
    <w:lvlOverride w:ilvl="6">
      <w:lvl w:ilvl="6">
        <w:start w:val="1"/>
        <w:numFmt w:val="decimal"/>
        <w:pStyle w:val="Heading7"/>
        <w:lvlText w:val="%7."/>
        <w:lvlJc w:val="left"/>
        <w:pPr>
          <w:ind w:left="5040" w:hanging="360"/>
        </w:pPr>
        <w:rPr>
          <w:rFonts w:hint="default"/>
        </w:rPr>
      </w:lvl>
    </w:lvlOverride>
    <w:lvlOverride w:ilvl="7">
      <w:lvl w:ilvl="7">
        <w:start w:val="1"/>
        <w:numFmt w:val="lowerLetter"/>
        <w:pStyle w:val="Heading8"/>
        <w:lvlText w:val="%8."/>
        <w:lvlJc w:val="left"/>
        <w:pPr>
          <w:ind w:left="5400" w:hanging="360"/>
        </w:pPr>
        <w:rPr>
          <w:rFonts w:hint="default"/>
        </w:rPr>
      </w:lvl>
    </w:lvlOverride>
    <w:lvlOverride w:ilvl="8">
      <w:lvl w:ilvl="8">
        <w:start w:val="1"/>
        <w:numFmt w:val="lowerRoman"/>
        <w:pStyle w:val="Heading9"/>
        <w:lvlText w:val="%9."/>
        <w:lvlJc w:val="left"/>
        <w:pPr>
          <w:ind w:left="5760" w:hanging="360"/>
        </w:pPr>
        <w:rPr>
          <w:rFonts w:hint="default"/>
        </w:rPr>
      </w:lvl>
    </w:lvlOverride>
  </w:num>
  <w:num w:numId="93">
    <w:abstractNumId w:val="41"/>
  </w:num>
  <w:num w:numId="94">
    <w:abstractNumId w:val="54"/>
  </w:num>
  <w:num w:numId="95">
    <w:abstractNumId w:val="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printFractionalCharacterWidth/>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efaultTableStyle w:val="NTCtable"/>
  <w:displayHorizontalDrawingGridEvery w:val="0"/>
  <w:displayVerticalDrawingGridEvery w:val="0"/>
  <w:doNotUseMarginsForDrawingGridOrigin/>
  <w:doNotShadeFormData/>
  <w:noPunctuationKerning/>
  <w:characterSpacingControl w:val="doNotCompress"/>
  <w:hdrShapeDefaults>
    <o:shapedefaults v:ext="edit" spidmax="2056" fillcolor="white" stroke="f" strokecolor="blue">
      <v:fill color="white"/>
      <v:stroke color="blu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AB3"/>
    <w:rsid w:val="0000037B"/>
    <w:rsid w:val="000003DE"/>
    <w:rsid w:val="000004D9"/>
    <w:rsid w:val="00000544"/>
    <w:rsid w:val="000005BB"/>
    <w:rsid w:val="000005CF"/>
    <w:rsid w:val="00000632"/>
    <w:rsid w:val="000009B0"/>
    <w:rsid w:val="00000AA6"/>
    <w:rsid w:val="00000EB3"/>
    <w:rsid w:val="00000ECF"/>
    <w:rsid w:val="00000F74"/>
    <w:rsid w:val="00000FE9"/>
    <w:rsid w:val="0000138D"/>
    <w:rsid w:val="000013D7"/>
    <w:rsid w:val="00001546"/>
    <w:rsid w:val="000016B5"/>
    <w:rsid w:val="00001B4A"/>
    <w:rsid w:val="00001CA6"/>
    <w:rsid w:val="00001CE4"/>
    <w:rsid w:val="00001E2A"/>
    <w:rsid w:val="0000200D"/>
    <w:rsid w:val="00002013"/>
    <w:rsid w:val="00002298"/>
    <w:rsid w:val="00002653"/>
    <w:rsid w:val="000026C3"/>
    <w:rsid w:val="000029E7"/>
    <w:rsid w:val="00002A25"/>
    <w:rsid w:val="00002AB7"/>
    <w:rsid w:val="00002B06"/>
    <w:rsid w:val="00002C0F"/>
    <w:rsid w:val="00002E46"/>
    <w:rsid w:val="00002F2E"/>
    <w:rsid w:val="00002FC1"/>
    <w:rsid w:val="0000343B"/>
    <w:rsid w:val="00003616"/>
    <w:rsid w:val="000037E9"/>
    <w:rsid w:val="000038C5"/>
    <w:rsid w:val="0000396C"/>
    <w:rsid w:val="0000398B"/>
    <w:rsid w:val="00003F97"/>
    <w:rsid w:val="00004025"/>
    <w:rsid w:val="00004220"/>
    <w:rsid w:val="0000442C"/>
    <w:rsid w:val="0000465E"/>
    <w:rsid w:val="000046E1"/>
    <w:rsid w:val="0000485B"/>
    <w:rsid w:val="0000486E"/>
    <w:rsid w:val="0000490C"/>
    <w:rsid w:val="00004A2E"/>
    <w:rsid w:val="00004B80"/>
    <w:rsid w:val="00004C26"/>
    <w:rsid w:val="00004D14"/>
    <w:rsid w:val="00004D6A"/>
    <w:rsid w:val="0000505B"/>
    <w:rsid w:val="00005098"/>
    <w:rsid w:val="00005274"/>
    <w:rsid w:val="0000534D"/>
    <w:rsid w:val="00005986"/>
    <w:rsid w:val="000059FB"/>
    <w:rsid w:val="00005B07"/>
    <w:rsid w:val="00005B5C"/>
    <w:rsid w:val="00005B98"/>
    <w:rsid w:val="00005BC0"/>
    <w:rsid w:val="00005D19"/>
    <w:rsid w:val="00005E14"/>
    <w:rsid w:val="00006231"/>
    <w:rsid w:val="0000649A"/>
    <w:rsid w:val="0000658E"/>
    <w:rsid w:val="0000673E"/>
    <w:rsid w:val="00006E65"/>
    <w:rsid w:val="00006F0C"/>
    <w:rsid w:val="00007266"/>
    <w:rsid w:val="00007557"/>
    <w:rsid w:val="000075B0"/>
    <w:rsid w:val="00007633"/>
    <w:rsid w:val="0000789C"/>
    <w:rsid w:val="000078D4"/>
    <w:rsid w:val="00007A3D"/>
    <w:rsid w:val="00007A7B"/>
    <w:rsid w:val="00007FAA"/>
    <w:rsid w:val="0001003B"/>
    <w:rsid w:val="000101D3"/>
    <w:rsid w:val="000101EF"/>
    <w:rsid w:val="00010414"/>
    <w:rsid w:val="00010674"/>
    <w:rsid w:val="000107E6"/>
    <w:rsid w:val="000109A1"/>
    <w:rsid w:val="000109EA"/>
    <w:rsid w:val="00010A2D"/>
    <w:rsid w:val="00010C09"/>
    <w:rsid w:val="00010C7B"/>
    <w:rsid w:val="00010DC4"/>
    <w:rsid w:val="00010E7E"/>
    <w:rsid w:val="00010F25"/>
    <w:rsid w:val="000112FB"/>
    <w:rsid w:val="00011462"/>
    <w:rsid w:val="000114EA"/>
    <w:rsid w:val="000116FE"/>
    <w:rsid w:val="00011A6C"/>
    <w:rsid w:val="00011CAE"/>
    <w:rsid w:val="00011E39"/>
    <w:rsid w:val="00011FC9"/>
    <w:rsid w:val="000120EE"/>
    <w:rsid w:val="00012275"/>
    <w:rsid w:val="0001229E"/>
    <w:rsid w:val="000122C9"/>
    <w:rsid w:val="000123C3"/>
    <w:rsid w:val="0001265A"/>
    <w:rsid w:val="0001267E"/>
    <w:rsid w:val="000126FD"/>
    <w:rsid w:val="00012816"/>
    <w:rsid w:val="000129F4"/>
    <w:rsid w:val="00012AF7"/>
    <w:rsid w:val="00012B19"/>
    <w:rsid w:val="00012B3C"/>
    <w:rsid w:val="00012C3E"/>
    <w:rsid w:val="00012C69"/>
    <w:rsid w:val="00012CD9"/>
    <w:rsid w:val="00012D7C"/>
    <w:rsid w:val="00012D82"/>
    <w:rsid w:val="00012ECD"/>
    <w:rsid w:val="000132B7"/>
    <w:rsid w:val="00013315"/>
    <w:rsid w:val="00013690"/>
    <w:rsid w:val="000136A9"/>
    <w:rsid w:val="000136E9"/>
    <w:rsid w:val="000137E2"/>
    <w:rsid w:val="00014090"/>
    <w:rsid w:val="000142C9"/>
    <w:rsid w:val="00014643"/>
    <w:rsid w:val="00014728"/>
    <w:rsid w:val="0001502E"/>
    <w:rsid w:val="000150C7"/>
    <w:rsid w:val="0001514E"/>
    <w:rsid w:val="00015402"/>
    <w:rsid w:val="000154F0"/>
    <w:rsid w:val="000155B8"/>
    <w:rsid w:val="00015D73"/>
    <w:rsid w:val="00016526"/>
    <w:rsid w:val="0001688C"/>
    <w:rsid w:val="00016924"/>
    <w:rsid w:val="00016BAC"/>
    <w:rsid w:val="00016D1D"/>
    <w:rsid w:val="00017375"/>
    <w:rsid w:val="000174C9"/>
    <w:rsid w:val="00017AD1"/>
    <w:rsid w:val="00017B9C"/>
    <w:rsid w:val="00017FBA"/>
    <w:rsid w:val="00020331"/>
    <w:rsid w:val="0002047E"/>
    <w:rsid w:val="00020B37"/>
    <w:rsid w:val="00020C14"/>
    <w:rsid w:val="00020D95"/>
    <w:rsid w:val="00020DB7"/>
    <w:rsid w:val="00020E1B"/>
    <w:rsid w:val="00020EE7"/>
    <w:rsid w:val="000210D8"/>
    <w:rsid w:val="00021196"/>
    <w:rsid w:val="000211A3"/>
    <w:rsid w:val="0002177C"/>
    <w:rsid w:val="0002178E"/>
    <w:rsid w:val="000217C1"/>
    <w:rsid w:val="00021823"/>
    <w:rsid w:val="00021B1C"/>
    <w:rsid w:val="00021CA3"/>
    <w:rsid w:val="00021ED5"/>
    <w:rsid w:val="00022007"/>
    <w:rsid w:val="00022094"/>
    <w:rsid w:val="00022324"/>
    <w:rsid w:val="0002235D"/>
    <w:rsid w:val="0002240C"/>
    <w:rsid w:val="00022457"/>
    <w:rsid w:val="000224D7"/>
    <w:rsid w:val="0002255E"/>
    <w:rsid w:val="00022AC9"/>
    <w:rsid w:val="00022B54"/>
    <w:rsid w:val="00022C90"/>
    <w:rsid w:val="00022D13"/>
    <w:rsid w:val="00022FB2"/>
    <w:rsid w:val="000230D6"/>
    <w:rsid w:val="000235EC"/>
    <w:rsid w:val="000237FD"/>
    <w:rsid w:val="000238CB"/>
    <w:rsid w:val="00023B45"/>
    <w:rsid w:val="00023DA0"/>
    <w:rsid w:val="00023E9E"/>
    <w:rsid w:val="0002407D"/>
    <w:rsid w:val="000241C3"/>
    <w:rsid w:val="0002426C"/>
    <w:rsid w:val="000242F0"/>
    <w:rsid w:val="000244C0"/>
    <w:rsid w:val="000245AD"/>
    <w:rsid w:val="000247BC"/>
    <w:rsid w:val="000248BD"/>
    <w:rsid w:val="00024979"/>
    <w:rsid w:val="000249EB"/>
    <w:rsid w:val="00024AC0"/>
    <w:rsid w:val="00024AD4"/>
    <w:rsid w:val="00024BFC"/>
    <w:rsid w:val="00024C58"/>
    <w:rsid w:val="00024DFB"/>
    <w:rsid w:val="000251F5"/>
    <w:rsid w:val="00025312"/>
    <w:rsid w:val="00025317"/>
    <w:rsid w:val="00025329"/>
    <w:rsid w:val="00025388"/>
    <w:rsid w:val="00025923"/>
    <w:rsid w:val="00025A2B"/>
    <w:rsid w:val="00025AAF"/>
    <w:rsid w:val="00025AEB"/>
    <w:rsid w:val="00025BC2"/>
    <w:rsid w:val="00025D1A"/>
    <w:rsid w:val="00025E52"/>
    <w:rsid w:val="0002609F"/>
    <w:rsid w:val="000260B3"/>
    <w:rsid w:val="000261A2"/>
    <w:rsid w:val="0002627B"/>
    <w:rsid w:val="000262AE"/>
    <w:rsid w:val="000262D6"/>
    <w:rsid w:val="00026414"/>
    <w:rsid w:val="0002646A"/>
    <w:rsid w:val="00026E22"/>
    <w:rsid w:val="00026F91"/>
    <w:rsid w:val="000270BB"/>
    <w:rsid w:val="0002714F"/>
    <w:rsid w:val="00027411"/>
    <w:rsid w:val="000274AA"/>
    <w:rsid w:val="00027731"/>
    <w:rsid w:val="00027804"/>
    <w:rsid w:val="00027B8D"/>
    <w:rsid w:val="00027E9B"/>
    <w:rsid w:val="00027F3D"/>
    <w:rsid w:val="00027F70"/>
    <w:rsid w:val="000300F7"/>
    <w:rsid w:val="00030147"/>
    <w:rsid w:val="0003047A"/>
    <w:rsid w:val="000309F7"/>
    <w:rsid w:val="00030A62"/>
    <w:rsid w:val="00030B46"/>
    <w:rsid w:val="00030B5A"/>
    <w:rsid w:val="00030BE4"/>
    <w:rsid w:val="00030CA4"/>
    <w:rsid w:val="00030D03"/>
    <w:rsid w:val="00030FEB"/>
    <w:rsid w:val="00031426"/>
    <w:rsid w:val="00031797"/>
    <w:rsid w:val="00031841"/>
    <w:rsid w:val="00031AE4"/>
    <w:rsid w:val="00031AF9"/>
    <w:rsid w:val="00031C3F"/>
    <w:rsid w:val="00031DC5"/>
    <w:rsid w:val="00031E28"/>
    <w:rsid w:val="000321BC"/>
    <w:rsid w:val="000321D5"/>
    <w:rsid w:val="00032294"/>
    <w:rsid w:val="00032328"/>
    <w:rsid w:val="000323FF"/>
    <w:rsid w:val="00032442"/>
    <w:rsid w:val="00032499"/>
    <w:rsid w:val="0003249D"/>
    <w:rsid w:val="000327A5"/>
    <w:rsid w:val="000328B3"/>
    <w:rsid w:val="00032B71"/>
    <w:rsid w:val="00032F5C"/>
    <w:rsid w:val="00033028"/>
    <w:rsid w:val="00033112"/>
    <w:rsid w:val="0003323B"/>
    <w:rsid w:val="00033424"/>
    <w:rsid w:val="0003343E"/>
    <w:rsid w:val="0003354B"/>
    <w:rsid w:val="0003362A"/>
    <w:rsid w:val="000336EF"/>
    <w:rsid w:val="00033756"/>
    <w:rsid w:val="00033AC4"/>
    <w:rsid w:val="00033AE3"/>
    <w:rsid w:val="00033F4C"/>
    <w:rsid w:val="00034114"/>
    <w:rsid w:val="000341A3"/>
    <w:rsid w:val="00034253"/>
    <w:rsid w:val="00034476"/>
    <w:rsid w:val="0003498D"/>
    <w:rsid w:val="00034E3B"/>
    <w:rsid w:val="000352E2"/>
    <w:rsid w:val="0003566E"/>
    <w:rsid w:val="000358ED"/>
    <w:rsid w:val="00035A51"/>
    <w:rsid w:val="00035B7F"/>
    <w:rsid w:val="00035BE8"/>
    <w:rsid w:val="00035C82"/>
    <w:rsid w:val="00035E77"/>
    <w:rsid w:val="000362DF"/>
    <w:rsid w:val="000368CA"/>
    <w:rsid w:val="0003699F"/>
    <w:rsid w:val="00036A70"/>
    <w:rsid w:val="00036C4F"/>
    <w:rsid w:val="00036D1B"/>
    <w:rsid w:val="00036FD5"/>
    <w:rsid w:val="000370BD"/>
    <w:rsid w:val="0003735D"/>
    <w:rsid w:val="000373F5"/>
    <w:rsid w:val="00037549"/>
    <w:rsid w:val="00037718"/>
    <w:rsid w:val="000377C3"/>
    <w:rsid w:val="00037825"/>
    <w:rsid w:val="00037923"/>
    <w:rsid w:val="0004019F"/>
    <w:rsid w:val="0004058A"/>
    <w:rsid w:val="00040D6D"/>
    <w:rsid w:val="000411D6"/>
    <w:rsid w:val="000414BE"/>
    <w:rsid w:val="000415EC"/>
    <w:rsid w:val="00041AB1"/>
    <w:rsid w:val="00041B8D"/>
    <w:rsid w:val="00041C8C"/>
    <w:rsid w:val="00041FCF"/>
    <w:rsid w:val="000420DE"/>
    <w:rsid w:val="00042483"/>
    <w:rsid w:val="000424C9"/>
    <w:rsid w:val="000427CC"/>
    <w:rsid w:val="000429B0"/>
    <w:rsid w:val="00042A54"/>
    <w:rsid w:val="00043195"/>
    <w:rsid w:val="000433D4"/>
    <w:rsid w:val="00043525"/>
    <w:rsid w:val="0004356B"/>
    <w:rsid w:val="0004362F"/>
    <w:rsid w:val="000438D3"/>
    <w:rsid w:val="00043DD3"/>
    <w:rsid w:val="00043F12"/>
    <w:rsid w:val="00043F32"/>
    <w:rsid w:val="00044063"/>
    <w:rsid w:val="00044351"/>
    <w:rsid w:val="00044C52"/>
    <w:rsid w:val="00044D0B"/>
    <w:rsid w:val="00044D9B"/>
    <w:rsid w:val="00044DB4"/>
    <w:rsid w:val="00045356"/>
    <w:rsid w:val="000456A0"/>
    <w:rsid w:val="00045757"/>
    <w:rsid w:val="00045877"/>
    <w:rsid w:val="00045A49"/>
    <w:rsid w:val="00045BC5"/>
    <w:rsid w:val="00045C88"/>
    <w:rsid w:val="00045D9B"/>
    <w:rsid w:val="000467C0"/>
    <w:rsid w:val="00046C31"/>
    <w:rsid w:val="00046DA7"/>
    <w:rsid w:val="00046EE2"/>
    <w:rsid w:val="0004717D"/>
    <w:rsid w:val="0004734F"/>
    <w:rsid w:val="0004745D"/>
    <w:rsid w:val="00047564"/>
    <w:rsid w:val="000478C9"/>
    <w:rsid w:val="000479B7"/>
    <w:rsid w:val="00047D7A"/>
    <w:rsid w:val="00047F6B"/>
    <w:rsid w:val="00050026"/>
    <w:rsid w:val="00050307"/>
    <w:rsid w:val="00050575"/>
    <w:rsid w:val="000505EF"/>
    <w:rsid w:val="00050705"/>
    <w:rsid w:val="000509A9"/>
    <w:rsid w:val="00050A6D"/>
    <w:rsid w:val="00050B1B"/>
    <w:rsid w:val="00050BEF"/>
    <w:rsid w:val="00050C39"/>
    <w:rsid w:val="00050FD9"/>
    <w:rsid w:val="00051020"/>
    <w:rsid w:val="000512C5"/>
    <w:rsid w:val="00051754"/>
    <w:rsid w:val="000517FC"/>
    <w:rsid w:val="00051841"/>
    <w:rsid w:val="00051A8A"/>
    <w:rsid w:val="00051EC4"/>
    <w:rsid w:val="00052077"/>
    <w:rsid w:val="000520C0"/>
    <w:rsid w:val="000523D5"/>
    <w:rsid w:val="000524D2"/>
    <w:rsid w:val="000526B0"/>
    <w:rsid w:val="000528C8"/>
    <w:rsid w:val="00052A0C"/>
    <w:rsid w:val="00052AE1"/>
    <w:rsid w:val="00052C7D"/>
    <w:rsid w:val="00052D7C"/>
    <w:rsid w:val="00052E2F"/>
    <w:rsid w:val="000531D3"/>
    <w:rsid w:val="000532DC"/>
    <w:rsid w:val="00053425"/>
    <w:rsid w:val="00053B22"/>
    <w:rsid w:val="00053EAC"/>
    <w:rsid w:val="00053EE5"/>
    <w:rsid w:val="00054499"/>
    <w:rsid w:val="00054638"/>
    <w:rsid w:val="0005466C"/>
    <w:rsid w:val="00054784"/>
    <w:rsid w:val="000548BF"/>
    <w:rsid w:val="0005497F"/>
    <w:rsid w:val="0005498A"/>
    <w:rsid w:val="00054A63"/>
    <w:rsid w:val="00054C27"/>
    <w:rsid w:val="00054C4E"/>
    <w:rsid w:val="00054C5E"/>
    <w:rsid w:val="00055141"/>
    <w:rsid w:val="00055245"/>
    <w:rsid w:val="00055603"/>
    <w:rsid w:val="00055731"/>
    <w:rsid w:val="0005593A"/>
    <w:rsid w:val="0005598E"/>
    <w:rsid w:val="00055A7D"/>
    <w:rsid w:val="00055DB3"/>
    <w:rsid w:val="00055ECD"/>
    <w:rsid w:val="0005606A"/>
    <w:rsid w:val="00056235"/>
    <w:rsid w:val="000562EA"/>
    <w:rsid w:val="000564F0"/>
    <w:rsid w:val="0005650A"/>
    <w:rsid w:val="00056635"/>
    <w:rsid w:val="0005674D"/>
    <w:rsid w:val="00056853"/>
    <w:rsid w:val="000568CB"/>
    <w:rsid w:val="00056A70"/>
    <w:rsid w:val="00056B1B"/>
    <w:rsid w:val="00057184"/>
    <w:rsid w:val="000572D7"/>
    <w:rsid w:val="00057454"/>
    <w:rsid w:val="000576AA"/>
    <w:rsid w:val="0005773B"/>
    <w:rsid w:val="00057E42"/>
    <w:rsid w:val="00057FBA"/>
    <w:rsid w:val="000600B4"/>
    <w:rsid w:val="000600CC"/>
    <w:rsid w:val="000600F4"/>
    <w:rsid w:val="000602AD"/>
    <w:rsid w:val="000602B6"/>
    <w:rsid w:val="0006037B"/>
    <w:rsid w:val="00060AFD"/>
    <w:rsid w:val="00060C6B"/>
    <w:rsid w:val="00060C80"/>
    <w:rsid w:val="00060C83"/>
    <w:rsid w:val="00060E7F"/>
    <w:rsid w:val="0006126E"/>
    <w:rsid w:val="00061306"/>
    <w:rsid w:val="0006154A"/>
    <w:rsid w:val="000618A7"/>
    <w:rsid w:val="00061A93"/>
    <w:rsid w:val="00061BF7"/>
    <w:rsid w:val="00061C10"/>
    <w:rsid w:val="00061CA6"/>
    <w:rsid w:val="00061DCF"/>
    <w:rsid w:val="00061DE2"/>
    <w:rsid w:val="00061DE6"/>
    <w:rsid w:val="00062518"/>
    <w:rsid w:val="000625C1"/>
    <w:rsid w:val="00062724"/>
    <w:rsid w:val="00062A22"/>
    <w:rsid w:val="00062F0A"/>
    <w:rsid w:val="00062F2F"/>
    <w:rsid w:val="00062FFA"/>
    <w:rsid w:val="00063006"/>
    <w:rsid w:val="00063046"/>
    <w:rsid w:val="00063050"/>
    <w:rsid w:val="000631AB"/>
    <w:rsid w:val="0006375B"/>
    <w:rsid w:val="0006389B"/>
    <w:rsid w:val="00063B13"/>
    <w:rsid w:val="00063C72"/>
    <w:rsid w:val="00063CBA"/>
    <w:rsid w:val="00063D98"/>
    <w:rsid w:val="00063E90"/>
    <w:rsid w:val="00063EA6"/>
    <w:rsid w:val="00064130"/>
    <w:rsid w:val="000643B3"/>
    <w:rsid w:val="000643FB"/>
    <w:rsid w:val="000646AA"/>
    <w:rsid w:val="000646D9"/>
    <w:rsid w:val="00064808"/>
    <w:rsid w:val="00064932"/>
    <w:rsid w:val="00064C28"/>
    <w:rsid w:val="000652D2"/>
    <w:rsid w:val="000657A3"/>
    <w:rsid w:val="000657FD"/>
    <w:rsid w:val="00065915"/>
    <w:rsid w:val="00065AB6"/>
    <w:rsid w:val="00065BCA"/>
    <w:rsid w:val="00065C90"/>
    <w:rsid w:val="000660B4"/>
    <w:rsid w:val="000662E5"/>
    <w:rsid w:val="00066438"/>
    <w:rsid w:val="000665C0"/>
    <w:rsid w:val="00066679"/>
    <w:rsid w:val="000666BB"/>
    <w:rsid w:val="00066873"/>
    <w:rsid w:val="000668D9"/>
    <w:rsid w:val="00066B57"/>
    <w:rsid w:val="00066E0E"/>
    <w:rsid w:val="00067359"/>
    <w:rsid w:val="00067448"/>
    <w:rsid w:val="00067501"/>
    <w:rsid w:val="000675AF"/>
    <w:rsid w:val="00067ABB"/>
    <w:rsid w:val="00067C52"/>
    <w:rsid w:val="00067D3E"/>
    <w:rsid w:val="00067DA8"/>
    <w:rsid w:val="00070430"/>
    <w:rsid w:val="0007050A"/>
    <w:rsid w:val="00070537"/>
    <w:rsid w:val="00070771"/>
    <w:rsid w:val="00070834"/>
    <w:rsid w:val="00070900"/>
    <w:rsid w:val="00070B4A"/>
    <w:rsid w:val="00070C27"/>
    <w:rsid w:val="00070C9E"/>
    <w:rsid w:val="00070F1C"/>
    <w:rsid w:val="00071088"/>
    <w:rsid w:val="000710B1"/>
    <w:rsid w:val="0007116C"/>
    <w:rsid w:val="00071213"/>
    <w:rsid w:val="00071438"/>
    <w:rsid w:val="0007147D"/>
    <w:rsid w:val="0007158A"/>
    <w:rsid w:val="00071962"/>
    <w:rsid w:val="00071A86"/>
    <w:rsid w:val="00071B53"/>
    <w:rsid w:val="00071C13"/>
    <w:rsid w:val="00071C45"/>
    <w:rsid w:val="00071DD3"/>
    <w:rsid w:val="00071E46"/>
    <w:rsid w:val="00071EA8"/>
    <w:rsid w:val="00071ED9"/>
    <w:rsid w:val="00072213"/>
    <w:rsid w:val="00072639"/>
    <w:rsid w:val="000727BE"/>
    <w:rsid w:val="000728BC"/>
    <w:rsid w:val="0007296D"/>
    <w:rsid w:val="00072989"/>
    <w:rsid w:val="00072A22"/>
    <w:rsid w:val="00072ABC"/>
    <w:rsid w:val="00072C55"/>
    <w:rsid w:val="00072D31"/>
    <w:rsid w:val="00072DAE"/>
    <w:rsid w:val="00072EBF"/>
    <w:rsid w:val="00072F2A"/>
    <w:rsid w:val="00073039"/>
    <w:rsid w:val="0007312A"/>
    <w:rsid w:val="00073246"/>
    <w:rsid w:val="0007345E"/>
    <w:rsid w:val="000739D7"/>
    <w:rsid w:val="00073F25"/>
    <w:rsid w:val="000740A0"/>
    <w:rsid w:val="000742D1"/>
    <w:rsid w:val="000743D3"/>
    <w:rsid w:val="00074490"/>
    <w:rsid w:val="000744F4"/>
    <w:rsid w:val="00074981"/>
    <w:rsid w:val="00074A3A"/>
    <w:rsid w:val="00074BE3"/>
    <w:rsid w:val="00074D43"/>
    <w:rsid w:val="00075059"/>
    <w:rsid w:val="00075065"/>
    <w:rsid w:val="000752D8"/>
    <w:rsid w:val="000757E2"/>
    <w:rsid w:val="00075BD3"/>
    <w:rsid w:val="00075CF8"/>
    <w:rsid w:val="00075DCB"/>
    <w:rsid w:val="000761C3"/>
    <w:rsid w:val="0007638B"/>
    <w:rsid w:val="000765C1"/>
    <w:rsid w:val="000765D6"/>
    <w:rsid w:val="0007689F"/>
    <w:rsid w:val="00076C2D"/>
    <w:rsid w:val="00076D6E"/>
    <w:rsid w:val="0007715A"/>
    <w:rsid w:val="000771F0"/>
    <w:rsid w:val="000772FC"/>
    <w:rsid w:val="0007750B"/>
    <w:rsid w:val="00077644"/>
    <w:rsid w:val="00077A58"/>
    <w:rsid w:val="00077A7F"/>
    <w:rsid w:val="00077F9E"/>
    <w:rsid w:val="000805A1"/>
    <w:rsid w:val="0008071E"/>
    <w:rsid w:val="0008081D"/>
    <w:rsid w:val="00080990"/>
    <w:rsid w:val="00080D1B"/>
    <w:rsid w:val="00080D61"/>
    <w:rsid w:val="00081014"/>
    <w:rsid w:val="00081192"/>
    <w:rsid w:val="000812AC"/>
    <w:rsid w:val="00081624"/>
    <w:rsid w:val="00081661"/>
    <w:rsid w:val="000816C3"/>
    <w:rsid w:val="00081BEA"/>
    <w:rsid w:val="00081C6A"/>
    <w:rsid w:val="00081DB8"/>
    <w:rsid w:val="00081EDF"/>
    <w:rsid w:val="00081F80"/>
    <w:rsid w:val="00082045"/>
    <w:rsid w:val="000820DD"/>
    <w:rsid w:val="000822E8"/>
    <w:rsid w:val="000823AB"/>
    <w:rsid w:val="000827CD"/>
    <w:rsid w:val="000829D2"/>
    <w:rsid w:val="00082B81"/>
    <w:rsid w:val="00082C96"/>
    <w:rsid w:val="00082DF8"/>
    <w:rsid w:val="00082E90"/>
    <w:rsid w:val="00083178"/>
    <w:rsid w:val="000833AB"/>
    <w:rsid w:val="000837C8"/>
    <w:rsid w:val="00083E09"/>
    <w:rsid w:val="00083E36"/>
    <w:rsid w:val="00084002"/>
    <w:rsid w:val="00084050"/>
    <w:rsid w:val="0008436D"/>
    <w:rsid w:val="000843C3"/>
    <w:rsid w:val="0008441E"/>
    <w:rsid w:val="000849CF"/>
    <w:rsid w:val="00084A3E"/>
    <w:rsid w:val="00084AFF"/>
    <w:rsid w:val="00084CCA"/>
    <w:rsid w:val="00084E5A"/>
    <w:rsid w:val="00084EA9"/>
    <w:rsid w:val="0008506F"/>
    <w:rsid w:val="000851E2"/>
    <w:rsid w:val="0008535D"/>
    <w:rsid w:val="00085448"/>
    <w:rsid w:val="0008589F"/>
    <w:rsid w:val="00085D50"/>
    <w:rsid w:val="000860B1"/>
    <w:rsid w:val="000861A9"/>
    <w:rsid w:val="0008655A"/>
    <w:rsid w:val="0008699D"/>
    <w:rsid w:val="00086C84"/>
    <w:rsid w:val="00086D2F"/>
    <w:rsid w:val="00086DEF"/>
    <w:rsid w:val="00086E8A"/>
    <w:rsid w:val="000870E2"/>
    <w:rsid w:val="0008765C"/>
    <w:rsid w:val="00087722"/>
    <w:rsid w:val="000877E0"/>
    <w:rsid w:val="00087BCE"/>
    <w:rsid w:val="00087E75"/>
    <w:rsid w:val="00087EBA"/>
    <w:rsid w:val="00087FAC"/>
    <w:rsid w:val="00087FE3"/>
    <w:rsid w:val="00087FE4"/>
    <w:rsid w:val="00090603"/>
    <w:rsid w:val="000906B1"/>
    <w:rsid w:val="00090890"/>
    <w:rsid w:val="00090A72"/>
    <w:rsid w:val="00090CC4"/>
    <w:rsid w:val="00090D04"/>
    <w:rsid w:val="00090FD0"/>
    <w:rsid w:val="0009112A"/>
    <w:rsid w:val="000911B1"/>
    <w:rsid w:val="00091385"/>
    <w:rsid w:val="000913A2"/>
    <w:rsid w:val="0009175E"/>
    <w:rsid w:val="00091880"/>
    <w:rsid w:val="00091966"/>
    <w:rsid w:val="00091B11"/>
    <w:rsid w:val="00091BB5"/>
    <w:rsid w:val="00091BFE"/>
    <w:rsid w:val="00091E47"/>
    <w:rsid w:val="00091EC4"/>
    <w:rsid w:val="00091EFE"/>
    <w:rsid w:val="00092177"/>
    <w:rsid w:val="00092376"/>
    <w:rsid w:val="0009246C"/>
    <w:rsid w:val="00092481"/>
    <w:rsid w:val="0009276B"/>
    <w:rsid w:val="00092978"/>
    <w:rsid w:val="00092C07"/>
    <w:rsid w:val="00092C71"/>
    <w:rsid w:val="00092C83"/>
    <w:rsid w:val="00092CAB"/>
    <w:rsid w:val="000930C7"/>
    <w:rsid w:val="00093119"/>
    <w:rsid w:val="00093283"/>
    <w:rsid w:val="000934A9"/>
    <w:rsid w:val="00093509"/>
    <w:rsid w:val="0009357D"/>
    <w:rsid w:val="00093696"/>
    <w:rsid w:val="00093722"/>
    <w:rsid w:val="0009372B"/>
    <w:rsid w:val="0009377B"/>
    <w:rsid w:val="00093789"/>
    <w:rsid w:val="000937AF"/>
    <w:rsid w:val="000938A7"/>
    <w:rsid w:val="00093A18"/>
    <w:rsid w:val="00093A25"/>
    <w:rsid w:val="00093C53"/>
    <w:rsid w:val="00093D46"/>
    <w:rsid w:val="00093DF6"/>
    <w:rsid w:val="00093E4A"/>
    <w:rsid w:val="00093FDD"/>
    <w:rsid w:val="00094359"/>
    <w:rsid w:val="000944D8"/>
    <w:rsid w:val="000947C2"/>
    <w:rsid w:val="00094872"/>
    <w:rsid w:val="00094880"/>
    <w:rsid w:val="00094CC7"/>
    <w:rsid w:val="00094DBE"/>
    <w:rsid w:val="00094F45"/>
    <w:rsid w:val="0009537E"/>
    <w:rsid w:val="000953F5"/>
    <w:rsid w:val="00095616"/>
    <w:rsid w:val="00095742"/>
    <w:rsid w:val="00095984"/>
    <w:rsid w:val="00095A1E"/>
    <w:rsid w:val="00095CE4"/>
    <w:rsid w:val="00095D0B"/>
    <w:rsid w:val="00096022"/>
    <w:rsid w:val="00096063"/>
    <w:rsid w:val="000963D7"/>
    <w:rsid w:val="0009648E"/>
    <w:rsid w:val="00096A8B"/>
    <w:rsid w:val="00096CEA"/>
    <w:rsid w:val="00096FD7"/>
    <w:rsid w:val="0009700D"/>
    <w:rsid w:val="00097231"/>
    <w:rsid w:val="0009726C"/>
    <w:rsid w:val="0009732C"/>
    <w:rsid w:val="000973D8"/>
    <w:rsid w:val="000974C6"/>
    <w:rsid w:val="0009762A"/>
    <w:rsid w:val="0009793B"/>
    <w:rsid w:val="00097AC5"/>
    <w:rsid w:val="00097B19"/>
    <w:rsid w:val="00097BF7"/>
    <w:rsid w:val="00097C4D"/>
    <w:rsid w:val="00097D47"/>
    <w:rsid w:val="00097F36"/>
    <w:rsid w:val="00097F99"/>
    <w:rsid w:val="00097FA0"/>
    <w:rsid w:val="000A0087"/>
    <w:rsid w:val="000A0414"/>
    <w:rsid w:val="000A070F"/>
    <w:rsid w:val="000A07E5"/>
    <w:rsid w:val="000A0812"/>
    <w:rsid w:val="000A10D3"/>
    <w:rsid w:val="000A121B"/>
    <w:rsid w:val="000A1603"/>
    <w:rsid w:val="000A19B0"/>
    <w:rsid w:val="000A1B86"/>
    <w:rsid w:val="000A1CEA"/>
    <w:rsid w:val="000A21C0"/>
    <w:rsid w:val="000A239F"/>
    <w:rsid w:val="000A23D9"/>
    <w:rsid w:val="000A2627"/>
    <w:rsid w:val="000A292F"/>
    <w:rsid w:val="000A2C04"/>
    <w:rsid w:val="000A2F8C"/>
    <w:rsid w:val="000A2FA8"/>
    <w:rsid w:val="000A30BB"/>
    <w:rsid w:val="000A3720"/>
    <w:rsid w:val="000A37DA"/>
    <w:rsid w:val="000A3823"/>
    <w:rsid w:val="000A38E5"/>
    <w:rsid w:val="000A3BCD"/>
    <w:rsid w:val="000A4026"/>
    <w:rsid w:val="000A4620"/>
    <w:rsid w:val="000A4DC7"/>
    <w:rsid w:val="000A5381"/>
    <w:rsid w:val="000A560F"/>
    <w:rsid w:val="000A5AA0"/>
    <w:rsid w:val="000A5AA3"/>
    <w:rsid w:val="000A5BB4"/>
    <w:rsid w:val="000A5F76"/>
    <w:rsid w:val="000A5FDD"/>
    <w:rsid w:val="000A62DD"/>
    <w:rsid w:val="000A6871"/>
    <w:rsid w:val="000A6972"/>
    <w:rsid w:val="000A698A"/>
    <w:rsid w:val="000A6A4E"/>
    <w:rsid w:val="000A6A88"/>
    <w:rsid w:val="000A6B53"/>
    <w:rsid w:val="000A6BF6"/>
    <w:rsid w:val="000A703E"/>
    <w:rsid w:val="000A7273"/>
    <w:rsid w:val="000A7398"/>
    <w:rsid w:val="000A7445"/>
    <w:rsid w:val="000A7451"/>
    <w:rsid w:val="000A776F"/>
    <w:rsid w:val="000A7779"/>
    <w:rsid w:val="000A77FB"/>
    <w:rsid w:val="000A77FD"/>
    <w:rsid w:val="000A7991"/>
    <w:rsid w:val="000A7AD1"/>
    <w:rsid w:val="000A7B66"/>
    <w:rsid w:val="000A7EE9"/>
    <w:rsid w:val="000B0029"/>
    <w:rsid w:val="000B00DE"/>
    <w:rsid w:val="000B029A"/>
    <w:rsid w:val="000B05D3"/>
    <w:rsid w:val="000B09FB"/>
    <w:rsid w:val="000B0AB8"/>
    <w:rsid w:val="000B0C3B"/>
    <w:rsid w:val="000B0C4D"/>
    <w:rsid w:val="000B0D12"/>
    <w:rsid w:val="000B0EC1"/>
    <w:rsid w:val="000B10B0"/>
    <w:rsid w:val="000B18EB"/>
    <w:rsid w:val="000B1A52"/>
    <w:rsid w:val="000B1BC9"/>
    <w:rsid w:val="000B1D06"/>
    <w:rsid w:val="000B1DA7"/>
    <w:rsid w:val="000B209A"/>
    <w:rsid w:val="000B2141"/>
    <w:rsid w:val="000B219B"/>
    <w:rsid w:val="000B21DB"/>
    <w:rsid w:val="000B2473"/>
    <w:rsid w:val="000B29C1"/>
    <w:rsid w:val="000B2A16"/>
    <w:rsid w:val="000B2B0B"/>
    <w:rsid w:val="000B2B57"/>
    <w:rsid w:val="000B2B6B"/>
    <w:rsid w:val="000B2C2C"/>
    <w:rsid w:val="000B2F94"/>
    <w:rsid w:val="000B2FCA"/>
    <w:rsid w:val="000B303F"/>
    <w:rsid w:val="000B31E4"/>
    <w:rsid w:val="000B3842"/>
    <w:rsid w:val="000B386B"/>
    <w:rsid w:val="000B3B81"/>
    <w:rsid w:val="000B3BFB"/>
    <w:rsid w:val="000B40B5"/>
    <w:rsid w:val="000B4210"/>
    <w:rsid w:val="000B4501"/>
    <w:rsid w:val="000B45E2"/>
    <w:rsid w:val="000B48C4"/>
    <w:rsid w:val="000B4BB1"/>
    <w:rsid w:val="000B4CAD"/>
    <w:rsid w:val="000B5294"/>
    <w:rsid w:val="000B5617"/>
    <w:rsid w:val="000B5718"/>
    <w:rsid w:val="000B58E5"/>
    <w:rsid w:val="000B59EC"/>
    <w:rsid w:val="000B608A"/>
    <w:rsid w:val="000B60A2"/>
    <w:rsid w:val="000B60DA"/>
    <w:rsid w:val="000B6167"/>
    <w:rsid w:val="000B626C"/>
    <w:rsid w:val="000B6453"/>
    <w:rsid w:val="000B668F"/>
    <w:rsid w:val="000B66EC"/>
    <w:rsid w:val="000B6A89"/>
    <w:rsid w:val="000B6EA5"/>
    <w:rsid w:val="000B7342"/>
    <w:rsid w:val="000B73D2"/>
    <w:rsid w:val="000B7A8E"/>
    <w:rsid w:val="000B7AFC"/>
    <w:rsid w:val="000C0004"/>
    <w:rsid w:val="000C017E"/>
    <w:rsid w:val="000C034C"/>
    <w:rsid w:val="000C03BC"/>
    <w:rsid w:val="000C050A"/>
    <w:rsid w:val="000C07FB"/>
    <w:rsid w:val="000C091C"/>
    <w:rsid w:val="000C0974"/>
    <w:rsid w:val="000C0B06"/>
    <w:rsid w:val="000C0B4B"/>
    <w:rsid w:val="000C0D50"/>
    <w:rsid w:val="000C1088"/>
    <w:rsid w:val="000C12CC"/>
    <w:rsid w:val="000C12DC"/>
    <w:rsid w:val="000C1335"/>
    <w:rsid w:val="000C13F1"/>
    <w:rsid w:val="000C18FE"/>
    <w:rsid w:val="000C1CC3"/>
    <w:rsid w:val="000C1F6F"/>
    <w:rsid w:val="000C20B7"/>
    <w:rsid w:val="000C2377"/>
    <w:rsid w:val="000C246D"/>
    <w:rsid w:val="000C2635"/>
    <w:rsid w:val="000C28C2"/>
    <w:rsid w:val="000C2C34"/>
    <w:rsid w:val="000C2C90"/>
    <w:rsid w:val="000C2D53"/>
    <w:rsid w:val="000C2DAD"/>
    <w:rsid w:val="000C2E38"/>
    <w:rsid w:val="000C30C7"/>
    <w:rsid w:val="000C3240"/>
    <w:rsid w:val="000C332E"/>
    <w:rsid w:val="000C3479"/>
    <w:rsid w:val="000C34B9"/>
    <w:rsid w:val="000C34BD"/>
    <w:rsid w:val="000C3569"/>
    <w:rsid w:val="000C36CD"/>
    <w:rsid w:val="000C373A"/>
    <w:rsid w:val="000C3872"/>
    <w:rsid w:val="000C3961"/>
    <w:rsid w:val="000C39CE"/>
    <w:rsid w:val="000C3B27"/>
    <w:rsid w:val="000C3CAB"/>
    <w:rsid w:val="000C3F46"/>
    <w:rsid w:val="000C3FE0"/>
    <w:rsid w:val="000C41C0"/>
    <w:rsid w:val="000C47BC"/>
    <w:rsid w:val="000C4A46"/>
    <w:rsid w:val="000C4BFB"/>
    <w:rsid w:val="000C4DA1"/>
    <w:rsid w:val="000C4EF7"/>
    <w:rsid w:val="000C4F1C"/>
    <w:rsid w:val="000C4F4B"/>
    <w:rsid w:val="000C5122"/>
    <w:rsid w:val="000C5172"/>
    <w:rsid w:val="000C54D3"/>
    <w:rsid w:val="000C552C"/>
    <w:rsid w:val="000C5597"/>
    <w:rsid w:val="000C56CE"/>
    <w:rsid w:val="000C571B"/>
    <w:rsid w:val="000C59CD"/>
    <w:rsid w:val="000C5FCC"/>
    <w:rsid w:val="000C611A"/>
    <w:rsid w:val="000C639D"/>
    <w:rsid w:val="000C644D"/>
    <w:rsid w:val="000C647E"/>
    <w:rsid w:val="000C659B"/>
    <w:rsid w:val="000C6693"/>
    <w:rsid w:val="000C66D1"/>
    <w:rsid w:val="000C68C4"/>
    <w:rsid w:val="000C6D24"/>
    <w:rsid w:val="000C7172"/>
    <w:rsid w:val="000C7651"/>
    <w:rsid w:val="000C76B7"/>
    <w:rsid w:val="000C76DF"/>
    <w:rsid w:val="000C7745"/>
    <w:rsid w:val="000C7AC0"/>
    <w:rsid w:val="000C7C35"/>
    <w:rsid w:val="000D03CF"/>
    <w:rsid w:val="000D0409"/>
    <w:rsid w:val="000D0467"/>
    <w:rsid w:val="000D0591"/>
    <w:rsid w:val="000D0682"/>
    <w:rsid w:val="000D087C"/>
    <w:rsid w:val="000D0929"/>
    <w:rsid w:val="000D0AD4"/>
    <w:rsid w:val="000D0C73"/>
    <w:rsid w:val="000D0E30"/>
    <w:rsid w:val="000D0E8F"/>
    <w:rsid w:val="000D0F48"/>
    <w:rsid w:val="000D18D6"/>
    <w:rsid w:val="000D19A8"/>
    <w:rsid w:val="000D1C68"/>
    <w:rsid w:val="000D20FB"/>
    <w:rsid w:val="000D25A5"/>
    <w:rsid w:val="000D27AB"/>
    <w:rsid w:val="000D27B5"/>
    <w:rsid w:val="000D2C25"/>
    <w:rsid w:val="000D2CDD"/>
    <w:rsid w:val="000D2FAF"/>
    <w:rsid w:val="000D310C"/>
    <w:rsid w:val="000D327F"/>
    <w:rsid w:val="000D330B"/>
    <w:rsid w:val="000D3476"/>
    <w:rsid w:val="000D355C"/>
    <w:rsid w:val="000D3753"/>
    <w:rsid w:val="000D376B"/>
    <w:rsid w:val="000D3838"/>
    <w:rsid w:val="000D3DD2"/>
    <w:rsid w:val="000D40B5"/>
    <w:rsid w:val="000D4341"/>
    <w:rsid w:val="000D495C"/>
    <w:rsid w:val="000D4C17"/>
    <w:rsid w:val="000D4CF5"/>
    <w:rsid w:val="000D4F66"/>
    <w:rsid w:val="000D4F88"/>
    <w:rsid w:val="000D500E"/>
    <w:rsid w:val="000D5021"/>
    <w:rsid w:val="000D51FF"/>
    <w:rsid w:val="000D55E9"/>
    <w:rsid w:val="000D5A30"/>
    <w:rsid w:val="000D5ACD"/>
    <w:rsid w:val="000D5C8F"/>
    <w:rsid w:val="000D5DB4"/>
    <w:rsid w:val="000D5F90"/>
    <w:rsid w:val="000D67F9"/>
    <w:rsid w:val="000D681A"/>
    <w:rsid w:val="000D6877"/>
    <w:rsid w:val="000D6EF8"/>
    <w:rsid w:val="000D6EFF"/>
    <w:rsid w:val="000D6FE4"/>
    <w:rsid w:val="000D7181"/>
    <w:rsid w:val="000D73F7"/>
    <w:rsid w:val="000D7550"/>
    <w:rsid w:val="000D763F"/>
    <w:rsid w:val="000D77D7"/>
    <w:rsid w:val="000D7B46"/>
    <w:rsid w:val="000D7EE3"/>
    <w:rsid w:val="000D7F9F"/>
    <w:rsid w:val="000E033E"/>
    <w:rsid w:val="000E05B2"/>
    <w:rsid w:val="000E05E3"/>
    <w:rsid w:val="000E0738"/>
    <w:rsid w:val="000E08F3"/>
    <w:rsid w:val="000E08F8"/>
    <w:rsid w:val="000E0FCF"/>
    <w:rsid w:val="000E105D"/>
    <w:rsid w:val="000E123D"/>
    <w:rsid w:val="000E145D"/>
    <w:rsid w:val="000E14FF"/>
    <w:rsid w:val="000E1628"/>
    <w:rsid w:val="000E1721"/>
    <w:rsid w:val="000E18BC"/>
    <w:rsid w:val="000E1D02"/>
    <w:rsid w:val="000E1EB4"/>
    <w:rsid w:val="000E1F32"/>
    <w:rsid w:val="000E20E8"/>
    <w:rsid w:val="000E24A2"/>
    <w:rsid w:val="000E26A9"/>
    <w:rsid w:val="000E2808"/>
    <w:rsid w:val="000E2A0F"/>
    <w:rsid w:val="000E2A4A"/>
    <w:rsid w:val="000E2AC9"/>
    <w:rsid w:val="000E2AFD"/>
    <w:rsid w:val="000E3089"/>
    <w:rsid w:val="000E325A"/>
    <w:rsid w:val="000E3A6B"/>
    <w:rsid w:val="000E3C0F"/>
    <w:rsid w:val="000E3D9B"/>
    <w:rsid w:val="000E3F05"/>
    <w:rsid w:val="000E4330"/>
    <w:rsid w:val="000E43D6"/>
    <w:rsid w:val="000E4437"/>
    <w:rsid w:val="000E4481"/>
    <w:rsid w:val="000E4798"/>
    <w:rsid w:val="000E498F"/>
    <w:rsid w:val="000E49B4"/>
    <w:rsid w:val="000E4AAB"/>
    <w:rsid w:val="000E4BCB"/>
    <w:rsid w:val="000E503E"/>
    <w:rsid w:val="000E531C"/>
    <w:rsid w:val="000E555D"/>
    <w:rsid w:val="000E56D0"/>
    <w:rsid w:val="000E58CA"/>
    <w:rsid w:val="000E58FC"/>
    <w:rsid w:val="000E596F"/>
    <w:rsid w:val="000E5BD4"/>
    <w:rsid w:val="000E5FBE"/>
    <w:rsid w:val="000E6093"/>
    <w:rsid w:val="000E62EB"/>
    <w:rsid w:val="000E6BC9"/>
    <w:rsid w:val="000E6EBE"/>
    <w:rsid w:val="000E701D"/>
    <w:rsid w:val="000E71D9"/>
    <w:rsid w:val="000E733C"/>
    <w:rsid w:val="000E7356"/>
    <w:rsid w:val="000E7983"/>
    <w:rsid w:val="000E7F01"/>
    <w:rsid w:val="000E7F09"/>
    <w:rsid w:val="000F000A"/>
    <w:rsid w:val="000F015B"/>
    <w:rsid w:val="000F0299"/>
    <w:rsid w:val="000F02F5"/>
    <w:rsid w:val="000F03DF"/>
    <w:rsid w:val="000F0465"/>
    <w:rsid w:val="000F0874"/>
    <w:rsid w:val="000F0BD1"/>
    <w:rsid w:val="000F0FF6"/>
    <w:rsid w:val="000F1081"/>
    <w:rsid w:val="000F10F2"/>
    <w:rsid w:val="000F1178"/>
    <w:rsid w:val="000F13EC"/>
    <w:rsid w:val="000F1429"/>
    <w:rsid w:val="000F15A7"/>
    <w:rsid w:val="000F18D8"/>
    <w:rsid w:val="000F1EA7"/>
    <w:rsid w:val="000F1ECC"/>
    <w:rsid w:val="000F20FA"/>
    <w:rsid w:val="000F227E"/>
    <w:rsid w:val="000F273A"/>
    <w:rsid w:val="000F283D"/>
    <w:rsid w:val="000F30A8"/>
    <w:rsid w:val="000F30E1"/>
    <w:rsid w:val="000F3184"/>
    <w:rsid w:val="000F32C2"/>
    <w:rsid w:val="000F334C"/>
    <w:rsid w:val="000F344F"/>
    <w:rsid w:val="000F3559"/>
    <w:rsid w:val="000F3833"/>
    <w:rsid w:val="000F3915"/>
    <w:rsid w:val="000F3A59"/>
    <w:rsid w:val="000F3EB8"/>
    <w:rsid w:val="000F40FC"/>
    <w:rsid w:val="000F4395"/>
    <w:rsid w:val="000F44F4"/>
    <w:rsid w:val="000F4729"/>
    <w:rsid w:val="000F48AE"/>
    <w:rsid w:val="000F4AE4"/>
    <w:rsid w:val="000F4B96"/>
    <w:rsid w:val="000F4CCD"/>
    <w:rsid w:val="000F4D2A"/>
    <w:rsid w:val="000F4E79"/>
    <w:rsid w:val="000F523B"/>
    <w:rsid w:val="000F5492"/>
    <w:rsid w:val="000F56BF"/>
    <w:rsid w:val="000F5AF9"/>
    <w:rsid w:val="000F5B39"/>
    <w:rsid w:val="000F5ECD"/>
    <w:rsid w:val="000F5F19"/>
    <w:rsid w:val="000F6941"/>
    <w:rsid w:val="000F6A4D"/>
    <w:rsid w:val="000F6D3E"/>
    <w:rsid w:val="000F6DDE"/>
    <w:rsid w:val="000F702B"/>
    <w:rsid w:val="000F7050"/>
    <w:rsid w:val="000F713F"/>
    <w:rsid w:val="000F72E5"/>
    <w:rsid w:val="000F75EE"/>
    <w:rsid w:val="000F7616"/>
    <w:rsid w:val="000F7695"/>
    <w:rsid w:val="000F7779"/>
    <w:rsid w:val="000F792A"/>
    <w:rsid w:val="000F7BF4"/>
    <w:rsid w:val="000F7C09"/>
    <w:rsid w:val="000F7F83"/>
    <w:rsid w:val="00100080"/>
    <w:rsid w:val="0010010B"/>
    <w:rsid w:val="0010010F"/>
    <w:rsid w:val="00100115"/>
    <w:rsid w:val="001002FC"/>
    <w:rsid w:val="001004D2"/>
    <w:rsid w:val="00100648"/>
    <w:rsid w:val="001006DF"/>
    <w:rsid w:val="00100B19"/>
    <w:rsid w:val="00100B56"/>
    <w:rsid w:val="00100C38"/>
    <w:rsid w:val="00100D24"/>
    <w:rsid w:val="00100DC8"/>
    <w:rsid w:val="00100FBC"/>
    <w:rsid w:val="0010116D"/>
    <w:rsid w:val="00101429"/>
    <w:rsid w:val="001015AB"/>
    <w:rsid w:val="001019C9"/>
    <w:rsid w:val="001019FF"/>
    <w:rsid w:val="00101BE3"/>
    <w:rsid w:val="00101DD9"/>
    <w:rsid w:val="00101E39"/>
    <w:rsid w:val="00101E54"/>
    <w:rsid w:val="0010202B"/>
    <w:rsid w:val="00102067"/>
    <w:rsid w:val="00102091"/>
    <w:rsid w:val="001023FD"/>
    <w:rsid w:val="0010240D"/>
    <w:rsid w:val="00102489"/>
    <w:rsid w:val="00102537"/>
    <w:rsid w:val="00102771"/>
    <w:rsid w:val="0010300A"/>
    <w:rsid w:val="00103016"/>
    <w:rsid w:val="00103208"/>
    <w:rsid w:val="00103415"/>
    <w:rsid w:val="0010362D"/>
    <w:rsid w:val="00103877"/>
    <w:rsid w:val="0010390D"/>
    <w:rsid w:val="00103F29"/>
    <w:rsid w:val="00103F62"/>
    <w:rsid w:val="00104191"/>
    <w:rsid w:val="001041CD"/>
    <w:rsid w:val="001044AE"/>
    <w:rsid w:val="00104589"/>
    <w:rsid w:val="00104796"/>
    <w:rsid w:val="0010488A"/>
    <w:rsid w:val="001049E8"/>
    <w:rsid w:val="0010563A"/>
    <w:rsid w:val="00105841"/>
    <w:rsid w:val="00105AA3"/>
    <w:rsid w:val="00105AD3"/>
    <w:rsid w:val="00105E46"/>
    <w:rsid w:val="00105FD0"/>
    <w:rsid w:val="001064F7"/>
    <w:rsid w:val="0010656D"/>
    <w:rsid w:val="00106570"/>
    <w:rsid w:val="00106578"/>
    <w:rsid w:val="001065EE"/>
    <w:rsid w:val="0010667C"/>
    <w:rsid w:val="00106D4D"/>
    <w:rsid w:val="00106F45"/>
    <w:rsid w:val="00106FE7"/>
    <w:rsid w:val="00107220"/>
    <w:rsid w:val="00107276"/>
    <w:rsid w:val="001074CF"/>
    <w:rsid w:val="00107851"/>
    <w:rsid w:val="00107936"/>
    <w:rsid w:val="00107952"/>
    <w:rsid w:val="00107AB7"/>
    <w:rsid w:val="00110027"/>
    <w:rsid w:val="00110038"/>
    <w:rsid w:val="0011027E"/>
    <w:rsid w:val="001102EB"/>
    <w:rsid w:val="00110455"/>
    <w:rsid w:val="00110591"/>
    <w:rsid w:val="0011079E"/>
    <w:rsid w:val="001107AF"/>
    <w:rsid w:val="001108A8"/>
    <w:rsid w:val="00110C55"/>
    <w:rsid w:val="00110E60"/>
    <w:rsid w:val="0011100E"/>
    <w:rsid w:val="00111134"/>
    <w:rsid w:val="001115A2"/>
    <w:rsid w:val="00111A1F"/>
    <w:rsid w:val="00111AD1"/>
    <w:rsid w:val="00111E81"/>
    <w:rsid w:val="00112016"/>
    <w:rsid w:val="001121BF"/>
    <w:rsid w:val="001122AD"/>
    <w:rsid w:val="00112438"/>
    <w:rsid w:val="001124E5"/>
    <w:rsid w:val="001124F9"/>
    <w:rsid w:val="00112681"/>
    <w:rsid w:val="001126F5"/>
    <w:rsid w:val="00112823"/>
    <w:rsid w:val="0011285E"/>
    <w:rsid w:val="0011298F"/>
    <w:rsid w:val="00112B7E"/>
    <w:rsid w:val="00112C95"/>
    <w:rsid w:val="00112D1C"/>
    <w:rsid w:val="00113003"/>
    <w:rsid w:val="00113037"/>
    <w:rsid w:val="0011359F"/>
    <w:rsid w:val="0011390F"/>
    <w:rsid w:val="00113EA1"/>
    <w:rsid w:val="00113FA6"/>
    <w:rsid w:val="00114017"/>
    <w:rsid w:val="00114044"/>
    <w:rsid w:val="0011427E"/>
    <w:rsid w:val="001144DD"/>
    <w:rsid w:val="00114A42"/>
    <w:rsid w:val="00114C7C"/>
    <w:rsid w:val="00114E6D"/>
    <w:rsid w:val="00114E9F"/>
    <w:rsid w:val="00114FBD"/>
    <w:rsid w:val="00115082"/>
    <w:rsid w:val="0011534E"/>
    <w:rsid w:val="001156AD"/>
    <w:rsid w:val="00115841"/>
    <w:rsid w:val="00115879"/>
    <w:rsid w:val="00115880"/>
    <w:rsid w:val="001158BD"/>
    <w:rsid w:val="001158D5"/>
    <w:rsid w:val="00115D92"/>
    <w:rsid w:val="00115DC8"/>
    <w:rsid w:val="00115E64"/>
    <w:rsid w:val="00116193"/>
    <w:rsid w:val="001163D6"/>
    <w:rsid w:val="00116547"/>
    <w:rsid w:val="001169A7"/>
    <w:rsid w:val="00116C03"/>
    <w:rsid w:val="00116DFA"/>
    <w:rsid w:val="00116FC8"/>
    <w:rsid w:val="0011700F"/>
    <w:rsid w:val="00117278"/>
    <w:rsid w:val="001173AE"/>
    <w:rsid w:val="001175E5"/>
    <w:rsid w:val="001176C0"/>
    <w:rsid w:val="001177AA"/>
    <w:rsid w:val="00117994"/>
    <w:rsid w:val="001179DA"/>
    <w:rsid w:val="00117DA8"/>
    <w:rsid w:val="00117DEC"/>
    <w:rsid w:val="00117E44"/>
    <w:rsid w:val="001202ED"/>
    <w:rsid w:val="00120598"/>
    <w:rsid w:val="00120921"/>
    <w:rsid w:val="00120C2E"/>
    <w:rsid w:val="00120FB0"/>
    <w:rsid w:val="001215E4"/>
    <w:rsid w:val="00121820"/>
    <w:rsid w:val="00121A28"/>
    <w:rsid w:val="00121A65"/>
    <w:rsid w:val="00121C22"/>
    <w:rsid w:val="00121CD8"/>
    <w:rsid w:val="00122184"/>
    <w:rsid w:val="0012230F"/>
    <w:rsid w:val="001226C1"/>
    <w:rsid w:val="001227A9"/>
    <w:rsid w:val="0012296B"/>
    <w:rsid w:val="00122A4A"/>
    <w:rsid w:val="00122A90"/>
    <w:rsid w:val="00123074"/>
    <w:rsid w:val="001231A9"/>
    <w:rsid w:val="001231BD"/>
    <w:rsid w:val="00123259"/>
    <w:rsid w:val="001233C7"/>
    <w:rsid w:val="001239A3"/>
    <w:rsid w:val="00123C83"/>
    <w:rsid w:val="00123E5E"/>
    <w:rsid w:val="00123F31"/>
    <w:rsid w:val="0012401C"/>
    <w:rsid w:val="0012437D"/>
    <w:rsid w:val="00124519"/>
    <w:rsid w:val="0012462F"/>
    <w:rsid w:val="001246BF"/>
    <w:rsid w:val="00124831"/>
    <w:rsid w:val="00124B21"/>
    <w:rsid w:val="00124CB8"/>
    <w:rsid w:val="00124D79"/>
    <w:rsid w:val="001254FA"/>
    <w:rsid w:val="0012555E"/>
    <w:rsid w:val="00125700"/>
    <w:rsid w:val="00125A65"/>
    <w:rsid w:val="00125CE4"/>
    <w:rsid w:val="00125D9E"/>
    <w:rsid w:val="00125DBD"/>
    <w:rsid w:val="00125DFA"/>
    <w:rsid w:val="00125EE5"/>
    <w:rsid w:val="00125F0A"/>
    <w:rsid w:val="00126256"/>
    <w:rsid w:val="0012628D"/>
    <w:rsid w:val="001264A1"/>
    <w:rsid w:val="0012673A"/>
    <w:rsid w:val="001268AC"/>
    <w:rsid w:val="001269AD"/>
    <w:rsid w:val="00126A88"/>
    <w:rsid w:val="00126C46"/>
    <w:rsid w:val="00126DB9"/>
    <w:rsid w:val="00126EFE"/>
    <w:rsid w:val="001275C2"/>
    <w:rsid w:val="00127A1D"/>
    <w:rsid w:val="00127AE3"/>
    <w:rsid w:val="00127B06"/>
    <w:rsid w:val="00127C02"/>
    <w:rsid w:val="00127D26"/>
    <w:rsid w:val="00127EBF"/>
    <w:rsid w:val="001302DB"/>
    <w:rsid w:val="00130315"/>
    <w:rsid w:val="001305A3"/>
    <w:rsid w:val="00130767"/>
    <w:rsid w:val="00130997"/>
    <w:rsid w:val="00130E3E"/>
    <w:rsid w:val="00130E52"/>
    <w:rsid w:val="00130F01"/>
    <w:rsid w:val="001311A2"/>
    <w:rsid w:val="00131400"/>
    <w:rsid w:val="0013186B"/>
    <w:rsid w:val="0013194C"/>
    <w:rsid w:val="00131A90"/>
    <w:rsid w:val="00131AB4"/>
    <w:rsid w:val="00131C73"/>
    <w:rsid w:val="001321C6"/>
    <w:rsid w:val="001324E6"/>
    <w:rsid w:val="0013256F"/>
    <w:rsid w:val="0013262E"/>
    <w:rsid w:val="001326E7"/>
    <w:rsid w:val="001328D5"/>
    <w:rsid w:val="00132ABC"/>
    <w:rsid w:val="00132D8E"/>
    <w:rsid w:val="00133204"/>
    <w:rsid w:val="00133260"/>
    <w:rsid w:val="001337BA"/>
    <w:rsid w:val="00133854"/>
    <w:rsid w:val="00133C16"/>
    <w:rsid w:val="00133CB3"/>
    <w:rsid w:val="00133FE8"/>
    <w:rsid w:val="0013422B"/>
    <w:rsid w:val="0013496B"/>
    <w:rsid w:val="0013499B"/>
    <w:rsid w:val="00134C35"/>
    <w:rsid w:val="00135049"/>
    <w:rsid w:val="001350C4"/>
    <w:rsid w:val="00135140"/>
    <w:rsid w:val="00135187"/>
    <w:rsid w:val="0013528C"/>
    <w:rsid w:val="001354FE"/>
    <w:rsid w:val="0013571B"/>
    <w:rsid w:val="0013581A"/>
    <w:rsid w:val="00135B55"/>
    <w:rsid w:val="00135B9C"/>
    <w:rsid w:val="00135DE7"/>
    <w:rsid w:val="00135F53"/>
    <w:rsid w:val="0013629B"/>
    <w:rsid w:val="0013643F"/>
    <w:rsid w:val="00136545"/>
    <w:rsid w:val="00136847"/>
    <w:rsid w:val="0013687C"/>
    <w:rsid w:val="00136B8B"/>
    <w:rsid w:val="00136CEE"/>
    <w:rsid w:val="00136D1B"/>
    <w:rsid w:val="00137273"/>
    <w:rsid w:val="001373ED"/>
    <w:rsid w:val="001373F1"/>
    <w:rsid w:val="001374B3"/>
    <w:rsid w:val="001375F4"/>
    <w:rsid w:val="0013789F"/>
    <w:rsid w:val="00137954"/>
    <w:rsid w:val="00137A87"/>
    <w:rsid w:val="00137A9D"/>
    <w:rsid w:val="00137E65"/>
    <w:rsid w:val="00140068"/>
    <w:rsid w:val="0014012A"/>
    <w:rsid w:val="001401E7"/>
    <w:rsid w:val="00140651"/>
    <w:rsid w:val="001406EF"/>
    <w:rsid w:val="00140B45"/>
    <w:rsid w:val="00140F19"/>
    <w:rsid w:val="00140FD2"/>
    <w:rsid w:val="0014107B"/>
    <w:rsid w:val="0014119E"/>
    <w:rsid w:val="00141349"/>
    <w:rsid w:val="001413AA"/>
    <w:rsid w:val="00141505"/>
    <w:rsid w:val="00141B44"/>
    <w:rsid w:val="00141D26"/>
    <w:rsid w:val="00141E8A"/>
    <w:rsid w:val="00141F07"/>
    <w:rsid w:val="00141F81"/>
    <w:rsid w:val="00141FE6"/>
    <w:rsid w:val="001422A2"/>
    <w:rsid w:val="001423E6"/>
    <w:rsid w:val="001424DF"/>
    <w:rsid w:val="00142929"/>
    <w:rsid w:val="00142AE5"/>
    <w:rsid w:val="00142B85"/>
    <w:rsid w:val="00142BE0"/>
    <w:rsid w:val="00142EEE"/>
    <w:rsid w:val="00142F71"/>
    <w:rsid w:val="00142FF1"/>
    <w:rsid w:val="001430D1"/>
    <w:rsid w:val="0014357A"/>
    <w:rsid w:val="00143588"/>
    <w:rsid w:val="001435FF"/>
    <w:rsid w:val="0014363D"/>
    <w:rsid w:val="00143663"/>
    <w:rsid w:val="001437C7"/>
    <w:rsid w:val="001439D6"/>
    <w:rsid w:val="00143AFC"/>
    <w:rsid w:val="00143BE7"/>
    <w:rsid w:val="00143FC7"/>
    <w:rsid w:val="00144095"/>
    <w:rsid w:val="0014444C"/>
    <w:rsid w:val="00144661"/>
    <w:rsid w:val="00144667"/>
    <w:rsid w:val="001446C8"/>
    <w:rsid w:val="00144AFD"/>
    <w:rsid w:val="00144C9E"/>
    <w:rsid w:val="00144CC1"/>
    <w:rsid w:val="00144CE8"/>
    <w:rsid w:val="00144DAB"/>
    <w:rsid w:val="00144F49"/>
    <w:rsid w:val="00144FFC"/>
    <w:rsid w:val="001451F6"/>
    <w:rsid w:val="0014536F"/>
    <w:rsid w:val="0014545F"/>
    <w:rsid w:val="001455E4"/>
    <w:rsid w:val="001455F4"/>
    <w:rsid w:val="00145768"/>
    <w:rsid w:val="001457B7"/>
    <w:rsid w:val="00145C85"/>
    <w:rsid w:val="0014622A"/>
    <w:rsid w:val="001462B6"/>
    <w:rsid w:val="0014642A"/>
    <w:rsid w:val="00146449"/>
    <w:rsid w:val="00146523"/>
    <w:rsid w:val="00146ADA"/>
    <w:rsid w:val="00146B50"/>
    <w:rsid w:val="00146B7E"/>
    <w:rsid w:val="00146DAD"/>
    <w:rsid w:val="00146F42"/>
    <w:rsid w:val="001471D8"/>
    <w:rsid w:val="001474BF"/>
    <w:rsid w:val="00147784"/>
    <w:rsid w:val="00147EB2"/>
    <w:rsid w:val="001500EA"/>
    <w:rsid w:val="0015047E"/>
    <w:rsid w:val="00150598"/>
    <w:rsid w:val="001505D1"/>
    <w:rsid w:val="001507E9"/>
    <w:rsid w:val="0015088B"/>
    <w:rsid w:val="00150899"/>
    <w:rsid w:val="00150E34"/>
    <w:rsid w:val="001510BF"/>
    <w:rsid w:val="001513F1"/>
    <w:rsid w:val="001513FA"/>
    <w:rsid w:val="0015141E"/>
    <w:rsid w:val="00151441"/>
    <w:rsid w:val="0015163F"/>
    <w:rsid w:val="00151872"/>
    <w:rsid w:val="001518A8"/>
    <w:rsid w:val="001518E9"/>
    <w:rsid w:val="00151A88"/>
    <w:rsid w:val="00151AA2"/>
    <w:rsid w:val="00151AFF"/>
    <w:rsid w:val="00151D29"/>
    <w:rsid w:val="00151D34"/>
    <w:rsid w:val="00152A07"/>
    <w:rsid w:val="00152A0E"/>
    <w:rsid w:val="00152A59"/>
    <w:rsid w:val="00152BDC"/>
    <w:rsid w:val="00152D7C"/>
    <w:rsid w:val="00152DB0"/>
    <w:rsid w:val="00152EB3"/>
    <w:rsid w:val="001531D7"/>
    <w:rsid w:val="0015322D"/>
    <w:rsid w:val="00153296"/>
    <w:rsid w:val="00153648"/>
    <w:rsid w:val="00153794"/>
    <w:rsid w:val="00153C4A"/>
    <w:rsid w:val="00153E97"/>
    <w:rsid w:val="00154280"/>
    <w:rsid w:val="0015468C"/>
    <w:rsid w:val="001548FB"/>
    <w:rsid w:val="00154CF2"/>
    <w:rsid w:val="00154D91"/>
    <w:rsid w:val="00154DF6"/>
    <w:rsid w:val="00154E83"/>
    <w:rsid w:val="001550A5"/>
    <w:rsid w:val="00155365"/>
    <w:rsid w:val="001559C4"/>
    <w:rsid w:val="00155A7C"/>
    <w:rsid w:val="00155AB5"/>
    <w:rsid w:val="00155C34"/>
    <w:rsid w:val="00155E65"/>
    <w:rsid w:val="00155EB3"/>
    <w:rsid w:val="0015608C"/>
    <w:rsid w:val="0015632C"/>
    <w:rsid w:val="0015683F"/>
    <w:rsid w:val="00156935"/>
    <w:rsid w:val="00156A2F"/>
    <w:rsid w:val="00156B42"/>
    <w:rsid w:val="00156BF6"/>
    <w:rsid w:val="001571CC"/>
    <w:rsid w:val="00157201"/>
    <w:rsid w:val="001573A1"/>
    <w:rsid w:val="00157422"/>
    <w:rsid w:val="0015779E"/>
    <w:rsid w:val="0015786D"/>
    <w:rsid w:val="00157CE5"/>
    <w:rsid w:val="00157E53"/>
    <w:rsid w:val="00158572"/>
    <w:rsid w:val="00160058"/>
    <w:rsid w:val="001600CB"/>
    <w:rsid w:val="0016029F"/>
    <w:rsid w:val="00160434"/>
    <w:rsid w:val="001604BF"/>
    <w:rsid w:val="001605E9"/>
    <w:rsid w:val="001607B3"/>
    <w:rsid w:val="00160810"/>
    <w:rsid w:val="0016091E"/>
    <w:rsid w:val="00160B45"/>
    <w:rsid w:val="00160B87"/>
    <w:rsid w:val="00160BD0"/>
    <w:rsid w:val="00160D9B"/>
    <w:rsid w:val="001611EF"/>
    <w:rsid w:val="001612B1"/>
    <w:rsid w:val="00161380"/>
    <w:rsid w:val="00161473"/>
    <w:rsid w:val="001614DD"/>
    <w:rsid w:val="001615FC"/>
    <w:rsid w:val="001616FD"/>
    <w:rsid w:val="00161952"/>
    <w:rsid w:val="001626E5"/>
    <w:rsid w:val="00162780"/>
    <w:rsid w:val="00162A43"/>
    <w:rsid w:val="00162BB8"/>
    <w:rsid w:val="00162C82"/>
    <w:rsid w:val="00162E17"/>
    <w:rsid w:val="00162EF8"/>
    <w:rsid w:val="00163030"/>
    <w:rsid w:val="00163075"/>
    <w:rsid w:val="00163308"/>
    <w:rsid w:val="00163383"/>
    <w:rsid w:val="001635E0"/>
    <w:rsid w:val="00163643"/>
    <w:rsid w:val="00163933"/>
    <w:rsid w:val="00163B58"/>
    <w:rsid w:val="00163E80"/>
    <w:rsid w:val="00163EDF"/>
    <w:rsid w:val="00164001"/>
    <w:rsid w:val="00164139"/>
    <w:rsid w:val="00164164"/>
    <w:rsid w:val="0016417F"/>
    <w:rsid w:val="00164479"/>
    <w:rsid w:val="0016450D"/>
    <w:rsid w:val="0016477B"/>
    <w:rsid w:val="001647C8"/>
    <w:rsid w:val="00164829"/>
    <w:rsid w:val="0016487C"/>
    <w:rsid w:val="00164A19"/>
    <w:rsid w:val="00165131"/>
    <w:rsid w:val="001651DD"/>
    <w:rsid w:val="0016520C"/>
    <w:rsid w:val="001654BC"/>
    <w:rsid w:val="001654CA"/>
    <w:rsid w:val="00165816"/>
    <w:rsid w:val="00165818"/>
    <w:rsid w:val="00165A5C"/>
    <w:rsid w:val="00165FFC"/>
    <w:rsid w:val="00166586"/>
    <w:rsid w:val="001667B3"/>
    <w:rsid w:val="001667BA"/>
    <w:rsid w:val="00166A6C"/>
    <w:rsid w:val="00167326"/>
    <w:rsid w:val="00167527"/>
    <w:rsid w:val="0016771B"/>
    <w:rsid w:val="00167932"/>
    <w:rsid w:val="00167A21"/>
    <w:rsid w:val="00167CBC"/>
    <w:rsid w:val="00167F45"/>
    <w:rsid w:val="00170007"/>
    <w:rsid w:val="00170232"/>
    <w:rsid w:val="00170596"/>
    <w:rsid w:val="001708BE"/>
    <w:rsid w:val="00170A5D"/>
    <w:rsid w:val="00170CBD"/>
    <w:rsid w:val="00170DC7"/>
    <w:rsid w:val="001710D1"/>
    <w:rsid w:val="0017146C"/>
    <w:rsid w:val="00171C44"/>
    <w:rsid w:val="00171C7B"/>
    <w:rsid w:val="0017200E"/>
    <w:rsid w:val="001720E3"/>
    <w:rsid w:val="001720F3"/>
    <w:rsid w:val="0017222C"/>
    <w:rsid w:val="001727E8"/>
    <w:rsid w:val="00172B7E"/>
    <w:rsid w:val="00172C5E"/>
    <w:rsid w:val="00172D4A"/>
    <w:rsid w:val="0017353D"/>
    <w:rsid w:val="00173686"/>
    <w:rsid w:val="001737AA"/>
    <w:rsid w:val="00173E73"/>
    <w:rsid w:val="00173E9F"/>
    <w:rsid w:val="00174015"/>
    <w:rsid w:val="00174316"/>
    <w:rsid w:val="00174353"/>
    <w:rsid w:val="0017463F"/>
    <w:rsid w:val="001748C2"/>
    <w:rsid w:val="00174A25"/>
    <w:rsid w:val="00174F1E"/>
    <w:rsid w:val="00174F44"/>
    <w:rsid w:val="00175494"/>
    <w:rsid w:val="00175559"/>
    <w:rsid w:val="00175566"/>
    <w:rsid w:val="001758E0"/>
    <w:rsid w:val="00175A7B"/>
    <w:rsid w:val="001762D4"/>
    <w:rsid w:val="0017641A"/>
    <w:rsid w:val="0017652F"/>
    <w:rsid w:val="0017656F"/>
    <w:rsid w:val="00176671"/>
    <w:rsid w:val="001768B6"/>
    <w:rsid w:val="00176A12"/>
    <w:rsid w:val="00176E57"/>
    <w:rsid w:val="00176F81"/>
    <w:rsid w:val="00177312"/>
    <w:rsid w:val="0017731E"/>
    <w:rsid w:val="001773FE"/>
    <w:rsid w:val="00177517"/>
    <w:rsid w:val="00177528"/>
    <w:rsid w:val="001776B9"/>
    <w:rsid w:val="00177AC3"/>
    <w:rsid w:val="00177BAD"/>
    <w:rsid w:val="00177D2B"/>
    <w:rsid w:val="00177D8F"/>
    <w:rsid w:val="001803E6"/>
    <w:rsid w:val="00180636"/>
    <w:rsid w:val="001807ED"/>
    <w:rsid w:val="001807F8"/>
    <w:rsid w:val="00180F8A"/>
    <w:rsid w:val="00180FBE"/>
    <w:rsid w:val="001810AB"/>
    <w:rsid w:val="00181181"/>
    <w:rsid w:val="001813FF"/>
    <w:rsid w:val="0018166A"/>
    <w:rsid w:val="0018172E"/>
    <w:rsid w:val="001817FA"/>
    <w:rsid w:val="00181852"/>
    <w:rsid w:val="001818AE"/>
    <w:rsid w:val="001818FD"/>
    <w:rsid w:val="00181B34"/>
    <w:rsid w:val="00181E41"/>
    <w:rsid w:val="00181FAB"/>
    <w:rsid w:val="0018205D"/>
    <w:rsid w:val="001823F5"/>
    <w:rsid w:val="0018244B"/>
    <w:rsid w:val="00182465"/>
    <w:rsid w:val="0018255B"/>
    <w:rsid w:val="0018259D"/>
    <w:rsid w:val="001825C2"/>
    <w:rsid w:val="001825DB"/>
    <w:rsid w:val="0018296A"/>
    <w:rsid w:val="00182CBC"/>
    <w:rsid w:val="00182D98"/>
    <w:rsid w:val="00182E1E"/>
    <w:rsid w:val="00183351"/>
    <w:rsid w:val="00183665"/>
    <w:rsid w:val="001838A9"/>
    <w:rsid w:val="00183AAE"/>
    <w:rsid w:val="00183ABA"/>
    <w:rsid w:val="00183CF2"/>
    <w:rsid w:val="00183E2F"/>
    <w:rsid w:val="00183F28"/>
    <w:rsid w:val="001840EB"/>
    <w:rsid w:val="00184100"/>
    <w:rsid w:val="00184101"/>
    <w:rsid w:val="001842B2"/>
    <w:rsid w:val="0018435C"/>
    <w:rsid w:val="00184576"/>
    <w:rsid w:val="0018474A"/>
    <w:rsid w:val="00184764"/>
    <w:rsid w:val="00184896"/>
    <w:rsid w:val="00184AC1"/>
    <w:rsid w:val="00184ADF"/>
    <w:rsid w:val="00184C7C"/>
    <w:rsid w:val="00184CE6"/>
    <w:rsid w:val="00185104"/>
    <w:rsid w:val="00185114"/>
    <w:rsid w:val="001851A3"/>
    <w:rsid w:val="001852A5"/>
    <w:rsid w:val="0018588B"/>
    <w:rsid w:val="00185A0B"/>
    <w:rsid w:val="00185BD7"/>
    <w:rsid w:val="00185C1D"/>
    <w:rsid w:val="00185D8D"/>
    <w:rsid w:val="00185FFE"/>
    <w:rsid w:val="0018628D"/>
    <w:rsid w:val="00186312"/>
    <w:rsid w:val="001863A2"/>
    <w:rsid w:val="00186415"/>
    <w:rsid w:val="00186655"/>
    <w:rsid w:val="00186662"/>
    <w:rsid w:val="001867B4"/>
    <w:rsid w:val="0018696B"/>
    <w:rsid w:val="00186C4F"/>
    <w:rsid w:val="0018701F"/>
    <w:rsid w:val="00187AE6"/>
    <w:rsid w:val="00187B55"/>
    <w:rsid w:val="00187C26"/>
    <w:rsid w:val="00187D5A"/>
    <w:rsid w:val="00190A33"/>
    <w:rsid w:val="00190D3B"/>
    <w:rsid w:val="00191310"/>
    <w:rsid w:val="00191490"/>
    <w:rsid w:val="00191588"/>
    <w:rsid w:val="001915D7"/>
    <w:rsid w:val="00191887"/>
    <w:rsid w:val="00191957"/>
    <w:rsid w:val="00191A8F"/>
    <w:rsid w:val="00191CAF"/>
    <w:rsid w:val="00191DEB"/>
    <w:rsid w:val="00191E51"/>
    <w:rsid w:val="00191FC8"/>
    <w:rsid w:val="0019205B"/>
    <w:rsid w:val="001922EA"/>
    <w:rsid w:val="001922F3"/>
    <w:rsid w:val="00192A16"/>
    <w:rsid w:val="00192B55"/>
    <w:rsid w:val="00192C31"/>
    <w:rsid w:val="00192C5E"/>
    <w:rsid w:val="00192CE8"/>
    <w:rsid w:val="00192D44"/>
    <w:rsid w:val="00192E4B"/>
    <w:rsid w:val="00192FF1"/>
    <w:rsid w:val="00193054"/>
    <w:rsid w:val="001931FE"/>
    <w:rsid w:val="0019340D"/>
    <w:rsid w:val="00193981"/>
    <w:rsid w:val="00193A59"/>
    <w:rsid w:val="00193A9A"/>
    <w:rsid w:val="00193C25"/>
    <w:rsid w:val="00193E2E"/>
    <w:rsid w:val="00194105"/>
    <w:rsid w:val="0019428D"/>
    <w:rsid w:val="00194455"/>
    <w:rsid w:val="0019460B"/>
    <w:rsid w:val="00194710"/>
    <w:rsid w:val="0019479D"/>
    <w:rsid w:val="00194804"/>
    <w:rsid w:val="0019497E"/>
    <w:rsid w:val="00194F80"/>
    <w:rsid w:val="001951D7"/>
    <w:rsid w:val="0019570C"/>
    <w:rsid w:val="00195768"/>
    <w:rsid w:val="00195794"/>
    <w:rsid w:val="0019585B"/>
    <w:rsid w:val="00195C70"/>
    <w:rsid w:val="00195D49"/>
    <w:rsid w:val="00195D91"/>
    <w:rsid w:val="00195DB9"/>
    <w:rsid w:val="0019606D"/>
    <w:rsid w:val="00196504"/>
    <w:rsid w:val="001965F0"/>
    <w:rsid w:val="00196A86"/>
    <w:rsid w:val="00196B0A"/>
    <w:rsid w:val="00196C4F"/>
    <w:rsid w:val="00196C9A"/>
    <w:rsid w:val="001975E3"/>
    <w:rsid w:val="00197653"/>
    <w:rsid w:val="0019797C"/>
    <w:rsid w:val="00197EEE"/>
    <w:rsid w:val="001A0318"/>
    <w:rsid w:val="001A04D6"/>
    <w:rsid w:val="001A064D"/>
    <w:rsid w:val="001A08B2"/>
    <w:rsid w:val="001A0D01"/>
    <w:rsid w:val="001A1124"/>
    <w:rsid w:val="001A11BC"/>
    <w:rsid w:val="001A1E09"/>
    <w:rsid w:val="001A1F1D"/>
    <w:rsid w:val="001A22C4"/>
    <w:rsid w:val="001A2622"/>
    <w:rsid w:val="001A2742"/>
    <w:rsid w:val="001A2785"/>
    <w:rsid w:val="001A2885"/>
    <w:rsid w:val="001A2DF8"/>
    <w:rsid w:val="001A3538"/>
    <w:rsid w:val="001A3939"/>
    <w:rsid w:val="001A39C4"/>
    <w:rsid w:val="001A3AF9"/>
    <w:rsid w:val="001A3B2D"/>
    <w:rsid w:val="001A3E99"/>
    <w:rsid w:val="001A437B"/>
    <w:rsid w:val="001A4848"/>
    <w:rsid w:val="001A488A"/>
    <w:rsid w:val="001A492D"/>
    <w:rsid w:val="001A4F7F"/>
    <w:rsid w:val="001A5083"/>
    <w:rsid w:val="001A52F1"/>
    <w:rsid w:val="001A5360"/>
    <w:rsid w:val="001A53BD"/>
    <w:rsid w:val="001A53BE"/>
    <w:rsid w:val="001A5548"/>
    <w:rsid w:val="001A563A"/>
    <w:rsid w:val="001A56D5"/>
    <w:rsid w:val="001A572E"/>
    <w:rsid w:val="001A582B"/>
    <w:rsid w:val="001A5962"/>
    <w:rsid w:val="001A5C71"/>
    <w:rsid w:val="001A5E0E"/>
    <w:rsid w:val="001A5E27"/>
    <w:rsid w:val="001A6068"/>
    <w:rsid w:val="001A61EF"/>
    <w:rsid w:val="001A6717"/>
    <w:rsid w:val="001A6893"/>
    <w:rsid w:val="001A6936"/>
    <w:rsid w:val="001A697E"/>
    <w:rsid w:val="001A6A02"/>
    <w:rsid w:val="001A6B2E"/>
    <w:rsid w:val="001A6CA3"/>
    <w:rsid w:val="001A7369"/>
    <w:rsid w:val="001A7495"/>
    <w:rsid w:val="001A751B"/>
    <w:rsid w:val="001A75A5"/>
    <w:rsid w:val="001A7743"/>
    <w:rsid w:val="001A7C1E"/>
    <w:rsid w:val="001A7C90"/>
    <w:rsid w:val="001A7CB6"/>
    <w:rsid w:val="001A7D1B"/>
    <w:rsid w:val="001A7E3C"/>
    <w:rsid w:val="001A7FD4"/>
    <w:rsid w:val="001B0155"/>
    <w:rsid w:val="001B01B5"/>
    <w:rsid w:val="001B026D"/>
    <w:rsid w:val="001B03BF"/>
    <w:rsid w:val="001B077C"/>
    <w:rsid w:val="001B0C7D"/>
    <w:rsid w:val="001B0E21"/>
    <w:rsid w:val="001B0E68"/>
    <w:rsid w:val="001B0E7F"/>
    <w:rsid w:val="001B1010"/>
    <w:rsid w:val="001B150D"/>
    <w:rsid w:val="001B19DA"/>
    <w:rsid w:val="001B1AB6"/>
    <w:rsid w:val="001B1C52"/>
    <w:rsid w:val="001B1D98"/>
    <w:rsid w:val="001B1DC7"/>
    <w:rsid w:val="001B2858"/>
    <w:rsid w:val="001B2BA3"/>
    <w:rsid w:val="001B2CB5"/>
    <w:rsid w:val="001B2DF5"/>
    <w:rsid w:val="001B2E96"/>
    <w:rsid w:val="001B30B9"/>
    <w:rsid w:val="001B326D"/>
    <w:rsid w:val="001B33EA"/>
    <w:rsid w:val="001B3AC4"/>
    <w:rsid w:val="001B3F12"/>
    <w:rsid w:val="001B41FE"/>
    <w:rsid w:val="001B46A7"/>
    <w:rsid w:val="001B46BE"/>
    <w:rsid w:val="001B47C2"/>
    <w:rsid w:val="001B499F"/>
    <w:rsid w:val="001B4C18"/>
    <w:rsid w:val="001B5018"/>
    <w:rsid w:val="001B50A1"/>
    <w:rsid w:val="001B526E"/>
    <w:rsid w:val="001B5363"/>
    <w:rsid w:val="001B551D"/>
    <w:rsid w:val="001B58D9"/>
    <w:rsid w:val="001B5B87"/>
    <w:rsid w:val="001B5BF6"/>
    <w:rsid w:val="001B5FE4"/>
    <w:rsid w:val="001B61F3"/>
    <w:rsid w:val="001B6405"/>
    <w:rsid w:val="001B673E"/>
    <w:rsid w:val="001B6A9E"/>
    <w:rsid w:val="001B6BEC"/>
    <w:rsid w:val="001B6E96"/>
    <w:rsid w:val="001B6EA0"/>
    <w:rsid w:val="001B7190"/>
    <w:rsid w:val="001B768C"/>
    <w:rsid w:val="001B7A6F"/>
    <w:rsid w:val="001B7AD9"/>
    <w:rsid w:val="001B7CC0"/>
    <w:rsid w:val="001C002B"/>
    <w:rsid w:val="001C03EF"/>
    <w:rsid w:val="001C0673"/>
    <w:rsid w:val="001C0828"/>
    <w:rsid w:val="001C0965"/>
    <w:rsid w:val="001C0B77"/>
    <w:rsid w:val="001C0C52"/>
    <w:rsid w:val="001C0C56"/>
    <w:rsid w:val="001C0D47"/>
    <w:rsid w:val="001C10D3"/>
    <w:rsid w:val="001C126C"/>
    <w:rsid w:val="001C133D"/>
    <w:rsid w:val="001C16F1"/>
    <w:rsid w:val="001C1DF2"/>
    <w:rsid w:val="001C2142"/>
    <w:rsid w:val="001C2588"/>
    <w:rsid w:val="001C29AD"/>
    <w:rsid w:val="001C2B61"/>
    <w:rsid w:val="001C2FE5"/>
    <w:rsid w:val="001C31E4"/>
    <w:rsid w:val="001C33E1"/>
    <w:rsid w:val="001C34F9"/>
    <w:rsid w:val="001C36AF"/>
    <w:rsid w:val="001C39C1"/>
    <w:rsid w:val="001C3B29"/>
    <w:rsid w:val="001C3C38"/>
    <w:rsid w:val="001C3D9C"/>
    <w:rsid w:val="001C3DB6"/>
    <w:rsid w:val="001C3FD1"/>
    <w:rsid w:val="001C40FA"/>
    <w:rsid w:val="001C4500"/>
    <w:rsid w:val="001C4543"/>
    <w:rsid w:val="001C4646"/>
    <w:rsid w:val="001C51DA"/>
    <w:rsid w:val="001C53CA"/>
    <w:rsid w:val="001C55FB"/>
    <w:rsid w:val="001C5799"/>
    <w:rsid w:val="001C5BED"/>
    <w:rsid w:val="001C5D07"/>
    <w:rsid w:val="001C5D4D"/>
    <w:rsid w:val="001C6099"/>
    <w:rsid w:val="001C6238"/>
    <w:rsid w:val="001C6395"/>
    <w:rsid w:val="001C655A"/>
    <w:rsid w:val="001C6700"/>
    <w:rsid w:val="001C69A1"/>
    <w:rsid w:val="001C6A15"/>
    <w:rsid w:val="001C6F44"/>
    <w:rsid w:val="001C71D0"/>
    <w:rsid w:val="001C7688"/>
    <w:rsid w:val="001C7734"/>
    <w:rsid w:val="001C7801"/>
    <w:rsid w:val="001C7C06"/>
    <w:rsid w:val="001D0398"/>
    <w:rsid w:val="001D03EC"/>
    <w:rsid w:val="001D050C"/>
    <w:rsid w:val="001D0F25"/>
    <w:rsid w:val="001D1023"/>
    <w:rsid w:val="001D105A"/>
    <w:rsid w:val="001D1085"/>
    <w:rsid w:val="001D1136"/>
    <w:rsid w:val="001D12E0"/>
    <w:rsid w:val="001D1309"/>
    <w:rsid w:val="001D14F9"/>
    <w:rsid w:val="001D14FF"/>
    <w:rsid w:val="001D18F5"/>
    <w:rsid w:val="001D2069"/>
    <w:rsid w:val="001D2211"/>
    <w:rsid w:val="001D2275"/>
    <w:rsid w:val="001D234C"/>
    <w:rsid w:val="001D24D4"/>
    <w:rsid w:val="001D267C"/>
    <w:rsid w:val="001D27DC"/>
    <w:rsid w:val="001D28FE"/>
    <w:rsid w:val="001D29D7"/>
    <w:rsid w:val="001D2A51"/>
    <w:rsid w:val="001D2C58"/>
    <w:rsid w:val="001D2D2E"/>
    <w:rsid w:val="001D348A"/>
    <w:rsid w:val="001D353F"/>
    <w:rsid w:val="001D36E5"/>
    <w:rsid w:val="001D3A3B"/>
    <w:rsid w:val="001D3C3C"/>
    <w:rsid w:val="001D3EB6"/>
    <w:rsid w:val="001D3F41"/>
    <w:rsid w:val="001D41FA"/>
    <w:rsid w:val="001D4281"/>
    <w:rsid w:val="001D449D"/>
    <w:rsid w:val="001D4548"/>
    <w:rsid w:val="001D480F"/>
    <w:rsid w:val="001D4849"/>
    <w:rsid w:val="001D494F"/>
    <w:rsid w:val="001D4A8C"/>
    <w:rsid w:val="001D4DFC"/>
    <w:rsid w:val="001D4E12"/>
    <w:rsid w:val="001D5027"/>
    <w:rsid w:val="001D53F1"/>
    <w:rsid w:val="001D562F"/>
    <w:rsid w:val="001D59C3"/>
    <w:rsid w:val="001D5AE3"/>
    <w:rsid w:val="001D5AEA"/>
    <w:rsid w:val="001D5BC0"/>
    <w:rsid w:val="001D600C"/>
    <w:rsid w:val="001D6560"/>
    <w:rsid w:val="001D65C2"/>
    <w:rsid w:val="001D6E20"/>
    <w:rsid w:val="001D6E2D"/>
    <w:rsid w:val="001D6F14"/>
    <w:rsid w:val="001D6F1D"/>
    <w:rsid w:val="001D7058"/>
    <w:rsid w:val="001D7637"/>
    <w:rsid w:val="001D7661"/>
    <w:rsid w:val="001D777E"/>
    <w:rsid w:val="001D79A1"/>
    <w:rsid w:val="001D79CA"/>
    <w:rsid w:val="001D7A4E"/>
    <w:rsid w:val="001D7A96"/>
    <w:rsid w:val="001D7CB3"/>
    <w:rsid w:val="001E0230"/>
    <w:rsid w:val="001E0231"/>
    <w:rsid w:val="001E066D"/>
    <w:rsid w:val="001E09AC"/>
    <w:rsid w:val="001E0D3F"/>
    <w:rsid w:val="001E0EE6"/>
    <w:rsid w:val="001E11FD"/>
    <w:rsid w:val="001E1587"/>
    <w:rsid w:val="001E15F9"/>
    <w:rsid w:val="001E1738"/>
    <w:rsid w:val="001E1919"/>
    <w:rsid w:val="001E19E4"/>
    <w:rsid w:val="001E1A55"/>
    <w:rsid w:val="001E1ED0"/>
    <w:rsid w:val="001E1FCE"/>
    <w:rsid w:val="001E20FD"/>
    <w:rsid w:val="001E230E"/>
    <w:rsid w:val="001E2371"/>
    <w:rsid w:val="001E243F"/>
    <w:rsid w:val="001E24B7"/>
    <w:rsid w:val="001E254C"/>
    <w:rsid w:val="001E25D3"/>
    <w:rsid w:val="001E2AE2"/>
    <w:rsid w:val="001E2E47"/>
    <w:rsid w:val="001E2EC9"/>
    <w:rsid w:val="001E2F7F"/>
    <w:rsid w:val="001E31CA"/>
    <w:rsid w:val="001E322C"/>
    <w:rsid w:val="001E32BB"/>
    <w:rsid w:val="001E3363"/>
    <w:rsid w:val="001E3871"/>
    <w:rsid w:val="001E3977"/>
    <w:rsid w:val="001E3B7F"/>
    <w:rsid w:val="001E3CDB"/>
    <w:rsid w:val="001E40D7"/>
    <w:rsid w:val="001E4479"/>
    <w:rsid w:val="001E4497"/>
    <w:rsid w:val="001E453F"/>
    <w:rsid w:val="001E47A2"/>
    <w:rsid w:val="001E481B"/>
    <w:rsid w:val="001E489C"/>
    <w:rsid w:val="001E49EF"/>
    <w:rsid w:val="001E4C5F"/>
    <w:rsid w:val="001E4D81"/>
    <w:rsid w:val="001E4F63"/>
    <w:rsid w:val="001E51D3"/>
    <w:rsid w:val="001E538D"/>
    <w:rsid w:val="001E5464"/>
    <w:rsid w:val="001E5650"/>
    <w:rsid w:val="001E565E"/>
    <w:rsid w:val="001E56AF"/>
    <w:rsid w:val="001E575D"/>
    <w:rsid w:val="001E585C"/>
    <w:rsid w:val="001E5DA9"/>
    <w:rsid w:val="001E5E3F"/>
    <w:rsid w:val="001E5F45"/>
    <w:rsid w:val="001E60B0"/>
    <w:rsid w:val="001E60B2"/>
    <w:rsid w:val="001E6357"/>
    <w:rsid w:val="001E6394"/>
    <w:rsid w:val="001E667D"/>
    <w:rsid w:val="001E6744"/>
    <w:rsid w:val="001E6745"/>
    <w:rsid w:val="001E681E"/>
    <w:rsid w:val="001E6D7C"/>
    <w:rsid w:val="001E6E1C"/>
    <w:rsid w:val="001E719C"/>
    <w:rsid w:val="001E72E9"/>
    <w:rsid w:val="001E77F9"/>
    <w:rsid w:val="001E78D2"/>
    <w:rsid w:val="001E793B"/>
    <w:rsid w:val="001E7970"/>
    <w:rsid w:val="001E7EB3"/>
    <w:rsid w:val="001E7FEC"/>
    <w:rsid w:val="001F050D"/>
    <w:rsid w:val="001F077D"/>
    <w:rsid w:val="001F099E"/>
    <w:rsid w:val="001F09AA"/>
    <w:rsid w:val="001F0DC5"/>
    <w:rsid w:val="001F0EAE"/>
    <w:rsid w:val="001F0EC0"/>
    <w:rsid w:val="001F0F93"/>
    <w:rsid w:val="001F16F8"/>
    <w:rsid w:val="001F174F"/>
    <w:rsid w:val="001F1F10"/>
    <w:rsid w:val="001F218B"/>
    <w:rsid w:val="001F2501"/>
    <w:rsid w:val="001F2706"/>
    <w:rsid w:val="001F272B"/>
    <w:rsid w:val="001F290D"/>
    <w:rsid w:val="001F2AE6"/>
    <w:rsid w:val="001F2C30"/>
    <w:rsid w:val="001F2F04"/>
    <w:rsid w:val="001F2F1C"/>
    <w:rsid w:val="001F33BD"/>
    <w:rsid w:val="001F3905"/>
    <w:rsid w:val="001F397C"/>
    <w:rsid w:val="001F3BEF"/>
    <w:rsid w:val="001F3D7C"/>
    <w:rsid w:val="001F3EEC"/>
    <w:rsid w:val="001F4116"/>
    <w:rsid w:val="001F42AA"/>
    <w:rsid w:val="001F48C0"/>
    <w:rsid w:val="001F497D"/>
    <w:rsid w:val="001F4AAE"/>
    <w:rsid w:val="001F4ADA"/>
    <w:rsid w:val="001F4BFB"/>
    <w:rsid w:val="001F4E62"/>
    <w:rsid w:val="001F4F5C"/>
    <w:rsid w:val="001F5039"/>
    <w:rsid w:val="001F50E1"/>
    <w:rsid w:val="001F53CB"/>
    <w:rsid w:val="001F54B5"/>
    <w:rsid w:val="001F5884"/>
    <w:rsid w:val="001F58C4"/>
    <w:rsid w:val="001F612E"/>
    <w:rsid w:val="001F61C5"/>
    <w:rsid w:val="001F62E1"/>
    <w:rsid w:val="001F67CE"/>
    <w:rsid w:val="001F6AC0"/>
    <w:rsid w:val="001F727B"/>
    <w:rsid w:val="001F732D"/>
    <w:rsid w:val="001F75D9"/>
    <w:rsid w:val="001F79EE"/>
    <w:rsid w:val="001F7DFC"/>
    <w:rsid w:val="001F7E5B"/>
    <w:rsid w:val="001F7EE8"/>
    <w:rsid w:val="0020004A"/>
    <w:rsid w:val="002000EF"/>
    <w:rsid w:val="0020017E"/>
    <w:rsid w:val="002002C1"/>
    <w:rsid w:val="0020039D"/>
    <w:rsid w:val="0020078B"/>
    <w:rsid w:val="00200790"/>
    <w:rsid w:val="00200AC0"/>
    <w:rsid w:val="00200CC2"/>
    <w:rsid w:val="00200D8F"/>
    <w:rsid w:val="00200EAC"/>
    <w:rsid w:val="002011CB"/>
    <w:rsid w:val="0020124B"/>
    <w:rsid w:val="002012CF"/>
    <w:rsid w:val="0020134C"/>
    <w:rsid w:val="0020147F"/>
    <w:rsid w:val="00201B41"/>
    <w:rsid w:val="00202262"/>
    <w:rsid w:val="0020232D"/>
    <w:rsid w:val="002023A8"/>
    <w:rsid w:val="00202927"/>
    <w:rsid w:val="00202DEC"/>
    <w:rsid w:val="00202F9A"/>
    <w:rsid w:val="0020315C"/>
    <w:rsid w:val="002031D2"/>
    <w:rsid w:val="0020331E"/>
    <w:rsid w:val="00203369"/>
    <w:rsid w:val="0020387D"/>
    <w:rsid w:val="002039B3"/>
    <w:rsid w:val="00203A09"/>
    <w:rsid w:val="00203A87"/>
    <w:rsid w:val="00203B6D"/>
    <w:rsid w:val="00203BDC"/>
    <w:rsid w:val="00203D59"/>
    <w:rsid w:val="00204125"/>
    <w:rsid w:val="00204195"/>
    <w:rsid w:val="002041C1"/>
    <w:rsid w:val="00204240"/>
    <w:rsid w:val="00204312"/>
    <w:rsid w:val="00204733"/>
    <w:rsid w:val="002047E4"/>
    <w:rsid w:val="00205AC0"/>
    <w:rsid w:val="00205DAF"/>
    <w:rsid w:val="0020612F"/>
    <w:rsid w:val="002063F3"/>
    <w:rsid w:val="002064B8"/>
    <w:rsid w:val="002064E9"/>
    <w:rsid w:val="00206542"/>
    <w:rsid w:val="00206689"/>
    <w:rsid w:val="002066C0"/>
    <w:rsid w:val="00206843"/>
    <w:rsid w:val="0020685E"/>
    <w:rsid w:val="00206A23"/>
    <w:rsid w:val="00206CE8"/>
    <w:rsid w:val="00207498"/>
    <w:rsid w:val="00207606"/>
    <w:rsid w:val="00207864"/>
    <w:rsid w:val="0020792C"/>
    <w:rsid w:val="00207D55"/>
    <w:rsid w:val="00207D5A"/>
    <w:rsid w:val="00207D8B"/>
    <w:rsid w:val="00207EF5"/>
    <w:rsid w:val="002101F6"/>
    <w:rsid w:val="0021021F"/>
    <w:rsid w:val="00210277"/>
    <w:rsid w:val="002106CB"/>
    <w:rsid w:val="00210749"/>
    <w:rsid w:val="00210777"/>
    <w:rsid w:val="00210958"/>
    <w:rsid w:val="00210996"/>
    <w:rsid w:val="00210B13"/>
    <w:rsid w:val="00210D03"/>
    <w:rsid w:val="00210E09"/>
    <w:rsid w:val="00210E0A"/>
    <w:rsid w:val="00210E87"/>
    <w:rsid w:val="00210FE1"/>
    <w:rsid w:val="00211035"/>
    <w:rsid w:val="00211051"/>
    <w:rsid w:val="00211111"/>
    <w:rsid w:val="002112E7"/>
    <w:rsid w:val="002114AB"/>
    <w:rsid w:val="002115FA"/>
    <w:rsid w:val="00211749"/>
    <w:rsid w:val="00211AEA"/>
    <w:rsid w:val="00211B5A"/>
    <w:rsid w:val="00211CF3"/>
    <w:rsid w:val="00211D0C"/>
    <w:rsid w:val="00211D17"/>
    <w:rsid w:val="00211EE7"/>
    <w:rsid w:val="00211F2A"/>
    <w:rsid w:val="0021215B"/>
    <w:rsid w:val="0021218F"/>
    <w:rsid w:val="0021234F"/>
    <w:rsid w:val="00212450"/>
    <w:rsid w:val="002126A6"/>
    <w:rsid w:val="002126BC"/>
    <w:rsid w:val="00212733"/>
    <w:rsid w:val="00212A32"/>
    <w:rsid w:val="00212BBD"/>
    <w:rsid w:val="00212C60"/>
    <w:rsid w:val="00212D57"/>
    <w:rsid w:val="002130BF"/>
    <w:rsid w:val="00213124"/>
    <w:rsid w:val="002132C5"/>
    <w:rsid w:val="002136DC"/>
    <w:rsid w:val="00213809"/>
    <w:rsid w:val="002138F2"/>
    <w:rsid w:val="002139A9"/>
    <w:rsid w:val="00213DAF"/>
    <w:rsid w:val="00213ECC"/>
    <w:rsid w:val="002146C8"/>
    <w:rsid w:val="00214798"/>
    <w:rsid w:val="002147AA"/>
    <w:rsid w:val="00214843"/>
    <w:rsid w:val="00214881"/>
    <w:rsid w:val="002149DC"/>
    <w:rsid w:val="00214C8D"/>
    <w:rsid w:val="002150BA"/>
    <w:rsid w:val="00215115"/>
    <w:rsid w:val="0021530B"/>
    <w:rsid w:val="00215319"/>
    <w:rsid w:val="0021556E"/>
    <w:rsid w:val="00215653"/>
    <w:rsid w:val="002159A1"/>
    <w:rsid w:val="002159F5"/>
    <w:rsid w:val="00215A23"/>
    <w:rsid w:val="00215AAA"/>
    <w:rsid w:val="00215B84"/>
    <w:rsid w:val="00215D30"/>
    <w:rsid w:val="00215D90"/>
    <w:rsid w:val="00216070"/>
    <w:rsid w:val="00216153"/>
    <w:rsid w:val="0021625C"/>
    <w:rsid w:val="002162D0"/>
    <w:rsid w:val="00216350"/>
    <w:rsid w:val="0021673F"/>
    <w:rsid w:val="00216884"/>
    <w:rsid w:val="002168D9"/>
    <w:rsid w:val="00216DC9"/>
    <w:rsid w:val="00216EE4"/>
    <w:rsid w:val="00216F90"/>
    <w:rsid w:val="002176B5"/>
    <w:rsid w:val="002177A2"/>
    <w:rsid w:val="00217D6C"/>
    <w:rsid w:val="00217DD6"/>
    <w:rsid w:val="0021CE11"/>
    <w:rsid w:val="0022014A"/>
    <w:rsid w:val="00220185"/>
    <w:rsid w:val="0022020E"/>
    <w:rsid w:val="00220AC9"/>
    <w:rsid w:val="00220D72"/>
    <w:rsid w:val="00220E19"/>
    <w:rsid w:val="00220E9F"/>
    <w:rsid w:val="00220FDB"/>
    <w:rsid w:val="002210AC"/>
    <w:rsid w:val="00221130"/>
    <w:rsid w:val="002211C5"/>
    <w:rsid w:val="00221573"/>
    <w:rsid w:val="002215AC"/>
    <w:rsid w:val="002215FD"/>
    <w:rsid w:val="002218EE"/>
    <w:rsid w:val="00221A4F"/>
    <w:rsid w:val="00222180"/>
    <w:rsid w:val="002223EE"/>
    <w:rsid w:val="00222666"/>
    <w:rsid w:val="002227E7"/>
    <w:rsid w:val="00222A9E"/>
    <w:rsid w:val="00222CEC"/>
    <w:rsid w:val="00222F9C"/>
    <w:rsid w:val="00223111"/>
    <w:rsid w:val="00223249"/>
    <w:rsid w:val="0022327E"/>
    <w:rsid w:val="0022337E"/>
    <w:rsid w:val="002234D9"/>
    <w:rsid w:val="0022363F"/>
    <w:rsid w:val="00223773"/>
    <w:rsid w:val="002239D2"/>
    <w:rsid w:val="00223E43"/>
    <w:rsid w:val="00223F5D"/>
    <w:rsid w:val="00223F9F"/>
    <w:rsid w:val="0022412B"/>
    <w:rsid w:val="002244B2"/>
    <w:rsid w:val="00224956"/>
    <w:rsid w:val="00224ACD"/>
    <w:rsid w:val="00224DEE"/>
    <w:rsid w:val="00225337"/>
    <w:rsid w:val="0022544D"/>
    <w:rsid w:val="0022549A"/>
    <w:rsid w:val="00225A24"/>
    <w:rsid w:val="00225ADE"/>
    <w:rsid w:val="00225C55"/>
    <w:rsid w:val="00225E64"/>
    <w:rsid w:val="00225EA9"/>
    <w:rsid w:val="00225EEA"/>
    <w:rsid w:val="0022602B"/>
    <w:rsid w:val="00226183"/>
    <w:rsid w:val="00226470"/>
    <w:rsid w:val="00226525"/>
    <w:rsid w:val="00226744"/>
    <w:rsid w:val="002268BD"/>
    <w:rsid w:val="00226AB5"/>
    <w:rsid w:val="00226AFF"/>
    <w:rsid w:val="00226CA0"/>
    <w:rsid w:val="00226DE7"/>
    <w:rsid w:val="00226E5C"/>
    <w:rsid w:val="00226F33"/>
    <w:rsid w:val="002275D4"/>
    <w:rsid w:val="002275DB"/>
    <w:rsid w:val="0022794F"/>
    <w:rsid w:val="00227A64"/>
    <w:rsid w:val="00227D57"/>
    <w:rsid w:val="00227D85"/>
    <w:rsid w:val="00227E2A"/>
    <w:rsid w:val="0023022D"/>
    <w:rsid w:val="002308BE"/>
    <w:rsid w:val="00230D6B"/>
    <w:rsid w:val="002313DD"/>
    <w:rsid w:val="00231424"/>
    <w:rsid w:val="0023157D"/>
    <w:rsid w:val="002316D4"/>
    <w:rsid w:val="00231AAF"/>
    <w:rsid w:val="00231ADB"/>
    <w:rsid w:val="00231AEA"/>
    <w:rsid w:val="00232104"/>
    <w:rsid w:val="00232171"/>
    <w:rsid w:val="00232465"/>
    <w:rsid w:val="002324F3"/>
    <w:rsid w:val="0023256C"/>
    <w:rsid w:val="0023257B"/>
    <w:rsid w:val="002326B6"/>
    <w:rsid w:val="00232797"/>
    <w:rsid w:val="002329CB"/>
    <w:rsid w:val="00232ADD"/>
    <w:rsid w:val="00232D16"/>
    <w:rsid w:val="0023305F"/>
    <w:rsid w:val="002331CD"/>
    <w:rsid w:val="0023346E"/>
    <w:rsid w:val="002334A5"/>
    <w:rsid w:val="00233577"/>
    <w:rsid w:val="002336D4"/>
    <w:rsid w:val="0023377E"/>
    <w:rsid w:val="002339CC"/>
    <w:rsid w:val="00233D8D"/>
    <w:rsid w:val="00233F22"/>
    <w:rsid w:val="002344F6"/>
    <w:rsid w:val="00234583"/>
    <w:rsid w:val="002345C3"/>
    <w:rsid w:val="0023467C"/>
    <w:rsid w:val="00234889"/>
    <w:rsid w:val="00234BBD"/>
    <w:rsid w:val="00234C7A"/>
    <w:rsid w:val="00234D43"/>
    <w:rsid w:val="00234E9F"/>
    <w:rsid w:val="00234F18"/>
    <w:rsid w:val="002356A5"/>
    <w:rsid w:val="0023572D"/>
    <w:rsid w:val="002357A1"/>
    <w:rsid w:val="00235817"/>
    <w:rsid w:val="002358CE"/>
    <w:rsid w:val="00235BBF"/>
    <w:rsid w:val="00235FF5"/>
    <w:rsid w:val="002364A9"/>
    <w:rsid w:val="0023686E"/>
    <w:rsid w:val="00236A15"/>
    <w:rsid w:val="00236A1C"/>
    <w:rsid w:val="00236B85"/>
    <w:rsid w:val="00236E3C"/>
    <w:rsid w:val="002371C5"/>
    <w:rsid w:val="00237411"/>
    <w:rsid w:val="0023757D"/>
    <w:rsid w:val="00237596"/>
    <w:rsid w:val="00237648"/>
    <w:rsid w:val="0023787B"/>
    <w:rsid w:val="00237B55"/>
    <w:rsid w:val="00237BBF"/>
    <w:rsid w:val="00237C52"/>
    <w:rsid w:val="00237D0C"/>
    <w:rsid w:val="00240162"/>
    <w:rsid w:val="0024052F"/>
    <w:rsid w:val="00240A20"/>
    <w:rsid w:val="00240D1E"/>
    <w:rsid w:val="00240EC8"/>
    <w:rsid w:val="00240F97"/>
    <w:rsid w:val="002410A3"/>
    <w:rsid w:val="002414DE"/>
    <w:rsid w:val="0024157E"/>
    <w:rsid w:val="00241685"/>
    <w:rsid w:val="00241EC0"/>
    <w:rsid w:val="00241F51"/>
    <w:rsid w:val="00241FD4"/>
    <w:rsid w:val="00242137"/>
    <w:rsid w:val="00242893"/>
    <w:rsid w:val="0024296B"/>
    <w:rsid w:val="00242E58"/>
    <w:rsid w:val="00242F6D"/>
    <w:rsid w:val="00243210"/>
    <w:rsid w:val="002434A4"/>
    <w:rsid w:val="00243553"/>
    <w:rsid w:val="00243639"/>
    <w:rsid w:val="002437BB"/>
    <w:rsid w:val="0024397A"/>
    <w:rsid w:val="00243E1A"/>
    <w:rsid w:val="0024445D"/>
    <w:rsid w:val="002444BD"/>
    <w:rsid w:val="002447C8"/>
    <w:rsid w:val="0024498F"/>
    <w:rsid w:val="00244A71"/>
    <w:rsid w:val="00244AF2"/>
    <w:rsid w:val="00244D24"/>
    <w:rsid w:val="00244F7E"/>
    <w:rsid w:val="002450C3"/>
    <w:rsid w:val="002453D4"/>
    <w:rsid w:val="0024553C"/>
    <w:rsid w:val="0024590D"/>
    <w:rsid w:val="0024595B"/>
    <w:rsid w:val="00245B94"/>
    <w:rsid w:val="00245C00"/>
    <w:rsid w:val="00246119"/>
    <w:rsid w:val="0024617E"/>
    <w:rsid w:val="002462F2"/>
    <w:rsid w:val="002463D2"/>
    <w:rsid w:val="0024663E"/>
    <w:rsid w:val="00246685"/>
    <w:rsid w:val="002468B5"/>
    <w:rsid w:val="002469BF"/>
    <w:rsid w:val="00246B6D"/>
    <w:rsid w:val="00246B96"/>
    <w:rsid w:val="002472E4"/>
    <w:rsid w:val="00247382"/>
    <w:rsid w:val="002473E5"/>
    <w:rsid w:val="0024740D"/>
    <w:rsid w:val="00247739"/>
    <w:rsid w:val="0024790E"/>
    <w:rsid w:val="00247AC8"/>
    <w:rsid w:val="00247CE0"/>
    <w:rsid w:val="00247DCD"/>
    <w:rsid w:val="00247ED7"/>
    <w:rsid w:val="00247F8A"/>
    <w:rsid w:val="00247FA5"/>
    <w:rsid w:val="0025048D"/>
    <w:rsid w:val="002504CD"/>
    <w:rsid w:val="00250605"/>
    <w:rsid w:val="00250668"/>
    <w:rsid w:val="0025068E"/>
    <w:rsid w:val="002506F6"/>
    <w:rsid w:val="00250885"/>
    <w:rsid w:val="00250928"/>
    <w:rsid w:val="002509B5"/>
    <w:rsid w:val="00250B5B"/>
    <w:rsid w:val="00250BB1"/>
    <w:rsid w:val="00250DE5"/>
    <w:rsid w:val="00250EB6"/>
    <w:rsid w:val="00250F54"/>
    <w:rsid w:val="00251603"/>
    <w:rsid w:val="002519EC"/>
    <w:rsid w:val="002519FD"/>
    <w:rsid w:val="00252267"/>
    <w:rsid w:val="00252350"/>
    <w:rsid w:val="002523DB"/>
    <w:rsid w:val="002526EB"/>
    <w:rsid w:val="0025273A"/>
    <w:rsid w:val="00252C4F"/>
    <w:rsid w:val="00252F86"/>
    <w:rsid w:val="002534D6"/>
    <w:rsid w:val="00253527"/>
    <w:rsid w:val="0025356E"/>
    <w:rsid w:val="0025358A"/>
    <w:rsid w:val="00253739"/>
    <w:rsid w:val="00253810"/>
    <w:rsid w:val="00253888"/>
    <w:rsid w:val="00253D3B"/>
    <w:rsid w:val="00253E6B"/>
    <w:rsid w:val="00254144"/>
    <w:rsid w:val="002543F5"/>
    <w:rsid w:val="002545EC"/>
    <w:rsid w:val="0025465D"/>
    <w:rsid w:val="00254789"/>
    <w:rsid w:val="00254933"/>
    <w:rsid w:val="00254AE2"/>
    <w:rsid w:val="00254C54"/>
    <w:rsid w:val="00255096"/>
    <w:rsid w:val="002555F2"/>
    <w:rsid w:val="002557B6"/>
    <w:rsid w:val="0025585A"/>
    <w:rsid w:val="00255907"/>
    <w:rsid w:val="00255B03"/>
    <w:rsid w:val="00255BAA"/>
    <w:rsid w:val="00256174"/>
    <w:rsid w:val="00256182"/>
    <w:rsid w:val="0025623D"/>
    <w:rsid w:val="002563F9"/>
    <w:rsid w:val="00256400"/>
    <w:rsid w:val="002564F3"/>
    <w:rsid w:val="0025665B"/>
    <w:rsid w:val="002566F4"/>
    <w:rsid w:val="00256D44"/>
    <w:rsid w:val="00256D8D"/>
    <w:rsid w:val="00256E0B"/>
    <w:rsid w:val="00256E1C"/>
    <w:rsid w:val="00256E26"/>
    <w:rsid w:val="00257361"/>
    <w:rsid w:val="00257366"/>
    <w:rsid w:val="00257444"/>
    <w:rsid w:val="00257715"/>
    <w:rsid w:val="00257A69"/>
    <w:rsid w:val="00257BED"/>
    <w:rsid w:val="002600CE"/>
    <w:rsid w:val="0026062A"/>
    <w:rsid w:val="002608A8"/>
    <w:rsid w:val="002608C3"/>
    <w:rsid w:val="00260992"/>
    <w:rsid w:val="00260E88"/>
    <w:rsid w:val="00261322"/>
    <w:rsid w:val="00261363"/>
    <w:rsid w:val="00261781"/>
    <w:rsid w:val="002620D4"/>
    <w:rsid w:val="00262332"/>
    <w:rsid w:val="00262532"/>
    <w:rsid w:val="00262A00"/>
    <w:rsid w:val="00262AED"/>
    <w:rsid w:val="00262D69"/>
    <w:rsid w:val="00262DA1"/>
    <w:rsid w:val="00262FB8"/>
    <w:rsid w:val="0026347D"/>
    <w:rsid w:val="002635D7"/>
    <w:rsid w:val="00263679"/>
    <w:rsid w:val="00263D25"/>
    <w:rsid w:val="00263F71"/>
    <w:rsid w:val="00263FB3"/>
    <w:rsid w:val="00264030"/>
    <w:rsid w:val="0026403C"/>
    <w:rsid w:val="002640AC"/>
    <w:rsid w:val="00264170"/>
    <w:rsid w:val="00264186"/>
    <w:rsid w:val="002644DC"/>
    <w:rsid w:val="0026461A"/>
    <w:rsid w:val="0026482E"/>
    <w:rsid w:val="00264893"/>
    <w:rsid w:val="00264960"/>
    <w:rsid w:val="00264CDC"/>
    <w:rsid w:val="00264D6E"/>
    <w:rsid w:val="00265031"/>
    <w:rsid w:val="00265285"/>
    <w:rsid w:val="00265299"/>
    <w:rsid w:val="002653B8"/>
    <w:rsid w:val="002654A2"/>
    <w:rsid w:val="0026563C"/>
    <w:rsid w:val="0026565A"/>
    <w:rsid w:val="002656ED"/>
    <w:rsid w:val="00265787"/>
    <w:rsid w:val="00265AFF"/>
    <w:rsid w:val="002664BF"/>
    <w:rsid w:val="002669C3"/>
    <w:rsid w:val="00266A20"/>
    <w:rsid w:val="00266BF7"/>
    <w:rsid w:val="00266CE6"/>
    <w:rsid w:val="002671A7"/>
    <w:rsid w:val="0026761E"/>
    <w:rsid w:val="00267967"/>
    <w:rsid w:val="0026797C"/>
    <w:rsid w:val="00267ACA"/>
    <w:rsid w:val="00267AE3"/>
    <w:rsid w:val="00267CAD"/>
    <w:rsid w:val="00267F8D"/>
    <w:rsid w:val="00267FC2"/>
    <w:rsid w:val="002700A3"/>
    <w:rsid w:val="00270143"/>
    <w:rsid w:val="00270381"/>
    <w:rsid w:val="002703F2"/>
    <w:rsid w:val="002707BA"/>
    <w:rsid w:val="00270898"/>
    <w:rsid w:val="002708FD"/>
    <w:rsid w:val="00270ACF"/>
    <w:rsid w:val="00270FAD"/>
    <w:rsid w:val="0027103F"/>
    <w:rsid w:val="0027105B"/>
    <w:rsid w:val="002711E9"/>
    <w:rsid w:val="00271723"/>
    <w:rsid w:val="0027188D"/>
    <w:rsid w:val="00271B62"/>
    <w:rsid w:val="00271BB9"/>
    <w:rsid w:val="0027216C"/>
    <w:rsid w:val="00272220"/>
    <w:rsid w:val="002725B4"/>
    <w:rsid w:val="00272779"/>
    <w:rsid w:val="00272899"/>
    <w:rsid w:val="00272BD6"/>
    <w:rsid w:val="00272CC0"/>
    <w:rsid w:val="00272CCC"/>
    <w:rsid w:val="00272D25"/>
    <w:rsid w:val="00272F4F"/>
    <w:rsid w:val="00273438"/>
    <w:rsid w:val="002737C2"/>
    <w:rsid w:val="00273833"/>
    <w:rsid w:val="00273A91"/>
    <w:rsid w:val="00273AAA"/>
    <w:rsid w:val="00273CBA"/>
    <w:rsid w:val="00274180"/>
    <w:rsid w:val="00274312"/>
    <w:rsid w:val="00274494"/>
    <w:rsid w:val="00274966"/>
    <w:rsid w:val="00274A0D"/>
    <w:rsid w:val="00274F66"/>
    <w:rsid w:val="0027509C"/>
    <w:rsid w:val="00275329"/>
    <w:rsid w:val="002753A2"/>
    <w:rsid w:val="002753E8"/>
    <w:rsid w:val="00275729"/>
    <w:rsid w:val="00275819"/>
    <w:rsid w:val="00275B41"/>
    <w:rsid w:val="00275EF9"/>
    <w:rsid w:val="00275F91"/>
    <w:rsid w:val="00276010"/>
    <w:rsid w:val="00276150"/>
    <w:rsid w:val="00276287"/>
    <w:rsid w:val="0027636D"/>
    <w:rsid w:val="00276496"/>
    <w:rsid w:val="002766F4"/>
    <w:rsid w:val="002767CA"/>
    <w:rsid w:val="002769D9"/>
    <w:rsid w:val="00276BEF"/>
    <w:rsid w:val="00276C72"/>
    <w:rsid w:val="00276D13"/>
    <w:rsid w:val="002770EA"/>
    <w:rsid w:val="00277151"/>
    <w:rsid w:val="00277509"/>
    <w:rsid w:val="00277572"/>
    <w:rsid w:val="00277684"/>
    <w:rsid w:val="00277A3C"/>
    <w:rsid w:val="00277EEE"/>
    <w:rsid w:val="00280401"/>
    <w:rsid w:val="0028052C"/>
    <w:rsid w:val="00280641"/>
    <w:rsid w:val="002807CD"/>
    <w:rsid w:val="002809D6"/>
    <w:rsid w:val="00280C0E"/>
    <w:rsid w:val="00280C24"/>
    <w:rsid w:val="00280E40"/>
    <w:rsid w:val="00280EC4"/>
    <w:rsid w:val="00280FDA"/>
    <w:rsid w:val="0028130E"/>
    <w:rsid w:val="00281773"/>
    <w:rsid w:val="002821B6"/>
    <w:rsid w:val="002821CA"/>
    <w:rsid w:val="002824A1"/>
    <w:rsid w:val="00282548"/>
    <w:rsid w:val="002825AF"/>
    <w:rsid w:val="0028292A"/>
    <w:rsid w:val="00282999"/>
    <w:rsid w:val="002829C0"/>
    <w:rsid w:val="00282AB4"/>
    <w:rsid w:val="00282B35"/>
    <w:rsid w:val="00282E1C"/>
    <w:rsid w:val="00282EEF"/>
    <w:rsid w:val="0028337E"/>
    <w:rsid w:val="002833AD"/>
    <w:rsid w:val="0028342E"/>
    <w:rsid w:val="0028349E"/>
    <w:rsid w:val="002834B9"/>
    <w:rsid w:val="00283875"/>
    <w:rsid w:val="002838D2"/>
    <w:rsid w:val="00284144"/>
    <w:rsid w:val="00284419"/>
    <w:rsid w:val="0028454F"/>
    <w:rsid w:val="002845D4"/>
    <w:rsid w:val="00284AC3"/>
    <w:rsid w:val="00284D22"/>
    <w:rsid w:val="00284E1B"/>
    <w:rsid w:val="0028508A"/>
    <w:rsid w:val="0028562F"/>
    <w:rsid w:val="00285688"/>
    <w:rsid w:val="00285AA9"/>
    <w:rsid w:val="00285BA7"/>
    <w:rsid w:val="00285C97"/>
    <w:rsid w:val="00285D18"/>
    <w:rsid w:val="00285DE9"/>
    <w:rsid w:val="00285E76"/>
    <w:rsid w:val="00285FFF"/>
    <w:rsid w:val="0028647B"/>
    <w:rsid w:val="00286495"/>
    <w:rsid w:val="0028653A"/>
    <w:rsid w:val="00286664"/>
    <w:rsid w:val="002869E0"/>
    <w:rsid w:val="00286DFD"/>
    <w:rsid w:val="00286EB0"/>
    <w:rsid w:val="00287306"/>
    <w:rsid w:val="0028756E"/>
    <w:rsid w:val="0028758C"/>
    <w:rsid w:val="00287728"/>
    <w:rsid w:val="00287918"/>
    <w:rsid w:val="00287EC4"/>
    <w:rsid w:val="00287F1A"/>
    <w:rsid w:val="00287F2E"/>
    <w:rsid w:val="002909A4"/>
    <w:rsid w:val="00290AC2"/>
    <w:rsid w:val="00290C1D"/>
    <w:rsid w:val="00290DA1"/>
    <w:rsid w:val="00290E36"/>
    <w:rsid w:val="00290FE7"/>
    <w:rsid w:val="00291176"/>
    <w:rsid w:val="002911EC"/>
    <w:rsid w:val="002911ED"/>
    <w:rsid w:val="00291527"/>
    <w:rsid w:val="00291851"/>
    <w:rsid w:val="00291C70"/>
    <w:rsid w:val="00291E96"/>
    <w:rsid w:val="002925F8"/>
    <w:rsid w:val="002926DE"/>
    <w:rsid w:val="002927F5"/>
    <w:rsid w:val="00292898"/>
    <w:rsid w:val="002929C6"/>
    <w:rsid w:val="002929E2"/>
    <w:rsid w:val="00292A66"/>
    <w:rsid w:val="00292BD4"/>
    <w:rsid w:val="00292BFD"/>
    <w:rsid w:val="00292CE5"/>
    <w:rsid w:val="00292D8E"/>
    <w:rsid w:val="00292F12"/>
    <w:rsid w:val="00293402"/>
    <w:rsid w:val="00293535"/>
    <w:rsid w:val="00293538"/>
    <w:rsid w:val="002935F7"/>
    <w:rsid w:val="002937A8"/>
    <w:rsid w:val="002938DA"/>
    <w:rsid w:val="00293A12"/>
    <w:rsid w:val="00293AA3"/>
    <w:rsid w:val="00293B0F"/>
    <w:rsid w:val="00293DB8"/>
    <w:rsid w:val="00293E58"/>
    <w:rsid w:val="0029406C"/>
    <w:rsid w:val="002940E9"/>
    <w:rsid w:val="00294156"/>
    <w:rsid w:val="002941CC"/>
    <w:rsid w:val="0029422C"/>
    <w:rsid w:val="00294554"/>
    <w:rsid w:val="002945C7"/>
    <w:rsid w:val="00294749"/>
    <w:rsid w:val="00294891"/>
    <w:rsid w:val="00294B21"/>
    <w:rsid w:val="00294BB9"/>
    <w:rsid w:val="00294D09"/>
    <w:rsid w:val="00294DA5"/>
    <w:rsid w:val="00294ECC"/>
    <w:rsid w:val="00294FBC"/>
    <w:rsid w:val="0029505D"/>
    <w:rsid w:val="0029571C"/>
    <w:rsid w:val="002957A0"/>
    <w:rsid w:val="00295AC0"/>
    <w:rsid w:val="00295C0F"/>
    <w:rsid w:val="00295E0D"/>
    <w:rsid w:val="00295EB1"/>
    <w:rsid w:val="00295ED8"/>
    <w:rsid w:val="00296198"/>
    <w:rsid w:val="002966B8"/>
    <w:rsid w:val="002967C9"/>
    <w:rsid w:val="00296A06"/>
    <w:rsid w:val="00296A0D"/>
    <w:rsid w:val="00296D0E"/>
    <w:rsid w:val="00296DAD"/>
    <w:rsid w:val="002970DD"/>
    <w:rsid w:val="002971A9"/>
    <w:rsid w:val="002971FB"/>
    <w:rsid w:val="0029742B"/>
    <w:rsid w:val="00297454"/>
    <w:rsid w:val="00297BCA"/>
    <w:rsid w:val="00297BCE"/>
    <w:rsid w:val="00297C12"/>
    <w:rsid w:val="00297DB4"/>
    <w:rsid w:val="002A0055"/>
    <w:rsid w:val="002A0355"/>
    <w:rsid w:val="002A03C7"/>
    <w:rsid w:val="002A0698"/>
    <w:rsid w:val="002A06FD"/>
    <w:rsid w:val="002A0713"/>
    <w:rsid w:val="002A0748"/>
    <w:rsid w:val="002A08D7"/>
    <w:rsid w:val="002A0CDE"/>
    <w:rsid w:val="002A0F6F"/>
    <w:rsid w:val="002A0F88"/>
    <w:rsid w:val="002A1535"/>
    <w:rsid w:val="002A1542"/>
    <w:rsid w:val="002A16A7"/>
    <w:rsid w:val="002A194F"/>
    <w:rsid w:val="002A196E"/>
    <w:rsid w:val="002A198D"/>
    <w:rsid w:val="002A1A7A"/>
    <w:rsid w:val="002A1CAA"/>
    <w:rsid w:val="002A1D25"/>
    <w:rsid w:val="002A1D44"/>
    <w:rsid w:val="002A2004"/>
    <w:rsid w:val="002A2094"/>
    <w:rsid w:val="002A2263"/>
    <w:rsid w:val="002A264B"/>
    <w:rsid w:val="002A2847"/>
    <w:rsid w:val="002A290E"/>
    <w:rsid w:val="002A2D96"/>
    <w:rsid w:val="002A2DCE"/>
    <w:rsid w:val="002A322F"/>
    <w:rsid w:val="002A328C"/>
    <w:rsid w:val="002A3428"/>
    <w:rsid w:val="002A3698"/>
    <w:rsid w:val="002A3718"/>
    <w:rsid w:val="002A38A0"/>
    <w:rsid w:val="002A3D26"/>
    <w:rsid w:val="002A3DEE"/>
    <w:rsid w:val="002A3F71"/>
    <w:rsid w:val="002A4444"/>
    <w:rsid w:val="002A462B"/>
    <w:rsid w:val="002A46DD"/>
    <w:rsid w:val="002A488D"/>
    <w:rsid w:val="002A4BF5"/>
    <w:rsid w:val="002A4F5D"/>
    <w:rsid w:val="002A4FDF"/>
    <w:rsid w:val="002A5032"/>
    <w:rsid w:val="002A5071"/>
    <w:rsid w:val="002A5680"/>
    <w:rsid w:val="002A56EF"/>
    <w:rsid w:val="002A5812"/>
    <w:rsid w:val="002A585D"/>
    <w:rsid w:val="002A5915"/>
    <w:rsid w:val="002A5C0F"/>
    <w:rsid w:val="002A5E10"/>
    <w:rsid w:val="002A5E18"/>
    <w:rsid w:val="002A5E71"/>
    <w:rsid w:val="002A5F35"/>
    <w:rsid w:val="002A6107"/>
    <w:rsid w:val="002A61B5"/>
    <w:rsid w:val="002A6273"/>
    <w:rsid w:val="002A62D1"/>
    <w:rsid w:val="002A634A"/>
    <w:rsid w:val="002A6582"/>
    <w:rsid w:val="002A6A82"/>
    <w:rsid w:val="002A6B98"/>
    <w:rsid w:val="002A6E2B"/>
    <w:rsid w:val="002A7008"/>
    <w:rsid w:val="002A716D"/>
    <w:rsid w:val="002A741C"/>
    <w:rsid w:val="002A753A"/>
    <w:rsid w:val="002A7625"/>
    <w:rsid w:val="002A79C5"/>
    <w:rsid w:val="002A7AC4"/>
    <w:rsid w:val="002A7C6A"/>
    <w:rsid w:val="002A7EDD"/>
    <w:rsid w:val="002A7F46"/>
    <w:rsid w:val="002A7FBB"/>
    <w:rsid w:val="002B000B"/>
    <w:rsid w:val="002B0190"/>
    <w:rsid w:val="002B01BC"/>
    <w:rsid w:val="002B02A0"/>
    <w:rsid w:val="002B02AF"/>
    <w:rsid w:val="002B03DA"/>
    <w:rsid w:val="002B0F7A"/>
    <w:rsid w:val="002B10EB"/>
    <w:rsid w:val="002B10FE"/>
    <w:rsid w:val="002B123D"/>
    <w:rsid w:val="002B1630"/>
    <w:rsid w:val="002B1922"/>
    <w:rsid w:val="002B1970"/>
    <w:rsid w:val="002B1A3D"/>
    <w:rsid w:val="002B1B5A"/>
    <w:rsid w:val="002B1BD1"/>
    <w:rsid w:val="002B1C56"/>
    <w:rsid w:val="002B1D64"/>
    <w:rsid w:val="002B1D6E"/>
    <w:rsid w:val="002B1DCA"/>
    <w:rsid w:val="002B2239"/>
    <w:rsid w:val="002B25D0"/>
    <w:rsid w:val="002B2DBB"/>
    <w:rsid w:val="002B2EA4"/>
    <w:rsid w:val="002B2ECC"/>
    <w:rsid w:val="002B2F3B"/>
    <w:rsid w:val="002B33C6"/>
    <w:rsid w:val="002B3467"/>
    <w:rsid w:val="002B3642"/>
    <w:rsid w:val="002B377E"/>
    <w:rsid w:val="002B390E"/>
    <w:rsid w:val="002B3E90"/>
    <w:rsid w:val="002B3ECE"/>
    <w:rsid w:val="002B3F75"/>
    <w:rsid w:val="002B4061"/>
    <w:rsid w:val="002B40E5"/>
    <w:rsid w:val="002B4154"/>
    <w:rsid w:val="002B4355"/>
    <w:rsid w:val="002B4452"/>
    <w:rsid w:val="002B456E"/>
    <w:rsid w:val="002B4735"/>
    <w:rsid w:val="002B4830"/>
    <w:rsid w:val="002B4A5B"/>
    <w:rsid w:val="002B4E3E"/>
    <w:rsid w:val="002B4F46"/>
    <w:rsid w:val="002B4FCF"/>
    <w:rsid w:val="002B5004"/>
    <w:rsid w:val="002B534F"/>
    <w:rsid w:val="002B536F"/>
    <w:rsid w:val="002B5434"/>
    <w:rsid w:val="002B5AE8"/>
    <w:rsid w:val="002B5C42"/>
    <w:rsid w:val="002B5DD3"/>
    <w:rsid w:val="002B5E36"/>
    <w:rsid w:val="002B5FA9"/>
    <w:rsid w:val="002B6093"/>
    <w:rsid w:val="002B618E"/>
    <w:rsid w:val="002B629F"/>
    <w:rsid w:val="002B6381"/>
    <w:rsid w:val="002B674B"/>
    <w:rsid w:val="002B6A17"/>
    <w:rsid w:val="002B6CA2"/>
    <w:rsid w:val="002B6D52"/>
    <w:rsid w:val="002B6DDB"/>
    <w:rsid w:val="002B701B"/>
    <w:rsid w:val="002B7118"/>
    <w:rsid w:val="002B7205"/>
    <w:rsid w:val="002B7267"/>
    <w:rsid w:val="002B7585"/>
    <w:rsid w:val="002B7651"/>
    <w:rsid w:val="002B7897"/>
    <w:rsid w:val="002B7A24"/>
    <w:rsid w:val="002B7B70"/>
    <w:rsid w:val="002B7D5F"/>
    <w:rsid w:val="002B7EC4"/>
    <w:rsid w:val="002B7FA3"/>
    <w:rsid w:val="002C02B3"/>
    <w:rsid w:val="002C035F"/>
    <w:rsid w:val="002C049F"/>
    <w:rsid w:val="002C0902"/>
    <w:rsid w:val="002C0AB7"/>
    <w:rsid w:val="002C0B0F"/>
    <w:rsid w:val="002C0D1E"/>
    <w:rsid w:val="002C0E60"/>
    <w:rsid w:val="002C0FCD"/>
    <w:rsid w:val="002C127E"/>
    <w:rsid w:val="002C1742"/>
    <w:rsid w:val="002C176D"/>
    <w:rsid w:val="002C190B"/>
    <w:rsid w:val="002C1B18"/>
    <w:rsid w:val="002C1BA7"/>
    <w:rsid w:val="002C1C99"/>
    <w:rsid w:val="002C1CF8"/>
    <w:rsid w:val="002C1E95"/>
    <w:rsid w:val="002C1F4D"/>
    <w:rsid w:val="002C2263"/>
    <w:rsid w:val="002C27B1"/>
    <w:rsid w:val="002C2955"/>
    <w:rsid w:val="002C2A01"/>
    <w:rsid w:val="002C2BF5"/>
    <w:rsid w:val="002C2DF8"/>
    <w:rsid w:val="002C2DFB"/>
    <w:rsid w:val="002C31E6"/>
    <w:rsid w:val="002C31EA"/>
    <w:rsid w:val="002C322A"/>
    <w:rsid w:val="002C3517"/>
    <w:rsid w:val="002C36F7"/>
    <w:rsid w:val="002C3755"/>
    <w:rsid w:val="002C37BD"/>
    <w:rsid w:val="002C3A61"/>
    <w:rsid w:val="002C3A7A"/>
    <w:rsid w:val="002C3D9B"/>
    <w:rsid w:val="002C41A8"/>
    <w:rsid w:val="002C42B5"/>
    <w:rsid w:val="002C466B"/>
    <w:rsid w:val="002C474B"/>
    <w:rsid w:val="002C4E46"/>
    <w:rsid w:val="002C4F15"/>
    <w:rsid w:val="002C4F34"/>
    <w:rsid w:val="002C5050"/>
    <w:rsid w:val="002C5064"/>
    <w:rsid w:val="002C555A"/>
    <w:rsid w:val="002C5605"/>
    <w:rsid w:val="002C5692"/>
    <w:rsid w:val="002C582F"/>
    <w:rsid w:val="002C589A"/>
    <w:rsid w:val="002C5C22"/>
    <w:rsid w:val="002C5CA4"/>
    <w:rsid w:val="002C5FC4"/>
    <w:rsid w:val="002C619B"/>
    <w:rsid w:val="002C6863"/>
    <w:rsid w:val="002C6977"/>
    <w:rsid w:val="002C69A8"/>
    <w:rsid w:val="002C6C6C"/>
    <w:rsid w:val="002C6C73"/>
    <w:rsid w:val="002C6D26"/>
    <w:rsid w:val="002C6D5B"/>
    <w:rsid w:val="002C727B"/>
    <w:rsid w:val="002C727E"/>
    <w:rsid w:val="002C7429"/>
    <w:rsid w:val="002C78E5"/>
    <w:rsid w:val="002C7A6F"/>
    <w:rsid w:val="002C7EA6"/>
    <w:rsid w:val="002D006C"/>
    <w:rsid w:val="002D011A"/>
    <w:rsid w:val="002D0225"/>
    <w:rsid w:val="002D033D"/>
    <w:rsid w:val="002D0509"/>
    <w:rsid w:val="002D061F"/>
    <w:rsid w:val="002D0E62"/>
    <w:rsid w:val="002D1082"/>
    <w:rsid w:val="002D1168"/>
    <w:rsid w:val="002D118E"/>
    <w:rsid w:val="002D1242"/>
    <w:rsid w:val="002D12F6"/>
    <w:rsid w:val="002D156E"/>
    <w:rsid w:val="002D16E6"/>
    <w:rsid w:val="002D171A"/>
    <w:rsid w:val="002D1763"/>
    <w:rsid w:val="002D1A54"/>
    <w:rsid w:val="002D1A58"/>
    <w:rsid w:val="002D1F3B"/>
    <w:rsid w:val="002D21B1"/>
    <w:rsid w:val="002D22BE"/>
    <w:rsid w:val="002D22CA"/>
    <w:rsid w:val="002D23C9"/>
    <w:rsid w:val="002D244F"/>
    <w:rsid w:val="002D2595"/>
    <w:rsid w:val="002D2633"/>
    <w:rsid w:val="002D279D"/>
    <w:rsid w:val="002D27E7"/>
    <w:rsid w:val="002D27FB"/>
    <w:rsid w:val="002D2CB6"/>
    <w:rsid w:val="002D2EBB"/>
    <w:rsid w:val="002D2F05"/>
    <w:rsid w:val="002D3184"/>
    <w:rsid w:val="002D3519"/>
    <w:rsid w:val="002D37C7"/>
    <w:rsid w:val="002D38F0"/>
    <w:rsid w:val="002D3A8E"/>
    <w:rsid w:val="002D3DE6"/>
    <w:rsid w:val="002D3EF5"/>
    <w:rsid w:val="002D3F0C"/>
    <w:rsid w:val="002D40E8"/>
    <w:rsid w:val="002D40EC"/>
    <w:rsid w:val="002D4230"/>
    <w:rsid w:val="002D4256"/>
    <w:rsid w:val="002D42BB"/>
    <w:rsid w:val="002D42F1"/>
    <w:rsid w:val="002D4549"/>
    <w:rsid w:val="002D491A"/>
    <w:rsid w:val="002D4C2A"/>
    <w:rsid w:val="002D4C5D"/>
    <w:rsid w:val="002D4F21"/>
    <w:rsid w:val="002D5037"/>
    <w:rsid w:val="002D506E"/>
    <w:rsid w:val="002D53F5"/>
    <w:rsid w:val="002D54D1"/>
    <w:rsid w:val="002D56C1"/>
    <w:rsid w:val="002D5819"/>
    <w:rsid w:val="002D5B4C"/>
    <w:rsid w:val="002D5BDF"/>
    <w:rsid w:val="002D5C04"/>
    <w:rsid w:val="002D5C87"/>
    <w:rsid w:val="002D5EEF"/>
    <w:rsid w:val="002D5FD5"/>
    <w:rsid w:val="002D6138"/>
    <w:rsid w:val="002D62AC"/>
    <w:rsid w:val="002D62EF"/>
    <w:rsid w:val="002D6550"/>
    <w:rsid w:val="002D662D"/>
    <w:rsid w:val="002D66E0"/>
    <w:rsid w:val="002D6971"/>
    <w:rsid w:val="002D6A37"/>
    <w:rsid w:val="002D6C4B"/>
    <w:rsid w:val="002D727A"/>
    <w:rsid w:val="002D72FA"/>
    <w:rsid w:val="002D740D"/>
    <w:rsid w:val="002D743E"/>
    <w:rsid w:val="002D79B9"/>
    <w:rsid w:val="002D79E2"/>
    <w:rsid w:val="002D79F5"/>
    <w:rsid w:val="002D7AB3"/>
    <w:rsid w:val="002D7AEE"/>
    <w:rsid w:val="002D7D23"/>
    <w:rsid w:val="002D7F7E"/>
    <w:rsid w:val="002E0533"/>
    <w:rsid w:val="002E061B"/>
    <w:rsid w:val="002E06B7"/>
    <w:rsid w:val="002E06C0"/>
    <w:rsid w:val="002E0A78"/>
    <w:rsid w:val="002E0AB7"/>
    <w:rsid w:val="002E0D19"/>
    <w:rsid w:val="002E0D99"/>
    <w:rsid w:val="002E0DBC"/>
    <w:rsid w:val="002E110A"/>
    <w:rsid w:val="002E111A"/>
    <w:rsid w:val="002E11C4"/>
    <w:rsid w:val="002E1294"/>
    <w:rsid w:val="002E12F3"/>
    <w:rsid w:val="002E1663"/>
    <w:rsid w:val="002E1787"/>
    <w:rsid w:val="002E17B2"/>
    <w:rsid w:val="002E1A3B"/>
    <w:rsid w:val="002E1CF9"/>
    <w:rsid w:val="002E1D31"/>
    <w:rsid w:val="002E1E46"/>
    <w:rsid w:val="002E22D5"/>
    <w:rsid w:val="002E2433"/>
    <w:rsid w:val="002E246D"/>
    <w:rsid w:val="002E2506"/>
    <w:rsid w:val="002E25EC"/>
    <w:rsid w:val="002E286D"/>
    <w:rsid w:val="002E2D1B"/>
    <w:rsid w:val="002E2D4E"/>
    <w:rsid w:val="002E312D"/>
    <w:rsid w:val="002E3226"/>
    <w:rsid w:val="002E3499"/>
    <w:rsid w:val="002E3627"/>
    <w:rsid w:val="002E372B"/>
    <w:rsid w:val="002E3792"/>
    <w:rsid w:val="002E3E2B"/>
    <w:rsid w:val="002E4024"/>
    <w:rsid w:val="002E435E"/>
    <w:rsid w:val="002E43C9"/>
    <w:rsid w:val="002E4416"/>
    <w:rsid w:val="002E4751"/>
    <w:rsid w:val="002E4CD5"/>
    <w:rsid w:val="002E4E22"/>
    <w:rsid w:val="002E5163"/>
    <w:rsid w:val="002E5218"/>
    <w:rsid w:val="002E549E"/>
    <w:rsid w:val="002E5522"/>
    <w:rsid w:val="002E5601"/>
    <w:rsid w:val="002E58B9"/>
    <w:rsid w:val="002E5D3C"/>
    <w:rsid w:val="002E6353"/>
    <w:rsid w:val="002E6448"/>
    <w:rsid w:val="002E6BEF"/>
    <w:rsid w:val="002E6D08"/>
    <w:rsid w:val="002E6EE4"/>
    <w:rsid w:val="002E74BC"/>
    <w:rsid w:val="002E76C2"/>
    <w:rsid w:val="002E785D"/>
    <w:rsid w:val="002E78A8"/>
    <w:rsid w:val="002E7D2A"/>
    <w:rsid w:val="002E7D69"/>
    <w:rsid w:val="002E7E25"/>
    <w:rsid w:val="002E7EA9"/>
    <w:rsid w:val="002F025D"/>
    <w:rsid w:val="002F02AB"/>
    <w:rsid w:val="002F03C1"/>
    <w:rsid w:val="002F0479"/>
    <w:rsid w:val="002F04A0"/>
    <w:rsid w:val="002F04EA"/>
    <w:rsid w:val="002F0547"/>
    <w:rsid w:val="002F0C6D"/>
    <w:rsid w:val="002F11DB"/>
    <w:rsid w:val="002F11EE"/>
    <w:rsid w:val="002F1573"/>
    <w:rsid w:val="002F1823"/>
    <w:rsid w:val="002F1831"/>
    <w:rsid w:val="002F1848"/>
    <w:rsid w:val="002F18E3"/>
    <w:rsid w:val="002F1DCA"/>
    <w:rsid w:val="002F1E88"/>
    <w:rsid w:val="002F1EBB"/>
    <w:rsid w:val="002F2406"/>
    <w:rsid w:val="002F2476"/>
    <w:rsid w:val="002F24FE"/>
    <w:rsid w:val="002F253E"/>
    <w:rsid w:val="002F27DE"/>
    <w:rsid w:val="002F2973"/>
    <w:rsid w:val="002F2CE9"/>
    <w:rsid w:val="002F2FD2"/>
    <w:rsid w:val="002F32C6"/>
    <w:rsid w:val="002F3315"/>
    <w:rsid w:val="002F33F4"/>
    <w:rsid w:val="002F367E"/>
    <w:rsid w:val="002F3920"/>
    <w:rsid w:val="002F3A9E"/>
    <w:rsid w:val="002F3CA7"/>
    <w:rsid w:val="002F3F53"/>
    <w:rsid w:val="002F40B3"/>
    <w:rsid w:val="002F4342"/>
    <w:rsid w:val="002F4428"/>
    <w:rsid w:val="002F44A1"/>
    <w:rsid w:val="002F45A9"/>
    <w:rsid w:val="002F4689"/>
    <w:rsid w:val="002F4917"/>
    <w:rsid w:val="002F4A21"/>
    <w:rsid w:val="002F4DD7"/>
    <w:rsid w:val="002F5073"/>
    <w:rsid w:val="002F52F7"/>
    <w:rsid w:val="002F55AA"/>
    <w:rsid w:val="002F5781"/>
    <w:rsid w:val="002F5874"/>
    <w:rsid w:val="002F5D4A"/>
    <w:rsid w:val="002F5E17"/>
    <w:rsid w:val="002F5F59"/>
    <w:rsid w:val="002F62E3"/>
    <w:rsid w:val="002F6400"/>
    <w:rsid w:val="002F6505"/>
    <w:rsid w:val="002F66E4"/>
    <w:rsid w:val="002F68B0"/>
    <w:rsid w:val="002F697D"/>
    <w:rsid w:val="002F6CAC"/>
    <w:rsid w:val="002F6F1E"/>
    <w:rsid w:val="002F7374"/>
    <w:rsid w:val="002F7385"/>
    <w:rsid w:val="002F74CF"/>
    <w:rsid w:val="002F75E3"/>
    <w:rsid w:val="002F762B"/>
    <w:rsid w:val="002F7631"/>
    <w:rsid w:val="002F77EE"/>
    <w:rsid w:val="002F79FC"/>
    <w:rsid w:val="003001C2"/>
    <w:rsid w:val="0030025B"/>
    <w:rsid w:val="0030026A"/>
    <w:rsid w:val="0030054A"/>
    <w:rsid w:val="00300859"/>
    <w:rsid w:val="00300A96"/>
    <w:rsid w:val="00300BAB"/>
    <w:rsid w:val="00300E49"/>
    <w:rsid w:val="00300F8D"/>
    <w:rsid w:val="00300FA8"/>
    <w:rsid w:val="0030100E"/>
    <w:rsid w:val="003012BE"/>
    <w:rsid w:val="003017A9"/>
    <w:rsid w:val="00301959"/>
    <w:rsid w:val="00301A22"/>
    <w:rsid w:val="00301CCE"/>
    <w:rsid w:val="00301F53"/>
    <w:rsid w:val="00301FA6"/>
    <w:rsid w:val="00301FBB"/>
    <w:rsid w:val="003022CC"/>
    <w:rsid w:val="003022ED"/>
    <w:rsid w:val="00302660"/>
    <w:rsid w:val="0030282F"/>
    <w:rsid w:val="00302897"/>
    <w:rsid w:val="00302ED9"/>
    <w:rsid w:val="00303620"/>
    <w:rsid w:val="003037A0"/>
    <w:rsid w:val="003038DE"/>
    <w:rsid w:val="00303901"/>
    <w:rsid w:val="00303CDD"/>
    <w:rsid w:val="00303EB5"/>
    <w:rsid w:val="00303F0D"/>
    <w:rsid w:val="0030426D"/>
    <w:rsid w:val="00304335"/>
    <w:rsid w:val="0030446C"/>
    <w:rsid w:val="00304813"/>
    <w:rsid w:val="00304A2F"/>
    <w:rsid w:val="00304BAE"/>
    <w:rsid w:val="00304D3F"/>
    <w:rsid w:val="00304E0A"/>
    <w:rsid w:val="00304F46"/>
    <w:rsid w:val="0030501A"/>
    <w:rsid w:val="00305132"/>
    <w:rsid w:val="0030589E"/>
    <w:rsid w:val="0030598E"/>
    <w:rsid w:val="00305BD7"/>
    <w:rsid w:val="00305E7E"/>
    <w:rsid w:val="003061C5"/>
    <w:rsid w:val="00306390"/>
    <w:rsid w:val="003063D9"/>
    <w:rsid w:val="003066D9"/>
    <w:rsid w:val="00306752"/>
    <w:rsid w:val="003068A5"/>
    <w:rsid w:val="00306C5E"/>
    <w:rsid w:val="00307268"/>
    <w:rsid w:val="003074CD"/>
    <w:rsid w:val="003074D7"/>
    <w:rsid w:val="003074D8"/>
    <w:rsid w:val="0030761A"/>
    <w:rsid w:val="00307655"/>
    <w:rsid w:val="00307796"/>
    <w:rsid w:val="003078D3"/>
    <w:rsid w:val="00307A2F"/>
    <w:rsid w:val="00307B87"/>
    <w:rsid w:val="00310159"/>
    <w:rsid w:val="00310272"/>
    <w:rsid w:val="00310541"/>
    <w:rsid w:val="00310968"/>
    <w:rsid w:val="00310989"/>
    <w:rsid w:val="00310A3C"/>
    <w:rsid w:val="00310A60"/>
    <w:rsid w:val="00310B3D"/>
    <w:rsid w:val="00310BCE"/>
    <w:rsid w:val="00310C11"/>
    <w:rsid w:val="00310E5A"/>
    <w:rsid w:val="00310F58"/>
    <w:rsid w:val="003110F6"/>
    <w:rsid w:val="003111C4"/>
    <w:rsid w:val="00311360"/>
    <w:rsid w:val="0031165C"/>
    <w:rsid w:val="00311661"/>
    <w:rsid w:val="00311693"/>
    <w:rsid w:val="003116EA"/>
    <w:rsid w:val="003117B7"/>
    <w:rsid w:val="00311C17"/>
    <w:rsid w:val="00311E59"/>
    <w:rsid w:val="003123D0"/>
    <w:rsid w:val="00312437"/>
    <w:rsid w:val="0031286D"/>
    <w:rsid w:val="003129F4"/>
    <w:rsid w:val="00312AB5"/>
    <w:rsid w:val="00312BBF"/>
    <w:rsid w:val="00312FE5"/>
    <w:rsid w:val="00313083"/>
    <w:rsid w:val="00313457"/>
    <w:rsid w:val="00313482"/>
    <w:rsid w:val="0031372B"/>
    <w:rsid w:val="00313A96"/>
    <w:rsid w:val="00313B95"/>
    <w:rsid w:val="00313CC8"/>
    <w:rsid w:val="00313F2D"/>
    <w:rsid w:val="003141A3"/>
    <w:rsid w:val="0031421C"/>
    <w:rsid w:val="00314236"/>
    <w:rsid w:val="003143D5"/>
    <w:rsid w:val="00314444"/>
    <w:rsid w:val="00314475"/>
    <w:rsid w:val="003145F8"/>
    <w:rsid w:val="00314753"/>
    <w:rsid w:val="003148A2"/>
    <w:rsid w:val="00314919"/>
    <w:rsid w:val="00314A7D"/>
    <w:rsid w:val="00314AF8"/>
    <w:rsid w:val="00314C9F"/>
    <w:rsid w:val="00314DA3"/>
    <w:rsid w:val="00315089"/>
    <w:rsid w:val="0031524E"/>
    <w:rsid w:val="00315A40"/>
    <w:rsid w:val="0031624A"/>
    <w:rsid w:val="00316404"/>
    <w:rsid w:val="003169C4"/>
    <w:rsid w:val="00316A8B"/>
    <w:rsid w:val="00316B54"/>
    <w:rsid w:val="00316EBF"/>
    <w:rsid w:val="0031747A"/>
    <w:rsid w:val="0031747F"/>
    <w:rsid w:val="00317B44"/>
    <w:rsid w:val="00317E02"/>
    <w:rsid w:val="003201CF"/>
    <w:rsid w:val="003206A1"/>
    <w:rsid w:val="00320880"/>
    <w:rsid w:val="0032095F"/>
    <w:rsid w:val="0032096B"/>
    <w:rsid w:val="00320ABC"/>
    <w:rsid w:val="00320C31"/>
    <w:rsid w:val="00320E38"/>
    <w:rsid w:val="00320ECC"/>
    <w:rsid w:val="00320ED4"/>
    <w:rsid w:val="00320FF2"/>
    <w:rsid w:val="003210B2"/>
    <w:rsid w:val="003212F2"/>
    <w:rsid w:val="00321409"/>
    <w:rsid w:val="00321577"/>
    <w:rsid w:val="0032161B"/>
    <w:rsid w:val="0032174D"/>
    <w:rsid w:val="0032181A"/>
    <w:rsid w:val="0032186C"/>
    <w:rsid w:val="0032189B"/>
    <w:rsid w:val="003219C5"/>
    <w:rsid w:val="00321A8D"/>
    <w:rsid w:val="00321B67"/>
    <w:rsid w:val="00321BA0"/>
    <w:rsid w:val="00321BB6"/>
    <w:rsid w:val="00321C60"/>
    <w:rsid w:val="00321CC4"/>
    <w:rsid w:val="00321DAB"/>
    <w:rsid w:val="00321E50"/>
    <w:rsid w:val="00321F11"/>
    <w:rsid w:val="00321F27"/>
    <w:rsid w:val="00321F2A"/>
    <w:rsid w:val="00321FE8"/>
    <w:rsid w:val="003221B5"/>
    <w:rsid w:val="00322359"/>
    <w:rsid w:val="00322517"/>
    <w:rsid w:val="003228D0"/>
    <w:rsid w:val="00322986"/>
    <w:rsid w:val="00322B04"/>
    <w:rsid w:val="00323112"/>
    <w:rsid w:val="003231E7"/>
    <w:rsid w:val="00323476"/>
    <w:rsid w:val="00323534"/>
    <w:rsid w:val="00323695"/>
    <w:rsid w:val="003236F2"/>
    <w:rsid w:val="003236FB"/>
    <w:rsid w:val="003237E8"/>
    <w:rsid w:val="00323844"/>
    <w:rsid w:val="003239AD"/>
    <w:rsid w:val="003239BE"/>
    <w:rsid w:val="00324238"/>
    <w:rsid w:val="00324250"/>
    <w:rsid w:val="00324595"/>
    <w:rsid w:val="003245AA"/>
    <w:rsid w:val="0032461D"/>
    <w:rsid w:val="00324927"/>
    <w:rsid w:val="00324AC3"/>
    <w:rsid w:val="00324B1C"/>
    <w:rsid w:val="00324C51"/>
    <w:rsid w:val="00324C98"/>
    <w:rsid w:val="00324D1C"/>
    <w:rsid w:val="00324F6A"/>
    <w:rsid w:val="0032525A"/>
    <w:rsid w:val="00325549"/>
    <w:rsid w:val="0032560A"/>
    <w:rsid w:val="003257CE"/>
    <w:rsid w:val="00325903"/>
    <w:rsid w:val="00325AD7"/>
    <w:rsid w:val="00325DCD"/>
    <w:rsid w:val="0032616D"/>
    <w:rsid w:val="0032680B"/>
    <w:rsid w:val="003268D8"/>
    <w:rsid w:val="00326E30"/>
    <w:rsid w:val="00326E72"/>
    <w:rsid w:val="00326FF4"/>
    <w:rsid w:val="003272D1"/>
    <w:rsid w:val="00327572"/>
    <w:rsid w:val="00327762"/>
    <w:rsid w:val="003279AC"/>
    <w:rsid w:val="003279F0"/>
    <w:rsid w:val="00327C42"/>
    <w:rsid w:val="00327D14"/>
    <w:rsid w:val="00327D66"/>
    <w:rsid w:val="00327DFD"/>
    <w:rsid w:val="00327FF7"/>
    <w:rsid w:val="003300C1"/>
    <w:rsid w:val="003302C1"/>
    <w:rsid w:val="00330404"/>
    <w:rsid w:val="00330718"/>
    <w:rsid w:val="003307C3"/>
    <w:rsid w:val="003309F9"/>
    <w:rsid w:val="00330AFC"/>
    <w:rsid w:val="00330C30"/>
    <w:rsid w:val="00330DEC"/>
    <w:rsid w:val="00330DF1"/>
    <w:rsid w:val="00330F1E"/>
    <w:rsid w:val="00331139"/>
    <w:rsid w:val="003312E1"/>
    <w:rsid w:val="00331489"/>
    <w:rsid w:val="003317B2"/>
    <w:rsid w:val="00331953"/>
    <w:rsid w:val="00331999"/>
    <w:rsid w:val="00331A69"/>
    <w:rsid w:val="00331CDF"/>
    <w:rsid w:val="00331F40"/>
    <w:rsid w:val="003320C3"/>
    <w:rsid w:val="00332663"/>
    <w:rsid w:val="0033268D"/>
    <w:rsid w:val="003326AD"/>
    <w:rsid w:val="0033295B"/>
    <w:rsid w:val="00332A13"/>
    <w:rsid w:val="00332A23"/>
    <w:rsid w:val="00332B6C"/>
    <w:rsid w:val="00332C30"/>
    <w:rsid w:val="003332E8"/>
    <w:rsid w:val="0033348C"/>
    <w:rsid w:val="0033375C"/>
    <w:rsid w:val="00333812"/>
    <w:rsid w:val="0033390A"/>
    <w:rsid w:val="00333C9F"/>
    <w:rsid w:val="00333E85"/>
    <w:rsid w:val="00333EB9"/>
    <w:rsid w:val="0033405C"/>
    <w:rsid w:val="00334189"/>
    <w:rsid w:val="003342AD"/>
    <w:rsid w:val="003347AD"/>
    <w:rsid w:val="003347F2"/>
    <w:rsid w:val="00334844"/>
    <w:rsid w:val="00334948"/>
    <w:rsid w:val="00334CF6"/>
    <w:rsid w:val="00334E01"/>
    <w:rsid w:val="00334EFF"/>
    <w:rsid w:val="003352FA"/>
    <w:rsid w:val="003356E9"/>
    <w:rsid w:val="003358EA"/>
    <w:rsid w:val="003359D1"/>
    <w:rsid w:val="00335C1C"/>
    <w:rsid w:val="003360A0"/>
    <w:rsid w:val="003365C4"/>
    <w:rsid w:val="00336818"/>
    <w:rsid w:val="003369AC"/>
    <w:rsid w:val="00336A99"/>
    <w:rsid w:val="00336E4F"/>
    <w:rsid w:val="0033700D"/>
    <w:rsid w:val="0033733E"/>
    <w:rsid w:val="003373FB"/>
    <w:rsid w:val="00337E4E"/>
    <w:rsid w:val="00337FAC"/>
    <w:rsid w:val="0034020A"/>
    <w:rsid w:val="003402EC"/>
    <w:rsid w:val="003408BD"/>
    <w:rsid w:val="003408C6"/>
    <w:rsid w:val="00340950"/>
    <w:rsid w:val="00340998"/>
    <w:rsid w:val="00340B12"/>
    <w:rsid w:val="00340B84"/>
    <w:rsid w:val="00341046"/>
    <w:rsid w:val="00341098"/>
    <w:rsid w:val="003410F0"/>
    <w:rsid w:val="003411CD"/>
    <w:rsid w:val="00341291"/>
    <w:rsid w:val="00341601"/>
    <w:rsid w:val="00341606"/>
    <w:rsid w:val="00341DA7"/>
    <w:rsid w:val="00341E2A"/>
    <w:rsid w:val="00342159"/>
    <w:rsid w:val="0034219C"/>
    <w:rsid w:val="0034223C"/>
    <w:rsid w:val="003422A2"/>
    <w:rsid w:val="003423C5"/>
    <w:rsid w:val="00342A55"/>
    <w:rsid w:val="00342B35"/>
    <w:rsid w:val="00342DEA"/>
    <w:rsid w:val="00342E79"/>
    <w:rsid w:val="00342ECA"/>
    <w:rsid w:val="00342EDA"/>
    <w:rsid w:val="00342F66"/>
    <w:rsid w:val="00343042"/>
    <w:rsid w:val="00343164"/>
    <w:rsid w:val="003432F6"/>
    <w:rsid w:val="0034384D"/>
    <w:rsid w:val="00343A15"/>
    <w:rsid w:val="00343B31"/>
    <w:rsid w:val="00343C1B"/>
    <w:rsid w:val="00343FBD"/>
    <w:rsid w:val="00344207"/>
    <w:rsid w:val="00344284"/>
    <w:rsid w:val="0034456A"/>
    <w:rsid w:val="0034470E"/>
    <w:rsid w:val="00344AB2"/>
    <w:rsid w:val="00344C79"/>
    <w:rsid w:val="00344F2C"/>
    <w:rsid w:val="00344F6B"/>
    <w:rsid w:val="00345248"/>
    <w:rsid w:val="00345254"/>
    <w:rsid w:val="00345485"/>
    <w:rsid w:val="003454BC"/>
    <w:rsid w:val="0034558D"/>
    <w:rsid w:val="0034563A"/>
    <w:rsid w:val="00345B64"/>
    <w:rsid w:val="00345BBF"/>
    <w:rsid w:val="00345CBC"/>
    <w:rsid w:val="00345D56"/>
    <w:rsid w:val="00345EE8"/>
    <w:rsid w:val="003461FC"/>
    <w:rsid w:val="003465BD"/>
    <w:rsid w:val="003468E9"/>
    <w:rsid w:val="00346C4F"/>
    <w:rsid w:val="00346D3A"/>
    <w:rsid w:val="00346EF1"/>
    <w:rsid w:val="0034716F"/>
    <w:rsid w:val="003471BB"/>
    <w:rsid w:val="003475DB"/>
    <w:rsid w:val="0034772A"/>
    <w:rsid w:val="003479B9"/>
    <w:rsid w:val="00347A8E"/>
    <w:rsid w:val="00347B16"/>
    <w:rsid w:val="00347BCA"/>
    <w:rsid w:val="00347BE0"/>
    <w:rsid w:val="00347C57"/>
    <w:rsid w:val="00347CE7"/>
    <w:rsid w:val="00347E50"/>
    <w:rsid w:val="003500E4"/>
    <w:rsid w:val="00350170"/>
    <w:rsid w:val="0035020B"/>
    <w:rsid w:val="00350240"/>
    <w:rsid w:val="00350290"/>
    <w:rsid w:val="0035063A"/>
    <w:rsid w:val="0035069B"/>
    <w:rsid w:val="00350753"/>
    <w:rsid w:val="003507C2"/>
    <w:rsid w:val="00350AC3"/>
    <w:rsid w:val="00350BFA"/>
    <w:rsid w:val="00350F5F"/>
    <w:rsid w:val="003510F7"/>
    <w:rsid w:val="00351685"/>
    <w:rsid w:val="00351C69"/>
    <w:rsid w:val="00351D55"/>
    <w:rsid w:val="00351FB7"/>
    <w:rsid w:val="00352411"/>
    <w:rsid w:val="003524F2"/>
    <w:rsid w:val="00352526"/>
    <w:rsid w:val="00352667"/>
    <w:rsid w:val="003526FF"/>
    <w:rsid w:val="0035275B"/>
    <w:rsid w:val="0035283C"/>
    <w:rsid w:val="00352C32"/>
    <w:rsid w:val="00352D4C"/>
    <w:rsid w:val="00352E8D"/>
    <w:rsid w:val="00352EC2"/>
    <w:rsid w:val="003531E2"/>
    <w:rsid w:val="00353BD1"/>
    <w:rsid w:val="00353BE1"/>
    <w:rsid w:val="00353DA5"/>
    <w:rsid w:val="00353E2B"/>
    <w:rsid w:val="0035408D"/>
    <w:rsid w:val="00354118"/>
    <w:rsid w:val="003544F6"/>
    <w:rsid w:val="003548BE"/>
    <w:rsid w:val="00354B5B"/>
    <w:rsid w:val="00354E65"/>
    <w:rsid w:val="00354FA3"/>
    <w:rsid w:val="0035531B"/>
    <w:rsid w:val="00355421"/>
    <w:rsid w:val="00355E00"/>
    <w:rsid w:val="0035608D"/>
    <w:rsid w:val="00356193"/>
    <w:rsid w:val="003563CA"/>
    <w:rsid w:val="003564BA"/>
    <w:rsid w:val="003564C3"/>
    <w:rsid w:val="003564EE"/>
    <w:rsid w:val="0035653B"/>
    <w:rsid w:val="003565E6"/>
    <w:rsid w:val="00356629"/>
    <w:rsid w:val="003567B7"/>
    <w:rsid w:val="00356A8C"/>
    <w:rsid w:val="00356D24"/>
    <w:rsid w:val="00356FD4"/>
    <w:rsid w:val="0035711D"/>
    <w:rsid w:val="003573D5"/>
    <w:rsid w:val="0035740D"/>
    <w:rsid w:val="00357BD0"/>
    <w:rsid w:val="00357D04"/>
    <w:rsid w:val="00357D40"/>
    <w:rsid w:val="00357D5A"/>
    <w:rsid w:val="003600EA"/>
    <w:rsid w:val="00360100"/>
    <w:rsid w:val="00360124"/>
    <w:rsid w:val="00360131"/>
    <w:rsid w:val="003603DB"/>
    <w:rsid w:val="00360620"/>
    <w:rsid w:val="003608C3"/>
    <w:rsid w:val="00360F95"/>
    <w:rsid w:val="00361357"/>
    <w:rsid w:val="0036153A"/>
    <w:rsid w:val="003615FF"/>
    <w:rsid w:val="003616D6"/>
    <w:rsid w:val="00361C8E"/>
    <w:rsid w:val="00361CCD"/>
    <w:rsid w:val="00361D08"/>
    <w:rsid w:val="00361D3E"/>
    <w:rsid w:val="00361D5A"/>
    <w:rsid w:val="003621DC"/>
    <w:rsid w:val="00362233"/>
    <w:rsid w:val="003625DD"/>
    <w:rsid w:val="003626FE"/>
    <w:rsid w:val="0036273F"/>
    <w:rsid w:val="0036299F"/>
    <w:rsid w:val="00362B46"/>
    <w:rsid w:val="00362B49"/>
    <w:rsid w:val="00362C84"/>
    <w:rsid w:val="00363946"/>
    <w:rsid w:val="003639AE"/>
    <w:rsid w:val="00363BF2"/>
    <w:rsid w:val="00364084"/>
    <w:rsid w:val="00364200"/>
    <w:rsid w:val="0036422D"/>
    <w:rsid w:val="003643CE"/>
    <w:rsid w:val="00364426"/>
    <w:rsid w:val="00364475"/>
    <w:rsid w:val="0036451B"/>
    <w:rsid w:val="00364671"/>
    <w:rsid w:val="003649F7"/>
    <w:rsid w:val="00364B12"/>
    <w:rsid w:val="00364B99"/>
    <w:rsid w:val="00364CC4"/>
    <w:rsid w:val="00364CEC"/>
    <w:rsid w:val="0036503C"/>
    <w:rsid w:val="00365138"/>
    <w:rsid w:val="003652E3"/>
    <w:rsid w:val="003654F0"/>
    <w:rsid w:val="003655E1"/>
    <w:rsid w:val="003656FB"/>
    <w:rsid w:val="00365915"/>
    <w:rsid w:val="003659DC"/>
    <w:rsid w:val="00365C7A"/>
    <w:rsid w:val="00365DDB"/>
    <w:rsid w:val="00365E01"/>
    <w:rsid w:val="0036631A"/>
    <w:rsid w:val="003665B2"/>
    <w:rsid w:val="003667B9"/>
    <w:rsid w:val="0036680F"/>
    <w:rsid w:val="0036684B"/>
    <w:rsid w:val="003669B3"/>
    <w:rsid w:val="00366C13"/>
    <w:rsid w:val="00366D55"/>
    <w:rsid w:val="00366E5E"/>
    <w:rsid w:val="003671E8"/>
    <w:rsid w:val="003671F3"/>
    <w:rsid w:val="00367291"/>
    <w:rsid w:val="00367482"/>
    <w:rsid w:val="00367710"/>
    <w:rsid w:val="003677D6"/>
    <w:rsid w:val="003677FC"/>
    <w:rsid w:val="00367923"/>
    <w:rsid w:val="00367D08"/>
    <w:rsid w:val="003700F8"/>
    <w:rsid w:val="0037014F"/>
    <w:rsid w:val="0037022C"/>
    <w:rsid w:val="003702C3"/>
    <w:rsid w:val="003706E2"/>
    <w:rsid w:val="0037076A"/>
    <w:rsid w:val="0037098B"/>
    <w:rsid w:val="00370A5B"/>
    <w:rsid w:val="00370CB1"/>
    <w:rsid w:val="00370DD1"/>
    <w:rsid w:val="00370F0D"/>
    <w:rsid w:val="0037109B"/>
    <w:rsid w:val="00371452"/>
    <w:rsid w:val="003718E3"/>
    <w:rsid w:val="0037192E"/>
    <w:rsid w:val="00371DD6"/>
    <w:rsid w:val="003720FA"/>
    <w:rsid w:val="003723BE"/>
    <w:rsid w:val="003723C7"/>
    <w:rsid w:val="00372421"/>
    <w:rsid w:val="00372614"/>
    <w:rsid w:val="0037264F"/>
    <w:rsid w:val="00372D04"/>
    <w:rsid w:val="00372D29"/>
    <w:rsid w:val="00372E7A"/>
    <w:rsid w:val="00372EC2"/>
    <w:rsid w:val="00373AF3"/>
    <w:rsid w:val="00373D42"/>
    <w:rsid w:val="00373E5A"/>
    <w:rsid w:val="00373F68"/>
    <w:rsid w:val="0037436F"/>
    <w:rsid w:val="0037461F"/>
    <w:rsid w:val="00374977"/>
    <w:rsid w:val="00374A20"/>
    <w:rsid w:val="00374A8D"/>
    <w:rsid w:val="00374AAC"/>
    <w:rsid w:val="00374B61"/>
    <w:rsid w:val="00374B8F"/>
    <w:rsid w:val="00374EDF"/>
    <w:rsid w:val="00375051"/>
    <w:rsid w:val="00375343"/>
    <w:rsid w:val="00375365"/>
    <w:rsid w:val="003754C4"/>
    <w:rsid w:val="00375553"/>
    <w:rsid w:val="0037560B"/>
    <w:rsid w:val="003758F3"/>
    <w:rsid w:val="00375BE5"/>
    <w:rsid w:val="00375C12"/>
    <w:rsid w:val="00375DF5"/>
    <w:rsid w:val="00375F30"/>
    <w:rsid w:val="0037622E"/>
    <w:rsid w:val="003764F5"/>
    <w:rsid w:val="00376510"/>
    <w:rsid w:val="0037662A"/>
    <w:rsid w:val="003766AE"/>
    <w:rsid w:val="0037671C"/>
    <w:rsid w:val="003769B6"/>
    <w:rsid w:val="00376A34"/>
    <w:rsid w:val="00376B1E"/>
    <w:rsid w:val="00376C8A"/>
    <w:rsid w:val="00376CC0"/>
    <w:rsid w:val="00376FC5"/>
    <w:rsid w:val="0037737B"/>
    <w:rsid w:val="00377414"/>
    <w:rsid w:val="00377423"/>
    <w:rsid w:val="00377C09"/>
    <w:rsid w:val="00377E1D"/>
    <w:rsid w:val="00380270"/>
    <w:rsid w:val="00380273"/>
    <w:rsid w:val="003805C2"/>
    <w:rsid w:val="00380DA8"/>
    <w:rsid w:val="00380FC4"/>
    <w:rsid w:val="0038107B"/>
    <w:rsid w:val="0038116D"/>
    <w:rsid w:val="00381183"/>
    <w:rsid w:val="00381197"/>
    <w:rsid w:val="00381991"/>
    <w:rsid w:val="00381B90"/>
    <w:rsid w:val="00381BE1"/>
    <w:rsid w:val="00381BF6"/>
    <w:rsid w:val="00381C00"/>
    <w:rsid w:val="00381D14"/>
    <w:rsid w:val="00381D5F"/>
    <w:rsid w:val="00381DEC"/>
    <w:rsid w:val="00381FAE"/>
    <w:rsid w:val="003821DA"/>
    <w:rsid w:val="00382244"/>
    <w:rsid w:val="003823EA"/>
    <w:rsid w:val="003826AB"/>
    <w:rsid w:val="003828E3"/>
    <w:rsid w:val="00382E70"/>
    <w:rsid w:val="0038321C"/>
    <w:rsid w:val="00383297"/>
    <w:rsid w:val="003832C0"/>
    <w:rsid w:val="003832F1"/>
    <w:rsid w:val="003834B5"/>
    <w:rsid w:val="00383983"/>
    <w:rsid w:val="003839D7"/>
    <w:rsid w:val="00383A0C"/>
    <w:rsid w:val="00383B18"/>
    <w:rsid w:val="00383E85"/>
    <w:rsid w:val="00383EF0"/>
    <w:rsid w:val="0038440C"/>
    <w:rsid w:val="00384528"/>
    <w:rsid w:val="00384993"/>
    <w:rsid w:val="00384A9F"/>
    <w:rsid w:val="00384B67"/>
    <w:rsid w:val="00384E23"/>
    <w:rsid w:val="00384FA8"/>
    <w:rsid w:val="0038519B"/>
    <w:rsid w:val="00385350"/>
    <w:rsid w:val="00385418"/>
    <w:rsid w:val="00385901"/>
    <w:rsid w:val="00385BD6"/>
    <w:rsid w:val="00385FD5"/>
    <w:rsid w:val="003862B2"/>
    <w:rsid w:val="0038643D"/>
    <w:rsid w:val="00386A08"/>
    <w:rsid w:val="00386A97"/>
    <w:rsid w:val="00386C02"/>
    <w:rsid w:val="00386C42"/>
    <w:rsid w:val="00386E94"/>
    <w:rsid w:val="00386EA8"/>
    <w:rsid w:val="00386FAE"/>
    <w:rsid w:val="003870DD"/>
    <w:rsid w:val="003870EA"/>
    <w:rsid w:val="0038726B"/>
    <w:rsid w:val="00387546"/>
    <w:rsid w:val="0038762F"/>
    <w:rsid w:val="00387663"/>
    <w:rsid w:val="00387697"/>
    <w:rsid w:val="003877F4"/>
    <w:rsid w:val="00387B65"/>
    <w:rsid w:val="00387BB9"/>
    <w:rsid w:val="00387D12"/>
    <w:rsid w:val="0039024C"/>
    <w:rsid w:val="00390367"/>
    <w:rsid w:val="0039057F"/>
    <w:rsid w:val="00390639"/>
    <w:rsid w:val="00390819"/>
    <w:rsid w:val="00390DC2"/>
    <w:rsid w:val="00390E6F"/>
    <w:rsid w:val="00390F5D"/>
    <w:rsid w:val="00391015"/>
    <w:rsid w:val="00391465"/>
    <w:rsid w:val="003916B2"/>
    <w:rsid w:val="003916E8"/>
    <w:rsid w:val="0039179E"/>
    <w:rsid w:val="00391826"/>
    <w:rsid w:val="0039191C"/>
    <w:rsid w:val="00391B2C"/>
    <w:rsid w:val="00391B5D"/>
    <w:rsid w:val="00391DB2"/>
    <w:rsid w:val="00391F66"/>
    <w:rsid w:val="0039204C"/>
    <w:rsid w:val="003920F5"/>
    <w:rsid w:val="0039253B"/>
    <w:rsid w:val="00392556"/>
    <w:rsid w:val="00392757"/>
    <w:rsid w:val="00392B22"/>
    <w:rsid w:val="00392BC6"/>
    <w:rsid w:val="00392BEF"/>
    <w:rsid w:val="0039334E"/>
    <w:rsid w:val="003934DB"/>
    <w:rsid w:val="00393580"/>
    <w:rsid w:val="003937AB"/>
    <w:rsid w:val="00393DD5"/>
    <w:rsid w:val="00393E3D"/>
    <w:rsid w:val="00393E71"/>
    <w:rsid w:val="00394228"/>
    <w:rsid w:val="00394497"/>
    <w:rsid w:val="00394B06"/>
    <w:rsid w:val="00394CB3"/>
    <w:rsid w:val="003951CC"/>
    <w:rsid w:val="0039520B"/>
    <w:rsid w:val="003953A5"/>
    <w:rsid w:val="00395401"/>
    <w:rsid w:val="00395416"/>
    <w:rsid w:val="0039573C"/>
    <w:rsid w:val="00395909"/>
    <w:rsid w:val="00395BEF"/>
    <w:rsid w:val="00395DD6"/>
    <w:rsid w:val="00395FF3"/>
    <w:rsid w:val="00396061"/>
    <w:rsid w:val="003960B1"/>
    <w:rsid w:val="0039617F"/>
    <w:rsid w:val="0039632A"/>
    <w:rsid w:val="00396BB3"/>
    <w:rsid w:val="0039713F"/>
    <w:rsid w:val="0039717A"/>
    <w:rsid w:val="003971EB"/>
    <w:rsid w:val="003974E7"/>
    <w:rsid w:val="003977B1"/>
    <w:rsid w:val="0039783B"/>
    <w:rsid w:val="00397BB9"/>
    <w:rsid w:val="00397C3C"/>
    <w:rsid w:val="00397D06"/>
    <w:rsid w:val="00397D3E"/>
    <w:rsid w:val="00397E69"/>
    <w:rsid w:val="00399F0D"/>
    <w:rsid w:val="003A0149"/>
    <w:rsid w:val="003A01A6"/>
    <w:rsid w:val="003A01BD"/>
    <w:rsid w:val="003A01ED"/>
    <w:rsid w:val="003A0300"/>
    <w:rsid w:val="003A03AF"/>
    <w:rsid w:val="003A03DF"/>
    <w:rsid w:val="003A04AE"/>
    <w:rsid w:val="003A0520"/>
    <w:rsid w:val="003A0621"/>
    <w:rsid w:val="003A064E"/>
    <w:rsid w:val="003A07D2"/>
    <w:rsid w:val="003A07EC"/>
    <w:rsid w:val="003A08BE"/>
    <w:rsid w:val="003A0D01"/>
    <w:rsid w:val="003A0EA4"/>
    <w:rsid w:val="003A0F80"/>
    <w:rsid w:val="003A0FC2"/>
    <w:rsid w:val="003A15AF"/>
    <w:rsid w:val="003A172E"/>
    <w:rsid w:val="003A17BC"/>
    <w:rsid w:val="003A1941"/>
    <w:rsid w:val="003A197B"/>
    <w:rsid w:val="003A1BAC"/>
    <w:rsid w:val="003A1C39"/>
    <w:rsid w:val="003A2166"/>
    <w:rsid w:val="003A2402"/>
    <w:rsid w:val="003A26F3"/>
    <w:rsid w:val="003A2757"/>
    <w:rsid w:val="003A27BB"/>
    <w:rsid w:val="003A28BA"/>
    <w:rsid w:val="003A2903"/>
    <w:rsid w:val="003A29FB"/>
    <w:rsid w:val="003A2B53"/>
    <w:rsid w:val="003A2C61"/>
    <w:rsid w:val="003A2D1E"/>
    <w:rsid w:val="003A2FC0"/>
    <w:rsid w:val="003A3154"/>
    <w:rsid w:val="003A3740"/>
    <w:rsid w:val="003A37C4"/>
    <w:rsid w:val="003A3AD0"/>
    <w:rsid w:val="003A3DFA"/>
    <w:rsid w:val="003A3E66"/>
    <w:rsid w:val="003A3F5B"/>
    <w:rsid w:val="003A403F"/>
    <w:rsid w:val="003A4363"/>
    <w:rsid w:val="003A44FB"/>
    <w:rsid w:val="003A4684"/>
    <w:rsid w:val="003A478A"/>
    <w:rsid w:val="003A48F3"/>
    <w:rsid w:val="003A49EF"/>
    <w:rsid w:val="003A4DD8"/>
    <w:rsid w:val="003A5125"/>
    <w:rsid w:val="003A517E"/>
    <w:rsid w:val="003A520F"/>
    <w:rsid w:val="003A528F"/>
    <w:rsid w:val="003A53D2"/>
    <w:rsid w:val="003A5400"/>
    <w:rsid w:val="003A543D"/>
    <w:rsid w:val="003A567E"/>
    <w:rsid w:val="003A5A55"/>
    <w:rsid w:val="003A5BF0"/>
    <w:rsid w:val="003A5E36"/>
    <w:rsid w:val="003A6036"/>
    <w:rsid w:val="003A6076"/>
    <w:rsid w:val="003A6288"/>
    <w:rsid w:val="003A646D"/>
    <w:rsid w:val="003A6656"/>
    <w:rsid w:val="003A675F"/>
    <w:rsid w:val="003A6827"/>
    <w:rsid w:val="003A6B32"/>
    <w:rsid w:val="003A6CF0"/>
    <w:rsid w:val="003A6ED2"/>
    <w:rsid w:val="003A70AF"/>
    <w:rsid w:val="003A70D5"/>
    <w:rsid w:val="003A71E2"/>
    <w:rsid w:val="003A77DC"/>
    <w:rsid w:val="003A7C14"/>
    <w:rsid w:val="003A7CE0"/>
    <w:rsid w:val="003A7E8F"/>
    <w:rsid w:val="003B0083"/>
    <w:rsid w:val="003B017C"/>
    <w:rsid w:val="003B03AC"/>
    <w:rsid w:val="003B03B2"/>
    <w:rsid w:val="003B0524"/>
    <w:rsid w:val="003B0530"/>
    <w:rsid w:val="003B0649"/>
    <w:rsid w:val="003B0653"/>
    <w:rsid w:val="003B08A4"/>
    <w:rsid w:val="003B091F"/>
    <w:rsid w:val="003B0925"/>
    <w:rsid w:val="003B0C4C"/>
    <w:rsid w:val="003B11D1"/>
    <w:rsid w:val="003B11F2"/>
    <w:rsid w:val="003B120D"/>
    <w:rsid w:val="003B1295"/>
    <w:rsid w:val="003B154A"/>
    <w:rsid w:val="003B17C5"/>
    <w:rsid w:val="003B1898"/>
    <w:rsid w:val="003B1ACD"/>
    <w:rsid w:val="003B1E97"/>
    <w:rsid w:val="003B1FEB"/>
    <w:rsid w:val="003B2319"/>
    <w:rsid w:val="003B2D85"/>
    <w:rsid w:val="003B2ED2"/>
    <w:rsid w:val="003B2F5A"/>
    <w:rsid w:val="003B331A"/>
    <w:rsid w:val="003B377F"/>
    <w:rsid w:val="003B3911"/>
    <w:rsid w:val="003B3A0C"/>
    <w:rsid w:val="003B3AA5"/>
    <w:rsid w:val="003B3D53"/>
    <w:rsid w:val="003B3D8E"/>
    <w:rsid w:val="003B3E4D"/>
    <w:rsid w:val="003B4580"/>
    <w:rsid w:val="003B4834"/>
    <w:rsid w:val="003B498E"/>
    <w:rsid w:val="003B4ABC"/>
    <w:rsid w:val="003B4ABE"/>
    <w:rsid w:val="003B4BC4"/>
    <w:rsid w:val="003B4ECE"/>
    <w:rsid w:val="003B4EED"/>
    <w:rsid w:val="003B537D"/>
    <w:rsid w:val="003B5823"/>
    <w:rsid w:val="003B5D82"/>
    <w:rsid w:val="003B5F4D"/>
    <w:rsid w:val="003B6505"/>
    <w:rsid w:val="003B66EC"/>
    <w:rsid w:val="003B69E8"/>
    <w:rsid w:val="003B6D76"/>
    <w:rsid w:val="003B74AA"/>
    <w:rsid w:val="003B7554"/>
    <w:rsid w:val="003B799D"/>
    <w:rsid w:val="003B7C3D"/>
    <w:rsid w:val="003B7D31"/>
    <w:rsid w:val="003B7D47"/>
    <w:rsid w:val="003B7F44"/>
    <w:rsid w:val="003C0069"/>
    <w:rsid w:val="003C0103"/>
    <w:rsid w:val="003C08F9"/>
    <w:rsid w:val="003C0FC2"/>
    <w:rsid w:val="003C10C8"/>
    <w:rsid w:val="003C11DA"/>
    <w:rsid w:val="003C13C1"/>
    <w:rsid w:val="003C15D1"/>
    <w:rsid w:val="003C1874"/>
    <w:rsid w:val="003C18BB"/>
    <w:rsid w:val="003C1A47"/>
    <w:rsid w:val="003C1AD5"/>
    <w:rsid w:val="003C1C14"/>
    <w:rsid w:val="003C1E26"/>
    <w:rsid w:val="003C1EE6"/>
    <w:rsid w:val="003C2812"/>
    <w:rsid w:val="003C2B3A"/>
    <w:rsid w:val="003C2B8D"/>
    <w:rsid w:val="003C2C74"/>
    <w:rsid w:val="003C2D6F"/>
    <w:rsid w:val="003C2F22"/>
    <w:rsid w:val="003C30A3"/>
    <w:rsid w:val="003C30B8"/>
    <w:rsid w:val="003C329E"/>
    <w:rsid w:val="003C3731"/>
    <w:rsid w:val="003C3C9C"/>
    <w:rsid w:val="003C3EEB"/>
    <w:rsid w:val="003C3EEE"/>
    <w:rsid w:val="003C41D4"/>
    <w:rsid w:val="003C4430"/>
    <w:rsid w:val="003C46AF"/>
    <w:rsid w:val="003C482A"/>
    <w:rsid w:val="003C4A97"/>
    <w:rsid w:val="003C4B12"/>
    <w:rsid w:val="003C4B2B"/>
    <w:rsid w:val="003C4C5F"/>
    <w:rsid w:val="003C4E05"/>
    <w:rsid w:val="003C4E93"/>
    <w:rsid w:val="003C5007"/>
    <w:rsid w:val="003C5875"/>
    <w:rsid w:val="003C5B51"/>
    <w:rsid w:val="003C5F50"/>
    <w:rsid w:val="003C6210"/>
    <w:rsid w:val="003C626F"/>
    <w:rsid w:val="003C645F"/>
    <w:rsid w:val="003C657A"/>
    <w:rsid w:val="003C678E"/>
    <w:rsid w:val="003C6BBF"/>
    <w:rsid w:val="003C6D36"/>
    <w:rsid w:val="003C7136"/>
    <w:rsid w:val="003C7198"/>
    <w:rsid w:val="003C71DC"/>
    <w:rsid w:val="003C7444"/>
    <w:rsid w:val="003C752A"/>
    <w:rsid w:val="003C754F"/>
    <w:rsid w:val="003C776F"/>
    <w:rsid w:val="003C7891"/>
    <w:rsid w:val="003C7B9B"/>
    <w:rsid w:val="003C7D4A"/>
    <w:rsid w:val="003D0091"/>
    <w:rsid w:val="003D00BA"/>
    <w:rsid w:val="003D0338"/>
    <w:rsid w:val="003D0430"/>
    <w:rsid w:val="003D081F"/>
    <w:rsid w:val="003D0F0A"/>
    <w:rsid w:val="003D0FDE"/>
    <w:rsid w:val="003D105B"/>
    <w:rsid w:val="003D1758"/>
    <w:rsid w:val="003D17AF"/>
    <w:rsid w:val="003D1ACA"/>
    <w:rsid w:val="003D1B25"/>
    <w:rsid w:val="003D1B46"/>
    <w:rsid w:val="003D2135"/>
    <w:rsid w:val="003D21F5"/>
    <w:rsid w:val="003D2647"/>
    <w:rsid w:val="003D2652"/>
    <w:rsid w:val="003D2976"/>
    <w:rsid w:val="003D2C6C"/>
    <w:rsid w:val="003D33AC"/>
    <w:rsid w:val="003D366A"/>
    <w:rsid w:val="003D36FC"/>
    <w:rsid w:val="003D372B"/>
    <w:rsid w:val="003D3929"/>
    <w:rsid w:val="003D3B1C"/>
    <w:rsid w:val="003D3B8B"/>
    <w:rsid w:val="003D3E8A"/>
    <w:rsid w:val="003D3FA8"/>
    <w:rsid w:val="003D4113"/>
    <w:rsid w:val="003D4215"/>
    <w:rsid w:val="003D42AA"/>
    <w:rsid w:val="003D42BF"/>
    <w:rsid w:val="003D4809"/>
    <w:rsid w:val="003D4A0E"/>
    <w:rsid w:val="003D4A60"/>
    <w:rsid w:val="003D4A83"/>
    <w:rsid w:val="003D4F5E"/>
    <w:rsid w:val="003D53FF"/>
    <w:rsid w:val="003D54C1"/>
    <w:rsid w:val="003D59F5"/>
    <w:rsid w:val="003D5A62"/>
    <w:rsid w:val="003D5BD6"/>
    <w:rsid w:val="003D5C38"/>
    <w:rsid w:val="003D5D51"/>
    <w:rsid w:val="003D63CA"/>
    <w:rsid w:val="003D65F3"/>
    <w:rsid w:val="003D67FE"/>
    <w:rsid w:val="003D6C43"/>
    <w:rsid w:val="003D6DC3"/>
    <w:rsid w:val="003D701B"/>
    <w:rsid w:val="003D75A6"/>
    <w:rsid w:val="003D7B6F"/>
    <w:rsid w:val="003D7BFD"/>
    <w:rsid w:val="003D7D8F"/>
    <w:rsid w:val="003D7E15"/>
    <w:rsid w:val="003D7E3D"/>
    <w:rsid w:val="003D7E98"/>
    <w:rsid w:val="003D7EC0"/>
    <w:rsid w:val="003E01D1"/>
    <w:rsid w:val="003E0476"/>
    <w:rsid w:val="003E066F"/>
    <w:rsid w:val="003E0908"/>
    <w:rsid w:val="003E0A80"/>
    <w:rsid w:val="003E0B30"/>
    <w:rsid w:val="003E0C7B"/>
    <w:rsid w:val="003E0F02"/>
    <w:rsid w:val="003E11D0"/>
    <w:rsid w:val="003E122C"/>
    <w:rsid w:val="003E17D9"/>
    <w:rsid w:val="003E1A8A"/>
    <w:rsid w:val="003E1EF5"/>
    <w:rsid w:val="003E21C5"/>
    <w:rsid w:val="003E25EB"/>
    <w:rsid w:val="003E2732"/>
    <w:rsid w:val="003E273E"/>
    <w:rsid w:val="003E2882"/>
    <w:rsid w:val="003E28CD"/>
    <w:rsid w:val="003E29D4"/>
    <w:rsid w:val="003E2A3C"/>
    <w:rsid w:val="003E2D2A"/>
    <w:rsid w:val="003E2D7A"/>
    <w:rsid w:val="003E3621"/>
    <w:rsid w:val="003E3706"/>
    <w:rsid w:val="003E38EC"/>
    <w:rsid w:val="003E3925"/>
    <w:rsid w:val="003E3CD5"/>
    <w:rsid w:val="003E4355"/>
    <w:rsid w:val="003E4557"/>
    <w:rsid w:val="003E482A"/>
    <w:rsid w:val="003E4869"/>
    <w:rsid w:val="003E4902"/>
    <w:rsid w:val="003E4C08"/>
    <w:rsid w:val="003E4C8F"/>
    <w:rsid w:val="003E4CF4"/>
    <w:rsid w:val="003E4D55"/>
    <w:rsid w:val="003E4E23"/>
    <w:rsid w:val="003E5037"/>
    <w:rsid w:val="003E52C5"/>
    <w:rsid w:val="003E533E"/>
    <w:rsid w:val="003E53FB"/>
    <w:rsid w:val="003E58DE"/>
    <w:rsid w:val="003E5C95"/>
    <w:rsid w:val="003E5CF3"/>
    <w:rsid w:val="003E6772"/>
    <w:rsid w:val="003E6895"/>
    <w:rsid w:val="003E6C8D"/>
    <w:rsid w:val="003E6DC6"/>
    <w:rsid w:val="003E7235"/>
    <w:rsid w:val="003E73D7"/>
    <w:rsid w:val="003E7867"/>
    <w:rsid w:val="003E7970"/>
    <w:rsid w:val="003E7BB6"/>
    <w:rsid w:val="003E7BE3"/>
    <w:rsid w:val="003F08C6"/>
    <w:rsid w:val="003F0D36"/>
    <w:rsid w:val="003F0E61"/>
    <w:rsid w:val="003F1403"/>
    <w:rsid w:val="003F1666"/>
    <w:rsid w:val="003F16AB"/>
    <w:rsid w:val="003F16BD"/>
    <w:rsid w:val="003F1AA7"/>
    <w:rsid w:val="003F1BF0"/>
    <w:rsid w:val="003F1C51"/>
    <w:rsid w:val="003F2256"/>
    <w:rsid w:val="003F2275"/>
    <w:rsid w:val="003F2731"/>
    <w:rsid w:val="003F2AB8"/>
    <w:rsid w:val="003F2AEA"/>
    <w:rsid w:val="003F2AF9"/>
    <w:rsid w:val="003F2E62"/>
    <w:rsid w:val="003F30AF"/>
    <w:rsid w:val="003F32F6"/>
    <w:rsid w:val="003F33A5"/>
    <w:rsid w:val="003F35B8"/>
    <w:rsid w:val="003F367E"/>
    <w:rsid w:val="003F378D"/>
    <w:rsid w:val="003F37E3"/>
    <w:rsid w:val="003F3927"/>
    <w:rsid w:val="003F3D4C"/>
    <w:rsid w:val="003F40F0"/>
    <w:rsid w:val="003F41E5"/>
    <w:rsid w:val="003F42EF"/>
    <w:rsid w:val="003F4471"/>
    <w:rsid w:val="003F492B"/>
    <w:rsid w:val="003F4D8D"/>
    <w:rsid w:val="003F5234"/>
    <w:rsid w:val="003F53E1"/>
    <w:rsid w:val="003F542E"/>
    <w:rsid w:val="003F5B9A"/>
    <w:rsid w:val="003F5C53"/>
    <w:rsid w:val="003F5DDF"/>
    <w:rsid w:val="003F5E87"/>
    <w:rsid w:val="003F5EE5"/>
    <w:rsid w:val="003F5F77"/>
    <w:rsid w:val="003F6617"/>
    <w:rsid w:val="003F672B"/>
    <w:rsid w:val="003F679A"/>
    <w:rsid w:val="003F71BE"/>
    <w:rsid w:val="003F761D"/>
    <w:rsid w:val="003F7858"/>
    <w:rsid w:val="003F796E"/>
    <w:rsid w:val="003F79CA"/>
    <w:rsid w:val="00400145"/>
    <w:rsid w:val="004001C3"/>
    <w:rsid w:val="004001CD"/>
    <w:rsid w:val="00400429"/>
    <w:rsid w:val="00400482"/>
    <w:rsid w:val="004004F9"/>
    <w:rsid w:val="004008DB"/>
    <w:rsid w:val="00400943"/>
    <w:rsid w:val="004009C4"/>
    <w:rsid w:val="00400D3D"/>
    <w:rsid w:val="00400EAD"/>
    <w:rsid w:val="00400EF7"/>
    <w:rsid w:val="00401184"/>
    <w:rsid w:val="004011D9"/>
    <w:rsid w:val="00401245"/>
    <w:rsid w:val="00401425"/>
    <w:rsid w:val="004015A5"/>
    <w:rsid w:val="004019B7"/>
    <w:rsid w:val="00401B7E"/>
    <w:rsid w:val="00401D52"/>
    <w:rsid w:val="004021CB"/>
    <w:rsid w:val="0040257D"/>
    <w:rsid w:val="0040258F"/>
    <w:rsid w:val="004025B8"/>
    <w:rsid w:val="0040280B"/>
    <w:rsid w:val="00402BE5"/>
    <w:rsid w:val="00402DDE"/>
    <w:rsid w:val="00402E42"/>
    <w:rsid w:val="00402E74"/>
    <w:rsid w:val="00402EDE"/>
    <w:rsid w:val="00402F98"/>
    <w:rsid w:val="00402FD8"/>
    <w:rsid w:val="004030C9"/>
    <w:rsid w:val="004031CE"/>
    <w:rsid w:val="004031EC"/>
    <w:rsid w:val="00403409"/>
    <w:rsid w:val="004039DA"/>
    <w:rsid w:val="00403B55"/>
    <w:rsid w:val="00403C6B"/>
    <w:rsid w:val="00403C7C"/>
    <w:rsid w:val="00403D30"/>
    <w:rsid w:val="00404314"/>
    <w:rsid w:val="00404570"/>
    <w:rsid w:val="00404580"/>
    <w:rsid w:val="00404616"/>
    <w:rsid w:val="0040494D"/>
    <w:rsid w:val="00404A8A"/>
    <w:rsid w:val="00404B10"/>
    <w:rsid w:val="00404CE9"/>
    <w:rsid w:val="004050A6"/>
    <w:rsid w:val="004050DE"/>
    <w:rsid w:val="004050E0"/>
    <w:rsid w:val="00405518"/>
    <w:rsid w:val="00406146"/>
    <w:rsid w:val="00406749"/>
    <w:rsid w:val="00406803"/>
    <w:rsid w:val="00406D25"/>
    <w:rsid w:val="00406F3F"/>
    <w:rsid w:val="00406FE1"/>
    <w:rsid w:val="00407053"/>
    <w:rsid w:val="004070F9"/>
    <w:rsid w:val="004072B2"/>
    <w:rsid w:val="00407656"/>
    <w:rsid w:val="00407779"/>
    <w:rsid w:val="004077C1"/>
    <w:rsid w:val="00407966"/>
    <w:rsid w:val="00407A78"/>
    <w:rsid w:val="00407C16"/>
    <w:rsid w:val="00410291"/>
    <w:rsid w:val="00410616"/>
    <w:rsid w:val="00410955"/>
    <w:rsid w:val="00410A04"/>
    <w:rsid w:val="00410C11"/>
    <w:rsid w:val="00410D47"/>
    <w:rsid w:val="00410EA0"/>
    <w:rsid w:val="00411395"/>
    <w:rsid w:val="00411A40"/>
    <w:rsid w:val="00411AB4"/>
    <w:rsid w:val="00411F47"/>
    <w:rsid w:val="004120E2"/>
    <w:rsid w:val="0041236D"/>
    <w:rsid w:val="0041237F"/>
    <w:rsid w:val="00412497"/>
    <w:rsid w:val="00412802"/>
    <w:rsid w:val="00412A55"/>
    <w:rsid w:val="00412B10"/>
    <w:rsid w:val="00412D38"/>
    <w:rsid w:val="00412E6D"/>
    <w:rsid w:val="00413302"/>
    <w:rsid w:val="00413523"/>
    <w:rsid w:val="004137E3"/>
    <w:rsid w:val="00413824"/>
    <w:rsid w:val="00413834"/>
    <w:rsid w:val="00413CAB"/>
    <w:rsid w:val="00414155"/>
    <w:rsid w:val="00414169"/>
    <w:rsid w:val="004142C1"/>
    <w:rsid w:val="004144DB"/>
    <w:rsid w:val="004145EC"/>
    <w:rsid w:val="004146D8"/>
    <w:rsid w:val="0041481C"/>
    <w:rsid w:val="00414ADF"/>
    <w:rsid w:val="00414BC8"/>
    <w:rsid w:val="00414D2A"/>
    <w:rsid w:val="00415211"/>
    <w:rsid w:val="00415345"/>
    <w:rsid w:val="0041559F"/>
    <w:rsid w:val="004155DF"/>
    <w:rsid w:val="00415AF6"/>
    <w:rsid w:val="00415F20"/>
    <w:rsid w:val="00416003"/>
    <w:rsid w:val="004160AF"/>
    <w:rsid w:val="004164A8"/>
    <w:rsid w:val="00416502"/>
    <w:rsid w:val="00416636"/>
    <w:rsid w:val="004167B7"/>
    <w:rsid w:val="004169F5"/>
    <w:rsid w:val="00416BBF"/>
    <w:rsid w:val="00416CB9"/>
    <w:rsid w:val="00416DF9"/>
    <w:rsid w:val="00417494"/>
    <w:rsid w:val="004176B0"/>
    <w:rsid w:val="00417AB1"/>
    <w:rsid w:val="00417C15"/>
    <w:rsid w:val="00417D90"/>
    <w:rsid w:val="00417F1F"/>
    <w:rsid w:val="00417F49"/>
    <w:rsid w:val="0042013B"/>
    <w:rsid w:val="00420333"/>
    <w:rsid w:val="00420335"/>
    <w:rsid w:val="00420828"/>
    <w:rsid w:val="00420B89"/>
    <w:rsid w:val="00420BA5"/>
    <w:rsid w:val="00420DC1"/>
    <w:rsid w:val="00420F6F"/>
    <w:rsid w:val="00420FCD"/>
    <w:rsid w:val="00421074"/>
    <w:rsid w:val="004211E5"/>
    <w:rsid w:val="00421209"/>
    <w:rsid w:val="004214FC"/>
    <w:rsid w:val="00421779"/>
    <w:rsid w:val="00421834"/>
    <w:rsid w:val="0042193B"/>
    <w:rsid w:val="004219CB"/>
    <w:rsid w:val="004219DC"/>
    <w:rsid w:val="00421B20"/>
    <w:rsid w:val="00421B51"/>
    <w:rsid w:val="00421BE9"/>
    <w:rsid w:val="00421C5E"/>
    <w:rsid w:val="00421D41"/>
    <w:rsid w:val="00421F3C"/>
    <w:rsid w:val="00422230"/>
    <w:rsid w:val="0042283C"/>
    <w:rsid w:val="00422EF6"/>
    <w:rsid w:val="00422F42"/>
    <w:rsid w:val="00423054"/>
    <w:rsid w:val="00423183"/>
    <w:rsid w:val="0042320B"/>
    <w:rsid w:val="00423581"/>
    <w:rsid w:val="004239E9"/>
    <w:rsid w:val="00423A29"/>
    <w:rsid w:val="004240BE"/>
    <w:rsid w:val="0042484A"/>
    <w:rsid w:val="004248F0"/>
    <w:rsid w:val="004249AA"/>
    <w:rsid w:val="00424AAC"/>
    <w:rsid w:val="00424D01"/>
    <w:rsid w:val="00424D3E"/>
    <w:rsid w:val="00425019"/>
    <w:rsid w:val="004250D5"/>
    <w:rsid w:val="00425108"/>
    <w:rsid w:val="00425247"/>
    <w:rsid w:val="00425721"/>
    <w:rsid w:val="00425CDD"/>
    <w:rsid w:val="0042609C"/>
    <w:rsid w:val="0042671F"/>
    <w:rsid w:val="004267F5"/>
    <w:rsid w:val="00426891"/>
    <w:rsid w:val="00426991"/>
    <w:rsid w:val="00426C0E"/>
    <w:rsid w:val="004270F9"/>
    <w:rsid w:val="00427115"/>
    <w:rsid w:val="004272BC"/>
    <w:rsid w:val="004272E9"/>
    <w:rsid w:val="004274B8"/>
    <w:rsid w:val="0042770B"/>
    <w:rsid w:val="00427828"/>
    <w:rsid w:val="00427920"/>
    <w:rsid w:val="00427AF8"/>
    <w:rsid w:val="00427BB4"/>
    <w:rsid w:val="00427C44"/>
    <w:rsid w:val="00427C83"/>
    <w:rsid w:val="00430191"/>
    <w:rsid w:val="00430203"/>
    <w:rsid w:val="0043038E"/>
    <w:rsid w:val="004303AC"/>
    <w:rsid w:val="00430873"/>
    <w:rsid w:val="0043092E"/>
    <w:rsid w:val="00430D79"/>
    <w:rsid w:val="004314A5"/>
    <w:rsid w:val="004315DE"/>
    <w:rsid w:val="004316C3"/>
    <w:rsid w:val="004319AF"/>
    <w:rsid w:val="00431B08"/>
    <w:rsid w:val="00431B99"/>
    <w:rsid w:val="00431DC4"/>
    <w:rsid w:val="004324E3"/>
    <w:rsid w:val="00432962"/>
    <w:rsid w:val="0043343C"/>
    <w:rsid w:val="004334DA"/>
    <w:rsid w:val="00433698"/>
    <w:rsid w:val="0043389B"/>
    <w:rsid w:val="00433C5C"/>
    <w:rsid w:val="00433C64"/>
    <w:rsid w:val="00433C78"/>
    <w:rsid w:val="00433CB1"/>
    <w:rsid w:val="00433D27"/>
    <w:rsid w:val="00434076"/>
    <w:rsid w:val="00434203"/>
    <w:rsid w:val="00434305"/>
    <w:rsid w:val="0043444D"/>
    <w:rsid w:val="004346B5"/>
    <w:rsid w:val="004348B6"/>
    <w:rsid w:val="00434AF6"/>
    <w:rsid w:val="00434B06"/>
    <w:rsid w:val="00434C3B"/>
    <w:rsid w:val="00434CA3"/>
    <w:rsid w:val="00435363"/>
    <w:rsid w:val="0043585D"/>
    <w:rsid w:val="00435B59"/>
    <w:rsid w:val="00435C06"/>
    <w:rsid w:val="00435DAF"/>
    <w:rsid w:val="00435E7C"/>
    <w:rsid w:val="004366C8"/>
    <w:rsid w:val="004369B5"/>
    <w:rsid w:val="00436CC4"/>
    <w:rsid w:val="0043719A"/>
    <w:rsid w:val="00437486"/>
    <w:rsid w:val="004374A0"/>
    <w:rsid w:val="004374FA"/>
    <w:rsid w:val="004377CF"/>
    <w:rsid w:val="00437867"/>
    <w:rsid w:val="00437D7D"/>
    <w:rsid w:val="00437F3D"/>
    <w:rsid w:val="0044009E"/>
    <w:rsid w:val="004401AE"/>
    <w:rsid w:val="0044055B"/>
    <w:rsid w:val="004405BE"/>
    <w:rsid w:val="00440937"/>
    <w:rsid w:val="00440F94"/>
    <w:rsid w:val="004412E5"/>
    <w:rsid w:val="004413C6"/>
    <w:rsid w:val="004415E9"/>
    <w:rsid w:val="00441AFA"/>
    <w:rsid w:val="004421AD"/>
    <w:rsid w:val="0044223E"/>
    <w:rsid w:val="00442302"/>
    <w:rsid w:val="00442407"/>
    <w:rsid w:val="004425A9"/>
    <w:rsid w:val="00442645"/>
    <w:rsid w:val="00442849"/>
    <w:rsid w:val="00442A51"/>
    <w:rsid w:val="00442B7C"/>
    <w:rsid w:val="00442B8E"/>
    <w:rsid w:val="00442CBB"/>
    <w:rsid w:val="00442D75"/>
    <w:rsid w:val="00442E97"/>
    <w:rsid w:val="00443158"/>
    <w:rsid w:val="004434E1"/>
    <w:rsid w:val="0044357A"/>
    <w:rsid w:val="004439A2"/>
    <w:rsid w:val="00443B7D"/>
    <w:rsid w:val="00443C36"/>
    <w:rsid w:val="00443E29"/>
    <w:rsid w:val="00443F42"/>
    <w:rsid w:val="00444129"/>
    <w:rsid w:val="0044434C"/>
    <w:rsid w:val="004444A8"/>
    <w:rsid w:val="00444DBE"/>
    <w:rsid w:val="00445144"/>
    <w:rsid w:val="004451CE"/>
    <w:rsid w:val="004451E2"/>
    <w:rsid w:val="00445214"/>
    <w:rsid w:val="00445D46"/>
    <w:rsid w:val="00445D8F"/>
    <w:rsid w:val="00445DAB"/>
    <w:rsid w:val="00446221"/>
    <w:rsid w:val="004462CC"/>
    <w:rsid w:val="004462F9"/>
    <w:rsid w:val="00446496"/>
    <w:rsid w:val="00446C24"/>
    <w:rsid w:val="00446D26"/>
    <w:rsid w:val="004470EB"/>
    <w:rsid w:val="0044743A"/>
    <w:rsid w:val="00447676"/>
    <w:rsid w:val="0044768F"/>
    <w:rsid w:val="004476CC"/>
    <w:rsid w:val="00447B80"/>
    <w:rsid w:val="00447C69"/>
    <w:rsid w:val="00450045"/>
    <w:rsid w:val="0045013E"/>
    <w:rsid w:val="0045026B"/>
    <w:rsid w:val="004502B7"/>
    <w:rsid w:val="00450515"/>
    <w:rsid w:val="0045089C"/>
    <w:rsid w:val="00450A17"/>
    <w:rsid w:val="00451597"/>
    <w:rsid w:val="004515FC"/>
    <w:rsid w:val="0045197A"/>
    <w:rsid w:val="00451A4C"/>
    <w:rsid w:val="00451AC7"/>
    <w:rsid w:val="00451CEA"/>
    <w:rsid w:val="00451D2E"/>
    <w:rsid w:val="00451EFF"/>
    <w:rsid w:val="00452379"/>
    <w:rsid w:val="004525F4"/>
    <w:rsid w:val="004526A6"/>
    <w:rsid w:val="004526F8"/>
    <w:rsid w:val="00452726"/>
    <w:rsid w:val="00452749"/>
    <w:rsid w:val="00452755"/>
    <w:rsid w:val="004528CA"/>
    <w:rsid w:val="00452A21"/>
    <w:rsid w:val="00452DC1"/>
    <w:rsid w:val="00452E07"/>
    <w:rsid w:val="0045393F"/>
    <w:rsid w:val="00453B4E"/>
    <w:rsid w:val="00453D87"/>
    <w:rsid w:val="00453E89"/>
    <w:rsid w:val="00453EDC"/>
    <w:rsid w:val="00453F42"/>
    <w:rsid w:val="00454501"/>
    <w:rsid w:val="0045471C"/>
    <w:rsid w:val="00454752"/>
    <w:rsid w:val="00454782"/>
    <w:rsid w:val="00454AC7"/>
    <w:rsid w:val="00454B88"/>
    <w:rsid w:val="00454B8A"/>
    <w:rsid w:val="00454CDD"/>
    <w:rsid w:val="00454CF8"/>
    <w:rsid w:val="00454D12"/>
    <w:rsid w:val="00454D40"/>
    <w:rsid w:val="00454D43"/>
    <w:rsid w:val="00454DD7"/>
    <w:rsid w:val="00455031"/>
    <w:rsid w:val="00455319"/>
    <w:rsid w:val="004553F5"/>
    <w:rsid w:val="0045543D"/>
    <w:rsid w:val="0045571C"/>
    <w:rsid w:val="004559F7"/>
    <w:rsid w:val="00455B7B"/>
    <w:rsid w:val="00455B80"/>
    <w:rsid w:val="00455BB3"/>
    <w:rsid w:val="00455D0E"/>
    <w:rsid w:val="00455E82"/>
    <w:rsid w:val="00455ECE"/>
    <w:rsid w:val="00456281"/>
    <w:rsid w:val="004565DE"/>
    <w:rsid w:val="00456638"/>
    <w:rsid w:val="00456662"/>
    <w:rsid w:val="0045674F"/>
    <w:rsid w:val="00456B47"/>
    <w:rsid w:val="00456D70"/>
    <w:rsid w:val="00456DEF"/>
    <w:rsid w:val="00456E5C"/>
    <w:rsid w:val="00457191"/>
    <w:rsid w:val="004571E8"/>
    <w:rsid w:val="004573A2"/>
    <w:rsid w:val="004573D5"/>
    <w:rsid w:val="004573D9"/>
    <w:rsid w:val="0045756F"/>
    <w:rsid w:val="004578DA"/>
    <w:rsid w:val="004579FA"/>
    <w:rsid w:val="00457CC4"/>
    <w:rsid w:val="00457D46"/>
    <w:rsid w:val="00457E0F"/>
    <w:rsid w:val="00457FF2"/>
    <w:rsid w:val="0046064B"/>
    <w:rsid w:val="00460956"/>
    <w:rsid w:val="0046095A"/>
    <w:rsid w:val="00460B05"/>
    <w:rsid w:val="00460C28"/>
    <w:rsid w:val="00461285"/>
    <w:rsid w:val="00461411"/>
    <w:rsid w:val="004614DC"/>
    <w:rsid w:val="00461609"/>
    <w:rsid w:val="00461768"/>
    <w:rsid w:val="0046178B"/>
    <w:rsid w:val="00462282"/>
    <w:rsid w:val="00462507"/>
    <w:rsid w:val="004626DE"/>
    <w:rsid w:val="00462965"/>
    <w:rsid w:val="00462B81"/>
    <w:rsid w:val="00462CB2"/>
    <w:rsid w:val="004632B8"/>
    <w:rsid w:val="004633AD"/>
    <w:rsid w:val="004633FC"/>
    <w:rsid w:val="0046343C"/>
    <w:rsid w:val="0046346D"/>
    <w:rsid w:val="00463679"/>
    <w:rsid w:val="00463E13"/>
    <w:rsid w:val="00463F52"/>
    <w:rsid w:val="00464251"/>
    <w:rsid w:val="004643D9"/>
    <w:rsid w:val="00464477"/>
    <w:rsid w:val="004648BD"/>
    <w:rsid w:val="00464A5E"/>
    <w:rsid w:val="00464BDA"/>
    <w:rsid w:val="00464E06"/>
    <w:rsid w:val="00464FE1"/>
    <w:rsid w:val="004652E6"/>
    <w:rsid w:val="00465418"/>
    <w:rsid w:val="004655A9"/>
    <w:rsid w:val="004657A9"/>
    <w:rsid w:val="00465AE7"/>
    <w:rsid w:val="00465CC1"/>
    <w:rsid w:val="00465DB6"/>
    <w:rsid w:val="00465EC0"/>
    <w:rsid w:val="0046628E"/>
    <w:rsid w:val="004666B1"/>
    <w:rsid w:val="004668D9"/>
    <w:rsid w:val="00467072"/>
    <w:rsid w:val="004670ED"/>
    <w:rsid w:val="00467280"/>
    <w:rsid w:val="004673CE"/>
    <w:rsid w:val="004673CF"/>
    <w:rsid w:val="0046774C"/>
    <w:rsid w:val="00467AED"/>
    <w:rsid w:val="00467D26"/>
    <w:rsid w:val="00467D7C"/>
    <w:rsid w:val="00467F70"/>
    <w:rsid w:val="004700E3"/>
    <w:rsid w:val="00470270"/>
    <w:rsid w:val="004704A8"/>
    <w:rsid w:val="00470A84"/>
    <w:rsid w:val="00470FD3"/>
    <w:rsid w:val="00471154"/>
    <w:rsid w:val="0047143F"/>
    <w:rsid w:val="00471595"/>
    <w:rsid w:val="004715FC"/>
    <w:rsid w:val="00471710"/>
    <w:rsid w:val="00471FE6"/>
    <w:rsid w:val="0047213C"/>
    <w:rsid w:val="0047219B"/>
    <w:rsid w:val="00472256"/>
    <w:rsid w:val="0047238D"/>
    <w:rsid w:val="0047239B"/>
    <w:rsid w:val="00472423"/>
    <w:rsid w:val="004724A3"/>
    <w:rsid w:val="0047255E"/>
    <w:rsid w:val="004726D8"/>
    <w:rsid w:val="0047281F"/>
    <w:rsid w:val="00472D62"/>
    <w:rsid w:val="00472EA0"/>
    <w:rsid w:val="00473814"/>
    <w:rsid w:val="00473AE2"/>
    <w:rsid w:val="00473D7F"/>
    <w:rsid w:val="00473F49"/>
    <w:rsid w:val="00474048"/>
    <w:rsid w:val="004740A9"/>
    <w:rsid w:val="00474569"/>
    <w:rsid w:val="00474635"/>
    <w:rsid w:val="00474BDE"/>
    <w:rsid w:val="00474D5D"/>
    <w:rsid w:val="00474E65"/>
    <w:rsid w:val="00474ED5"/>
    <w:rsid w:val="00474FE9"/>
    <w:rsid w:val="00475459"/>
    <w:rsid w:val="00475639"/>
    <w:rsid w:val="004759A2"/>
    <w:rsid w:val="004759DB"/>
    <w:rsid w:val="00475CF0"/>
    <w:rsid w:val="00475D8B"/>
    <w:rsid w:val="00475E8E"/>
    <w:rsid w:val="0047625A"/>
    <w:rsid w:val="00476295"/>
    <w:rsid w:val="004763B3"/>
    <w:rsid w:val="00476620"/>
    <w:rsid w:val="00476E90"/>
    <w:rsid w:val="00476F6D"/>
    <w:rsid w:val="00477208"/>
    <w:rsid w:val="004773F5"/>
    <w:rsid w:val="00477D48"/>
    <w:rsid w:val="004801C3"/>
    <w:rsid w:val="0048062A"/>
    <w:rsid w:val="004809AE"/>
    <w:rsid w:val="00480AD4"/>
    <w:rsid w:val="004810A6"/>
    <w:rsid w:val="00481175"/>
    <w:rsid w:val="00481351"/>
    <w:rsid w:val="004813EC"/>
    <w:rsid w:val="004816C8"/>
    <w:rsid w:val="00481724"/>
    <w:rsid w:val="00481775"/>
    <w:rsid w:val="00481B47"/>
    <w:rsid w:val="00481E5A"/>
    <w:rsid w:val="00481F80"/>
    <w:rsid w:val="0048222A"/>
    <w:rsid w:val="00482347"/>
    <w:rsid w:val="004823E1"/>
    <w:rsid w:val="004824E5"/>
    <w:rsid w:val="00482565"/>
    <w:rsid w:val="004828E1"/>
    <w:rsid w:val="004829F5"/>
    <w:rsid w:val="00482E7D"/>
    <w:rsid w:val="00483095"/>
    <w:rsid w:val="00483169"/>
    <w:rsid w:val="00483188"/>
    <w:rsid w:val="00483506"/>
    <w:rsid w:val="00483650"/>
    <w:rsid w:val="00483C9E"/>
    <w:rsid w:val="00483DD1"/>
    <w:rsid w:val="00483F30"/>
    <w:rsid w:val="00483FC9"/>
    <w:rsid w:val="004841EC"/>
    <w:rsid w:val="00484270"/>
    <w:rsid w:val="00484763"/>
    <w:rsid w:val="004847C9"/>
    <w:rsid w:val="004848AE"/>
    <w:rsid w:val="00484A7C"/>
    <w:rsid w:val="0048503C"/>
    <w:rsid w:val="004853D6"/>
    <w:rsid w:val="00485448"/>
    <w:rsid w:val="00485524"/>
    <w:rsid w:val="004855E7"/>
    <w:rsid w:val="00485605"/>
    <w:rsid w:val="00485614"/>
    <w:rsid w:val="00485B13"/>
    <w:rsid w:val="00485B14"/>
    <w:rsid w:val="00485D14"/>
    <w:rsid w:val="00485D35"/>
    <w:rsid w:val="00485E08"/>
    <w:rsid w:val="00485F09"/>
    <w:rsid w:val="00485FA9"/>
    <w:rsid w:val="00486333"/>
    <w:rsid w:val="00486349"/>
    <w:rsid w:val="00486464"/>
    <w:rsid w:val="00486602"/>
    <w:rsid w:val="004866D8"/>
    <w:rsid w:val="0048696E"/>
    <w:rsid w:val="00486995"/>
    <w:rsid w:val="00486AF0"/>
    <w:rsid w:val="00486C07"/>
    <w:rsid w:val="00486DA5"/>
    <w:rsid w:val="00487136"/>
    <w:rsid w:val="00487812"/>
    <w:rsid w:val="004879D1"/>
    <w:rsid w:val="00487F0D"/>
    <w:rsid w:val="00490008"/>
    <w:rsid w:val="00490164"/>
    <w:rsid w:val="004905A0"/>
    <w:rsid w:val="004905AB"/>
    <w:rsid w:val="004907E6"/>
    <w:rsid w:val="00490B0F"/>
    <w:rsid w:val="00490E72"/>
    <w:rsid w:val="00490F69"/>
    <w:rsid w:val="0049180C"/>
    <w:rsid w:val="0049192D"/>
    <w:rsid w:val="00491AD6"/>
    <w:rsid w:val="004921C4"/>
    <w:rsid w:val="004922A9"/>
    <w:rsid w:val="0049265B"/>
    <w:rsid w:val="0049270A"/>
    <w:rsid w:val="00492740"/>
    <w:rsid w:val="00492A37"/>
    <w:rsid w:val="00492B2B"/>
    <w:rsid w:val="00492F53"/>
    <w:rsid w:val="00492FB3"/>
    <w:rsid w:val="00493050"/>
    <w:rsid w:val="004931D9"/>
    <w:rsid w:val="004932C8"/>
    <w:rsid w:val="004933D7"/>
    <w:rsid w:val="004934C1"/>
    <w:rsid w:val="004937B0"/>
    <w:rsid w:val="00493A5C"/>
    <w:rsid w:val="00493AC4"/>
    <w:rsid w:val="00493B02"/>
    <w:rsid w:val="00493E50"/>
    <w:rsid w:val="0049420E"/>
    <w:rsid w:val="00494444"/>
    <w:rsid w:val="00494542"/>
    <w:rsid w:val="00494648"/>
    <w:rsid w:val="004948E3"/>
    <w:rsid w:val="004949BC"/>
    <w:rsid w:val="00494A04"/>
    <w:rsid w:val="00494A4A"/>
    <w:rsid w:val="00494A78"/>
    <w:rsid w:val="00494B1B"/>
    <w:rsid w:val="00494F42"/>
    <w:rsid w:val="00494F9B"/>
    <w:rsid w:val="004950C7"/>
    <w:rsid w:val="004951EA"/>
    <w:rsid w:val="004952DC"/>
    <w:rsid w:val="004955F5"/>
    <w:rsid w:val="00495703"/>
    <w:rsid w:val="00495C6C"/>
    <w:rsid w:val="00495C99"/>
    <w:rsid w:val="00495CB9"/>
    <w:rsid w:val="004961DD"/>
    <w:rsid w:val="004968ED"/>
    <w:rsid w:val="004969F3"/>
    <w:rsid w:val="00496AAC"/>
    <w:rsid w:val="00496B39"/>
    <w:rsid w:val="00496CCE"/>
    <w:rsid w:val="00496FA4"/>
    <w:rsid w:val="0049714A"/>
    <w:rsid w:val="004971D6"/>
    <w:rsid w:val="00497202"/>
    <w:rsid w:val="00497414"/>
    <w:rsid w:val="0049751C"/>
    <w:rsid w:val="00497629"/>
    <w:rsid w:val="00497816"/>
    <w:rsid w:val="00497820"/>
    <w:rsid w:val="00497E02"/>
    <w:rsid w:val="00497E76"/>
    <w:rsid w:val="00497E8B"/>
    <w:rsid w:val="00497EE9"/>
    <w:rsid w:val="00497FF3"/>
    <w:rsid w:val="004A02B9"/>
    <w:rsid w:val="004A043C"/>
    <w:rsid w:val="004A0582"/>
    <w:rsid w:val="004A0679"/>
    <w:rsid w:val="004A077D"/>
    <w:rsid w:val="004A0977"/>
    <w:rsid w:val="004A09A8"/>
    <w:rsid w:val="004A0A09"/>
    <w:rsid w:val="004A0BC3"/>
    <w:rsid w:val="004A0C15"/>
    <w:rsid w:val="004A0D04"/>
    <w:rsid w:val="004A0D6A"/>
    <w:rsid w:val="004A1236"/>
    <w:rsid w:val="004A1381"/>
    <w:rsid w:val="004A1413"/>
    <w:rsid w:val="004A160D"/>
    <w:rsid w:val="004A16CA"/>
    <w:rsid w:val="004A17B2"/>
    <w:rsid w:val="004A18E3"/>
    <w:rsid w:val="004A1A96"/>
    <w:rsid w:val="004A1AB3"/>
    <w:rsid w:val="004A1BF2"/>
    <w:rsid w:val="004A1D51"/>
    <w:rsid w:val="004A2120"/>
    <w:rsid w:val="004A2157"/>
    <w:rsid w:val="004A216C"/>
    <w:rsid w:val="004A2339"/>
    <w:rsid w:val="004A26BB"/>
    <w:rsid w:val="004A288F"/>
    <w:rsid w:val="004A296B"/>
    <w:rsid w:val="004A29A8"/>
    <w:rsid w:val="004A29D7"/>
    <w:rsid w:val="004A2E6E"/>
    <w:rsid w:val="004A2EC2"/>
    <w:rsid w:val="004A33F8"/>
    <w:rsid w:val="004A34A8"/>
    <w:rsid w:val="004A39BE"/>
    <w:rsid w:val="004A3D32"/>
    <w:rsid w:val="004A3DA1"/>
    <w:rsid w:val="004A3F19"/>
    <w:rsid w:val="004A403A"/>
    <w:rsid w:val="004A4126"/>
    <w:rsid w:val="004A4653"/>
    <w:rsid w:val="004A4670"/>
    <w:rsid w:val="004A4A2B"/>
    <w:rsid w:val="004A4FED"/>
    <w:rsid w:val="004A50A8"/>
    <w:rsid w:val="004A52C8"/>
    <w:rsid w:val="004A5451"/>
    <w:rsid w:val="004A54A5"/>
    <w:rsid w:val="004A56CC"/>
    <w:rsid w:val="004A57C4"/>
    <w:rsid w:val="004A5AA6"/>
    <w:rsid w:val="004A5AE1"/>
    <w:rsid w:val="004A5BAD"/>
    <w:rsid w:val="004A5E24"/>
    <w:rsid w:val="004A5EA2"/>
    <w:rsid w:val="004A5EA4"/>
    <w:rsid w:val="004A5FAC"/>
    <w:rsid w:val="004A60CA"/>
    <w:rsid w:val="004A62A3"/>
    <w:rsid w:val="004A62E1"/>
    <w:rsid w:val="004A6301"/>
    <w:rsid w:val="004A67A1"/>
    <w:rsid w:val="004A67BA"/>
    <w:rsid w:val="004A6809"/>
    <w:rsid w:val="004A69D4"/>
    <w:rsid w:val="004A69D7"/>
    <w:rsid w:val="004A6B0C"/>
    <w:rsid w:val="004A70B5"/>
    <w:rsid w:val="004A72AD"/>
    <w:rsid w:val="004A791E"/>
    <w:rsid w:val="004A7C13"/>
    <w:rsid w:val="004A7D0A"/>
    <w:rsid w:val="004A7DBD"/>
    <w:rsid w:val="004A7E8E"/>
    <w:rsid w:val="004B0089"/>
    <w:rsid w:val="004B0165"/>
    <w:rsid w:val="004B0292"/>
    <w:rsid w:val="004B044F"/>
    <w:rsid w:val="004B04DB"/>
    <w:rsid w:val="004B0639"/>
    <w:rsid w:val="004B08CE"/>
    <w:rsid w:val="004B0BED"/>
    <w:rsid w:val="004B0E47"/>
    <w:rsid w:val="004B0E93"/>
    <w:rsid w:val="004B13F2"/>
    <w:rsid w:val="004B1641"/>
    <w:rsid w:val="004B188B"/>
    <w:rsid w:val="004B1BDC"/>
    <w:rsid w:val="004B1C12"/>
    <w:rsid w:val="004B1E48"/>
    <w:rsid w:val="004B217F"/>
    <w:rsid w:val="004B22BA"/>
    <w:rsid w:val="004B2499"/>
    <w:rsid w:val="004B28D0"/>
    <w:rsid w:val="004B2E8E"/>
    <w:rsid w:val="004B348C"/>
    <w:rsid w:val="004B3866"/>
    <w:rsid w:val="004B38DA"/>
    <w:rsid w:val="004B39B1"/>
    <w:rsid w:val="004B3B56"/>
    <w:rsid w:val="004B3BC5"/>
    <w:rsid w:val="004B3C6D"/>
    <w:rsid w:val="004B3EA5"/>
    <w:rsid w:val="004B3EBE"/>
    <w:rsid w:val="004B3F50"/>
    <w:rsid w:val="004B416C"/>
    <w:rsid w:val="004B4170"/>
    <w:rsid w:val="004B4304"/>
    <w:rsid w:val="004B443A"/>
    <w:rsid w:val="004B47C9"/>
    <w:rsid w:val="004B4B32"/>
    <w:rsid w:val="004B4D2E"/>
    <w:rsid w:val="004B4E33"/>
    <w:rsid w:val="004B4E71"/>
    <w:rsid w:val="004B4EE2"/>
    <w:rsid w:val="004B5018"/>
    <w:rsid w:val="004B5125"/>
    <w:rsid w:val="004B5296"/>
    <w:rsid w:val="004B52E4"/>
    <w:rsid w:val="004B5308"/>
    <w:rsid w:val="004B5404"/>
    <w:rsid w:val="004B557F"/>
    <w:rsid w:val="004B55BF"/>
    <w:rsid w:val="004B575C"/>
    <w:rsid w:val="004B581B"/>
    <w:rsid w:val="004B5825"/>
    <w:rsid w:val="004B5859"/>
    <w:rsid w:val="004B5981"/>
    <w:rsid w:val="004B5B8E"/>
    <w:rsid w:val="004B5CA3"/>
    <w:rsid w:val="004B5E96"/>
    <w:rsid w:val="004B5F6A"/>
    <w:rsid w:val="004B61ED"/>
    <w:rsid w:val="004B620D"/>
    <w:rsid w:val="004B637F"/>
    <w:rsid w:val="004B647D"/>
    <w:rsid w:val="004B687B"/>
    <w:rsid w:val="004B6A93"/>
    <w:rsid w:val="004B6B85"/>
    <w:rsid w:val="004B6D12"/>
    <w:rsid w:val="004B707A"/>
    <w:rsid w:val="004B7308"/>
    <w:rsid w:val="004B73F9"/>
    <w:rsid w:val="004B740E"/>
    <w:rsid w:val="004B7627"/>
    <w:rsid w:val="004B7A4C"/>
    <w:rsid w:val="004B7D67"/>
    <w:rsid w:val="004B7F56"/>
    <w:rsid w:val="004C00F6"/>
    <w:rsid w:val="004C0363"/>
    <w:rsid w:val="004C045B"/>
    <w:rsid w:val="004C0561"/>
    <w:rsid w:val="004C0731"/>
    <w:rsid w:val="004C0C99"/>
    <w:rsid w:val="004C0CE1"/>
    <w:rsid w:val="004C142D"/>
    <w:rsid w:val="004C166F"/>
    <w:rsid w:val="004C1796"/>
    <w:rsid w:val="004C19C1"/>
    <w:rsid w:val="004C1AAD"/>
    <w:rsid w:val="004C1CBA"/>
    <w:rsid w:val="004C1D85"/>
    <w:rsid w:val="004C2204"/>
    <w:rsid w:val="004C23DA"/>
    <w:rsid w:val="004C254E"/>
    <w:rsid w:val="004C2648"/>
    <w:rsid w:val="004C29C0"/>
    <w:rsid w:val="004C29E8"/>
    <w:rsid w:val="004C2C1D"/>
    <w:rsid w:val="004C2F86"/>
    <w:rsid w:val="004C3337"/>
    <w:rsid w:val="004C3490"/>
    <w:rsid w:val="004C364B"/>
    <w:rsid w:val="004C38B4"/>
    <w:rsid w:val="004C38E7"/>
    <w:rsid w:val="004C3B81"/>
    <w:rsid w:val="004C3EA6"/>
    <w:rsid w:val="004C3F06"/>
    <w:rsid w:val="004C408F"/>
    <w:rsid w:val="004C4257"/>
    <w:rsid w:val="004C42BB"/>
    <w:rsid w:val="004C43C1"/>
    <w:rsid w:val="004C43DF"/>
    <w:rsid w:val="004C4538"/>
    <w:rsid w:val="004C462E"/>
    <w:rsid w:val="004C4651"/>
    <w:rsid w:val="004C4684"/>
    <w:rsid w:val="004C474C"/>
    <w:rsid w:val="004C47AC"/>
    <w:rsid w:val="004C4836"/>
    <w:rsid w:val="004C4AF8"/>
    <w:rsid w:val="004C4D71"/>
    <w:rsid w:val="004C4D8A"/>
    <w:rsid w:val="004C4E21"/>
    <w:rsid w:val="004C5241"/>
    <w:rsid w:val="004C5342"/>
    <w:rsid w:val="004C53B0"/>
    <w:rsid w:val="004C54B1"/>
    <w:rsid w:val="004C574A"/>
    <w:rsid w:val="004C58EC"/>
    <w:rsid w:val="004C5A31"/>
    <w:rsid w:val="004C5A3C"/>
    <w:rsid w:val="004C5ADD"/>
    <w:rsid w:val="004C5B99"/>
    <w:rsid w:val="004C5BCF"/>
    <w:rsid w:val="004C5C48"/>
    <w:rsid w:val="004C5F02"/>
    <w:rsid w:val="004C5F10"/>
    <w:rsid w:val="004C6359"/>
    <w:rsid w:val="004C65E3"/>
    <w:rsid w:val="004C66ED"/>
    <w:rsid w:val="004C676A"/>
    <w:rsid w:val="004C6805"/>
    <w:rsid w:val="004C69E8"/>
    <w:rsid w:val="004C6BA5"/>
    <w:rsid w:val="004C6C10"/>
    <w:rsid w:val="004C6E49"/>
    <w:rsid w:val="004C723E"/>
    <w:rsid w:val="004C73B3"/>
    <w:rsid w:val="004C74A9"/>
    <w:rsid w:val="004C7856"/>
    <w:rsid w:val="004C7A24"/>
    <w:rsid w:val="004C7DF9"/>
    <w:rsid w:val="004D0028"/>
    <w:rsid w:val="004D0246"/>
    <w:rsid w:val="004D077C"/>
    <w:rsid w:val="004D07F3"/>
    <w:rsid w:val="004D095B"/>
    <w:rsid w:val="004D0A36"/>
    <w:rsid w:val="004D0BF8"/>
    <w:rsid w:val="004D0DDE"/>
    <w:rsid w:val="004D1025"/>
    <w:rsid w:val="004D1181"/>
    <w:rsid w:val="004D11F3"/>
    <w:rsid w:val="004D121E"/>
    <w:rsid w:val="004D128E"/>
    <w:rsid w:val="004D1A16"/>
    <w:rsid w:val="004D1A34"/>
    <w:rsid w:val="004D1A4E"/>
    <w:rsid w:val="004D2080"/>
    <w:rsid w:val="004D2669"/>
    <w:rsid w:val="004D279D"/>
    <w:rsid w:val="004D2858"/>
    <w:rsid w:val="004D2A39"/>
    <w:rsid w:val="004D2A47"/>
    <w:rsid w:val="004D2A55"/>
    <w:rsid w:val="004D2D04"/>
    <w:rsid w:val="004D2D6B"/>
    <w:rsid w:val="004D31B7"/>
    <w:rsid w:val="004D3387"/>
    <w:rsid w:val="004D3418"/>
    <w:rsid w:val="004D34AD"/>
    <w:rsid w:val="004D35EB"/>
    <w:rsid w:val="004D36AB"/>
    <w:rsid w:val="004D3BB7"/>
    <w:rsid w:val="004D3D48"/>
    <w:rsid w:val="004D3DBE"/>
    <w:rsid w:val="004D3EE8"/>
    <w:rsid w:val="004D4053"/>
    <w:rsid w:val="004D42BA"/>
    <w:rsid w:val="004D45CD"/>
    <w:rsid w:val="004D4657"/>
    <w:rsid w:val="004D47B6"/>
    <w:rsid w:val="004D47C7"/>
    <w:rsid w:val="004D4E25"/>
    <w:rsid w:val="004D4FAD"/>
    <w:rsid w:val="004D5147"/>
    <w:rsid w:val="004D516D"/>
    <w:rsid w:val="004D52F3"/>
    <w:rsid w:val="004D564B"/>
    <w:rsid w:val="004D5696"/>
    <w:rsid w:val="004D5861"/>
    <w:rsid w:val="004D5873"/>
    <w:rsid w:val="004D63AC"/>
    <w:rsid w:val="004D6621"/>
    <w:rsid w:val="004D6916"/>
    <w:rsid w:val="004D6981"/>
    <w:rsid w:val="004D71D0"/>
    <w:rsid w:val="004D7242"/>
    <w:rsid w:val="004D731C"/>
    <w:rsid w:val="004D747E"/>
    <w:rsid w:val="004D74BC"/>
    <w:rsid w:val="004D74C5"/>
    <w:rsid w:val="004D778F"/>
    <w:rsid w:val="004D78D4"/>
    <w:rsid w:val="004D7D0E"/>
    <w:rsid w:val="004D7EC2"/>
    <w:rsid w:val="004D7EE7"/>
    <w:rsid w:val="004E01D7"/>
    <w:rsid w:val="004E058A"/>
    <w:rsid w:val="004E0E48"/>
    <w:rsid w:val="004E108B"/>
    <w:rsid w:val="004E10DC"/>
    <w:rsid w:val="004E10E4"/>
    <w:rsid w:val="004E1211"/>
    <w:rsid w:val="004E163F"/>
    <w:rsid w:val="004E178F"/>
    <w:rsid w:val="004E17CA"/>
    <w:rsid w:val="004E1AF2"/>
    <w:rsid w:val="004E1D99"/>
    <w:rsid w:val="004E1E8B"/>
    <w:rsid w:val="004E20CC"/>
    <w:rsid w:val="004E221A"/>
    <w:rsid w:val="004E2BBF"/>
    <w:rsid w:val="004E2DEA"/>
    <w:rsid w:val="004E2FEA"/>
    <w:rsid w:val="004E31D1"/>
    <w:rsid w:val="004E3518"/>
    <w:rsid w:val="004E3546"/>
    <w:rsid w:val="004E3C6B"/>
    <w:rsid w:val="004E3EC0"/>
    <w:rsid w:val="004E4026"/>
    <w:rsid w:val="004E406D"/>
    <w:rsid w:val="004E4138"/>
    <w:rsid w:val="004E41F5"/>
    <w:rsid w:val="004E47FB"/>
    <w:rsid w:val="004E48D9"/>
    <w:rsid w:val="004E4A25"/>
    <w:rsid w:val="004E4F1F"/>
    <w:rsid w:val="004E50AB"/>
    <w:rsid w:val="004E50F4"/>
    <w:rsid w:val="004E5167"/>
    <w:rsid w:val="004E5307"/>
    <w:rsid w:val="004E53EF"/>
    <w:rsid w:val="004E55F1"/>
    <w:rsid w:val="004E5797"/>
    <w:rsid w:val="004E58C7"/>
    <w:rsid w:val="004E5C07"/>
    <w:rsid w:val="004E5C91"/>
    <w:rsid w:val="004E60A8"/>
    <w:rsid w:val="004E6833"/>
    <w:rsid w:val="004E6B8F"/>
    <w:rsid w:val="004E6C06"/>
    <w:rsid w:val="004E6C12"/>
    <w:rsid w:val="004E6FB8"/>
    <w:rsid w:val="004E7304"/>
    <w:rsid w:val="004E7367"/>
    <w:rsid w:val="004E7545"/>
    <w:rsid w:val="004E791A"/>
    <w:rsid w:val="004E7C6A"/>
    <w:rsid w:val="004E7D02"/>
    <w:rsid w:val="004F01A9"/>
    <w:rsid w:val="004F0244"/>
    <w:rsid w:val="004F025A"/>
    <w:rsid w:val="004F0261"/>
    <w:rsid w:val="004F026A"/>
    <w:rsid w:val="004F033F"/>
    <w:rsid w:val="004F06CB"/>
    <w:rsid w:val="004F0832"/>
    <w:rsid w:val="004F0A0D"/>
    <w:rsid w:val="004F0A35"/>
    <w:rsid w:val="004F0C15"/>
    <w:rsid w:val="004F0D1E"/>
    <w:rsid w:val="004F0D2D"/>
    <w:rsid w:val="004F0D38"/>
    <w:rsid w:val="004F1222"/>
    <w:rsid w:val="004F14CD"/>
    <w:rsid w:val="004F177B"/>
    <w:rsid w:val="004F1C5A"/>
    <w:rsid w:val="004F1CA3"/>
    <w:rsid w:val="004F1DB4"/>
    <w:rsid w:val="004F1FE1"/>
    <w:rsid w:val="004F214C"/>
    <w:rsid w:val="004F2222"/>
    <w:rsid w:val="004F24B7"/>
    <w:rsid w:val="004F253E"/>
    <w:rsid w:val="004F27B1"/>
    <w:rsid w:val="004F29B5"/>
    <w:rsid w:val="004F2A3D"/>
    <w:rsid w:val="004F2C63"/>
    <w:rsid w:val="004F2C6A"/>
    <w:rsid w:val="004F32F8"/>
    <w:rsid w:val="004F3432"/>
    <w:rsid w:val="004F352F"/>
    <w:rsid w:val="004F3617"/>
    <w:rsid w:val="004F3695"/>
    <w:rsid w:val="004F388E"/>
    <w:rsid w:val="004F3BB2"/>
    <w:rsid w:val="004F429B"/>
    <w:rsid w:val="004F45D3"/>
    <w:rsid w:val="004F492A"/>
    <w:rsid w:val="004F4A1C"/>
    <w:rsid w:val="004F4BB6"/>
    <w:rsid w:val="004F4BBE"/>
    <w:rsid w:val="004F4C5A"/>
    <w:rsid w:val="004F4CF4"/>
    <w:rsid w:val="004F4D38"/>
    <w:rsid w:val="004F5066"/>
    <w:rsid w:val="004F510F"/>
    <w:rsid w:val="004F530D"/>
    <w:rsid w:val="004F541C"/>
    <w:rsid w:val="004F56CF"/>
    <w:rsid w:val="004F59C4"/>
    <w:rsid w:val="004F5A63"/>
    <w:rsid w:val="004F5AA9"/>
    <w:rsid w:val="004F5C9E"/>
    <w:rsid w:val="004F5CC5"/>
    <w:rsid w:val="004F6095"/>
    <w:rsid w:val="004F609C"/>
    <w:rsid w:val="004F61AE"/>
    <w:rsid w:val="004F63C5"/>
    <w:rsid w:val="004F63EB"/>
    <w:rsid w:val="004F648A"/>
    <w:rsid w:val="004F668F"/>
    <w:rsid w:val="004F67BB"/>
    <w:rsid w:val="004F6A44"/>
    <w:rsid w:val="004F6BB3"/>
    <w:rsid w:val="004F6C14"/>
    <w:rsid w:val="004F7097"/>
    <w:rsid w:val="004F72D6"/>
    <w:rsid w:val="004F72DC"/>
    <w:rsid w:val="004F76AF"/>
    <w:rsid w:val="004F7CA5"/>
    <w:rsid w:val="004F7CD9"/>
    <w:rsid w:val="004F7D11"/>
    <w:rsid w:val="004F7DA1"/>
    <w:rsid w:val="004F7E2E"/>
    <w:rsid w:val="004F7EB0"/>
    <w:rsid w:val="004F7EC3"/>
    <w:rsid w:val="00500234"/>
    <w:rsid w:val="00500905"/>
    <w:rsid w:val="00500912"/>
    <w:rsid w:val="005009E3"/>
    <w:rsid w:val="00500A0F"/>
    <w:rsid w:val="00500B55"/>
    <w:rsid w:val="00500E1A"/>
    <w:rsid w:val="00500E3E"/>
    <w:rsid w:val="00500F33"/>
    <w:rsid w:val="0050102C"/>
    <w:rsid w:val="005010C5"/>
    <w:rsid w:val="0050115A"/>
    <w:rsid w:val="00501241"/>
    <w:rsid w:val="00501519"/>
    <w:rsid w:val="0050178E"/>
    <w:rsid w:val="005023BC"/>
    <w:rsid w:val="0050270F"/>
    <w:rsid w:val="00502821"/>
    <w:rsid w:val="00502A84"/>
    <w:rsid w:val="00502FD2"/>
    <w:rsid w:val="005030EC"/>
    <w:rsid w:val="0050349B"/>
    <w:rsid w:val="005038EA"/>
    <w:rsid w:val="00503D3C"/>
    <w:rsid w:val="00504212"/>
    <w:rsid w:val="005045D5"/>
    <w:rsid w:val="005047E2"/>
    <w:rsid w:val="005049D1"/>
    <w:rsid w:val="00504AB9"/>
    <w:rsid w:val="00504B3A"/>
    <w:rsid w:val="00504C81"/>
    <w:rsid w:val="00504EC1"/>
    <w:rsid w:val="00505335"/>
    <w:rsid w:val="005053A0"/>
    <w:rsid w:val="00505414"/>
    <w:rsid w:val="005054DF"/>
    <w:rsid w:val="00505591"/>
    <w:rsid w:val="00505902"/>
    <w:rsid w:val="00505B33"/>
    <w:rsid w:val="00505BCC"/>
    <w:rsid w:val="00505C95"/>
    <w:rsid w:val="0050616B"/>
    <w:rsid w:val="0050627F"/>
    <w:rsid w:val="00506398"/>
    <w:rsid w:val="00506702"/>
    <w:rsid w:val="00506B25"/>
    <w:rsid w:val="00506E9B"/>
    <w:rsid w:val="00507608"/>
    <w:rsid w:val="00507617"/>
    <w:rsid w:val="00507809"/>
    <w:rsid w:val="00507844"/>
    <w:rsid w:val="0050786E"/>
    <w:rsid w:val="00507BE1"/>
    <w:rsid w:val="00507D30"/>
    <w:rsid w:val="00507F85"/>
    <w:rsid w:val="005106F2"/>
    <w:rsid w:val="00510A19"/>
    <w:rsid w:val="00510D11"/>
    <w:rsid w:val="00510EB6"/>
    <w:rsid w:val="00511B17"/>
    <w:rsid w:val="00511B3B"/>
    <w:rsid w:val="00511B84"/>
    <w:rsid w:val="00511F67"/>
    <w:rsid w:val="00511FA8"/>
    <w:rsid w:val="005121F2"/>
    <w:rsid w:val="005123E7"/>
    <w:rsid w:val="00512401"/>
    <w:rsid w:val="00512CA4"/>
    <w:rsid w:val="00512EBA"/>
    <w:rsid w:val="00513072"/>
    <w:rsid w:val="0051319A"/>
    <w:rsid w:val="005133ED"/>
    <w:rsid w:val="00513539"/>
    <w:rsid w:val="00513697"/>
    <w:rsid w:val="005139D1"/>
    <w:rsid w:val="00513C8E"/>
    <w:rsid w:val="00513E97"/>
    <w:rsid w:val="00514087"/>
    <w:rsid w:val="00514336"/>
    <w:rsid w:val="0051437F"/>
    <w:rsid w:val="005144E6"/>
    <w:rsid w:val="005146F9"/>
    <w:rsid w:val="00514737"/>
    <w:rsid w:val="005147E6"/>
    <w:rsid w:val="00514853"/>
    <w:rsid w:val="00514BA3"/>
    <w:rsid w:val="00514E26"/>
    <w:rsid w:val="00514E70"/>
    <w:rsid w:val="0051538A"/>
    <w:rsid w:val="005154C9"/>
    <w:rsid w:val="00515625"/>
    <w:rsid w:val="0051562C"/>
    <w:rsid w:val="00515BE5"/>
    <w:rsid w:val="00515EF2"/>
    <w:rsid w:val="00515FC1"/>
    <w:rsid w:val="00515FED"/>
    <w:rsid w:val="00516020"/>
    <w:rsid w:val="00516425"/>
    <w:rsid w:val="00516813"/>
    <w:rsid w:val="0051687A"/>
    <w:rsid w:val="005168E6"/>
    <w:rsid w:val="00516D58"/>
    <w:rsid w:val="0051704A"/>
    <w:rsid w:val="00517057"/>
    <w:rsid w:val="005176A3"/>
    <w:rsid w:val="005176B3"/>
    <w:rsid w:val="005177F4"/>
    <w:rsid w:val="00517CA3"/>
    <w:rsid w:val="00517D18"/>
    <w:rsid w:val="00517F03"/>
    <w:rsid w:val="00517F9E"/>
    <w:rsid w:val="0052029E"/>
    <w:rsid w:val="00520319"/>
    <w:rsid w:val="0052041F"/>
    <w:rsid w:val="0052083E"/>
    <w:rsid w:val="005208E1"/>
    <w:rsid w:val="00520951"/>
    <w:rsid w:val="00520960"/>
    <w:rsid w:val="005209CF"/>
    <w:rsid w:val="00520A06"/>
    <w:rsid w:val="00520A51"/>
    <w:rsid w:val="00521594"/>
    <w:rsid w:val="005215F2"/>
    <w:rsid w:val="00521676"/>
    <w:rsid w:val="005216F8"/>
    <w:rsid w:val="00521728"/>
    <w:rsid w:val="0052179A"/>
    <w:rsid w:val="005218AB"/>
    <w:rsid w:val="00521AEB"/>
    <w:rsid w:val="00521EF6"/>
    <w:rsid w:val="0052236B"/>
    <w:rsid w:val="0052257A"/>
    <w:rsid w:val="005226DD"/>
    <w:rsid w:val="00522A4F"/>
    <w:rsid w:val="00522DE1"/>
    <w:rsid w:val="005230A2"/>
    <w:rsid w:val="005230BB"/>
    <w:rsid w:val="00523121"/>
    <w:rsid w:val="005231A0"/>
    <w:rsid w:val="005232C1"/>
    <w:rsid w:val="00523699"/>
    <w:rsid w:val="005239C9"/>
    <w:rsid w:val="00523C5A"/>
    <w:rsid w:val="00523E11"/>
    <w:rsid w:val="00523E1B"/>
    <w:rsid w:val="00523F54"/>
    <w:rsid w:val="00524065"/>
    <w:rsid w:val="005240F6"/>
    <w:rsid w:val="005241AC"/>
    <w:rsid w:val="005241E1"/>
    <w:rsid w:val="00524232"/>
    <w:rsid w:val="00524303"/>
    <w:rsid w:val="005246FD"/>
    <w:rsid w:val="00524B2C"/>
    <w:rsid w:val="00524D7C"/>
    <w:rsid w:val="00524F1F"/>
    <w:rsid w:val="00524F74"/>
    <w:rsid w:val="0052560D"/>
    <w:rsid w:val="005256A3"/>
    <w:rsid w:val="005257C4"/>
    <w:rsid w:val="005257E4"/>
    <w:rsid w:val="00525B9D"/>
    <w:rsid w:val="00525BA7"/>
    <w:rsid w:val="00525EF9"/>
    <w:rsid w:val="00526344"/>
    <w:rsid w:val="0052694B"/>
    <w:rsid w:val="005269F9"/>
    <w:rsid w:val="00526B26"/>
    <w:rsid w:val="005271B0"/>
    <w:rsid w:val="0052756E"/>
    <w:rsid w:val="005276E1"/>
    <w:rsid w:val="0052798B"/>
    <w:rsid w:val="00527B84"/>
    <w:rsid w:val="005300E3"/>
    <w:rsid w:val="0053010C"/>
    <w:rsid w:val="005301C7"/>
    <w:rsid w:val="00530363"/>
    <w:rsid w:val="00530431"/>
    <w:rsid w:val="00530656"/>
    <w:rsid w:val="005307E3"/>
    <w:rsid w:val="00530CB3"/>
    <w:rsid w:val="00530D54"/>
    <w:rsid w:val="00530E4D"/>
    <w:rsid w:val="00530F5C"/>
    <w:rsid w:val="00531194"/>
    <w:rsid w:val="00531209"/>
    <w:rsid w:val="0053120E"/>
    <w:rsid w:val="00531232"/>
    <w:rsid w:val="005313EE"/>
    <w:rsid w:val="00531523"/>
    <w:rsid w:val="00531569"/>
    <w:rsid w:val="00531606"/>
    <w:rsid w:val="00531668"/>
    <w:rsid w:val="0053186B"/>
    <w:rsid w:val="00531AA3"/>
    <w:rsid w:val="00531C42"/>
    <w:rsid w:val="00531F8D"/>
    <w:rsid w:val="00531FE4"/>
    <w:rsid w:val="0053200F"/>
    <w:rsid w:val="005322C6"/>
    <w:rsid w:val="00532355"/>
    <w:rsid w:val="00532447"/>
    <w:rsid w:val="005324E9"/>
    <w:rsid w:val="0053282E"/>
    <w:rsid w:val="00532A70"/>
    <w:rsid w:val="00533120"/>
    <w:rsid w:val="00533577"/>
    <w:rsid w:val="0053365E"/>
    <w:rsid w:val="0053372A"/>
    <w:rsid w:val="00533778"/>
    <w:rsid w:val="0053389F"/>
    <w:rsid w:val="00533908"/>
    <w:rsid w:val="00533C23"/>
    <w:rsid w:val="00533CC7"/>
    <w:rsid w:val="00533E42"/>
    <w:rsid w:val="00533ED6"/>
    <w:rsid w:val="00534038"/>
    <w:rsid w:val="00534242"/>
    <w:rsid w:val="0053426F"/>
    <w:rsid w:val="0053453C"/>
    <w:rsid w:val="0053489B"/>
    <w:rsid w:val="00534B9B"/>
    <w:rsid w:val="00534C63"/>
    <w:rsid w:val="005351CF"/>
    <w:rsid w:val="005354A3"/>
    <w:rsid w:val="00535646"/>
    <w:rsid w:val="005357E0"/>
    <w:rsid w:val="0053596A"/>
    <w:rsid w:val="00535A71"/>
    <w:rsid w:val="00535B56"/>
    <w:rsid w:val="00535E1B"/>
    <w:rsid w:val="00535EF6"/>
    <w:rsid w:val="00535F30"/>
    <w:rsid w:val="0053611C"/>
    <w:rsid w:val="00536296"/>
    <w:rsid w:val="0053631E"/>
    <w:rsid w:val="0053645E"/>
    <w:rsid w:val="0053647D"/>
    <w:rsid w:val="00536711"/>
    <w:rsid w:val="00536772"/>
    <w:rsid w:val="00536924"/>
    <w:rsid w:val="0053698F"/>
    <w:rsid w:val="00536B04"/>
    <w:rsid w:val="00536C12"/>
    <w:rsid w:val="00536E7C"/>
    <w:rsid w:val="00536EB1"/>
    <w:rsid w:val="005370B4"/>
    <w:rsid w:val="005370F2"/>
    <w:rsid w:val="00537110"/>
    <w:rsid w:val="00537242"/>
    <w:rsid w:val="005372C1"/>
    <w:rsid w:val="00537461"/>
    <w:rsid w:val="00537636"/>
    <w:rsid w:val="0053788C"/>
    <w:rsid w:val="005378EE"/>
    <w:rsid w:val="00537910"/>
    <w:rsid w:val="00537A59"/>
    <w:rsid w:val="00537A77"/>
    <w:rsid w:val="00537C55"/>
    <w:rsid w:val="00537DA0"/>
    <w:rsid w:val="00537E92"/>
    <w:rsid w:val="00537F3C"/>
    <w:rsid w:val="0054033B"/>
    <w:rsid w:val="0054046D"/>
    <w:rsid w:val="00540674"/>
    <w:rsid w:val="0054077D"/>
    <w:rsid w:val="00540AB3"/>
    <w:rsid w:val="00540E91"/>
    <w:rsid w:val="00541229"/>
    <w:rsid w:val="00541360"/>
    <w:rsid w:val="005416C3"/>
    <w:rsid w:val="005417D5"/>
    <w:rsid w:val="00541835"/>
    <w:rsid w:val="00541974"/>
    <w:rsid w:val="00541E3B"/>
    <w:rsid w:val="00541EC8"/>
    <w:rsid w:val="00541FC7"/>
    <w:rsid w:val="00542190"/>
    <w:rsid w:val="005421D3"/>
    <w:rsid w:val="00542223"/>
    <w:rsid w:val="00542504"/>
    <w:rsid w:val="00542869"/>
    <w:rsid w:val="00542925"/>
    <w:rsid w:val="00542984"/>
    <w:rsid w:val="00542C73"/>
    <w:rsid w:val="00542E0C"/>
    <w:rsid w:val="00542F99"/>
    <w:rsid w:val="0054303B"/>
    <w:rsid w:val="0054319F"/>
    <w:rsid w:val="0054323B"/>
    <w:rsid w:val="00543290"/>
    <w:rsid w:val="0054340D"/>
    <w:rsid w:val="005434F5"/>
    <w:rsid w:val="005435C4"/>
    <w:rsid w:val="005435F8"/>
    <w:rsid w:val="005437FC"/>
    <w:rsid w:val="00543851"/>
    <w:rsid w:val="005439A7"/>
    <w:rsid w:val="00543BB2"/>
    <w:rsid w:val="00543DCD"/>
    <w:rsid w:val="00543FFE"/>
    <w:rsid w:val="00544346"/>
    <w:rsid w:val="005444A9"/>
    <w:rsid w:val="00544576"/>
    <w:rsid w:val="005447C9"/>
    <w:rsid w:val="005449B6"/>
    <w:rsid w:val="00544AAC"/>
    <w:rsid w:val="00544CC2"/>
    <w:rsid w:val="00544D36"/>
    <w:rsid w:val="00544D79"/>
    <w:rsid w:val="00544E0E"/>
    <w:rsid w:val="00544ED0"/>
    <w:rsid w:val="00544FEB"/>
    <w:rsid w:val="00545086"/>
    <w:rsid w:val="0054556F"/>
    <w:rsid w:val="00545687"/>
    <w:rsid w:val="0054573A"/>
    <w:rsid w:val="0054579E"/>
    <w:rsid w:val="005457D4"/>
    <w:rsid w:val="00545A7F"/>
    <w:rsid w:val="00545A83"/>
    <w:rsid w:val="00545C78"/>
    <w:rsid w:val="00545CCB"/>
    <w:rsid w:val="00546035"/>
    <w:rsid w:val="005463D5"/>
    <w:rsid w:val="00546687"/>
    <w:rsid w:val="00546968"/>
    <w:rsid w:val="00546E0F"/>
    <w:rsid w:val="00546E88"/>
    <w:rsid w:val="00547248"/>
    <w:rsid w:val="005472C1"/>
    <w:rsid w:val="005472CF"/>
    <w:rsid w:val="005472DB"/>
    <w:rsid w:val="0054756F"/>
    <w:rsid w:val="0054760C"/>
    <w:rsid w:val="005477BB"/>
    <w:rsid w:val="0054781E"/>
    <w:rsid w:val="00547A1C"/>
    <w:rsid w:val="00547AFC"/>
    <w:rsid w:val="00547E02"/>
    <w:rsid w:val="005501FA"/>
    <w:rsid w:val="0055028E"/>
    <w:rsid w:val="00550304"/>
    <w:rsid w:val="0055055F"/>
    <w:rsid w:val="005506E3"/>
    <w:rsid w:val="00550770"/>
    <w:rsid w:val="00550927"/>
    <w:rsid w:val="00550A96"/>
    <w:rsid w:val="00550B57"/>
    <w:rsid w:val="00550CC4"/>
    <w:rsid w:val="00550D4D"/>
    <w:rsid w:val="00550F6B"/>
    <w:rsid w:val="005511ED"/>
    <w:rsid w:val="00551317"/>
    <w:rsid w:val="0055150B"/>
    <w:rsid w:val="00551538"/>
    <w:rsid w:val="0055168F"/>
    <w:rsid w:val="005518F3"/>
    <w:rsid w:val="00551C95"/>
    <w:rsid w:val="00551DEF"/>
    <w:rsid w:val="00551F51"/>
    <w:rsid w:val="00551F68"/>
    <w:rsid w:val="005521C7"/>
    <w:rsid w:val="005523D9"/>
    <w:rsid w:val="00552685"/>
    <w:rsid w:val="00552AE5"/>
    <w:rsid w:val="00552B88"/>
    <w:rsid w:val="00552EFA"/>
    <w:rsid w:val="00553198"/>
    <w:rsid w:val="0055320F"/>
    <w:rsid w:val="0055375F"/>
    <w:rsid w:val="00553D4B"/>
    <w:rsid w:val="00554065"/>
    <w:rsid w:val="00554287"/>
    <w:rsid w:val="005542C5"/>
    <w:rsid w:val="00554557"/>
    <w:rsid w:val="005546CD"/>
    <w:rsid w:val="00554ACD"/>
    <w:rsid w:val="00554ADD"/>
    <w:rsid w:val="00554AFC"/>
    <w:rsid w:val="0055505D"/>
    <w:rsid w:val="005550C5"/>
    <w:rsid w:val="0055514A"/>
    <w:rsid w:val="00555571"/>
    <w:rsid w:val="005556FF"/>
    <w:rsid w:val="0055582D"/>
    <w:rsid w:val="00555895"/>
    <w:rsid w:val="005559EE"/>
    <w:rsid w:val="00555B38"/>
    <w:rsid w:val="00555B97"/>
    <w:rsid w:val="00556085"/>
    <w:rsid w:val="00556313"/>
    <w:rsid w:val="0055676E"/>
    <w:rsid w:val="005569A0"/>
    <w:rsid w:val="005569BF"/>
    <w:rsid w:val="00556A9B"/>
    <w:rsid w:val="00556BCC"/>
    <w:rsid w:val="00556D37"/>
    <w:rsid w:val="00556F87"/>
    <w:rsid w:val="00557187"/>
    <w:rsid w:val="0055726E"/>
    <w:rsid w:val="005572A9"/>
    <w:rsid w:val="00557474"/>
    <w:rsid w:val="005576D5"/>
    <w:rsid w:val="005577E3"/>
    <w:rsid w:val="00557987"/>
    <w:rsid w:val="00557B8D"/>
    <w:rsid w:val="00557FE4"/>
    <w:rsid w:val="0056000F"/>
    <w:rsid w:val="00560031"/>
    <w:rsid w:val="005602E4"/>
    <w:rsid w:val="0056033F"/>
    <w:rsid w:val="005603E2"/>
    <w:rsid w:val="0056044D"/>
    <w:rsid w:val="00560621"/>
    <w:rsid w:val="00560A8A"/>
    <w:rsid w:val="00560CD5"/>
    <w:rsid w:val="00560DEB"/>
    <w:rsid w:val="00560F9A"/>
    <w:rsid w:val="0056105E"/>
    <w:rsid w:val="005612B7"/>
    <w:rsid w:val="00561388"/>
    <w:rsid w:val="00561976"/>
    <w:rsid w:val="00561C5C"/>
    <w:rsid w:val="00561F41"/>
    <w:rsid w:val="00562008"/>
    <w:rsid w:val="00562422"/>
    <w:rsid w:val="0056266F"/>
    <w:rsid w:val="00562776"/>
    <w:rsid w:val="00562911"/>
    <w:rsid w:val="00562AB5"/>
    <w:rsid w:val="00562B0F"/>
    <w:rsid w:val="00562B62"/>
    <w:rsid w:val="0056368A"/>
    <w:rsid w:val="00563B4A"/>
    <w:rsid w:val="00563B8D"/>
    <w:rsid w:val="00563EB7"/>
    <w:rsid w:val="00564042"/>
    <w:rsid w:val="00564135"/>
    <w:rsid w:val="005641A2"/>
    <w:rsid w:val="00564220"/>
    <w:rsid w:val="005642C0"/>
    <w:rsid w:val="00564710"/>
    <w:rsid w:val="00564725"/>
    <w:rsid w:val="0056481C"/>
    <w:rsid w:val="00564888"/>
    <w:rsid w:val="00564CCC"/>
    <w:rsid w:val="00564CED"/>
    <w:rsid w:val="00564E2A"/>
    <w:rsid w:val="00564F8E"/>
    <w:rsid w:val="0056515F"/>
    <w:rsid w:val="0056539B"/>
    <w:rsid w:val="0056558C"/>
    <w:rsid w:val="005656AE"/>
    <w:rsid w:val="0056572F"/>
    <w:rsid w:val="00565954"/>
    <w:rsid w:val="00565ACF"/>
    <w:rsid w:val="00565AF9"/>
    <w:rsid w:val="00565B68"/>
    <w:rsid w:val="00565DE3"/>
    <w:rsid w:val="00565E1C"/>
    <w:rsid w:val="005663A6"/>
    <w:rsid w:val="005663C0"/>
    <w:rsid w:val="005664BB"/>
    <w:rsid w:val="0056659A"/>
    <w:rsid w:val="005665AC"/>
    <w:rsid w:val="00566616"/>
    <w:rsid w:val="00566617"/>
    <w:rsid w:val="00566727"/>
    <w:rsid w:val="0056692A"/>
    <w:rsid w:val="00566B97"/>
    <w:rsid w:val="00566D66"/>
    <w:rsid w:val="00566FC4"/>
    <w:rsid w:val="00567401"/>
    <w:rsid w:val="005676DD"/>
    <w:rsid w:val="00567A41"/>
    <w:rsid w:val="00567C21"/>
    <w:rsid w:val="00567E68"/>
    <w:rsid w:val="00567F4B"/>
    <w:rsid w:val="00570249"/>
    <w:rsid w:val="00570253"/>
    <w:rsid w:val="00570583"/>
    <w:rsid w:val="00570702"/>
    <w:rsid w:val="005707F3"/>
    <w:rsid w:val="0057086C"/>
    <w:rsid w:val="00570A1E"/>
    <w:rsid w:val="00570AA4"/>
    <w:rsid w:val="00570AC8"/>
    <w:rsid w:val="00570CE5"/>
    <w:rsid w:val="00570D58"/>
    <w:rsid w:val="00570DBB"/>
    <w:rsid w:val="00570E32"/>
    <w:rsid w:val="005712B2"/>
    <w:rsid w:val="00571392"/>
    <w:rsid w:val="00571523"/>
    <w:rsid w:val="0057167D"/>
    <w:rsid w:val="00571818"/>
    <w:rsid w:val="0057189E"/>
    <w:rsid w:val="00571A8D"/>
    <w:rsid w:val="00571ADF"/>
    <w:rsid w:val="00571DC1"/>
    <w:rsid w:val="00571DC2"/>
    <w:rsid w:val="00571F10"/>
    <w:rsid w:val="00571F5F"/>
    <w:rsid w:val="00571F7F"/>
    <w:rsid w:val="0057200E"/>
    <w:rsid w:val="005721E2"/>
    <w:rsid w:val="00572627"/>
    <w:rsid w:val="005726B6"/>
    <w:rsid w:val="00572828"/>
    <w:rsid w:val="005728CF"/>
    <w:rsid w:val="005730B9"/>
    <w:rsid w:val="0057336A"/>
    <w:rsid w:val="0057363D"/>
    <w:rsid w:val="0057370B"/>
    <w:rsid w:val="005737C0"/>
    <w:rsid w:val="00573931"/>
    <w:rsid w:val="005739BA"/>
    <w:rsid w:val="00573A98"/>
    <w:rsid w:val="00574015"/>
    <w:rsid w:val="0057403D"/>
    <w:rsid w:val="005740C7"/>
    <w:rsid w:val="00574100"/>
    <w:rsid w:val="00574262"/>
    <w:rsid w:val="00574362"/>
    <w:rsid w:val="005744CF"/>
    <w:rsid w:val="00574549"/>
    <w:rsid w:val="0057454E"/>
    <w:rsid w:val="005745D7"/>
    <w:rsid w:val="005745FA"/>
    <w:rsid w:val="00574A97"/>
    <w:rsid w:val="00574B46"/>
    <w:rsid w:val="00574BF2"/>
    <w:rsid w:val="00574E26"/>
    <w:rsid w:val="00574F44"/>
    <w:rsid w:val="005753FF"/>
    <w:rsid w:val="005754AC"/>
    <w:rsid w:val="005754B4"/>
    <w:rsid w:val="005756FE"/>
    <w:rsid w:val="00575BA0"/>
    <w:rsid w:val="00575CFB"/>
    <w:rsid w:val="00575D6C"/>
    <w:rsid w:val="005761B5"/>
    <w:rsid w:val="005762BA"/>
    <w:rsid w:val="0057634C"/>
    <w:rsid w:val="0057636B"/>
    <w:rsid w:val="005764A0"/>
    <w:rsid w:val="005765E4"/>
    <w:rsid w:val="00576BB5"/>
    <w:rsid w:val="00576FE2"/>
    <w:rsid w:val="00577785"/>
    <w:rsid w:val="00577830"/>
    <w:rsid w:val="00577E23"/>
    <w:rsid w:val="0058003D"/>
    <w:rsid w:val="0058008C"/>
    <w:rsid w:val="005800CD"/>
    <w:rsid w:val="00580146"/>
    <w:rsid w:val="00580292"/>
    <w:rsid w:val="005802C5"/>
    <w:rsid w:val="00580612"/>
    <w:rsid w:val="0058070E"/>
    <w:rsid w:val="00580930"/>
    <w:rsid w:val="00580C96"/>
    <w:rsid w:val="0058181C"/>
    <w:rsid w:val="00581831"/>
    <w:rsid w:val="0058193F"/>
    <w:rsid w:val="005819C9"/>
    <w:rsid w:val="00581D67"/>
    <w:rsid w:val="00581F68"/>
    <w:rsid w:val="005821BE"/>
    <w:rsid w:val="0058255E"/>
    <w:rsid w:val="00582C86"/>
    <w:rsid w:val="00582E9B"/>
    <w:rsid w:val="005830DF"/>
    <w:rsid w:val="00583155"/>
    <w:rsid w:val="005833F5"/>
    <w:rsid w:val="00583633"/>
    <w:rsid w:val="00583704"/>
    <w:rsid w:val="00583B9E"/>
    <w:rsid w:val="0058428E"/>
    <w:rsid w:val="0058441A"/>
    <w:rsid w:val="00584683"/>
    <w:rsid w:val="00584A2B"/>
    <w:rsid w:val="00584B99"/>
    <w:rsid w:val="00584C0B"/>
    <w:rsid w:val="00584F2B"/>
    <w:rsid w:val="00585184"/>
    <w:rsid w:val="005852F6"/>
    <w:rsid w:val="00585440"/>
    <w:rsid w:val="0058572D"/>
    <w:rsid w:val="005857F1"/>
    <w:rsid w:val="00585A34"/>
    <w:rsid w:val="005862E3"/>
    <w:rsid w:val="005864C0"/>
    <w:rsid w:val="00586596"/>
    <w:rsid w:val="00586673"/>
    <w:rsid w:val="0058689E"/>
    <w:rsid w:val="0058691C"/>
    <w:rsid w:val="00586960"/>
    <w:rsid w:val="00586B15"/>
    <w:rsid w:val="00586D72"/>
    <w:rsid w:val="00586F43"/>
    <w:rsid w:val="0058731C"/>
    <w:rsid w:val="005874A3"/>
    <w:rsid w:val="0058767E"/>
    <w:rsid w:val="00587889"/>
    <w:rsid w:val="00587ADA"/>
    <w:rsid w:val="00587BF0"/>
    <w:rsid w:val="00587DEF"/>
    <w:rsid w:val="005900FE"/>
    <w:rsid w:val="005902E4"/>
    <w:rsid w:val="005904FD"/>
    <w:rsid w:val="00590718"/>
    <w:rsid w:val="0059077B"/>
    <w:rsid w:val="0059086A"/>
    <w:rsid w:val="005908B7"/>
    <w:rsid w:val="0059098D"/>
    <w:rsid w:val="00590BD8"/>
    <w:rsid w:val="00590CC2"/>
    <w:rsid w:val="00590E20"/>
    <w:rsid w:val="0059147C"/>
    <w:rsid w:val="00591535"/>
    <w:rsid w:val="005915D2"/>
    <w:rsid w:val="005915DE"/>
    <w:rsid w:val="0059177D"/>
    <w:rsid w:val="00591A18"/>
    <w:rsid w:val="00591ED7"/>
    <w:rsid w:val="00592086"/>
    <w:rsid w:val="00592105"/>
    <w:rsid w:val="00592200"/>
    <w:rsid w:val="005922C7"/>
    <w:rsid w:val="00592367"/>
    <w:rsid w:val="0059241E"/>
    <w:rsid w:val="005925BE"/>
    <w:rsid w:val="0059266A"/>
    <w:rsid w:val="0059270B"/>
    <w:rsid w:val="00592824"/>
    <w:rsid w:val="0059289B"/>
    <w:rsid w:val="00592A7D"/>
    <w:rsid w:val="00592B3F"/>
    <w:rsid w:val="00592BFD"/>
    <w:rsid w:val="00592CAF"/>
    <w:rsid w:val="00592D69"/>
    <w:rsid w:val="00592E41"/>
    <w:rsid w:val="00593451"/>
    <w:rsid w:val="005934F7"/>
    <w:rsid w:val="0059367C"/>
    <w:rsid w:val="005936A7"/>
    <w:rsid w:val="005936F8"/>
    <w:rsid w:val="005938B4"/>
    <w:rsid w:val="00593C33"/>
    <w:rsid w:val="00593C59"/>
    <w:rsid w:val="00593D41"/>
    <w:rsid w:val="00593DDD"/>
    <w:rsid w:val="00593E85"/>
    <w:rsid w:val="00593F78"/>
    <w:rsid w:val="0059420B"/>
    <w:rsid w:val="00594555"/>
    <w:rsid w:val="0059488A"/>
    <w:rsid w:val="00594B32"/>
    <w:rsid w:val="0059501F"/>
    <w:rsid w:val="005950C3"/>
    <w:rsid w:val="0059552D"/>
    <w:rsid w:val="0059556E"/>
    <w:rsid w:val="005955A9"/>
    <w:rsid w:val="00595670"/>
    <w:rsid w:val="005957E1"/>
    <w:rsid w:val="00595872"/>
    <w:rsid w:val="00595C6E"/>
    <w:rsid w:val="00595E49"/>
    <w:rsid w:val="00595FBE"/>
    <w:rsid w:val="005963DF"/>
    <w:rsid w:val="005968CF"/>
    <w:rsid w:val="0059721B"/>
    <w:rsid w:val="00597579"/>
    <w:rsid w:val="00597681"/>
    <w:rsid w:val="0059776E"/>
    <w:rsid w:val="0059788A"/>
    <w:rsid w:val="00597C90"/>
    <w:rsid w:val="00597DB7"/>
    <w:rsid w:val="00597DEE"/>
    <w:rsid w:val="00597E5C"/>
    <w:rsid w:val="005A0164"/>
    <w:rsid w:val="005A0351"/>
    <w:rsid w:val="005A03F1"/>
    <w:rsid w:val="005A0727"/>
    <w:rsid w:val="005A0B7C"/>
    <w:rsid w:val="005A0BC2"/>
    <w:rsid w:val="005A0C2D"/>
    <w:rsid w:val="005A0C6D"/>
    <w:rsid w:val="005A0DA7"/>
    <w:rsid w:val="005A1246"/>
    <w:rsid w:val="005A12D0"/>
    <w:rsid w:val="005A136F"/>
    <w:rsid w:val="005A1588"/>
    <w:rsid w:val="005A1884"/>
    <w:rsid w:val="005A1C9E"/>
    <w:rsid w:val="005A1D51"/>
    <w:rsid w:val="005A1D7D"/>
    <w:rsid w:val="005A1DDE"/>
    <w:rsid w:val="005A1E4F"/>
    <w:rsid w:val="005A1E54"/>
    <w:rsid w:val="005A1F86"/>
    <w:rsid w:val="005A2033"/>
    <w:rsid w:val="005A2270"/>
    <w:rsid w:val="005A25B1"/>
    <w:rsid w:val="005A25BC"/>
    <w:rsid w:val="005A26A5"/>
    <w:rsid w:val="005A2751"/>
    <w:rsid w:val="005A2866"/>
    <w:rsid w:val="005A2935"/>
    <w:rsid w:val="005A297E"/>
    <w:rsid w:val="005A2D7B"/>
    <w:rsid w:val="005A2F30"/>
    <w:rsid w:val="005A30F2"/>
    <w:rsid w:val="005A31F6"/>
    <w:rsid w:val="005A373B"/>
    <w:rsid w:val="005A378F"/>
    <w:rsid w:val="005A386C"/>
    <w:rsid w:val="005A397B"/>
    <w:rsid w:val="005A39C0"/>
    <w:rsid w:val="005A40B9"/>
    <w:rsid w:val="005A411C"/>
    <w:rsid w:val="005A44DD"/>
    <w:rsid w:val="005A45D3"/>
    <w:rsid w:val="005A4616"/>
    <w:rsid w:val="005A489A"/>
    <w:rsid w:val="005A4986"/>
    <w:rsid w:val="005A4A80"/>
    <w:rsid w:val="005A4B22"/>
    <w:rsid w:val="005A4BB1"/>
    <w:rsid w:val="005A4E56"/>
    <w:rsid w:val="005A50E3"/>
    <w:rsid w:val="005A5695"/>
    <w:rsid w:val="005A588F"/>
    <w:rsid w:val="005A5B09"/>
    <w:rsid w:val="005A5BAD"/>
    <w:rsid w:val="005A5D3D"/>
    <w:rsid w:val="005A5F0F"/>
    <w:rsid w:val="005A5F50"/>
    <w:rsid w:val="005A615C"/>
    <w:rsid w:val="005A61D9"/>
    <w:rsid w:val="005A64B4"/>
    <w:rsid w:val="005A67B4"/>
    <w:rsid w:val="005A6A55"/>
    <w:rsid w:val="005A6A6F"/>
    <w:rsid w:val="005A6EF6"/>
    <w:rsid w:val="005A6FF9"/>
    <w:rsid w:val="005A725F"/>
    <w:rsid w:val="005A7265"/>
    <w:rsid w:val="005A7343"/>
    <w:rsid w:val="005A75A5"/>
    <w:rsid w:val="005A766B"/>
    <w:rsid w:val="005A78AD"/>
    <w:rsid w:val="005A7A3D"/>
    <w:rsid w:val="005A7B76"/>
    <w:rsid w:val="005A7B9D"/>
    <w:rsid w:val="005A7BFB"/>
    <w:rsid w:val="005A7D29"/>
    <w:rsid w:val="005A7E72"/>
    <w:rsid w:val="005B0098"/>
    <w:rsid w:val="005B02C0"/>
    <w:rsid w:val="005B0665"/>
    <w:rsid w:val="005B089B"/>
    <w:rsid w:val="005B092E"/>
    <w:rsid w:val="005B0EC9"/>
    <w:rsid w:val="005B11A4"/>
    <w:rsid w:val="005B1237"/>
    <w:rsid w:val="005B1244"/>
    <w:rsid w:val="005B1443"/>
    <w:rsid w:val="005B1457"/>
    <w:rsid w:val="005B15B6"/>
    <w:rsid w:val="005B1729"/>
    <w:rsid w:val="005B188F"/>
    <w:rsid w:val="005B1916"/>
    <w:rsid w:val="005B1A0E"/>
    <w:rsid w:val="005B1A6F"/>
    <w:rsid w:val="005B1BE0"/>
    <w:rsid w:val="005B1D6C"/>
    <w:rsid w:val="005B1EE5"/>
    <w:rsid w:val="005B1F3B"/>
    <w:rsid w:val="005B1F50"/>
    <w:rsid w:val="005B1FD4"/>
    <w:rsid w:val="005B1FED"/>
    <w:rsid w:val="005B205D"/>
    <w:rsid w:val="005B2591"/>
    <w:rsid w:val="005B265F"/>
    <w:rsid w:val="005B2786"/>
    <w:rsid w:val="005B27F9"/>
    <w:rsid w:val="005B2A64"/>
    <w:rsid w:val="005B2CB5"/>
    <w:rsid w:val="005B2DA9"/>
    <w:rsid w:val="005B2EA1"/>
    <w:rsid w:val="005B2EEA"/>
    <w:rsid w:val="005B31BC"/>
    <w:rsid w:val="005B3245"/>
    <w:rsid w:val="005B38B5"/>
    <w:rsid w:val="005B39C0"/>
    <w:rsid w:val="005B39D6"/>
    <w:rsid w:val="005B3B83"/>
    <w:rsid w:val="005B40AC"/>
    <w:rsid w:val="005B4194"/>
    <w:rsid w:val="005B4645"/>
    <w:rsid w:val="005B47F3"/>
    <w:rsid w:val="005B485C"/>
    <w:rsid w:val="005B4934"/>
    <w:rsid w:val="005B4E26"/>
    <w:rsid w:val="005B5320"/>
    <w:rsid w:val="005B5454"/>
    <w:rsid w:val="005B56F1"/>
    <w:rsid w:val="005B57BD"/>
    <w:rsid w:val="005B5D07"/>
    <w:rsid w:val="005B5D25"/>
    <w:rsid w:val="005B5E6F"/>
    <w:rsid w:val="005B5F66"/>
    <w:rsid w:val="005B61C3"/>
    <w:rsid w:val="005B6206"/>
    <w:rsid w:val="005B620B"/>
    <w:rsid w:val="005B668D"/>
    <w:rsid w:val="005B670F"/>
    <w:rsid w:val="005B6829"/>
    <w:rsid w:val="005B6868"/>
    <w:rsid w:val="005B68DC"/>
    <w:rsid w:val="005B69A7"/>
    <w:rsid w:val="005B6C64"/>
    <w:rsid w:val="005B6D0D"/>
    <w:rsid w:val="005B6D9B"/>
    <w:rsid w:val="005B711C"/>
    <w:rsid w:val="005B748C"/>
    <w:rsid w:val="005B77FC"/>
    <w:rsid w:val="005B792F"/>
    <w:rsid w:val="005B79DD"/>
    <w:rsid w:val="005B7C89"/>
    <w:rsid w:val="005B7D7B"/>
    <w:rsid w:val="005C057B"/>
    <w:rsid w:val="005C06B0"/>
    <w:rsid w:val="005C099A"/>
    <w:rsid w:val="005C0B28"/>
    <w:rsid w:val="005C0F68"/>
    <w:rsid w:val="005C108F"/>
    <w:rsid w:val="005C1415"/>
    <w:rsid w:val="005C16E1"/>
    <w:rsid w:val="005C1903"/>
    <w:rsid w:val="005C1A43"/>
    <w:rsid w:val="005C1B4A"/>
    <w:rsid w:val="005C1F1B"/>
    <w:rsid w:val="005C21AC"/>
    <w:rsid w:val="005C2216"/>
    <w:rsid w:val="005C240F"/>
    <w:rsid w:val="005C2436"/>
    <w:rsid w:val="005C2709"/>
    <w:rsid w:val="005C2796"/>
    <w:rsid w:val="005C2947"/>
    <w:rsid w:val="005C296C"/>
    <w:rsid w:val="005C2994"/>
    <w:rsid w:val="005C2C6B"/>
    <w:rsid w:val="005C3533"/>
    <w:rsid w:val="005C3544"/>
    <w:rsid w:val="005C3907"/>
    <w:rsid w:val="005C3F5F"/>
    <w:rsid w:val="005C4276"/>
    <w:rsid w:val="005C42A3"/>
    <w:rsid w:val="005C4DBB"/>
    <w:rsid w:val="005C5164"/>
    <w:rsid w:val="005C5737"/>
    <w:rsid w:val="005C5B20"/>
    <w:rsid w:val="005C5CEE"/>
    <w:rsid w:val="005C5E65"/>
    <w:rsid w:val="005C6348"/>
    <w:rsid w:val="005C643D"/>
    <w:rsid w:val="005C649B"/>
    <w:rsid w:val="005C6852"/>
    <w:rsid w:val="005C6861"/>
    <w:rsid w:val="005C6A1E"/>
    <w:rsid w:val="005C6B80"/>
    <w:rsid w:val="005C6C98"/>
    <w:rsid w:val="005C6CC0"/>
    <w:rsid w:val="005C6D01"/>
    <w:rsid w:val="005C6E78"/>
    <w:rsid w:val="005C6F97"/>
    <w:rsid w:val="005C6FC6"/>
    <w:rsid w:val="005C7045"/>
    <w:rsid w:val="005C71F1"/>
    <w:rsid w:val="005C7223"/>
    <w:rsid w:val="005C72E6"/>
    <w:rsid w:val="005C751C"/>
    <w:rsid w:val="005C77F4"/>
    <w:rsid w:val="005C7DE7"/>
    <w:rsid w:val="005C7E86"/>
    <w:rsid w:val="005C7F6B"/>
    <w:rsid w:val="005C7F6F"/>
    <w:rsid w:val="005D05F7"/>
    <w:rsid w:val="005D07EC"/>
    <w:rsid w:val="005D0834"/>
    <w:rsid w:val="005D0963"/>
    <w:rsid w:val="005D096A"/>
    <w:rsid w:val="005D0BE8"/>
    <w:rsid w:val="005D0C38"/>
    <w:rsid w:val="005D0C4C"/>
    <w:rsid w:val="005D0FAC"/>
    <w:rsid w:val="005D1069"/>
    <w:rsid w:val="005D10AE"/>
    <w:rsid w:val="005D1660"/>
    <w:rsid w:val="005D1E4F"/>
    <w:rsid w:val="005D28A6"/>
    <w:rsid w:val="005D2906"/>
    <w:rsid w:val="005D29DF"/>
    <w:rsid w:val="005D2CD7"/>
    <w:rsid w:val="005D2D18"/>
    <w:rsid w:val="005D2F0B"/>
    <w:rsid w:val="005D3098"/>
    <w:rsid w:val="005D3103"/>
    <w:rsid w:val="005D320C"/>
    <w:rsid w:val="005D3680"/>
    <w:rsid w:val="005D3795"/>
    <w:rsid w:val="005D3832"/>
    <w:rsid w:val="005D3939"/>
    <w:rsid w:val="005D3A30"/>
    <w:rsid w:val="005D3A36"/>
    <w:rsid w:val="005D3C04"/>
    <w:rsid w:val="005D3C7F"/>
    <w:rsid w:val="005D3CF1"/>
    <w:rsid w:val="005D3D53"/>
    <w:rsid w:val="005D3D7E"/>
    <w:rsid w:val="005D3DB6"/>
    <w:rsid w:val="005D3F79"/>
    <w:rsid w:val="005D40CD"/>
    <w:rsid w:val="005D42C0"/>
    <w:rsid w:val="005D43DE"/>
    <w:rsid w:val="005D4430"/>
    <w:rsid w:val="005D44FF"/>
    <w:rsid w:val="005D4506"/>
    <w:rsid w:val="005D4BC0"/>
    <w:rsid w:val="005D4BF3"/>
    <w:rsid w:val="005D4C21"/>
    <w:rsid w:val="005D4CD1"/>
    <w:rsid w:val="005D5154"/>
    <w:rsid w:val="005D57DF"/>
    <w:rsid w:val="005D5868"/>
    <w:rsid w:val="005D5CB0"/>
    <w:rsid w:val="005D5E06"/>
    <w:rsid w:val="005D5E18"/>
    <w:rsid w:val="005D5FB8"/>
    <w:rsid w:val="005D603F"/>
    <w:rsid w:val="005D61DA"/>
    <w:rsid w:val="005D62E3"/>
    <w:rsid w:val="005D63EE"/>
    <w:rsid w:val="005D660B"/>
    <w:rsid w:val="005D6C36"/>
    <w:rsid w:val="005D6D98"/>
    <w:rsid w:val="005D6EFF"/>
    <w:rsid w:val="005D7136"/>
    <w:rsid w:val="005D72D1"/>
    <w:rsid w:val="005D75ED"/>
    <w:rsid w:val="005D771E"/>
    <w:rsid w:val="005D7B0D"/>
    <w:rsid w:val="005D7B5F"/>
    <w:rsid w:val="005D7BF7"/>
    <w:rsid w:val="005D7C13"/>
    <w:rsid w:val="005D7EE2"/>
    <w:rsid w:val="005E019F"/>
    <w:rsid w:val="005E0228"/>
    <w:rsid w:val="005E0979"/>
    <w:rsid w:val="005E0F27"/>
    <w:rsid w:val="005E0F48"/>
    <w:rsid w:val="005E1016"/>
    <w:rsid w:val="005E1583"/>
    <w:rsid w:val="005E186B"/>
    <w:rsid w:val="005E19E6"/>
    <w:rsid w:val="005E1EAC"/>
    <w:rsid w:val="005E27A0"/>
    <w:rsid w:val="005E27C2"/>
    <w:rsid w:val="005E2D67"/>
    <w:rsid w:val="005E2D8D"/>
    <w:rsid w:val="005E2DDD"/>
    <w:rsid w:val="005E2F70"/>
    <w:rsid w:val="005E3525"/>
    <w:rsid w:val="005E3572"/>
    <w:rsid w:val="005E35BE"/>
    <w:rsid w:val="005E3CA2"/>
    <w:rsid w:val="005E3F0A"/>
    <w:rsid w:val="005E3F6A"/>
    <w:rsid w:val="005E3F8F"/>
    <w:rsid w:val="005E41A3"/>
    <w:rsid w:val="005E42CE"/>
    <w:rsid w:val="005E49BC"/>
    <w:rsid w:val="005E4A11"/>
    <w:rsid w:val="005E4CDB"/>
    <w:rsid w:val="005E4D2C"/>
    <w:rsid w:val="005E4E74"/>
    <w:rsid w:val="005E4ED9"/>
    <w:rsid w:val="005E524C"/>
    <w:rsid w:val="005E53BC"/>
    <w:rsid w:val="005E5692"/>
    <w:rsid w:val="005E5814"/>
    <w:rsid w:val="005E586A"/>
    <w:rsid w:val="005E58B6"/>
    <w:rsid w:val="005E58F6"/>
    <w:rsid w:val="005E5AF2"/>
    <w:rsid w:val="005E5CDA"/>
    <w:rsid w:val="005E5ECF"/>
    <w:rsid w:val="005E5F02"/>
    <w:rsid w:val="005E6978"/>
    <w:rsid w:val="005E72CC"/>
    <w:rsid w:val="005E77F6"/>
    <w:rsid w:val="005E7824"/>
    <w:rsid w:val="005E7D70"/>
    <w:rsid w:val="005E7D77"/>
    <w:rsid w:val="005F0329"/>
    <w:rsid w:val="005F038C"/>
    <w:rsid w:val="005F03CE"/>
    <w:rsid w:val="005F0475"/>
    <w:rsid w:val="005F0817"/>
    <w:rsid w:val="005F0DDA"/>
    <w:rsid w:val="005F0E56"/>
    <w:rsid w:val="005F0FFA"/>
    <w:rsid w:val="005F1044"/>
    <w:rsid w:val="005F1147"/>
    <w:rsid w:val="005F12DE"/>
    <w:rsid w:val="005F136B"/>
    <w:rsid w:val="005F13B3"/>
    <w:rsid w:val="005F183D"/>
    <w:rsid w:val="005F1983"/>
    <w:rsid w:val="005F1CFA"/>
    <w:rsid w:val="005F1D7C"/>
    <w:rsid w:val="005F222B"/>
    <w:rsid w:val="005F24FF"/>
    <w:rsid w:val="005F2582"/>
    <w:rsid w:val="005F2687"/>
    <w:rsid w:val="005F2734"/>
    <w:rsid w:val="005F2748"/>
    <w:rsid w:val="005F2872"/>
    <w:rsid w:val="005F28F2"/>
    <w:rsid w:val="005F2E1C"/>
    <w:rsid w:val="005F2F02"/>
    <w:rsid w:val="005F32E7"/>
    <w:rsid w:val="005F378D"/>
    <w:rsid w:val="005F37CB"/>
    <w:rsid w:val="005F3A46"/>
    <w:rsid w:val="005F3BAD"/>
    <w:rsid w:val="005F3D17"/>
    <w:rsid w:val="005F41F7"/>
    <w:rsid w:val="005F432F"/>
    <w:rsid w:val="005F4995"/>
    <w:rsid w:val="005F4B24"/>
    <w:rsid w:val="005F4CC7"/>
    <w:rsid w:val="005F4E67"/>
    <w:rsid w:val="005F4F90"/>
    <w:rsid w:val="005F500F"/>
    <w:rsid w:val="005F5059"/>
    <w:rsid w:val="005F50F8"/>
    <w:rsid w:val="005F529B"/>
    <w:rsid w:val="005F5461"/>
    <w:rsid w:val="005F548D"/>
    <w:rsid w:val="005F5536"/>
    <w:rsid w:val="005F5541"/>
    <w:rsid w:val="005F59B4"/>
    <w:rsid w:val="005F5B49"/>
    <w:rsid w:val="005F5D3D"/>
    <w:rsid w:val="005F5E7F"/>
    <w:rsid w:val="005F5ED6"/>
    <w:rsid w:val="005F5F8C"/>
    <w:rsid w:val="005F616B"/>
    <w:rsid w:val="005F6301"/>
    <w:rsid w:val="005F6494"/>
    <w:rsid w:val="005F6757"/>
    <w:rsid w:val="005F67C3"/>
    <w:rsid w:val="005F6827"/>
    <w:rsid w:val="005F68B0"/>
    <w:rsid w:val="005F68D1"/>
    <w:rsid w:val="005F6B0D"/>
    <w:rsid w:val="005F728E"/>
    <w:rsid w:val="005F7439"/>
    <w:rsid w:val="005F7664"/>
    <w:rsid w:val="005F7759"/>
    <w:rsid w:val="005F775E"/>
    <w:rsid w:val="005F7F6E"/>
    <w:rsid w:val="006001DD"/>
    <w:rsid w:val="006004AD"/>
    <w:rsid w:val="006007D4"/>
    <w:rsid w:val="006008C7"/>
    <w:rsid w:val="00600B10"/>
    <w:rsid w:val="00600C75"/>
    <w:rsid w:val="00600D98"/>
    <w:rsid w:val="00600EB0"/>
    <w:rsid w:val="00600F01"/>
    <w:rsid w:val="00601044"/>
    <w:rsid w:val="0060107D"/>
    <w:rsid w:val="00601259"/>
    <w:rsid w:val="0060140F"/>
    <w:rsid w:val="0060169E"/>
    <w:rsid w:val="006019AC"/>
    <w:rsid w:val="00601BFE"/>
    <w:rsid w:val="00601CF7"/>
    <w:rsid w:val="00601D6A"/>
    <w:rsid w:val="0060200A"/>
    <w:rsid w:val="00602178"/>
    <w:rsid w:val="0060227D"/>
    <w:rsid w:val="006022AC"/>
    <w:rsid w:val="006023A0"/>
    <w:rsid w:val="006023B7"/>
    <w:rsid w:val="006024B0"/>
    <w:rsid w:val="00602ACA"/>
    <w:rsid w:val="00602F07"/>
    <w:rsid w:val="006030B6"/>
    <w:rsid w:val="0060321B"/>
    <w:rsid w:val="006032E8"/>
    <w:rsid w:val="00603812"/>
    <w:rsid w:val="006039E1"/>
    <w:rsid w:val="006039F0"/>
    <w:rsid w:val="00603C91"/>
    <w:rsid w:val="00603C9B"/>
    <w:rsid w:val="0060408C"/>
    <w:rsid w:val="006043F9"/>
    <w:rsid w:val="00604770"/>
    <w:rsid w:val="00604859"/>
    <w:rsid w:val="00604938"/>
    <w:rsid w:val="0060494E"/>
    <w:rsid w:val="00604979"/>
    <w:rsid w:val="00604B16"/>
    <w:rsid w:val="00604C45"/>
    <w:rsid w:val="00604FAB"/>
    <w:rsid w:val="00605107"/>
    <w:rsid w:val="00605926"/>
    <w:rsid w:val="0060596E"/>
    <w:rsid w:val="00605E03"/>
    <w:rsid w:val="00605EDE"/>
    <w:rsid w:val="00605FF4"/>
    <w:rsid w:val="00606212"/>
    <w:rsid w:val="00606442"/>
    <w:rsid w:val="0060684D"/>
    <w:rsid w:val="00606952"/>
    <w:rsid w:val="006069D6"/>
    <w:rsid w:val="00606A8A"/>
    <w:rsid w:val="00606DA5"/>
    <w:rsid w:val="006070A9"/>
    <w:rsid w:val="00607152"/>
    <w:rsid w:val="00607350"/>
    <w:rsid w:val="00607596"/>
    <w:rsid w:val="006075BA"/>
    <w:rsid w:val="0060781A"/>
    <w:rsid w:val="006079AB"/>
    <w:rsid w:val="00607AF0"/>
    <w:rsid w:val="00607BA4"/>
    <w:rsid w:val="00607D1C"/>
    <w:rsid w:val="00607E09"/>
    <w:rsid w:val="00610106"/>
    <w:rsid w:val="0061013D"/>
    <w:rsid w:val="006101F5"/>
    <w:rsid w:val="00610289"/>
    <w:rsid w:val="006105A1"/>
    <w:rsid w:val="00610762"/>
    <w:rsid w:val="00610AD0"/>
    <w:rsid w:val="00610F9C"/>
    <w:rsid w:val="00611226"/>
    <w:rsid w:val="00611517"/>
    <w:rsid w:val="006115BC"/>
    <w:rsid w:val="0061165B"/>
    <w:rsid w:val="006119B9"/>
    <w:rsid w:val="00611A20"/>
    <w:rsid w:val="00611D58"/>
    <w:rsid w:val="00611DB1"/>
    <w:rsid w:val="00611F58"/>
    <w:rsid w:val="006120BF"/>
    <w:rsid w:val="006126D3"/>
    <w:rsid w:val="00612879"/>
    <w:rsid w:val="00612B0F"/>
    <w:rsid w:val="00612BEF"/>
    <w:rsid w:val="00612F78"/>
    <w:rsid w:val="00613A57"/>
    <w:rsid w:val="00613AA8"/>
    <w:rsid w:val="00613B49"/>
    <w:rsid w:val="00613E1F"/>
    <w:rsid w:val="00613F27"/>
    <w:rsid w:val="0061469F"/>
    <w:rsid w:val="006147A2"/>
    <w:rsid w:val="00614881"/>
    <w:rsid w:val="00614959"/>
    <w:rsid w:val="00614991"/>
    <w:rsid w:val="006149DD"/>
    <w:rsid w:val="00614A66"/>
    <w:rsid w:val="00614E37"/>
    <w:rsid w:val="006150B2"/>
    <w:rsid w:val="00615184"/>
    <w:rsid w:val="00615299"/>
    <w:rsid w:val="00615443"/>
    <w:rsid w:val="0061546B"/>
    <w:rsid w:val="00615496"/>
    <w:rsid w:val="006157B4"/>
    <w:rsid w:val="00615BAE"/>
    <w:rsid w:val="00615BC5"/>
    <w:rsid w:val="00615ECF"/>
    <w:rsid w:val="006161BD"/>
    <w:rsid w:val="00616321"/>
    <w:rsid w:val="006164FC"/>
    <w:rsid w:val="006166B6"/>
    <w:rsid w:val="00616A2D"/>
    <w:rsid w:val="0061756A"/>
    <w:rsid w:val="006175F6"/>
    <w:rsid w:val="00617687"/>
    <w:rsid w:val="006176C9"/>
    <w:rsid w:val="0061785C"/>
    <w:rsid w:val="00617862"/>
    <w:rsid w:val="00617971"/>
    <w:rsid w:val="00617B34"/>
    <w:rsid w:val="00617CBD"/>
    <w:rsid w:val="00617E67"/>
    <w:rsid w:val="0062011B"/>
    <w:rsid w:val="0062015B"/>
    <w:rsid w:val="0062026A"/>
    <w:rsid w:val="00620310"/>
    <w:rsid w:val="00620498"/>
    <w:rsid w:val="006204E0"/>
    <w:rsid w:val="00620535"/>
    <w:rsid w:val="006207D5"/>
    <w:rsid w:val="006207ED"/>
    <w:rsid w:val="00620A3D"/>
    <w:rsid w:val="00620A9A"/>
    <w:rsid w:val="00620BA9"/>
    <w:rsid w:val="00620BB8"/>
    <w:rsid w:val="00620C1B"/>
    <w:rsid w:val="006213B4"/>
    <w:rsid w:val="006216FA"/>
    <w:rsid w:val="00621865"/>
    <w:rsid w:val="00621BF6"/>
    <w:rsid w:val="00621D0E"/>
    <w:rsid w:val="00621D87"/>
    <w:rsid w:val="00621E3F"/>
    <w:rsid w:val="00621F47"/>
    <w:rsid w:val="006222A1"/>
    <w:rsid w:val="006222A9"/>
    <w:rsid w:val="0062240F"/>
    <w:rsid w:val="00622722"/>
    <w:rsid w:val="006228B5"/>
    <w:rsid w:val="00622981"/>
    <w:rsid w:val="00622B20"/>
    <w:rsid w:val="00622D96"/>
    <w:rsid w:val="00623078"/>
    <w:rsid w:val="006235FB"/>
    <w:rsid w:val="00623C51"/>
    <w:rsid w:val="00623DA6"/>
    <w:rsid w:val="00623DB3"/>
    <w:rsid w:val="00623DB9"/>
    <w:rsid w:val="00623EF2"/>
    <w:rsid w:val="00624279"/>
    <w:rsid w:val="0062449B"/>
    <w:rsid w:val="00624519"/>
    <w:rsid w:val="006245E8"/>
    <w:rsid w:val="006247A5"/>
    <w:rsid w:val="006248EB"/>
    <w:rsid w:val="006249DE"/>
    <w:rsid w:val="00624B79"/>
    <w:rsid w:val="00624C13"/>
    <w:rsid w:val="00624D81"/>
    <w:rsid w:val="00625139"/>
    <w:rsid w:val="006252A8"/>
    <w:rsid w:val="00625448"/>
    <w:rsid w:val="006254BA"/>
    <w:rsid w:val="0062557C"/>
    <w:rsid w:val="006255F7"/>
    <w:rsid w:val="0062576D"/>
    <w:rsid w:val="006257FB"/>
    <w:rsid w:val="00625A3A"/>
    <w:rsid w:val="00626239"/>
    <w:rsid w:val="0062635E"/>
    <w:rsid w:val="0062654A"/>
    <w:rsid w:val="006269B4"/>
    <w:rsid w:val="00626A6A"/>
    <w:rsid w:val="006271C4"/>
    <w:rsid w:val="006271CA"/>
    <w:rsid w:val="00627282"/>
    <w:rsid w:val="00627286"/>
    <w:rsid w:val="006273A4"/>
    <w:rsid w:val="0062781C"/>
    <w:rsid w:val="00627AAD"/>
    <w:rsid w:val="00627BB6"/>
    <w:rsid w:val="00627BD9"/>
    <w:rsid w:val="00627CCF"/>
    <w:rsid w:val="00627FC7"/>
    <w:rsid w:val="00627FCC"/>
    <w:rsid w:val="0062F4A8"/>
    <w:rsid w:val="00630114"/>
    <w:rsid w:val="00630179"/>
    <w:rsid w:val="006301E4"/>
    <w:rsid w:val="00630299"/>
    <w:rsid w:val="006305A0"/>
    <w:rsid w:val="006305D1"/>
    <w:rsid w:val="006308D3"/>
    <w:rsid w:val="00630B3E"/>
    <w:rsid w:val="00630D05"/>
    <w:rsid w:val="00630D58"/>
    <w:rsid w:val="00630D9C"/>
    <w:rsid w:val="00630DFB"/>
    <w:rsid w:val="00631271"/>
    <w:rsid w:val="00631576"/>
    <w:rsid w:val="00631583"/>
    <w:rsid w:val="00631636"/>
    <w:rsid w:val="006317AD"/>
    <w:rsid w:val="006317EE"/>
    <w:rsid w:val="00631D77"/>
    <w:rsid w:val="00631E47"/>
    <w:rsid w:val="006322B0"/>
    <w:rsid w:val="00632370"/>
    <w:rsid w:val="00632544"/>
    <w:rsid w:val="0063267E"/>
    <w:rsid w:val="00632F0F"/>
    <w:rsid w:val="006330D3"/>
    <w:rsid w:val="006330E5"/>
    <w:rsid w:val="00633194"/>
    <w:rsid w:val="006331F9"/>
    <w:rsid w:val="0063336A"/>
    <w:rsid w:val="006333C7"/>
    <w:rsid w:val="006334DF"/>
    <w:rsid w:val="00633707"/>
    <w:rsid w:val="00633801"/>
    <w:rsid w:val="006339EB"/>
    <w:rsid w:val="00633A85"/>
    <w:rsid w:val="00633A9D"/>
    <w:rsid w:val="00633B57"/>
    <w:rsid w:val="00633BA8"/>
    <w:rsid w:val="00633E49"/>
    <w:rsid w:val="00633EA4"/>
    <w:rsid w:val="00633EFB"/>
    <w:rsid w:val="00634025"/>
    <w:rsid w:val="00634049"/>
    <w:rsid w:val="00634085"/>
    <w:rsid w:val="006340AC"/>
    <w:rsid w:val="0063451F"/>
    <w:rsid w:val="00634542"/>
    <w:rsid w:val="0063458F"/>
    <w:rsid w:val="006345C8"/>
    <w:rsid w:val="006347A0"/>
    <w:rsid w:val="00634903"/>
    <w:rsid w:val="00634D68"/>
    <w:rsid w:val="00634D80"/>
    <w:rsid w:val="00634DDE"/>
    <w:rsid w:val="00635023"/>
    <w:rsid w:val="00635083"/>
    <w:rsid w:val="006351AF"/>
    <w:rsid w:val="006351EF"/>
    <w:rsid w:val="0063521C"/>
    <w:rsid w:val="006353CA"/>
    <w:rsid w:val="0063558F"/>
    <w:rsid w:val="006356F1"/>
    <w:rsid w:val="00635757"/>
    <w:rsid w:val="006357C3"/>
    <w:rsid w:val="00635870"/>
    <w:rsid w:val="00635F47"/>
    <w:rsid w:val="006362BA"/>
    <w:rsid w:val="00636316"/>
    <w:rsid w:val="00636373"/>
    <w:rsid w:val="00636694"/>
    <w:rsid w:val="00636AED"/>
    <w:rsid w:val="00636BC6"/>
    <w:rsid w:val="00636DC1"/>
    <w:rsid w:val="00636FEA"/>
    <w:rsid w:val="0063706E"/>
    <w:rsid w:val="0063749D"/>
    <w:rsid w:val="00637620"/>
    <w:rsid w:val="00637810"/>
    <w:rsid w:val="00637A20"/>
    <w:rsid w:val="00637BB1"/>
    <w:rsid w:val="00637CA4"/>
    <w:rsid w:val="00637CC5"/>
    <w:rsid w:val="00637E48"/>
    <w:rsid w:val="00637EE9"/>
    <w:rsid w:val="00637F7D"/>
    <w:rsid w:val="0064047D"/>
    <w:rsid w:val="0064063B"/>
    <w:rsid w:val="00640697"/>
    <w:rsid w:val="00640789"/>
    <w:rsid w:val="0064087D"/>
    <w:rsid w:val="00640B3A"/>
    <w:rsid w:val="00640CB0"/>
    <w:rsid w:val="00640F5F"/>
    <w:rsid w:val="00640FB9"/>
    <w:rsid w:val="0064101E"/>
    <w:rsid w:val="006413BC"/>
    <w:rsid w:val="00641409"/>
    <w:rsid w:val="0064154D"/>
    <w:rsid w:val="00641637"/>
    <w:rsid w:val="0064171E"/>
    <w:rsid w:val="00641B51"/>
    <w:rsid w:val="00641B53"/>
    <w:rsid w:val="00641DC3"/>
    <w:rsid w:val="00641EE0"/>
    <w:rsid w:val="00642736"/>
    <w:rsid w:val="00642C2E"/>
    <w:rsid w:val="00642D29"/>
    <w:rsid w:val="00642E40"/>
    <w:rsid w:val="00642FD3"/>
    <w:rsid w:val="0064300F"/>
    <w:rsid w:val="0064309B"/>
    <w:rsid w:val="006435DD"/>
    <w:rsid w:val="00643AF7"/>
    <w:rsid w:val="00643B27"/>
    <w:rsid w:val="00643D4B"/>
    <w:rsid w:val="00644283"/>
    <w:rsid w:val="00644354"/>
    <w:rsid w:val="006445F9"/>
    <w:rsid w:val="00644869"/>
    <w:rsid w:val="006449C6"/>
    <w:rsid w:val="006449D9"/>
    <w:rsid w:val="00644B37"/>
    <w:rsid w:val="00644C27"/>
    <w:rsid w:val="00644D0E"/>
    <w:rsid w:val="00644E1B"/>
    <w:rsid w:val="00644FEA"/>
    <w:rsid w:val="006452FB"/>
    <w:rsid w:val="00645D89"/>
    <w:rsid w:val="00645DD1"/>
    <w:rsid w:val="00645F5C"/>
    <w:rsid w:val="006461DA"/>
    <w:rsid w:val="0064628E"/>
    <w:rsid w:val="006462A4"/>
    <w:rsid w:val="0064636F"/>
    <w:rsid w:val="0064646C"/>
    <w:rsid w:val="00646505"/>
    <w:rsid w:val="00646879"/>
    <w:rsid w:val="00646A56"/>
    <w:rsid w:val="00646AF1"/>
    <w:rsid w:val="00646B26"/>
    <w:rsid w:val="00646C1C"/>
    <w:rsid w:val="00646D3C"/>
    <w:rsid w:val="00646D62"/>
    <w:rsid w:val="00646DA0"/>
    <w:rsid w:val="00647444"/>
    <w:rsid w:val="00647673"/>
    <w:rsid w:val="006477DB"/>
    <w:rsid w:val="006477E3"/>
    <w:rsid w:val="00647857"/>
    <w:rsid w:val="00647A4E"/>
    <w:rsid w:val="00647BB5"/>
    <w:rsid w:val="00647BBA"/>
    <w:rsid w:val="00647DDB"/>
    <w:rsid w:val="00647DE0"/>
    <w:rsid w:val="00647F19"/>
    <w:rsid w:val="00650790"/>
    <w:rsid w:val="0065092E"/>
    <w:rsid w:val="00650A10"/>
    <w:rsid w:val="00650B1F"/>
    <w:rsid w:val="00650DB3"/>
    <w:rsid w:val="00650DBF"/>
    <w:rsid w:val="00651806"/>
    <w:rsid w:val="0065184E"/>
    <w:rsid w:val="0065193C"/>
    <w:rsid w:val="00651CE7"/>
    <w:rsid w:val="00651E86"/>
    <w:rsid w:val="0065203D"/>
    <w:rsid w:val="006520B3"/>
    <w:rsid w:val="0065220C"/>
    <w:rsid w:val="00652782"/>
    <w:rsid w:val="0065293D"/>
    <w:rsid w:val="00652C58"/>
    <w:rsid w:val="00652DDA"/>
    <w:rsid w:val="00652DDD"/>
    <w:rsid w:val="00652DF1"/>
    <w:rsid w:val="00652EA2"/>
    <w:rsid w:val="00652F5C"/>
    <w:rsid w:val="0065325C"/>
    <w:rsid w:val="0065373A"/>
    <w:rsid w:val="0065392C"/>
    <w:rsid w:val="00653E4B"/>
    <w:rsid w:val="00653FAA"/>
    <w:rsid w:val="00653FDB"/>
    <w:rsid w:val="006540F7"/>
    <w:rsid w:val="0065428C"/>
    <w:rsid w:val="006542BF"/>
    <w:rsid w:val="0065463C"/>
    <w:rsid w:val="006547AD"/>
    <w:rsid w:val="006547C0"/>
    <w:rsid w:val="00654801"/>
    <w:rsid w:val="00654D0B"/>
    <w:rsid w:val="00654E35"/>
    <w:rsid w:val="00654E48"/>
    <w:rsid w:val="006551CF"/>
    <w:rsid w:val="0065530A"/>
    <w:rsid w:val="00655669"/>
    <w:rsid w:val="00655C7C"/>
    <w:rsid w:val="00655CD5"/>
    <w:rsid w:val="00655CE5"/>
    <w:rsid w:val="00655CF6"/>
    <w:rsid w:val="00655D2E"/>
    <w:rsid w:val="00655F8C"/>
    <w:rsid w:val="00655F9A"/>
    <w:rsid w:val="00656266"/>
    <w:rsid w:val="00656416"/>
    <w:rsid w:val="00656729"/>
    <w:rsid w:val="00656753"/>
    <w:rsid w:val="00656A03"/>
    <w:rsid w:val="00656C92"/>
    <w:rsid w:val="00656C96"/>
    <w:rsid w:val="00656F50"/>
    <w:rsid w:val="00656F96"/>
    <w:rsid w:val="00657C3C"/>
    <w:rsid w:val="006602AB"/>
    <w:rsid w:val="0066048D"/>
    <w:rsid w:val="00660859"/>
    <w:rsid w:val="00660A31"/>
    <w:rsid w:val="00660A36"/>
    <w:rsid w:val="00660B0C"/>
    <w:rsid w:val="00661321"/>
    <w:rsid w:val="00661546"/>
    <w:rsid w:val="006616F2"/>
    <w:rsid w:val="00661835"/>
    <w:rsid w:val="00661A2C"/>
    <w:rsid w:val="00661AEB"/>
    <w:rsid w:val="00661C5E"/>
    <w:rsid w:val="00661D11"/>
    <w:rsid w:val="00661E8C"/>
    <w:rsid w:val="00661EED"/>
    <w:rsid w:val="00662046"/>
    <w:rsid w:val="00662191"/>
    <w:rsid w:val="006623E5"/>
    <w:rsid w:val="006623EC"/>
    <w:rsid w:val="006627AC"/>
    <w:rsid w:val="0066298F"/>
    <w:rsid w:val="00662A2D"/>
    <w:rsid w:val="00662B16"/>
    <w:rsid w:val="00662CA7"/>
    <w:rsid w:val="00662D94"/>
    <w:rsid w:val="00662EBD"/>
    <w:rsid w:val="006632A3"/>
    <w:rsid w:val="0066353B"/>
    <w:rsid w:val="006636B3"/>
    <w:rsid w:val="00663CC4"/>
    <w:rsid w:val="006646CD"/>
    <w:rsid w:val="00664836"/>
    <w:rsid w:val="00664915"/>
    <w:rsid w:val="00664983"/>
    <w:rsid w:val="00664ACF"/>
    <w:rsid w:val="00665052"/>
    <w:rsid w:val="006650C1"/>
    <w:rsid w:val="00665228"/>
    <w:rsid w:val="00665671"/>
    <w:rsid w:val="00665976"/>
    <w:rsid w:val="006659B0"/>
    <w:rsid w:val="006659D7"/>
    <w:rsid w:val="00665ABE"/>
    <w:rsid w:val="00665AF6"/>
    <w:rsid w:val="00665F96"/>
    <w:rsid w:val="006664CD"/>
    <w:rsid w:val="006664CF"/>
    <w:rsid w:val="006668BE"/>
    <w:rsid w:val="00666A2A"/>
    <w:rsid w:val="00666D80"/>
    <w:rsid w:val="00666F80"/>
    <w:rsid w:val="00667258"/>
    <w:rsid w:val="00667464"/>
    <w:rsid w:val="00667622"/>
    <w:rsid w:val="00667A3D"/>
    <w:rsid w:val="00667CA9"/>
    <w:rsid w:val="00667D64"/>
    <w:rsid w:val="0067041B"/>
    <w:rsid w:val="00670984"/>
    <w:rsid w:val="00670A4B"/>
    <w:rsid w:val="00670A97"/>
    <w:rsid w:val="00670B44"/>
    <w:rsid w:val="00670BBB"/>
    <w:rsid w:val="00670CE5"/>
    <w:rsid w:val="00670D3B"/>
    <w:rsid w:val="00670E8A"/>
    <w:rsid w:val="00670F32"/>
    <w:rsid w:val="00670FDB"/>
    <w:rsid w:val="00671264"/>
    <w:rsid w:val="0067158F"/>
    <w:rsid w:val="006716C9"/>
    <w:rsid w:val="00671C88"/>
    <w:rsid w:val="00671CD6"/>
    <w:rsid w:val="0067237F"/>
    <w:rsid w:val="0067250D"/>
    <w:rsid w:val="00672658"/>
    <w:rsid w:val="00672869"/>
    <w:rsid w:val="006728DF"/>
    <w:rsid w:val="0067291F"/>
    <w:rsid w:val="00672971"/>
    <w:rsid w:val="00672C71"/>
    <w:rsid w:val="006731C6"/>
    <w:rsid w:val="006733A1"/>
    <w:rsid w:val="0067350E"/>
    <w:rsid w:val="00673856"/>
    <w:rsid w:val="00673C33"/>
    <w:rsid w:val="00673CB3"/>
    <w:rsid w:val="00673D85"/>
    <w:rsid w:val="00674029"/>
    <w:rsid w:val="00674093"/>
    <w:rsid w:val="00674544"/>
    <w:rsid w:val="00674566"/>
    <w:rsid w:val="0067474A"/>
    <w:rsid w:val="00674DB8"/>
    <w:rsid w:val="00674F4D"/>
    <w:rsid w:val="0067518C"/>
    <w:rsid w:val="006751E3"/>
    <w:rsid w:val="00675380"/>
    <w:rsid w:val="00675729"/>
    <w:rsid w:val="00675A83"/>
    <w:rsid w:val="00675B33"/>
    <w:rsid w:val="00675DEA"/>
    <w:rsid w:val="00675F8B"/>
    <w:rsid w:val="00676110"/>
    <w:rsid w:val="00676182"/>
    <w:rsid w:val="0067624C"/>
    <w:rsid w:val="006762F7"/>
    <w:rsid w:val="0067630D"/>
    <w:rsid w:val="006763AA"/>
    <w:rsid w:val="00676519"/>
    <w:rsid w:val="00676559"/>
    <w:rsid w:val="0067693B"/>
    <w:rsid w:val="006769A7"/>
    <w:rsid w:val="00676A9C"/>
    <w:rsid w:val="00676ADC"/>
    <w:rsid w:val="00676E76"/>
    <w:rsid w:val="00676F94"/>
    <w:rsid w:val="006770D5"/>
    <w:rsid w:val="00677139"/>
    <w:rsid w:val="0067737D"/>
    <w:rsid w:val="0067759D"/>
    <w:rsid w:val="006776C9"/>
    <w:rsid w:val="006777AB"/>
    <w:rsid w:val="00677B53"/>
    <w:rsid w:val="00680166"/>
    <w:rsid w:val="006803EA"/>
    <w:rsid w:val="00680414"/>
    <w:rsid w:val="00680638"/>
    <w:rsid w:val="006809DB"/>
    <w:rsid w:val="00680A6E"/>
    <w:rsid w:val="00680BF5"/>
    <w:rsid w:val="00680CB8"/>
    <w:rsid w:val="00680EE4"/>
    <w:rsid w:val="006811EC"/>
    <w:rsid w:val="00681215"/>
    <w:rsid w:val="00681229"/>
    <w:rsid w:val="0068139D"/>
    <w:rsid w:val="006817C9"/>
    <w:rsid w:val="006819C8"/>
    <w:rsid w:val="00681B11"/>
    <w:rsid w:val="00681E03"/>
    <w:rsid w:val="00681EEE"/>
    <w:rsid w:val="00681F82"/>
    <w:rsid w:val="00681F84"/>
    <w:rsid w:val="00682123"/>
    <w:rsid w:val="00682368"/>
    <w:rsid w:val="006823D3"/>
    <w:rsid w:val="00682485"/>
    <w:rsid w:val="006825AA"/>
    <w:rsid w:val="00682B6E"/>
    <w:rsid w:val="00683423"/>
    <w:rsid w:val="00683627"/>
    <w:rsid w:val="00683674"/>
    <w:rsid w:val="00683859"/>
    <w:rsid w:val="00683BD2"/>
    <w:rsid w:val="00683E50"/>
    <w:rsid w:val="00683ECF"/>
    <w:rsid w:val="006840C2"/>
    <w:rsid w:val="006840D9"/>
    <w:rsid w:val="00684107"/>
    <w:rsid w:val="00684131"/>
    <w:rsid w:val="00684673"/>
    <w:rsid w:val="00684C20"/>
    <w:rsid w:val="00684CEF"/>
    <w:rsid w:val="00684DF7"/>
    <w:rsid w:val="0068506E"/>
    <w:rsid w:val="00685441"/>
    <w:rsid w:val="006855E2"/>
    <w:rsid w:val="00686702"/>
    <w:rsid w:val="0068678D"/>
    <w:rsid w:val="00686AA4"/>
    <w:rsid w:val="00687108"/>
    <w:rsid w:val="00687199"/>
    <w:rsid w:val="006873F5"/>
    <w:rsid w:val="006875D5"/>
    <w:rsid w:val="00687984"/>
    <w:rsid w:val="00687AF0"/>
    <w:rsid w:val="00687B51"/>
    <w:rsid w:val="00687DCF"/>
    <w:rsid w:val="0069037E"/>
    <w:rsid w:val="006903B0"/>
    <w:rsid w:val="00690446"/>
    <w:rsid w:val="00690746"/>
    <w:rsid w:val="00690B08"/>
    <w:rsid w:val="00690C2A"/>
    <w:rsid w:val="006911FD"/>
    <w:rsid w:val="00691271"/>
    <w:rsid w:val="00691294"/>
    <w:rsid w:val="006912ED"/>
    <w:rsid w:val="00691412"/>
    <w:rsid w:val="006915AA"/>
    <w:rsid w:val="006917B6"/>
    <w:rsid w:val="00691A1D"/>
    <w:rsid w:val="00691ACF"/>
    <w:rsid w:val="00691B63"/>
    <w:rsid w:val="00691C43"/>
    <w:rsid w:val="00692657"/>
    <w:rsid w:val="006926F6"/>
    <w:rsid w:val="006927F9"/>
    <w:rsid w:val="00692819"/>
    <w:rsid w:val="006929B5"/>
    <w:rsid w:val="006929CC"/>
    <w:rsid w:val="00692A8B"/>
    <w:rsid w:val="00692A8D"/>
    <w:rsid w:val="00692ADF"/>
    <w:rsid w:val="00692CA3"/>
    <w:rsid w:val="00692E0C"/>
    <w:rsid w:val="0069310F"/>
    <w:rsid w:val="006936AD"/>
    <w:rsid w:val="006937B6"/>
    <w:rsid w:val="00693829"/>
    <w:rsid w:val="006939E3"/>
    <w:rsid w:val="00693AB3"/>
    <w:rsid w:val="00693B16"/>
    <w:rsid w:val="006945BE"/>
    <w:rsid w:val="00694634"/>
    <w:rsid w:val="006946A0"/>
    <w:rsid w:val="0069473D"/>
    <w:rsid w:val="006947F3"/>
    <w:rsid w:val="00694841"/>
    <w:rsid w:val="00694C15"/>
    <w:rsid w:val="00694DF8"/>
    <w:rsid w:val="00694E4E"/>
    <w:rsid w:val="00694F59"/>
    <w:rsid w:val="00695010"/>
    <w:rsid w:val="006954B1"/>
    <w:rsid w:val="0069562A"/>
    <w:rsid w:val="00695946"/>
    <w:rsid w:val="006959B7"/>
    <w:rsid w:val="006959F4"/>
    <w:rsid w:val="00695BB9"/>
    <w:rsid w:val="00695DA2"/>
    <w:rsid w:val="00695DAE"/>
    <w:rsid w:val="00695E0A"/>
    <w:rsid w:val="00696533"/>
    <w:rsid w:val="00696773"/>
    <w:rsid w:val="00696808"/>
    <w:rsid w:val="00696ABA"/>
    <w:rsid w:val="00696B97"/>
    <w:rsid w:val="00696BF4"/>
    <w:rsid w:val="00696C18"/>
    <w:rsid w:val="00696D6E"/>
    <w:rsid w:val="00696E4E"/>
    <w:rsid w:val="0069707B"/>
    <w:rsid w:val="00697A84"/>
    <w:rsid w:val="00697AF7"/>
    <w:rsid w:val="006A012B"/>
    <w:rsid w:val="006A041B"/>
    <w:rsid w:val="006A05DE"/>
    <w:rsid w:val="006A0632"/>
    <w:rsid w:val="006A080A"/>
    <w:rsid w:val="006A0984"/>
    <w:rsid w:val="006A09C4"/>
    <w:rsid w:val="006A0A85"/>
    <w:rsid w:val="006A0B84"/>
    <w:rsid w:val="006A0C65"/>
    <w:rsid w:val="006A0EF4"/>
    <w:rsid w:val="006A0FF0"/>
    <w:rsid w:val="006A10B8"/>
    <w:rsid w:val="006A13CA"/>
    <w:rsid w:val="006A158E"/>
    <w:rsid w:val="006A16AA"/>
    <w:rsid w:val="006A1805"/>
    <w:rsid w:val="006A1AE4"/>
    <w:rsid w:val="006A1B85"/>
    <w:rsid w:val="006A1EA1"/>
    <w:rsid w:val="006A1FF1"/>
    <w:rsid w:val="006A2269"/>
    <w:rsid w:val="006A22D0"/>
    <w:rsid w:val="006A2344"/>
    <w:rsid w:val="006A277B"/>
    <w:rsid w:val="006A27E4"/>
    <w:rsid w:val="006A298C"/>
    <w:rsid w:val="006A2B20"/>
    <w:rsid w:val="006A2DD7"/>
    <w:rsid w:val="006A2F1F"/>
    <w:rsid w:val="006A316D"/>
    <w:rsid w:val="006A318A"/>
    <w:rsid w:val="006A3557"/>
    <w:rsid w:val="006A36B3"/>
    <w:rsid w:val="006A376A"/>
    <w:rsid w:val="006A3992"/>
    <w:rsid w:val="006A3A12"/>
    <w:rsid w:val="006A3A63"/>
    <w:rsid w:val="006A3D66"/>
    <w:rsid w:val="006A3DA3"/>
    <w:rsid w:val="006A3F87"/>
    <w:rsid w:val="006A3FE8"/>
    <w:rsid w:val="006A4028"/>
    <w:rsid w:val="006A4112"/>
    <w:rsid w:val="006A4358"/>
    <w:rsid w:val="006A4A44"/>
    <w:rsid w:val="006A4B2B"/>
    <w:rsid w:val="006A4ED9"/>
    <w:rsid w:val="006A522B"/>
    <w:rsid w:val="006A5714"/>
    <w:rsid w:val="006A59A9"/>
    <w:rsid w:val="006A5A03"/>
    <w:rsid w:val="006A5A10"/>
    <w:rsid w:val="006A5B20"/>
    <w:rsid w:val="006A5C22"/>
    <w:rsid w:val="006A5D68"/>
    <w:rsid w:val="006A5EBB"/>
    <w:rsid w:val="006A5EF2"/>
    <w:rsid w:val="006A6114"/>
    <w:rsid w:val="006A612D"/>
    <w:rsid w:val="006A618D"/>
    <w:rsid w:val="006A6219"/>
    <w:rsid w:val="006A62AC"/>
    <w:rsid w:val="006A648D"/>
    <w:rsid w:val="006A64F4"/>
    <w:rsid w:val="006A671E"/>
    <w:rsid w:val="006A698A"/>
    <w:rsid w:val="006A6BF0"/>
    <w:rsid w:val="006A6CBA"/>
    <w:rsid w:val="006A6CF3"/>
    <w:rsid w:val="006A6DDF"/>
    <w:rsid w:val="006A72BF"/>
    <w:rsid w:val="006A7360"/>
    <w:rsid w:val="006A7363"/>
    <w:rsid w:val="006A7AD3"/>
    <w:rsid w:val="006A7D4B"/>
    <w:rsid w:val="006A7E74"/>
    <w:rsid w:val="006B0026"/>
    <w:rsid w:val="006B0049"/>
    <w:rsid w:val="006B02B3"/>
    <w:rsid w:val="006B0918"/>
    <w:rsid w:val="006B09FC"/>
    <w:rsid w:val="006B0A9B"/>
    <w:rsid w:val="006B0D7E"/>
    <w:rsid w:val="006B0D8B"/>
    <w:rsid w:val="006B0D90"/>
    <w:rsid w:val="006B1123"/>
    <w:rsid w:val="006B12AF"/>
    <w:rsid w:val="006B1514"/>
    <w:rsid w:val="006B1663"/>
    <w:rsid w:val="006B1813"/>
    <w:rsid w:val="006B182E"/>
    <w:rsid w:val="006B1CAC"/>
    <w:rsid w:val="006B1DEB"/>
    <w:rsid w:val="006B21E8"/>
    <w:rsid w:val="006B23E7"/>
    <w:rsid w:val="006B2718"/>
    <w:rsid w:val="006B29E0"/>
    <w:rsid w:val="006B2C20"/>
    <w:rsid w:val="006B2D42"/>
    <w:rsid w:val="006B3079"/>
    <w:rsid w:val="006B30C4"/>
    <w:rsid w:val="006B310A"/>
    <w:rsid w:val="006B312B"/>
    <w:rsid w:val="006B3464"/>
    <w:rsid w:val="006B3479"/>
    <w:rsid w:val="006B350B"/>
    <w:rsid w:val="006B36C9"/>
    <w:rsid w:val="006B37AA"/>
    <w:rsid w:val="006B382B"/>
    <w:rsid w:val="006B3890"/>
    <w:rsid w:val="006B38F2"/>
    <w:rsid w:val="006B3AB1"/>
    <w:rsid w:val="006B3BD4"/>
    <w:rsid w:val="006B3BEB"/>
    <w:rsid w:val="006B4068"/>
    <w:rsid w:val="006B44B3"/>
    <w:rsid w:val="006B45CC"/>
    <w:rsid w:val="006B49C5"/>
    <w:rsid w:val="006B5044"/>
    <w:rsid w:val="006B55F8"/>
    <w:rsid w:val="006B57AC"/>
    <w:rsid w:val="006B5E53"/>
    <w:rsid w:val="006B6104"/>
    <w:rsid w:val="006B6823"/>
    <w:rsid w:val="006B6BC0"/>
    <w:rsid w:val="006B6CAE"/>
    <w:rsid w:val="006B6D1C"/>
    <w:rsid w:val="006B6DC7"/>
    <w:rsid w:val="006B6EFC"/>
    <w:rsid w:val="006B6F5B"/>
    <w:rsid w:val="006B7133"/>
    <w:rsid w:val="006B7294"/>
    <w:rsid w:val="006B7806"/>
    <w:rsid w:val="006B7988"/>
    <w:rsid w:val="006B79EE"/>
    <w:rsid w:val="006C0237"/>
    <w:rsid w:val="006C048A"/>
    <w:rsid w:val="006C0740"/>
    <w:rsid w:val="006C0A2D"/>
    <w:rsid w:val="006C0A35"/>
    <w:rsid w:val="006C0B5E"/>
    <w:rsid w:val="006C0B9E"/>
    <w:rsid w:val="006C0BA2"/>
    <w:rsid w:val="006C0F93"/>
    <w:rsid w:val="006C12E2"/>
    <w:rsid w:val="006C1B2F"/>
    <w:rsid w:val="006C1EB5"/>
    <w:rsid w:val="006C1F2B"/>
    <w:rsid w:val="006C1FE6"/>
    <w:rsid w:val="006C2024"/>
    <w:rsid w:val="006C217C"/>
    <w:rsid w:val="006C2501"/>
    <w:rsid w:val="006C26E0"/>
    <w:rsid w:val="006C28D1"/>
    <w:rsid w:val="006C291A"/>
    <w:rsid w:val="006C2FFA"/>
    <w:rsid w:val="006C302A"/>
    <w:rsid w:val="006C30EE"/>
    <w:rsid w:val="006C3130"/>
    <w:rsid w:val="006C3707"/>
    <w:rsid w:val="006C3715"/>
    <w:rsid w:val="006C371A"/>
    <w:rsid w:val="006C3FA1"/>
    <w:rsid w:val="006C4136"/>
    <w:rsid w:val="006C4265"/>
    <w:rsid w:val="006C42B4"/>
    <w:rsid w:val="006C4407"/>
    <w:rsid w:val="006C4413"/>
    <w:rsid w:val="006C4818"/>
    <w:rsid w:val="006C4896"/>
    <w:rsid w:val="006C4A59"/>
    <w:rsid w:val="006C4C4F"/>
    <w:rsid w:val="006C4F83"/>
    <w:rsid w:val="006C55C2"/>
    <w:rsid w:val="006C5972"/>
    <w:rsid w:val="006C5D2F"/>
    <w:rsid w:val="006C5FF9"/>
    <w:rsid w:val="006C65D7"/>
    <w:rsid w:val="006C6683"/>
    <w:rsid w:val="006C66F0"/>
    <w:rsid w:val="006C6866"/>
    <w:rsid w:val="006C6A10"/>
    <w:rsid w:val="006C6A2B"/>
    <w:rsid w:val="006C6AE2"/>
    <w:rsid w:val="006C6C59"/>
    <w:rsid w:val="006C6CC6"/>
    <w:rsid w:val="006C6DA0"/>
    <w:rsid w:val="006C6E9A"/>
    <w:rsid w:val="006C70BD"/>
    <w:rsid w:val="006C70C4"/>
    <w:rsid w:val="006C7221"/>
    <w:rsid w:val="006C7232"/>
    <w:rsid w:val="006C7281"/>
    <w:rsid w:val="006C7739"/>
    <w:rsid w:val="006C78F6"/>
    <w:rsid w:val="006C7AD7"/>
    <w:rsid w:val="006C7B6A"/>
    <w:rsid w:val="006C7D6A"/>
    <w:rsid w:val="006D0A2F"/>
    <w:rsid w:val="006D0C51"/>
    <w:rsid w:val="006D0D40"/>
    <w:rsid w:val="006D0D94"/>
    <w:rsid w:val="006D0E89"/>
    <w:rsid w:val="006D0F03"/>
    <w:rsid w:val="006D0FEC"/>
    <w:rsid w:val="006D116A"/>
    <w:rsid w:val="006D14CE"/>
    <w:rsid w:val="006D14FA"/>
    <w:rsid w:val="006D1584"/>
    <w:rsid w:val="006D1589"/>
    <w:rsid w:val="006D15A2"/>
    <w:rsid w:val="006D17FF"/>
    <w:rsid w:val="006D18B9"/>
    <w:rsid w:val="006D193F"/>
    <w:rsid w:val="006D1EC1"/>
    <w:rsid w:val="006D1F11"/>
    <w:rsid w:val="006D1F3A"/>
    <w:rsid w:val="006D1F76"/>
    <w:rsid w:val="006D2338"/>
    <w:rsid w:val="006D25FE"/>
    <w:rsid w:val="006D2ACD"/>
    <w:rsid w:val="006D2C81"/>
    <w:rsid w:val="006D2F0F"/>
    <w:rsid w:val="006D2F42"/>
    <w:rsid w:val="006D2F79"/>
    <w:rsid w:val="006D2FA0"/>
    <w:rsid w:val="006D30F4"/>
    <w:rsid w:val="006D3223"/>
    <w:rsid w:val="006D3295"/>
    <w:rsid w:val="006D3503"/>
    <w:rsid w:val="006D36E9"/>
    <w:rsid w:val="006D3A3C"/>
    <w:rsid w:val="006D3AE8"/>
    <w:rsid w:val="006D3EFC"/>
    <w:rsid w:val="006D42A9"/>
    <w:rsid w:val="006D43DF"/>
    <w:rsid w:val="006D47C3"/>
    <w:rsid w:val="006D498F"/>
    <w:rsid w:val="006D49BE"/>
    <w:rsid w:val="006D4DF5"/>
    <w:rsid w:val="006D509A"/>
    <w:rsid w:val="006D50A7"/>
    <w:rsid w:val="006D50B6"/>
    <w:rsid w:val="006D52C4"/>
    <w:rsid w:val="006D52FA"/>
    <w:rsid w:val="006D5727"/>
    <w:rsid w:val="006D5A11"/>
    <w:rsid w:val="006D5A72"/>
    <w:rsid w:val="006D5BBA"/>
    <w:rsid w:val="006D5D21"/>
    <w:rsid w:val="006D5E58"/>
    <w:rsid w:val="006D5F4D"/>
    <w:rsid w:val="006D5F9E"/>
    <w:rsid w:val="006D653E"/>
    <w:rsid w:val="006D66D4"/>
    <w:rsid w:val="006D673A"/>
    <w:rsid w:val="006D6BCB"/>
    <w:rsid w:val="006D6C99"/>
    <w:rsid w:val="006D6CF7"/>
    <w:rsid w:val="006D6D4B"/>
    <w:rsid w:val="006D6DCE"/>
    <w:rsid w:val="006D721C"/>
    <w:rsid w:val="006D750A"/>
    <w:rsid w:val="006D79A0"/>
    <w:rsid w:val="006D7A2D"/>
    <w:rsid w:val="006D7B46"/>
    <w:rsid w:val="006D7B91"/>
    <w:rsid w:val="006D7CE7"/>
    <w:rsid w:val="006D7D81"/>
    <w:rsid w:val="006D7E25"/>
    <w:rsid w:val="006E01CE"/>
    <w:rsid w:val="006E023A"/>
    <w:rsid w:val="006E02D3"/>
    <w:rsid w:val="006E05C3"/>
    <w:rsid w:val="006E07A3"/>
    <w:rsid w:val="006E0841"/>
    <w:rsid w:val="006E08B1"/>
    <w:rsid w:val="006E0993"/>
    <w:rsid w:val="006E0AAF"/>
    <w:rsid w:val="006E0C8B"/>
    <w:rsid w:val="006E0D71"/>
    <w:rsid w:val="006E0F50"/>
    <w:rsid w:val="006E120F"/>
    <w:rsid w:val="006E1495"/>
    <w:rsid w:val="006E18D7"/>
    <w:rsid w:val="006E19A9"/>
    <w:rsid w:val="006E1AC6"/>
    <w:rsid w:val="006E1B97"/>
    <w:rsid w:val="006E1DD3"/>
    <w:rsid w:val="006E1DFC"/>
    <w:rsid w:val="006E2283"/>
    <w:rsid w:val="006E229D"/>
    <w:rsid w:val="006E23B7"/>
    <w:rsid w:val="006E24E3"/>
    <w:rsid w:val="006E250D"/>
    <w:rsid w:val="006E267C"/>
    <w:rsid w:val="006E26BF"/>
    <w:rsid w:val="006E27E5"/>
    <w:rsid w:val="006E289F"/>
    <w:rsid w:val="006E2EC0"/>
    <w:rsid w:val="006E2EDB"/>
    <w:rsid w:val="006E2F09"/>
    <w:rsid w:val="006E2F0E"/>
    <w:rsid w:val="006E2F4A"/>
    <w:rsid w:val="006E3344"/>
    <w:rsid w:val="006E378B"/>
    <w:rsid w:val="006E3980"/>
    <w:rsid w:val="006E39D2"/>
    <w:rsid w:val="006E39D4"/>
    <w:rsid w:val="006E3A73"/>
    <w:rsid w:val="006E3D05"/>
    <w:rsid w:val="006E44D0"/>
    <w:rsid w:val="006E49A7"/>
    <w:rsid w:val="006E4A01"/>
    <w:rsid w:val="006E4E51"/>
    <w:rsid w:val="006E4EE6"/>
    <w:rsid w:val="006E5413"/>
    <w:rsid w:val="006E59CA"/>
    <w:rsid w:val="006E5A6D"/>
    <w:rsid w:val="006E5B28"/>
    <w:rsid w:val="006E5B7D"/>
    <w:rsid w:val="006E5D69"/>
    <w:rsid w:val="006E5D79"/>
    <w:rsid w:val="006E5E93"/>
    <w:rsid w:val="006E5EC8"/>
    <w:rsid w:val="006E63AC"/>
    <w:rsid w:val="006E6539"/>
    <w:rsid w:val="006E65FF"/>
    <w:rsid w:val="006E68E6"/>
    <w:rsid w:val="006E6AE3"/>
    <w:rsid w:val="006E6C59"/>
    <w:rsid w:val="006E6EA9"/>
    <w:rsid w:val="006E71D3"/>
    <w:rsid w:val="006E726B"/>
    <w:rsid w:val="006E74FA"/>
    <w:rsid w:val="006E752C"/>
    <w:rsid w:val="006E75EA"/>
    <w:rsid w:val="006E7777"/>
    <w:rsid w:val="006E7809"/>
    <w:rsid w:val="006E790C"/>
    <w:rsid w:val="006E7B08"/>
    <w:rsid w:val="006E7D67"/>
    <w:rsid w:val="006E7D94"/>
    <w:rsid w:val="006F03BB"/>
    <w:rsid w:val="006F0402"/>
    <w:rsid w:val="006F053F"/>
    <w:rsid w:val="006F055D"/>
    <w:rsid w:val="006F09C7"/>
    <w:rsid w:val="006F0EFE"/>
    <w:rsid w:val="006F0F86"/>
    <w:rsid w:val="006F119D"/>
    <w:rsid w:val="006F12F9"/>
    <w:rsid w:val="006F1637"/>
    <w:rsid w:val="006F16DA"/>
    <w:rsid w:val="006F1933"/>
    <w:rsid w:val="006F2004"/>
    <w:rsid w:val="006F20F7"/>
    <w:rsid w:val="006F228B"/>
    <w:rsid w:val="006F283D"/>
    <w:rsid w:val="006F2BE3"/>
    <w:rsid w:val="006F2E55"/>
    <w:rsid w:val="006F2F83"/>
    <w:rsid w:val="006F308F"/>
    <w:rsid w:val="006F30E7"/>
    <w:rsid w:val="006F3389"/>
    <w:rsid w:val="006F35E4"/>
    <w:rsid w:val="006F37DE"/>
    <w:rsid w:val="006F3D5C"/>
    <w:rsid w:val="006F3F29"/>
    <w:rsid w:val="006F3F43"/>
    <w:rsid w:val="006F4248"/>
    <w:rsid w:val="006F4260"/>
    <w:rsid w:val="006F43D8"/>
    <w:rsid w:val="006F4467"/>
    <w:rsid w:val="006F4A88"/>
    <w:rsid w:val="006F4B2F"/>
    <w:rsid w:val="006F4E31"/>
    <w:rsid w:val="006F4EB7"/>
    <w:rsid w:val="006F506B"/>
    <w:rsid w:val="006F520F"/>
    <w:rsid w:val="006F54FA"/>
    <w:rsid w:val="006F551E"/>
    <w:rsid w:val="006F5658"/>
    <w:rsid w:val="006F57B2"/>
    <w:rsid w:val="006F5A7A"/>
    <w:rsid w:val="006F5D23"/>
    <w:rsid w:val="006F607C"/>
    <w:rsid w:val="006F61E0"/>
    <w:rsid w:val="006F6604"/>
    <w:rsid w:val="006F6683"/>
    <w:rsid w:val="006F6A67"/>
    <w:rsid w:val="006F6F2A"/>
    <w:rsid w:val="006F6F7C"/>
    <w:rsid w:val="006F6F95"/>
    <w:rsid w:val="006F7351"/>
    <w:rsid w:val="006F735A"/>
    <w:rsid w:val="006F74C1"/>
    <w:rsid w:val="006F78CE"/>
    <w:rsid w:val="006F78F3"/>
    <w:rsid w:val="006F7990"/>
    <w:rsid w:val="006F79A3"/>
    <w:rsid w:val="006F7AA0"/>
    <w:rsid w:val="006F7ADE"/>
    <w:rsid w:val="006F7EF0"/>
    <w:rsid w:val="006F7F4A"/>
    <w:rsid w:val="007002DB"/>
    <w:rsid w:val="00700402"/>
    <w:rsid w:val="0070047A"/>
    <w:rsid w:val="00700546"/>
    <w:rsid w:val="00700727"/>
    <w:rsid w:val="007007B5"/>
    <w:rsid w:val="00700815"/>
    <w:rsid w:val="00700A3F"/>
    <w:rsid w:val="00700F45"/>
    <w:rsid w:val="007010D0"/>
    <w:rsid w:val="007012E0"/>
    <w:rsid w:val="00701443"/>
    <w:rsid w:val="00701475"/>
    <w:rsid w:val="00701677"/>
    <w:rsid w:val="00701815"/>
    <w:rsid w:val="0070190A"/>
    <w:rsid w:val="00701958"/>
    <w:rsid w:val="00701B9E"/>
    <w:rsid w:val="007025BD"/>
    <w:rsid w:val="0070295A"/>
    <w:rsid w:val="007029DA"/>
    <w:rsid w:val="00702A42"/>
    <w:rsid w:val="00702E37"/>
    <w:rsid w:val="0070325E"/>
    <w:rsid w:val="00703496"/>
    <w:rsid w:val="007034E8"/>
    <w:rsid w:val="007035F5"/>
    <w:rsid w:val="00703685"/>
    <w:rsid w:val="00703C05"/>
    <w:rsid w:val="00703D32"/>
    <w:rsid w:val="00703E06"/>
    <w:rsid w:val="00703E3F"/>
    <w:rsid w:val="0070417B"/>
    <w:rsid w:val="0070449E"/>
    <w:rsid w:val="007044D2"/>
    <w:rsid w:val="00704626"/>
    <w:rsid w:val="00704676"/>
    <w:rsid w:val="00704B39"/>
    <w:rsid w:val="00704D26"/>
    <w:rsid w:val="00704F2E"/>
    <w:rsid w:val="0070512E"/>
    <w:rsid w:val="0070521A"/>
    <w:rsid w:val="00705383"/>
    <w:rsid w:val="00705432"/>
    <w:rsid w:val="00705465"/>
    <w:rsid w:val="00705675"/>
    <w:rsid w:val="00705754"/>
    <w:rsid w:val="007059CE"/>
    <w:rsid w:val="00705A35"/>
    <w:rsid w:val="00705D0A"/>
    <w:rsid w:val="00705D2F"/>
    <w:rsid w:val="00706552"/>
    <w:rsid w:val="00706808"/>
    <w:rsid w:val="0070696F"/>
    <w:rsid w:val="007069BD"/>
    <w:rsid w:val="00706AB3"/>
    <w:rsid w:val="00706AD3"/>
    <w:rsid w:val="00706CD3"/>
    <w:rsid w:val="00706F16"/>
    <w:rsid w:val="00706F45"/>
    <w:rsid w:val="00706F5B"/>
    <w:rsid w:val="00706F5D"/>
    <w:rsid w:val="00706FEB"/>
    <w:rsid w:val="007072A0"/>
    <w:rsid w:val="007073C6"/>
    <w:rsid w:val="007074D5"/>
    <w:rsid w:val="00707874"/>
    <w:rsid w:val="00707A23"/>
    <w:rsid w:val="00707AE7"/>
    <w:rsid w:val="00707BA4"/>
    <w:rsid w:val="00707D7D"/>
    <w:rsid w:val="00707D9E"/>
    <w:rsid w:val="00707FAE"/>
    <w:rsid w:val="007100F4"/>
    <w:rsid w:val="007101F6"/>
    <w:rsid w:val="00710266"/>
    <w:rsid w:val="007103E3"/>
    <w:rsid w:val="00710737"/>
    <w:rsid w:val="00710A4D"/>
    <w:rsid w:val="00710CE7"/>
    <w:rsid w:val="00711184"/>
    <w:rsid w:val="0071119C"/>
    <w:rsid w:val="00711281"/>
    <w:rsid w:val="007113F5"/>
    <w:rsid w:val="00711409"/>
    <w:rsid w:val="00711869"/>
    <w:rsid w:val="007118BE"/>
    <w:rsid w:val="0071194A"/>
    <w:rsid w:val="00711AC7"/>
    <w:rsid w:val="00711B7E"/>
    <w:rsid w:val="00711E80"/>
    <w:rsid w:val="00712221"/>
    <w:rsid w:val="00712403"/>
    <w:rsid w:val="007124BF"/>
    <w:rsid w:val="00712880"/>
    <w:rsid w:val="007128E6"/>
    <w:rsid w:val="00712975"/>
    <w:rsid w:val="007129B3"/>
    <w:rsid w:val="0071340F"/>
    <w:rsid w:val="00713414"/>
    <w:rsid w:val="007134B8"/>
    <w:rsid w:val="007136CA"/>
    <w:rsid w:val="00713747"/>
    <w:rsid w:val="00713789"/>
    <w:rsid w:val="007139B3"/>
    <w:rsid w:val="00713A7B"/>
    <w:rsid w:val="00713B5D"/>
    <w:rsid w:val="00713B7C"/>
    <w:rsid w:val="00713E06"/>
    <w:rsid w:val="00713ED0"/>
    <w:rsid w:val="00714106"/>
    <w:rsid w:val="00714632"/>
    <w:rsid w:val="0071468D"/>
    <w:rsid w:val="007147AB"/>
    <w:rsid w:val="007147BD"/>
    <w:rsid w:val="00714AB6"/>
    <w:rsid w:val="00714AE0"/>
    <w:rsid w:val="00714E11"/>
    <w:rsid w:val="00714E3D"/>
    <w:rsid w:val="0071525F"/>
    <w:rsid w:val="007153D3"/>
    <w:rsid w:val="007156A3"/>
    <w:rsid w:val="00715811"/>
    <w:rsid w:val="007158FB"/>
    <w:rsid w:val="00715929"/>
    <w:rsid w:val="00715991"/>
    <w:rsid w:val="00715A2B"/>
    <w:rsid w:val="00715BCF"/>
    <w:rsid w:val="00715E41"/>
    <w:rsid w:val="0071604E"/>
    <w:rsid w:val="007164AA"/>
    <w:rsid w:val="00716820"/>
    <w:rsid w:val="007168FC"/>
    <w:rsid w:val="0071691A"/>
    <w:rsid w:val="007169A1"/>
    <w:rsid w:val="00717186"/>
    <w:rsid w:val="007173B3"/>
    <w:rsid w:val="0071751D"/>
    <w:rsid w:val="00717688"/>
    <w:rsid w:val="00717986"/>
    <w:rsid w:val="00717B30"/>
    <w:rsid w:val="00717B96"/>
    <w:rsid w:val="00717F54"/>
    <w:rsid w:val="00717FB3"/>
    <w:rsid w:val="0071F079"/>
    <w:rsid w:val="00720379"/>
    <w:rsid w:val="007203D4"/>
    <w:rsid w:val="0072059A"/>
    <w:rsid w:val="00720725"/>
    <w:rsid w:val="007207B5"/>
    <w:rsid w:val="00720D81"/>
    <w:rsid w:val="00720ECF"/>
    <w:rsid w:val="00720F54"/>
    <w:rsid w:val="007213ED"/>
    <w:rsid w:val="00721587"/>
    <w:rsid w:val="007216F5"/>
    <w:rsid w:val="00721B7F"/>
    <w:rsid w:val="00721DFC"/>
    <w:rsid w:val="0072214E"/>
    <w:rsid w:val="00722466"/>
    <w:rsid w:val="0072257D"/>
    <w:rsid w:val="0072273A"/>
    <w:rsid w:val="007227E6"/>
    <w:rsid w:val="0072286B"/>
    <w:rsid w:val="007228AB"/>
    <w:rsid w:val="00722969"/>
    <w:rsid w:val="00722BCC"/>
    <w:rsid w:val="00722C35"/>
    <w:rsid w:val="007230A6"/>
    <w:rsid w:val="007232ED"/>
    <w:rsid w:val="007235CB"/>
    <w:rsid w:val="007238D5"/>
    <w:rsid w:val="00723DCE"/>
    <w:rsid w:val="00723E8D"/>
    <w:rsid w:val="00723F1A"/>
    <w:rsid w:val="00724148"/>
    <w:rsid w:val="00724293"/>
    <w:rsid w:val="00724514"/>
    <w:rsid w:val="0072479B"/>
    <w:rsid w:val="00724814"/>
    <w:rsid w:val="00724872"/>
    <w:rsid w:val="00724981"/>
    <w:rsid w:val="007249F4"/>
    <w:rsid w:val="00724E40"/>
    <w:rsid w:val="007252CF"/>
    <w:rsid w:val="0072540F"/>
    <w:rsid w:val="007255D1"/>
    <w:rsid w:val="00725624"/>
    <w:rsid w:val="0072566D"/>
    <w:rsid w:val="00725741"/>
    <w:rsid w:val="0072577E"/>
    <w:rsid w:val="0072581C"/>
    <w:rsid w:val="00725BFF"/>
    <w:rsid w:val="00725D1E"/>
    <w:rsid w:val="00725E3D"/>
    <w:rsid w:val="00726039"/>
    <w:rsid w:val="007260C3"/>
    <w:rsid w:val="00726100"/>
    <w:rsid w:val="00726335"/>
    <w:rsid w:val="00726369"/>
    <w:rsid w:val="007266F0"/>
    <w:rsid w:val="0072671D"/>
    <w:rsid w:val="00726775"/>
    <w:rsid w:val="00726834"/>
    <w:rsid w:val="007269BF"/>
    <w:rsid w:val="00726A3E"/>
    <w:rsid w:val="00726C05"/>
    <w:rsid w:val="00726CF7"/>
    <w:rsid w:val="00726D43"/>
    <w:rsid w:val="007270A6"/>
    <w:rsid w:val="00727623"/>
    <w:rsid w:val="007276CE"/>
    <w:rsid w:val="007279A2"/>
    <w:rsid w:val="00727AA7"/>
    <w:rsid w:val="00727ABA"/>
    <w:rsid w:val="00730605"/>
    <w:rsid w:val="00730E1E"/>
    <w:rsid w:val="00730E3D"/>
    <w:rsid w:val="00731061"/>
    <w:rsid w:val="007312F3"/>
    <w:rsid w:val="00731414"/>
    <w:rsid w:val="00731483"/>
    <w:rsid w:val="00731503"/>
    <w:rsid w:val="00731987"/>
    <w:rsid w:val="0073227B"/>
    <w:rsid w:val="00732346"/>
    <w:rsid w:val="007323DC"/>
    <w:rsid w:val="0073249D"/>
    <w:rsid w:val="00732549"/>
    <w:rsid w:val="0073258F"/>
    <w:rsid w:val="007325A5"/>
    <w:rsid w:val="007325BE"/>
    <w:rsid w:val="007325D5"/>
    <w:rsid w:val="007326A4"/>
    <w:rsid w:val="00732EE0"/>
    <w:rsid w:val="00732EFF"/>
    <w:rsid w:val="00733250"/>
    <w:rsid w:val="0073325D"/>
    <w:rsid w:val="00733BAA"/>
    <w:rsid w:val="00733D40"/>
    <w:rsid w:val="00733DB0"/>
    <w:rsid w:val="0073424B"/>
    <w:rsid w:val="0073435F"/>
    <w:rsid w:val="0073452A"/>
    <w:rsid w:val="007346F1"/>
    <w:rsid w:val="007347FF"/>
    <w:rsid w:val="0073496A"/>
    <w:rsid w:val="00734B37"/>
    <w:rsid w:val="00734C17"/>
    <w:rsid w:val="00734C19"/>
    <w:rsid w:val="00734ED6"/>
    <w:rsid w:val="00734F8B"/>
    <w:rsid w:val="00735404"/>
    <w:rsid w:val="007354D3"/>
    <w:rsid w:val="007355C5"/>
    <w:rsid w:val="00735628"/>
    <w:rsid w:val="00735769"/>
    <w:rsid w:val="0073577E"/>
    <w:rsid w:val="0073578D"/>
    <w:rsid w:val="007358A0"/>
    <w:rsid w:val="00735A24"/>
    <w:rsid w:val="00735A62"/>
    <w:rsid w:val="00735BB8"/>
    <w:rsid w:val="00735C5D"/>
    <w:rsid w:val="00735C75"/>
    <w:rsid w:val="00735DCC"/>
    <w:rsid w:val="00736597"/>
    <w:rsid w:val="00736742"/>
    <w:rsid w:val="0073689B"/>
    <w:rsid w:val="00736C59"/>
    <w:rsid w:val="00736F9D"/>
    <w:rsid w:val="007371F8"/>
    <w:rsid w:val="00737223"/>
    <w:rsid w:val="00737343"/>
    <w:rsid w:val="00737359"/>
    <w:rsid w:val="00737408"/>
    <w:rsid w:val="0073740C"/>
    <w:rsid w:val="007374BB"/>
    <w:rsid w:val="0073769E"/>
    <w:rsid w:val="00737784"/>
    <w:rsid w:val="00737B7E"/>
    <w:rsid w:val="00737FCA"/>
    <w:rsid w:val="0074009C"/>
    <w:rsid w:val="00740281"/>
    <w:rsid w:val="0074081C"/>
    <w:rsid w:val="00740AFC"/>
    <w:rsid w:val="00740E6C"/>
    <w:rsid w:val="00741007"/>
    <w:rsid w:val="00741089"/>
    <w:rsid w:val="007410F6"/>
    <w:rsid w:val="0074125B"/>
    <w:rsid w:val="00741295"/>
    <w:rsid w:val="00741450"/>
    <w:rsid w:val="00741C3F"/>
    <w:rsid w:val="00741D8D"/>
    <w:rsid w:val="00741DAA"/>
    <w:rsid w:val="00741E46"/>
    <w:rsid w:val="007420D9"/>
    <w:rsid w:val="00742181"/>
    <w:rsid w:val="00742797"/>
    <w:rsid w:val="007428F2"/>
    <w:rsid w:val="00742F7B"/>
    <w:rsid w:val="00743879"/>
    <w:rsid w:val="007438CD"/>
    <w:rsid w:val="00743952"/>
    <w:rsid w:val="00743A8D"/>
    <w:rsid w:val="00743C15"/>
    <w:rsid w:val="00743F11"/>
    <w:rsid w:val="00743F1A"/>
    <w:rsid w:val="007446DA"/>
    <w:rsid w:val="007447CB"/>
    <w:rsid w:val="007448BE"/>
    <w:rsid w:val="00744C09"/>
    <w:rsid w:val="00744C38"/>
    <w:rsid w:val="00744D8D"/>
    <w:rsid w:val="00744EEA"/>
    <w:rsid w:val="0074527C"/>
    <w:rsid w:val="00745510"/>
    <w:rsid w:val="00745715"/>
    <w:rsid w:val="007458EB"/>
    <w:rsid w:val="00745A42"/>
    <w:rsid w:val="007465DD"/>
    <w:rsid w:val="007465E3"/>
    <w:rsid w:val="00746797"/>
    <w:rsid w:val="00746B42"/>
    <w:rsid w:val="00746C5B"/>
    <w:rsid w:val="00746CEB"/>
    <w:rsid w:val="00746E37"/>
    <w:rsid w:val="00746EC6"/>
    <w:rsid w:val="00746FD2"/>
    <w:rsid w:val="00747009"/>
    <w:rsid w:val="0074702D"/>
    <w:rsid w:val="00747058"/>
    <w:rsid w:val="00747764"/>
    <w:rsid w:val="007477B7"/>
    <w:rsid w:val="007478E7"/>
    <w:rsid w:val="00747908"/>
    <w:rsid w:val="00747DFC"/>
    <w:rsid w:val="00747EFE"/>
    <w:rsid w:val="00747F04"/>
    <w:rsid w:val="00750099"/>
    <w:rsid w:val="00750254"/>
    <w:rsid w:val="007504BF"/>
    <w:rsid w:val="00750A6C"/>
    <w:rsid w:val="00750B40"/>
    <w:rsid w:val="00750BEC"/>
    <w:rsid w:val="00750CDE"/>
    <w:rsid w:val="007512A0"/>
    <w:rsid w:val="00751497"/>
    <w:rsid w:val="00751681"/>
    <w:rsid w:val="00751A48"/>
    <w:rsid w:val="00751C5D"/>
    <w:rsid w:val="00751DCC"/>
    <w:rsid w:val="00752206"/>
    <w:rsid w:val="00752494"/>
    <w:rsid w:val="007524F4"/>
    <w:rsid w:val="007528A2"/>
    <w:rsid w:val="00752AC1"/>
    <w:rsid w:val="00752BFA"/>
    <w:rsid w:val="00752E8A"/>
    <w:rsid w:val="00752EFF"/>
    <w:rsid w:val="007530CA"/>
    <w:rsid w:val="0075330C"/>
    <w:rsid w:val="00753403"/>
    <w:rsid w:val="007534A2"/>
    <w:rsid w:val="007534FE"/>
    <w:rsid w:val="0075362B"/>
    <w:rsid w:val="00753666"/>
    <w:rsid w:val="007539D4"/>
    <w:rsid w:val="00753AC0"/>
    <w:rsid w:val="00753C4C"/>
    <w:rsid w:val="00753CEC"/>
    <w:rsid w:val="00753D52"/>
    <w:rsid w:val="00753DB7"/>
    <w:rsid w:val="0075429F"/>
    <w:rsid w:val="00754303"/>
    <w:rsid w:val="00754350"/>
    <w:rsid w:val="00754358"/>
    <w:rsid w:val="0075473C"/>
    <w:rsid w:val="007547BB"/>
    <w:rsid w:val="00754945"/>
    <w:rsid w:val="00754987"/>
    <w:rsid w:val="00754A1C"/>
    <w:rsid w:val="00754A26"/>
    <w:rsid w:val="00754A57"/>
    <w:rsid w:val="00754CE4"/>
    <w:rsid w:val="00754DF6"/>
    <w:rsid w:val="00754F38"/>
    <w:rsid w:val="00755298"/>
    <w:rsid w:val="00755415"/>
    <w:rsid w:val="00755641"/>
    <w:rsid w:val="00755764"/>
    <w:rsid w:val="007557EB"/>
    <w:rsid w:val="00755878"/>
    <w:rsid w:val="00755930"/>
    <w:rsid w:val="00755BAF"/>
    <w:rsid w:val="007560E3"/>
    <w:rsid w:val="0075623F"/>
    <w:rsid w:val="00756658"/>
    <w:rsid w:val="0075668B"/>
    <w:rsid w:val="00756765"/>
    <w:rsid w:val="00756ADC"/>
    <w:rsid w:val="00756B6C"/>
    <w:rsid w:val="00756D65"/>
    <w:rsid w:val="00756E1D"/>
    <w:rsid w:val="00757010"/>
    <w:rsid w:val="0075702A"/>
    <w:rsid w:val="00757056"/>
    <w:rsid w:val="00757691"/>
    <w:rsid w:val="007576A4"/>
    <w:rsid w:val="007576AF"/>
    <w:rsid w:val="007579FA"/>
    <w:rsid w:val="00757CCE"/>
    <w:rsid w:val="00757D0C"/>
    <w:rsid w:val="00757D2C"/>
    <w:rsid w:val="00757D55"/>
    <w:rsid w:val="00757E3A"/>
    <w:rsid w:val="00757F1E"/>
    <w:rsid w:val="007600E6"/>
    <w:rsid w:val="00760508"/>
    <w:rsid w:val="00760548"/>
    <w:rsid w:val="00760730"/>
    <w:rsid w:val="00760747"/>
    <w:rsid w:val="007607C4"/>
    <w:rsid w:val="007608C8"/>
    <w:rsid w:val="00760A4E"/>
    <w:rsid w:val="007613CA"/>
    <w:rsid w:val="00761403"/>
    <w:rsid w:val="00761447"/>
    <w:rsid w:val="00761469"/>
    <w:rsid w:val="007617C6"/>
    <w:rsid w:val="00761E1B"/>
    <w:rsid w:val="00761F18"/>
    <w:rsid w:val="00761F21"/>
    <w:rsid w:val="007621F2"/>
    <w:rsid w:val="007623F1"/>
    <w:rsid w:val="0076271F"/>
    <w:rsid w:val="00762969"/>
    <w:rsid w:val="007629DB"/>
    <w:rsid w:val="00762C21"/>
    <w:rsid w:val="00762CA4"/>
    <w:rsid w:val="00762D4F"/>
    <w:rsid w:val="00762D7C"/>
    <w:rsid w:val="00762FCB"/>
    <w:rsid w:val="0076344A"/>
    <w:rsid w:val="00763DAF"/>
    <w:rsid w:val="00763DE9"/>
    <w:rsid w:val="007640CC"/>
    <w:rsid w:val="007643FD"/>
    <w:rsid w:val="007645F9"/>
    <w:rsid w:val="0076477C"/>
    <w:rsid w:val="00764A1F"/>
    <w:rsid w:val="00764C85"/>
    <w:rsid w:val="00764CFC"/>
    <w:rsid w:val="00764D38"/>
    <w:rsid w:val="00764E76"/>
    <w:rsid w:val="0076506A"/>
    <w:rsid w:val="0076515A"/>
    <w:rsid w:val="00765196"/>
    <w:rsid w:val="007653FA"/>
    <w:rsid w:val="00765B2C"/>
    <w:rsid w:val="00765C70"/>
    <w:rsid w:val="00765D91"/>
    <w:rsid w:val="00765FCE"/>
    <w:rsid w:val="0076640A"/>
    <w:rsid w:val="00766475"/>
    <w:rsid w:val="0076647A"/>
    <w:rsid w:val="007664F9"/>
    <w:rsid w:val="007665C6"/>
    <w:rsid w:val="00766697"/>
    <w:rsid w:val="00766BA4"/>
    <w:rsid w:val="00766CB4"/>
    <w:rsid w:val="00766E8A"/>
    <w:rsid w:val="00766EC8"/>
    <w:rsid w:val="00767230"/>
    <w:rsid w:val="00767273"/>
    <w:rsid w:val="00767386"/>
    <w:rsid w:val="00767413"/>
    <w:rsid w:val="007679EF"/>
    <w:rsid w:val="00767A40"/>
    <w:rsid w:val="00767A5D"/>
    <w:rsid w:val="00767B45"/>
    <w:rsid w:val="0077005E"/>
    <w:rsid w:val="0077019B"/>
    <w:rsid w:val="00770CD4"/>
    <w:rsid w:val="00770DDF"/>
    <w:rsid w:val="00771033"/>
    <w:rsid w:val="007710AE"/>
    <w:rsid w:val="007710B2"/>
    <w:rsid w:val="0077125A"/>
    <w:rsid w:val="007714B1"/>
    <w:rsid w:val="007717AF"/>
    <w:rsid w:val="00771BE7"/>
    <w:rsid w:val="00771C84"/>
    <w:rsid w:val="00771ECF"/>
    <w:rsid w:val="00772408"/>
    <w:rsid w:val="00772801"/>
    <w:rsid w:val="00772CF3"/>
    <w:rsid w:val="00772DBA"/>
    <w:rsid w:val="00772E4F"/>
    <w:rsid w:val="00772EA4"/>
    <w:rsid w:val="0077302A"/>
    <w:rsid w:val="0077387A"/>
    <w:rsid w:val="00773BAA"/>
    <w:rsid w:val="00773C1C"/>
    <w:rsid w:val="00773E81"/>
    <w:rsid w:val="00774188"/>
    <w:rsid w:val="007742A7"/>
    <w:rsid w:val="007745F8"/>
    <w:rsid w:val="0077478D"/>
    <w:rsid w:val="00774ABE"/>
    <w:rsid w:val="00774B26"/>
    <w:rsid w:val="00774CF9"/>
    <w:rsid w:val="00774D1E"/>
    <w:rsid w:val="00774EC9"/>
    <w:rsid w:val="00774F4D"/>
    <w:rsid w:val="00775B43"/>
    <w:rsid w:val="00775D91"/>
    <w:rsid w:val="00775E2A"/>
    <w:rsid w:val="00775E7D"/>
    <w:rsid w:val="00775FC1"/>
    <w:rsid w:val="00776518"/>
    <w:rsid w:val="0077653A"/>
    <w:rsid w:val="007765C6"/>
    <w:rsid w:val="007768CF"/>
    <w:rsid w:val="00776C17"/>
    <w:rsid w:val="00776C9A"/>
    <w:rsid w:val="00776DFF"/>
    <w:rsid w:val="00776E59"/>
    <w:rsid w:val="007770EB"/>
    <w:rsid w:val="007771AE"/>
    <w:rsid w:val="00777227"/>
    <w:rsid w:val="00777273"/>
    <w:rsid w:val="007775F0"/>
    <w:rsid w:val="007775F8"/>
    <w:rsid w:val="007776D5"/>
    <w:rsid w:val="00777A10"/>
    <w:rsid w:val="00777C2F"/>
    <w:rsid w:val="00780091"/>
    <w:rsid w:val="0078020C"/>
    <w:rsid w:val="0078033C"/>
    <w:rsid w:val="0078052F"/>
    <w:rsid w:val="00780655"/>
    <w:rsid w:val="0078066F"/>
    <w:rsid w:val="00780681"/>
    <w:rsid w:val="0078081C"/>
    <w:rsid w:val="0078087D"/>
    <w:rsid w:val="007808C7"/>
    <w:rsid w:val="0078093E"/>
    <w:rsid w:val="00780953"/>
    <w:rsid w:val="0078095E"/>
    <w:rsid w:val="00780B0B"/>
    <w:rsid w:val="00780C73"/>
    <w:rsid w:val="00780C7E"/>
    <w:rsid w:val="00781041"/>
    <w:rsid w:val="007810E1"/>
    <w:rsid w:val="007815D7"/>
    <w:rsid w:val="00781766"/>
    <w:rsid w:val="00781782"/>
    <w:rsid w:val="00781D3C"/>
    <w:rsid w:val="00781E74"/>
    <w:rsid w:val="00781EFE"/>
    <w:rsid w:val="00782133"/>
    <w:rsid w:val="0078216B"/>
    <w:rsid w:val="0078217E"/>
    <w:rsid w:val="007823EE"/>
    <w:rsid w:val="007825D0"/>
    <w:rsid w:val="0078267B"/>
    <w:rsid w:val="0078271B"/>
    <w:rsid w:val="00782862"/>
    <w:rsid w:val="00782DEA"/>
    <w:rsid w:val="00782E4D"/>
    <w:rsid w:val="00782EEF"/>
    <w:rsid w:val="00782F95"/>
    <w:rsid w:val="00783349"/>
    <w:rsid w:val="00783358"/>
    <w:rsid w:val="007833A5"/>
    <w:rsid w:val="0078342B"/>
    <w:rsid w:val="00783672"/>
    <w:rsid w:val="00783959"/>
    <w:rsid w:val="00783A02"/>
    <w:rsid w:val="00783C8F"/>
    <w:rsid w:val="00783C94"/>
    <w:rsid w:val="007840B2"/>
    <w:rsid w:val="00784297"/>
    <w:rsid w:val="007842F8"/>
    <w:rsid w:val="0078460D"/>
    <w:rsid w:val="007848FC"/>
    <w:rsid w:val="00784AA0"/>
    <w:rsid w:val="00784BE6"/>
    <w:rsid w:val="00784EE1"/>
    <w:rsid w:val="00784EE6"/>
    <w:rsid w:val="00785027"/>
    <w:rsid w:val="00785075"/>
    <w:rsid w:val="007851B7"/>
    <w:rsid w:val="007851C8"/>
    <w:rsid w:val="007852C4"/>
    <w:rsid w:val="00785338"/>
    <w:rsid w:val="00785550"/>
    <w:rsid w:val="00785953"/>
    <w:rsid w:val="00785AF1"/>
    <w:rsid w:val="00785AF8"/>
    <w:rsid w:val="00785BF7"/>
    <w:rsid w:val="00785CD6"/>
    <w:rsid w:val="00785D0F"/>
    <w:rsid w:val="00785D3D"/>
    <w:rsid w:val="00785D7A"/>
    <w:rsid w:val="00785E5B"/>
    <w:rsid w:val="007860D0"/>
    <w:rsid w:val="007862D2"/>
    <w:rsid w:val="0078637D"/>
    <w:rsid w:val="007863DA"/>
    <w:rsid w:val="00786402"/>
    <w:rsid w:val="0078654C"/>
    <w:rsid w:val="0078678F"/>
    <w:rsid w:val="00786961"/>
    <w:rsid w:val="007869C2"/>
    <w:rsid w:val="007869C6"/>
    <w:rsid w:val="00786AF0"/>
    <w:rsid w:val="00786D2B"/>
    <w:rsid w:val="00786E61"/>
    <w:rsid w:val="0078726A"/>
    <w:rsid w:val="007872D4"/>
    <w:rsid w:val="0078735C"/>
    <w:rsid w:val="00787485"/>
    <w:rsid w:val="007874D7"/>
    <w:rsid w:val="00787CD4"/>
    <w:rsid w:val="007903C4"/>
    <w:rsid w:val="007907BE"/>
    <w:rsid w:val="0079089A"/>
    <w:rsid w:val="0079089C"/>
    <w:rsid w:val="0079095F"/>
    <w:rsid w:val="00790ADA"/>
    <w:rsid w:val="00790C51"/>
    <w:rsid w:val="007912A0"/>
    <w:rsid w:val="00791465"/>
    <w:rsid w:val="0079175E"/>
    <w:rsid w:val="007918D6"/>
    <w:rsid w:val="00791A8C"/>
    <w:rsid w:val="00791ABB"/>
    <w:rsid w:val="00791ABE"/>
    <w:rsid w:val="00791B77"/>
    <w:rsid w:val="00791CAD"/>
    <w:rsid w:val="00791D08"/>
    <w:rsid w:val="00791D35"/>
    <w:rsid w:val="007926EA"/>
    <w:rsid w:val="00792F8A"/>
    <w:rsid w:val="00792FDF"/>
    <w:rsid w:val="007931A9"/>
    <w:rsid w:val="007931B5"/>
    <w:rsid w:val="007932A1"/>
    <w:rsid w:val="007934CF"/>
    <w:rsid w:val="007935AB"/>
    <w:rsid w:val="007936A0"/>
    <w:rsid w:val="0079396C"/>
    <w:rsid w:val="00793A0B"/>
    <w:rsid w:val="00793BC3"/>
    <w:rsid w:val="00793D54"/>
    <w:rsid w:val="00793D60"/>
    <w:rsid w:val="007942F1"/>
    <w:rsid w:val="0079439E"/>
    <w:rsid w:val="00794543"/>
    <w:rsid w:val="00794938"/>
    <w:rsid w:val="00794B0A"/>
    <w:rsid w:val="00794D70"/>
    <w:rsid w:val="00794E3B"/>
    <w:rsid w:val="00795066"/>
    <w:rsid w:val="0079510A"/>
    <w:rsid w:val="00795149"/>
    <w:rsid w:val="007952F1"/>
    <w:rsid w:val="0079551C"/>
    <w:rsid w:val="00795584"/>
    <w:rsid w:val="00795BFD"/>
    <w:rsid w:val="00795C44"/>
    <w:rsid w:val="0079602F"/>
    <w:rsid w:val="0079603D"/>
    <w:rsid w:val="0079611E"/>
    <w:rsid w:val="00796125"/>
    <w:rsid w:val="00796338"/>
    <w:rsid w:val="007968BD"/>
    <w:rsid w:val="00796A65"/>
    <w:rsid w:val="00796A95"/>
    <w:rsid w:val="00796BA1"/>
    <w:rsid w:val="00796C51"/>
    <w:rsid w:val="00796DE8"/>
    <w:rsid w:val="007973C7"/>
    <w:rsid w:val="0079763C"/>
    <w:rsid w:val="007979EE"/>
    <w:rsid w:val="007A0209"/>
    <w:rsid w:val="007A02A4"/>
    <w:rsid w:val="007A0372"/>
    <w:rsid w:val="007A054F"/>
    <w:rsid w:val="007A0650"/>
    <w:rsid w:val="007A06BC"/>
    <w:rsid w:val="007A0759"/>
    <w:rsid w:val="007A081A"/>
    <w:rsid w:val="007A091F"/>
    <w:rsid w:val="007A09BC"/>
    <w:rsid w:val="007A0F64"/>
    <w:rsid w:val="007A1093"/>
    <w:rsid w:val="007A10D2"/>
    <w:rsid w:val="007A171E"/>
    <w:rsid w:val="007A198C"/>
    <w:rsid w:val="007A1AC0"/>
    <w:rsid w:val="007A1AF2"/>
    <w:rsid w:val="007A1FE5"/>
    <w:rsid w:val="007A1FFF"/>
    <w:rsid w:val="007A20E4"/>
    <w:rsid w:val="007A228E"/>
    <w:rsid w:val="007A22A3"/>
    <w:rsid w:val="007A2613"/>
    <w:rsid w:val="007A2632"/>
    <w:rsid w:val="007A2B81"/>
    <w:rsid w:val="007A2B90"/>
    <w:rsid w:val="007A2B92"/>
    <w:rsid w:val="007A3015"/>
    <w:rsid w:val="007A30CA"/>
    <w:rsid w:val="007A31F3"/>
    <w:rsid w:val="007A3312"/>
    <w:rsid w:val="007A3347"/>
    <w:rsid w:val="007A34F3"/>
    <w:rsid w:val="007A35DD"/>
    <w:rsid w:val="007A3675"/>
    <w:rsid w:val="007A3832"/>
    <w:rsid w:val="007A38F6"/>
    <w:rsid w:val="007A3968"/>
    <w:rsid w:val="007A3A99"/>
    <w:rsid w:val="007A3B09"/>
    <w:rsid w:val="007A3C34"/>
    <w:rsid w:val="007A3CDA"/>
    <w:rsid w:val="007A3CED"/>
    <w:rsid w:val="007A41C3"/>
    <w:rsid w:val="007A421E"/>
    <w:rsid w:val="007A422D"/>
    <w:rsid w:val="007A42A7"/>
    <w:rsid w:val="007A4423"/>
    <w:rsid w:val="007A444C"/>
    <w:rsid w:val="007A4837"/>
    <w:rsid w:val="007A4960"/>
    <w:rsid w:val="007A4C11"/>
    <w:rsid w:val="007A4C16"/>
    <w:rsid w:val="007A4CF9"/>
    <w:rsid w:val="007A4CFF"/>
    <w:rsid w:val="007A4E1B"/>
    <w:rsid w:val="007A519A"/>
    <w:rsid w:val="007A5340"/>
    <w:rsid w:val="007A5419"/>
    <w:rsid w:val="007A555F"/>
    <w:rsid w:val="007A564E"/>
    <w:rsid w:val="007A573D"/>
    <w:rsid w:val="007A57DB"/>
    <w:rsid w:val="007A5A55"/>
    <w:rsid w:val="007A5AB6"/>
    <w:rsid w:val="007A5FFD"/>
    <w:rsid w:val="007A6463"/>
    <w:rsid w:val="007A6B0D"/>
    <w:rsid w:val="007A6CA8"/>
    <w:rsid w:val="007A6CEA"/>
    <w:rsid w:val="007A6F07"/>
    <w:rsid w:val="007A6F3B"/>
    <w:rsid w:val="007A71C0"/>
    <w:rsid w:val="007A735C"/>
    <w:rsid w:val="007A76D8"/>
    <w:rsid w:val="007A77E4"/>
    <w:rsid w:val="007A793A"/>
    <w:rsid w:val="007A7965"/>
    <w:rsid w:val="007A7AEF"/>
    <w:rsid w:val="007A7B67"/>
    <w:rsid w:val="007A7B7D"/>
    <w:rsid w:val="007A7BAD"/>
    <w:rsid w:val="007A7C7E"/>
    <w:rsid w:val="007A7EAF"/>
    <w:rsid w:val="007B0089"/>
    <w:rsid w:val="007B07E5"/>
    <w:rsid w:val="007B0922"/>
    <w:rsid w:val="007B0E3A"/>
    <w:rsid w:val="007B0FCF"/>
    <w:rsid w:val="007B1082"/>
    <w:rsid w:val="007B1137"/>
    <w:rsid w:val="007B180E"/>
    <w:rsid w:val="007B18DF"/>
    <w:rsid w:val="007B1F0E"/>
    <w:rsid w:val="007B1F19"/>
    <w:rsid w:val="007B1FE4"/>
    <w:rsid w:val="007B2059"/>
    <w:rsid w:val="007B236D"/>
    <w:rsid w:val="007B2370"/>
    <w:rsid w:val="007B24E5"/>
    <w:rsid w:val="007B27FB"/>
    <w:rsid w:val="007B29D9"/>
    <w:rsid w:val="007B2BF3"/>
    <w:rsid w:val="007B2E3E"/>
    <w:rsid w:val="007B2FB1"/>
    <w:rsid w:val="007B307C"/>
    <w:rsid w:val="007B3566"/>
    <w:rsid w:val="007B3670"/>
    <w:rsid w:val="007B3A33"/>
    <w:rsid w:val="007B3A3D"/>
    <w:rsid w:val="007B3DC3"/>
    <w:rsid w:val="007B3DEE"/>
    <w:rsid w:val="007B3ED5"/>
    <w:rsid w:val="007B3FE6"/>
    <w:rsid w:val="007B401E"/>
    <w:rsid w:val="007B40DA"/>
    <w:rsid w:val="007B40DB"/>
    <w:rsid w:val="007B4405"/>
    <w:rsid w:val="007B4751"/>
    <w:rsid w:val="007B484D"/>
    <w:rsid w:val="007B492E"/>
    <w:rsid w:val="007B4B05"/>
    <w:rsid w:val="007B4B4C"/>
    <w:rsid w:val="007B4C93"/>
    <w:rsid w:val="007B4D45"/>
    <w:rsid w:val="007B4E63"/>
    <w:rsid w:val="007B4EE5"/>
    <w:rsid w:val="007B50D6"/>
    <w:rsid w:val="007B5214"/>
    <w:rsid w:val="007B522E"/>
    <w:rsid w:val="007B5367"/>
    <w:rsid w:val="007B5368"/>
    <w:rsid w:val="007B54F5"/>
    <w:rsid w:val="007B5A43"/>
    <w:rsid w:val="007B5C07"/>
    <w:rsid w:val="007B5C7A"/>
    <w:rsid w:val="007B5E0A"/>
    <w:rsid w:val="007B6034"/>
    <w:rsid w:val="007B60D2"/>
    <w:rsid w:val="007B6122"/>
    <w:rsid w:val="007B6299"/>
    <w:rsid w:val="007B6314"/>
    <w:rsid w:val="007B651A"/>
    <w:rsid w:val="007B6965"/>
    <w:rsid w:val="007B6D73"/>
    <w:rsid w:val="007B6F9B"/>
    <w:rsid w:val="007B7455"/>
    <w:rsid w:val="007B76B1"/>
    <w:rsid w:val="007B7922"/>
    <w:rsid w:val="007B7A0C"/>
    <w:rsid w:val="007B7C04"/>
    <w:rsid w:val="007B7CD9"/>
    <w:rsid w:val="007B7DF6"/>
    <w:rsid w:val="007B7E42"/>
    <w:rsid w:val="007B7E62"/>
    <w:rsid w:val="007B7E73"/>
    <w:rsid w:val="007B7FA8"/>
    <w:rsid w:val="007BC2F6"/>
    <w:rsid w:val="007C0171"/>
    <w:rsid w:val="007C0496"/>
    <w:rsid w:val="007C06DB"/>
    <w:rsid w:val="007C082A"/>
    <w:rsid w:val="007C0BB6"/>
    <w:rsid w:val="007C0C04"/>
    <w:rsid w:val="007C0F81"/>
    <w:rsid w:val="007C0FF4"/>
    <w:rsid w:val="007C15B2"/>
    <w:rsid w:val="007C18D8"/>
    <w:rsid w:val="007C1B9A"/>
    <w:rsid w:val="007C1F9E"/>
    <w:rsid w:val="007C21C4"/>
    <w:rsid w:val="007C232D"/>
    <w:rsid w:val="007C2428"/>
    <w:rsid w:val="007C25B9"/>
    <w:rsid w:val="007C26C4"/>
    <w:rsid w:val="007C2893"/>
    <w:rsid w:val="007C289A"/>
    <w:rsid w:val="007C292F"/>
    <w:rsid w:val="007C2A46"/>
    <w:rsid w:val="007C2E20"/>
    <w:rsid w:val="007C2E54"/>
    <w:rsid w:val="007C2F8F"/>
    <w:rsid w:val="007C30CA"/>
    <w:rsid w:val="007C3184"/>
    <w:rsid w:val="007C35EE"/>
    <w:rsid w:val="007C3858"/>
    <w:rsid w:val="007C3912"/>
    <w:rsid w:val="007C3B31"/>
    <w:rsid w:val="007C3C83"/>
    <w:rsid w:val="007C3FBE"/>
    <w:rsid w:val="007C3FF4"/>
    <w:rsid w:val="007C412D"/>
    <w:rsid w:val="007C414F"/>
    <w:rsid w:val="007C417C"/>
    <w:rsid w:val="007C45EA"/>
    <w:rsid w:val="007C4743"/>
    <w:rsid w:val="007C4821"/>
    <w:rsid w:val="007C49E9"/>
    <w:rsid w:val="007C4A2D"/>
    <w:rsid w:val="007C4BE4"/>
    <w:rsid w:val="007C4EB1"/>
    <w:rsid w:val="007C541B"/>
    <w:rsid w:val="007C54F2"/>
    <w:rsid w:val="007C5937"/>
    <w:rsid w:val="007C5AA6"/>
    <w:rsid w:val="007C5C1C"/>
    <w:rsid w:val="007C653E"/>
    <w:rsid w:val="007C66BC"/>
    <w:rsid w:val="007C675B"/>
    <w:rsid w:val="007C6921"/>
    <w:rsid w:val="007C6A60"/>
    <w:rsid w:val="007C6B8F"/>
    <w:rsid w:val="007C6C6F"/>
    <w:rsid w:val="007C6D34"/>
    <w:rsid w:val="007C6DAC"/>
    <w:rsid w:val="007C7342"/>
    <w:rsid w:val="007C74FC"/>
    <w:rsid w:val="007C767B"/>
    <w:rsid w:val="007C7725"/>
    <w:rsid w:val="007C77DD"/>
    <w:rsid w:val="007C78A7"/>
    <w:rsid w:val="007C7BDA"/>
    <w:rsid w:val="007C7D18"/>
    <w:rsid w:val="007C7FFE"/>
    <w:rsid w:val="007D0006"/>
    <w:rsid w:val="007D006F"/>
    <w:rsid w:val="007D01FF"/>
    <w:rsid w:val="007D06EA"/>
    <w:rsid w:val="007D07BC"/>
    <w:rsid w:val="007D0B9E"/>
    <w:rsid w:val="007D1045"/>
    <w:rsid w:val="007D107C"/>
    <w:rsid w:val="007D144A"/>
    <w:rsid w:val="007D153A"/>
    <w:rsid w:val="007D15DF"/>
    <w:rsid w:val="007D198D"/>
    <w:rsid w:val="007D1EC9"/>
    <w:rsid w:val="007D235F"/>
    <w:rsid w:val="007D24D7"/>
    <w:rsid w:val="007D25E1"/>
    <w:rsid w:val="007D2DB6"/>
    <w:rsid w:val="007D2F67"/>
    <w:rsid w:val="007D33F9"/>
    <w:rsid w:val="007D34E3"/>
    <w:rsid w:val="007D38A6"/>
    <w:rsid w:val="007D3B78"/>
    <w:rsid w:val="007D3C97"/>
    <w:rsid w:val="007D3DAE"/>
    <w:rsid w:val="007D400A"/>
    <w:rsid w:val="007D41F7"/>
    <w:rsid w:val="007D46C9"/>
    <w:rsid w:val="007D489D"/>
    <w:rsid w:val="007D4921"/>
    <w:rsid w:val="007D49A3"/>
    <w:rsid w:val="007D49B8"/>
    <w:rsid w:val="007D49F7"/>
    <w:rsid w:val="007D4F8E"/>
    <w:rsid w:val="007D500A"/>
    <w:rsid w:val="007D50B5"/>
    <w:rsid w:val="007D55F1"/>
    <w:rsid w:val="007D585A"/>
    <w:rsid w:val="007D594B"/>
    <w:rsid w:val="007D59DB"/>
    <w:rsid w:val="007D5B3A"/>
    <w:rsid w:val="007D5B3E"/>
    <w:rsid w:val="007D5C47"/>
    <w:rsid w:val="007D5E44"/>
    <w:rsid w:val="007D6145"/>
    <w:rsid w:val="007D6322"/>
    <w:rsid w:val="007D661B"/>
    <w:rsid w:val="007D670E"/>
    <w:rsid w:val="007D6726"/>
    <w:rsid w:val="007D68D0"/>
    <w:rsid w:val="007D68EB"/>
    <w:rsid w:val="007D698B"/>
    <w:rsid w:val="007D6D2F"/>
    <w:rsid w:val="007D6E96"/>
    <w:rsid w:val="007D728F"/>
    <w:rsid w:val="007D7377"/>
    <w:rsid w:val="007D752A"/>
    <w:rsid w:val="007D7686"/>
    <w:rsid w:val="007D76AF"/>
    <w:rsid w:val="007D77B0"/>
    <w:rsid w:val="007D7B10"/>
    <w:rsid w:val="007D7D41"/>
    <w:rsid w:val="007D7E4C"/>
    <w:rsid w:val="007E0122"/>
    <w:rsid w:val="007E01B2"/>
    <w:rsid w:val="007E0839"/>
    <w:rsid w:val="007E0851"/>
    <w:rsid w:val="007E0914"/>
    <w:rsid w:val="007E0D04"/>
    <w:rsid w:val="007E10A1"/>
    <w:rsid w:val="007E115F"/>
    <w:rsid w:val="007E1413"/>
    <w:rsid w:val="007E152A"/>
    <w:rsid w:val="007E153C"/>
    <w:rsid w:val="007E1661"/>
    <w:rsid w:val="007E1797"/>
    <w:rsid w:val="007E1835"/>
    <w:rsid w:val="007E193D"/>
    <w:rsid w:val="007E23F2"/>
    <w:rsid w:val="007E2688"/>
    <w:rsid w:val="007E270E"/>
    <w:rsid w:val="007E276B"/>
    <w:rsid w:val="007E2895"/>
    <w:rsid w:val="007E2914"/>
    <w:rsid w:val="007E29A8"/>
    <w:rsid w:val="007E29B0"/>
    <w:rsid w:val="007E2C61"/>
    <w:rsid w:val="007E2C9B"/>
    <w:rsid w:val="007E2CC5"/>
    <w:rsid w:val="007E2EB1"/>
    <w:rsid w:val="007E2EB3"/>
    <w:rsid w:val="007E3084"/>
    <w:rsid w:val="007E321E"/>
    <w:rsid w:val="007E351A"/>
    <w:rsid w:val="007E3804"/>
    <w:rsid w:val="007E3904"/>
    <w:rsid w:val="007E3976"/>
    <w:rsid w:val="007E39D1"/>
    <w:rsid w:val="007E3DE0"/>
    <w:rsid w:val="007E4009"/>
    <w:rsid w:val="007E40A0"/>
    <w:rsid w:val="007E459D"/>
    <w:rsid w:val="007E4827"/>
    <w:rsid w:val="007E4A78"/>
    <w:rsid w:val="007E4CF7"/>
    <w:rsid w:val="007E5313"/>
    <w:rsid w:val="007E56C8"/>
    <w:rsid w:val="007E574B"/>
    <w:rsid w:val="007E5A4F"/>
    <w:rsid w:val="007E5B28"/>
    <w:rsid w:val="007E5B8A"/>
    <w:rsid w:val="007E5E5A"/>
    <w:rsid w:val="007E60E2"/>
    <w:rsid w:val="007E627B"/>
    <w:rsid w:val="007E64D7"/>
    <w:rsid w:val="007E6663"/>
    <w:rsid w:val="007E6C3E"/>
    <w:rsid w:val="007E6D35"/>
    <w:rsid w:val="007E777A"/>
    <w:rsid w:val="007E7953"/>
    <w:rsid w:val="007E7A15"/>
    <w:rsid w:val="007E7DD4"/>
    <w:rsid w:val="007E7E8B"/>
    <w:rsid w:val="007E7FB6"/>
    <w:rsid w:val="007F0252"/>
    <w:rsid w:val="007F0303"/>
    <w:rsid w:val="007F0387"/>
    <w:rsid w:val="007F0561"/>
    <w:rsid w:val="007F0576"/>
    <w:rsid w:val="007F06F0"/>
    <w:rsid w:val="007F0AA2"/>
    <w:rsid w:val="007F0CBC"/>
    <w:rsid w:val="007F0E60"/>
    <w:rsid w:val="007F0F82"/>
    <w:rsid w:val="007F101A"/>
    <w:rsid w:val="007F14ED"/>
    <w:rsid w:val="007F151E"/>
    <w:rsid w:val="007F1BAD"/>
    <w:rsid w:val="007F1BDA"/>
    <w:rsid w:val="007F1CA3"/>
    <w:rsid w:val="007F20A3"/>
    <w:rsid w:val="007F216E"/>
    <w:rsid w:val="007F2527"/>
    <w:rsid w:val="007F2592"/>
    <w:rsid w:val="007F2605"/>
    <w:rsid w:val="007F2647"/>
    <w:rsid w:val="007F265D"/>
    <w:rsid w:val="007F2852"/>
    <w:rsid w:val="007F2910"/>
    <w:rsid w:val="007F29A0"/>
    <w:rsid w:val="007F2B0B"/>
    <w:rsid w:val="007F2BAF"/>
    <w:rsid w:val="007F2C65"/>
    <w:rsid w:val="007F2CC9"/>
    <w:rsid w:val="007F2F4D"/>
    <w:rsid w:val="007F3069"/>
    <w:rsid w:val="007F3084"/>
    <w:rsid w:val="007F312F"/>
    <w:rsid w:val="007F3150"/>
    <w:rsid w:val="007F34D3"/>
    <w:rsid w:val="007F37B2"/>
    <w:rsid w:val="007F38CF"/>
    <w:rsid w:val="007F3928"/>
    <w:rsid w:val="007F39A9"/>
    <w:rsid w:val="007F3D57"/>
    <w:rsid w:val="007F3D9C"/>
    <w:rsid w:val="007F4429"/>
    <w:rsid w:val="007F4466"/>
    <w:rsid w:val="007F4578"/>
    <w:rsid w:val="007F459A"/>
    <w:rsid w:val="007F4C2E"/>
    <w:rsid w:val="007F4F22"/>
    <w:rsid w:val="007F508B"/>
    <w:rsid w:val="007F58DE"/>
    <w:rsid w:val="007F58E5"/>
    <w:rsid w:val="007F593B"/>
    <w:rsid w:val="007F5B8B"/>
    <w:rsid w:val="007F5D09"/>
    <w:rsid w:val="007F6149"/>
    <w:rsid w:val="007F6390"/>
    <w:rsid w:val="007F649B"/>
    <w:rsid w:val="007F6629"/>
    <w:rsid w:val="007F66A6"/>
    <w:rsid w:val="007F67B9"/>
    <w:rsid w:val="007F6AEB"/>
    <w:rsid w:val="007F6C51"/>
    <w:rsid w:val="007F6CBE"/>
    <w:rsid w:val="007F6EC9"/>
    <w:rsid w:val="007F717E"/>
    <w:rsid w:val="007F732B"/>
    <w:rsid w:val="007F7477"/>
    <w:rsid w:val="007F751D"/>
    <w:rsid w:val="007F766B"/>
    <w:rsid w:val="007F7887"/>
    <w:rsid w:val="007F7A76"/>
    <w:rsid w:val="007F7CB6"/>
    <w:rsid w:val="007F7CCB"/>
    <w:rsid w:val="007F7DD4"/>
    <w:rsid w:val="008000F9"/>
    <w:rsid w:val="008002EF"/>
    <w:rsid w:val="0080036C"/>
    <w:rsid w:val="0080049D"/>
    <w:rsid w:val="0080052B"/>
    <w:rsid w:val="0080054B"/>
    <w:rsid w:val="008005B1"/>
    <w:rsid w:val="008007CE"/>
    <w:rsid w:val="00800809"/>
    <w:rsid w:val="00800B1E"/>
    <w:rsid w:val="00800B41"/>
    <w:rsid w:val="00800C3F"/>
    <w:rsid w:val="00800E87"/>
    <w:rsid w:val="00800EF0"/>
    <w:rsid w:val="00800F78"/>
    <w:rsid w:val="008016D5"/>
    <w:rsid w:val="00801CCB"/>
    <w:rsid w:val="00801CCE"/>
    <w:rsid w:val="00801DD3"/>
    <w:rsid w:val="00801F38"/>
    <w:rsid w:val="00801F60"/>
    <w:rsid w:val="00801FD6"/>
    <w:rsid w:val="00802169"/>
    <w:rsid w:val="008021CA"/>
    <w:rsid w:val="0080254B"/>
    <w:rsid w:val="00802630"/>
    <w:rsid w:val="00802708"/>
    <w:rsid w:val="00802811"/>
    <w:rsid w:val="00802CC3"/>
    <w:rsid w:val="00802CCC"/>
    <w:rsid w:val="00802E30"/>
    <w:rsid w:val="008032DE"/>
    <w:rsid w:val="008036BA"/>
    <w:rsid w:val="00803AA3"/>
    <w:rsid w:val="00803E04"/>
    <w:rsid w:val="00803EC1"/>
    <w:rsid w:val="00804165"/>
    <w:rsid w:val="00804181"/>
    <w:rsid w:val="008042FB"/>
    <w:rsid w:val="008046AF"/>
    <w:rsid w:val="00804787"/>
    <w:rsid w:val="008047C3"/>
    <w:rsid w:val="008047C9"/>
    <w:rsid w:val="00804D3F"/>
    <w:rsid w:val="00804FA9"/>
    <w:rsid w:val="00804FE2"/>
    <w:rsid w:val="0080504D"/>
    <w:rsid w:val="0080569C"/>
    <w:rsid w:val="008057D1"/>
    <w:rsid w:val="0080581E"/>
    <w:rsid w:val="008058F7"/>
    <w:rsid w:val="00805D09"/>
    <w:rsid w:val="00805D4D"/>
    <w:rsid w:val="00805F85"/>
    <w:rsid w:val="00805F8D"/>
    <w:rsid w:val="00806693"/>
    <w:rsid w:val="008068C9"/>
    <w:rsid w:val="00806FE9"/>
    <w:rsid w:val="008074F0"/>
    <w:rsid w:val="008079E3"/>
    <w:rsid w:val="00810092"/>
    <w:rsid w:val="008102BA"/>
    <w:rsid w:val="00810604"/>
    <w:rsid w:val="0081081B"/>
    <w:rsid w:val="00810969"/>
    <w:rsid w:val="0081097B"/>
    <w:rsid w:val="00810AC0"/>
    <w:rsid w:val="00810AE0"/>
    <w:rsid w:val="00810C11"/>
    <w:rsid w:val="00810EB6"/>
    <w:rsid w:val="00811197"/>
    <w:rsid w:val="00811349"/>
    <w:rsid w:val="0081142A"/>
    <w:rsid w:val="008118BE"/>
    <w:rsid w:val="008119E0"/>
    <w:rsid w:val="00811A2D"/>
    <w:rsid w:val="00811AC0"/>
    <w:rsid w:val="00811B1D"/>
    <w:rsid w:val="00811E8D"/>
    <w:rsid w:val="00812457"/>
    <w:rsid w:val="00812541"/>
    <w:rsid w:val="008125A4"/>
    <w:rsid w:val="00812751"/>
    <w:rsid w:val="008127C9"/>
    <w:rsid w:val="00812903"/>
    <w:rsid w:val="00812A66"/>
    <w:rsid w:val="00812D19"/>
    <w:rsid w:val="00812DE8"/>
    <w:rsid w:val="008134AA"/>
    <w:rsid w:val="008136C3"/>
    <w:rsid w:val="00813847"/>
    <w:rsid w:val="00813884"/>
    <w:rsid w:val="0081397E"/>
    <w:rsid w:val="00813E21"/>
    <w:rsid w:val="00814677"/>
    <w:rsid w:val="008147C0"/>
    <w:rsid w:val="00814824"/>
    <w:rsid w:val="00814AD7"/>
    <w:rsid w:val="00814AF2"/>
    <w:rsid w:val="00814CD0"/>
    <w:rsid w:val="00814F03"/>
    <w:rsid w:val="0081516F"/>
    <w:rsid w:val="00815223"/>
    <w:rsid w:val="0081553C"/>
    <w:rsid w:val="00815816"/>
    <w:rsid w:val="00815841"/>
    <w:rsid w:val="00815E26"/>
    <w:rsid w:val="0081604B"/>
    <w:rsid w:val="00816242"/>
    <w:rsid w:val="0081633B"/>
    <w:rsid w:val="00816551"/>
    <w:rsid w:val="008165D4"/>
    <w:rsid w:val="008165E5"/>
    <w:rsid w:val="0081670D"/>
    <w:rsid w:val="0081695B"/>
    <w:rsid w:val="00816BBE"/>
    <w:rsid w:val="00816CEB"/>
    <w:rsid w:val="00816D74"/>
    <w:rsid w:val="008173BB"/>
    <w:rsid w:val="008179D6"/>
    <w:rsid w:val="00817A32"/>
    <w:rsid w:val="00817D30"/>
    <w:rsid w:val="00817FB4"/>
    <w:rsid w:val="00820291"/>
    <w:rsid w:val="008205F4"/>
    <w:rsid w:val="008206AC"/>
    <w:rsid w:val="00820729"/>
    <w:rsid w:val="00820895"/>
    <w:rsid w:val="00820957"/>
    <w:rsid w:val="00820AF1"/>
    <w:rsid w:val="00820C9D"/>
    <w:rsid w:val="00820EB4"/>
    <w:rsid w:val="00820FA9"/>
    <w:rsid w:val="00821138"/>
    <w:rsid w:val="0082120C"/>
    <w:rsid w:val="00821431"/>
    <w:rsid w:val="00821723"/>
    <w:rsid w:val="00821728"/>
    <w:rsid w:val="008218F0"/>
    <w:rsid w:val="008219C8"/>
    <w:rsid w:val="00821A11"/>
    <w:rsid w:val="00821D00"/>
    <w:rsid w:val="00821D74"/>
    <w:rsid w:val="00821F5D"/>
    <w:rsid w:val="00822020"/>
    <w:rsid w:val="00822623"/>
    <w:rsid w:val="00822A12"/>
    <w:rsid w:val="00822FBD"/>
    <w:rsid w:val="0082303D"/>
    <w:rsid w:val="0082319B"/>
    <w:rsid w:val="008232F5"/>
    <w:rsid w:val="00823337"/>
    <w:rsid w:val="00823568"/>
    <w:rsid w:val="0082369E"/>
    <w:rsid w:val="008237D1"/>
    <w:rsid w:val="008238FC"/>
    <w:rsid w:val="00824063"/>
    <w:rsid w:val="008244E4"/>
    <w:rsid w:val="008246EA"/>
    <w:rsid w:val="00824769"/>
    <w:rsid w:val="0082491D"/>
    <w:rsid w:val="00824B66"/>
    <w:rsid w:val="00824BEF"/>
    <w:rsid w:val="00824C30"/>
    <w:rsid w:val="00824FA6"/>
    <w:rsid w:val="0082550B"/>
    <w:rsid w:val="0082551D"/>
    <w:rsid w:val="00825EFC"/>
    <w:rsid w:val="00826106"/>
    <w:rsid w:val="008263CE"/>
    <w:rsid w:val="008264C8"/>
    <w:rsid w:val="008267B1"/>
    <w:rsid w:val="00826809"/>
    <w:rsid w:val="0082694C"/>
    <w:rsid w:val="00826966"/>
    <w:rsid w:val="00826E6A"/>
    <w:rsid w:val="008270E9"/>
    <w:rsid w:val="0082740E"/>
    <w:rsid w:val="0082763E"/>
    <w:rsid w:val="008276C4"/>
    <w:rsid w:val="00827785"/>
    <w:rsid w:val="0082788D"/>
    <w:rsid w:val="00827976"/>
    <w:rsid w:val="00827AA4"/>
    <w:rsid w:val="00827AEA"/>
    <w:rsid w:val="00827B68"/>
    <w:rsid w:val="00827BC9"/>
    <w:rsid w:val="00827D21"/>
    <w:rsid w:val="00827F0B"/>
    <w:rsid w:val="00830031"/>
    <w:rsid w:val="008300BB"/>
    <w:rsid w:val="00830181"/>
    <w:rsid w:val="008302D9"/>
    <w:rsid w:val="00830312"/>
    <w:rsid w:val="00830382"/>
    <w:rsid w:val="008303A2"/>
    <w:rsid w:val="0083097E"/>
    <w:rsid w:val="008309A8"/>
    <w:rsid w:val="00830D17"/>
    <w:rsid w:val="00830D90"/>
    <w:rsid w:val="00830DFB"/>
    <w:rsid w:val="00830E37"/>
    <w:rsid w:val="00830F0D"/>
    <w:rsid w:val="0083148C"/>
    <w:rsid w:val="00831782"/>
    <w:rsid w:val="008317FF"/>
    <w:rsid w:val="00831837"/>
    <w:rsid w:val="0083197F"/>
    <w:rsid w:val="00831BC4"/>
    <w:rsid w:val="00831C61"/>
    <w:rsid w:val="00831D30"/>
    <w:rsid w:val="00831E0B"/>
    <w:rsid w:val="00831EBD"/>
    <w:rsid w:val="00831EDD"/>
    <w:rsid w:val="00832488"/>
    <w:rsid w:val="008325BA"/>
    <w:rsid w:val="00832B91"/>
    <w:rsid w:val="00832BA9"/>
    <w:rsid w:val="00832FD7"/>
    <w:rsid w:val="008334A2"/>
    <w:rsid w:val="008334FD"/>
    <w:rsid w:val="008337F6"/>
    <w:rsid w:val="00833A26"/>
    <w:rsid w:val="00833DCA"/>
    <w:rsid w:val="0083422E"/>
    <w:rsid w:val="0083423F"/>
    <w:rsid w:val="008346D5"/>
    <w:rsid w:val="008348BC"/>
    <w:rsid w:val="00834C7C"/>
    <w:rsid w:val="00834D2C"/>
    <w:rsid w:val="00834D5A"/>
    <w:rsid w:val="00834E38"/>
    <w:rsid w:val="00834EB6"/>
    <w:rsid w:val="00834F5D"/>
    <w:rsid w:val="00835204"/>
    <w:rsid w:val="00835329"/>
    <w:rsid w:val="008353D6"/>
    <w:rsid w:val="00835596"/>
    <w:rsid w:val="00835933"/>
    <w:rsid w:val="00835DD6"/>
    <w:rsid w:val="00835DF1"/>
    <w:rsid w:val="00835E8E"/>
    <w:rsid w:val="00836159"/>
    <w:rsid w:val="0083632C"/>
    <w:rsid w:val="00836446"/>
    <w:rsid w:val="00836539"/>
    <w:rsid w:val="008366B1"/>
    <w:rsid w:val="008369DC"/>
    <w:rsid w:val="00836A2C"/>
    <w:rsid w:val="00836FDC"/>
    <w:rsid w:val="008371BD"/>
    <w:rsid w:val="008372CA"/>
    <w:rsid w:val="00837327"/>
    <w:rsid w:val="0083762A"/>
    <w:rsid w:val="00837658"/>
    <w:rsid w:val="00837910"/>
    <w:rsid w:val="00837AA8"/>
    <w:rsid w:val="00837B9C"/>
    <w:rsid w:val="00837EF0"/>
    <w:rsid w:val="00840113"/>
    <w:rsid w:val="00840228"/>
    <w:rsid w:val="0084049B"/>
    <w:rsid w:val="00840684"/>
    <w:rsid w:val="008407A4"/>
    <w:rsid w:val="00840C3D"/>
    <w:rsid w:val="00840CED"/>
    <w:rsid w:val="00840F73"/>
    <w:rsid w:val="0084113E"/>
    <w:rsid w:val="008412CE"/>
    <w:rsid w:val="008413F1"/>
    <w:rsid w:val="008415EC"/>
    <w:rsid w:val="008417A8"/>
    <w:rsid w:val="00841B16"/>
    <w:rsid w:val="00841F63"/>
    <w:rsid w:val="00841FB4"/>
    <w:rsid w:val="008422C0"/>
    <w:rsid w:val="008423AD"/>
    <w:rsid w:val="008424B2"/>
    <w:rsid w:val="008425CE"/>
    <w:rsid w:val="00842616"/>
    <w:rsid w:val="00842658"/>
    <w:rsid w:val="008426F7"/>
    <w:rsid w:val="00842A9C"/>
    <w:rsid w:val="00842AC1"/>
    <w:rsid w:val="00842CC7"/>
    <w:rsid w:val="00842CD0"/>
    <w:rsid w:val="008431A5"/>
    <w:rsid w:val="00843281"/>
    <w:rsid w:val="00843580"/>
    <w:rsid w:val="0084362C"/>
    <w:rsid w:val="0084371A"/>
    <w:rsid w:val="008438CD"/>
    <w:rsid w:val="0084397E"/>
    <w:rsid w:val="00843C79"/>
    <w:rsid w:val="00843CFB"/>
    <w:rsid w:val="00844160"/>
    <w:rsid w:val="008441F5"/>
    <w:rsid w:val="00844672"/>
    <w:rsid w:val="008446B0"/>
    <w:rsid w:val="00844A03"/>
    <w:rsid w:val="00844A95"/>
    <w:rsid w:val="00844D3C"/>
    <w:rsid w:val="00844D60"/>
    <w:rsid w:val="00844F06"/>
    <w:rsid w:val="00845049"/>
    <w:rsid w:val="0084514E"/>
    <w:rsid w:val="008451A8"/>
    <w:rsid w:val="008451C2"/>
    <w:rsid w:val="008451E4"/>
    <w:rsid w:val="00845225"/>
    <w:rsid w:val="0084535B"/>
    <w:rsid w:val="00845440"/>
    <w:rsid w:val="00845945"/>
    <w:rsid w:val="00845AE0"/>
    <w:rsid w:val="00845C5C"/>
    <w:rsid w:val="00846029"/>
    <w:rsid w:val="008460B0"/>
    <w:rsid w:val="0084613F"/>
    <w:rsid w:val="0084628F"/>
    <w:rsid w:val="00846632"/>
    <w:rsid w:val="008466DD"/>
    <w:rsid w:val="00846859"/>
    <w:rsid w:val="00846B03"/>
    <w:rsid w:val="00846C4F"/>
    <w:rsid w:val="00846C55"/>
    <w:rsid w:val="00846C69"/>
    <w:rsid w:val="00846E51"/>
    <w:rsid w:val="00846F5C"/>
    <w:rsid w:val="00846F7D"/>
    <w:rsid w:val="00846FFC"/>
    <w:rsid w:val="008471D1"/>
    <w:rsid w:val="00847389"/>
    <w:rsid w:val="008474EB"/>
    <w:rsid w:val="00847670"/>
    <w:rsid w:val="008476B4"/>
    <w:rsid w:val="008477AB"/>
    <w:rsid w:val="00847AD0"/>
    <w:rsid w:val="00847BF4"/>
    <w:rsid w:val="00847E3A"/>
    <w:rsid w:val="00847EC9"/>
    <w:rsid w:val="00847F4E"/>
    <w:rsid w:val="00847FA7"/>
    <w:rsid w:val="00850080"/>
    <w:rsid w:val="00850150"/>
    <w:rsid w:val="008508EE"/>
    <w:rsid w:val="0085099D"/>
    <w:rsid w:val="008509B5"/>
    <w:rsid w:val="00850BAE"/>
    <w:rsid w:val="00850C05"/>
    <w:rsid w:val="00850C14"/>
    <w:rsid w:val="00850E34"/>
    <w:rsid w:val="0085105F"/>
    <w:rsid w:val="00851275"/>
    <w:rsid w:val="008514F2"/>
    <w:rsid w:val="008514F3"/>
    <w:rsid w:val="008515F3"/>
    <w:rsid w:val="0085193C"/>
    <w:rsid w:val="00851BE5"/>
    <w:rsid w:val="00852157"/>
    <w:rsid w:val="0085226F"/>
    <w:rsid w:val="008522BD"/>
    <w:rsid w:val="00852361"/>
    <w:rsid w:val="00852A24"/>
    <w:rsid w:val="00852BB9"/>
    <w:rsid w:val="00852CAE"/>
    <w:rsid w:val="00852FAD"/>
    <w:rsid w:val="00853128"/>
    <w:rsid w:val="008534D6"/>
    <w:rsid w:val="0085357A"/>
    <w:rsid w:val="00853613"/>
    <w:rsid w:val="00853759"/>
    <w:rsid w:val="00853B10"/>
    <w:rsid w:val="00853BCC"/>
    <w:rsid w:val="00853C8D"/>
    <w:rsid w:val="00853DCE"/>
    <w:rsid w:val="00853E98"/>
    <w:rsid w:val="00853F00"/>
    <w:rsid w:val="00853F1C"/>
    <w:rsid w:val="00853F82"/>
    <w:rsid w:val="00854151"/>
    <w:rsid w:val="00854397"/>
    <w:rsid w:val="00854468"/>
    <w:rsid w:val="00854471"/>
    <w:rsid w:val="00854559"/>
    <w:rsid w:val="008547DC"/>
    <w:rsid w:val="00854894"/>
    <w:rsid w:val="00854958"/>
    <w:rsid w:val="00854A57"/>
    <w:rsid w:val="00854AAC"/>
    <w:rsid w:val="00854AF1"/>
    <w:rsid w:val="00854D26"/>
    <w:rsid w:val="00854E5F"/>
    <w:rsid w:val="00854F12"/>
    <w:rsid w:val="008552BC"/>
    <w:rsid w:val="00855491"/>
    <w:rsid w:val="008554A7"/>
    <w:rsid w:val="00855513"/>
    <w:rsid w:val="008557D6"/>
    <w:rsid w:val="00855988"/>
    <w:rsid w:val="00855A23"/>
    <w:rsid w:val="00855C31"/>
    <w:rsid w:val="00855CD5"/>
    <w:rsid w:val="00855F08"/>
    <w:rsid w:val="0085610A"/>
    <w:rsid w:val="0085620A"/>
    <w:rsid w:val="008563AC"/>
    <w:rsid w:val="008568A6"/>
    <w:rsid w:val="00856A3B"/>
    <w:rsid w:val="00856CC3"/>
    <w:rsid w:val="008572CA"/>
    <w:rsid w:val="008574A8"/>
    <w:rsid w:val="008577F5"/>
    <w:rsid w:val="00857CA3"/>
    <w:rsid w:val="00857FFB"/>
    <w:rsid w:val="00860010"/>
    <w:rsid w:val="0086006E"/>
    <w:rsid w:val="00860319"/>
    <w:rsid w:val="00860578"/>
    <w:rsid w:val="0086089C"/>
    <w:rsid w:val="00860AAD"/>
    <w:rsid w:val="00860EC2"/>
    <w:rsid w:val="00861029"/>
    <w:rsid w:val="00861170"/>
    <w:rsid w:val="00861401"/>
    <w:rsid w:val="00861813"/>
    <w:rsid w:val="0086196F"/>
    <w:rsid w:val="008619EC"/>
    <w:rsid w:val="00861A5E"/>
    <w:rsid w:val="00861B81"/>
    <w:rsid w:val="00861D22"/>
    <w:rsid w:val="00861D67"/>
    <w:rsid w:val="00861DDA"/>
    <w:rsid w:val="00861E99"/>
    <w:rsid w:val="00862336"/>
    <w:rsid w:val="008623E8"/>
    <w:rsid w:val="00862575"/>
    <w:rsid w:val="00862797"/>
    <w:rsid w:val="00862A36"/>
    <w:rsid w:val="00862C79"/>
    <w:rsid w:val="00862CE0"/>
    <w:rsid w:val="00862ECB"/>
    <w:rsid w:val="00862FD2"/>
    <w:rsid w:val="0086302B"/>
    <w:rsid w:val="0086306F"/>
    <w:rsid w:val="00863076"/>
    <w:rsid w:val="0086309E"/>
    <w:rsid w:val="008634E6"/>
    <w:rsid w:val="0086380B"/>
    <w:rsid w:val="00863AEB"/>
    <w:rsid w:val="00863CE4"/>
    <w:rsid w:val="00863DAC"/>
    <w:rsid w:val="008640B2"/>
    <w:rsid w:val="0086424C"/>
    <w:rsid w:val="0086430F"/>
    <w:rsid w:val="0086444E"/>
    <w:rsid w:val="00864618"/>
    <w:rsid w:val="00864704"/>
    <w:rsid w:val="00864C99"/>
    <w:rsid w:val="00864CAE"/>
    <w:rsid w:val="00864D5A"/>
    <w:rsid w:val="00865057"/>
    <w:rsid w:val="00865492"/>
    <w:rsid w:val="008654B3"/>
    <w:rsid w:val="00865A47"/>
    <w:rsid w:val="00865B29"/>
    <w:rsid w:val="00865CB8"/>
    <w:rsid w:val="00865E9D"/>
    <w:rsid w:val="008661BE"/>
    <w:rsid w:val="008661BF"/>
    <w:rsid w:val="008662D6"/>
    <w:rsid w:val="00866318"/>
    <w:rsid w:val="00866530"/>
    <w:rsid w:val="008667CA"/>
    <w:rsid w:val="00866C8F"/>
    <w:rsid w:val="00866CAB"/>
    <w:rsid w:val="008670DF"/>
    <w:rsid w:val="0086720C"/>
    <w:rsid w:val="0086749F"/>
    <w:rsid w:val="00867653"/>
    <w:rsid w:val="00870204"/>
    <w:rsid w:val="00870374"/>
    <w:rsid w:val="0087039C"/>
    <w:rsid w:val="00870D0F"/>
    <w:rsid w:val="0087151E"/>
    <w:rsid w:val="0087156F"/>
    <w:rsid w:val="00871606"/>
    <w:rsid w:val="00871875"/>
    <w:rsid w:val="00871920"/>
    <w:rsid w:val="00871B12"/>
    <w:rsid w:val="00871DD4"/>
    <w:rsid w:val="00872059"/>
    <w:rsid w:val="008721FE"/>
    <w:rsid w:val="008722CA"/>
    <w:rsid w:val="0087255B"/>
    <w:rsid w:val="008725BB"/>
    <w:rsid w:val="008725BC"/>
    <w:rsid w:val="00872803"/>
    <w:rsid w:val="00872CB1"/>
    <w:rsid w:val="008731C9"/>
    <w:rsid w:val="008731F1"/>
    <w:rsid w:val="00873460"/>
    <w:rsid w:val="00873601"/>
    <w:rsid w:val="00873720"/>
    <w:rsid w:val="00873848"/>
    <w:rsid w:val="0087390D"/>
    <w:rsid w:val="00873B4A"/>
    <w:rsid w:val="00873CF0"/>
    <w:rsid w:val="00873EA2"/>
    <w:rsid w:val="00873EB1"/>
    <w:rsid w:val="008740F9"/>
    <w:rsid w:val="008742B6"/>
    <w:rsid w:val="0087433D"/>
    <w:rsid w:val="008746CF"/>
    <w:rsid w:val="00874928"/>
    <w:rsid w:val="00874B0B"/>
    <w:rsid w:val="00874BA9"/>
    <w:rsid w:val="00874C9A"/>
    <w:rsid w:val="00874D8A"/>
    <w:rsid w:val="00874E15"/>
    <w:rsid w:val="00875236"/>
    <w:rsid w:val="008753A5"/>
    <w:rsid w:val="008756CD"/>
    <w:rsid w:val="008756EF"/>
    <w:rsid w:val="00875FF8"/>
    <w:rsid w:val="0087610F"/>
    <w:rsid w:val="008762C4"/>
    <w:rsid w:val="00876657"/>
    <w:rsid w:val="0087669D"/>
    <w:rsid w:val="008766F5"/>
    <w:rsid w:val="008767A2"/>
    <w:rsid w:val="008768EE"/>
    <w:rsid w:val="00876C50"/>
    <w:rsid w:val="00876D5B"/>
    <w:rsid w:val="00876DD3"/>
    <w:rsid w:val="00876EB5"/>
    <w:rsid w:val="00876F66"/>
    <w:rsid w:val="00876FEB"/>
    <w:rsid w:val="008773DB"/>
    <w:rsid w:val="00877541"/>
    <w:rsid w:val="0087759E"/>
    <w:rsid w:val="00877BA5"/>
    <w:rsid w:val="00880110"/>
    <w:rsid w:val="0088028C"/>
    <w:rsid w:val="00880493"/>
    <w:rsid w:val="00880633"/>
    <w:rsid w:val="00880681"/>
    <w:rsid w:val="008806BF"/>
    <w:rsid w:val="00880954"/>
    <w:rsid w:val="00880BFE"/>
    <w:rsid w:val="00880E8B"/>
    <w:rsid w:val="00880F52"/>
    <w:rsid w:val="008811A2"/>
    <w:rsid w:val="008813B1"/>
    <w:rsid w:val="008813EB"/>
    <w:rsid w:val="008817FA"/>
    <w:rsid w:val="0088189B"/>
    <w:rsid w:val="00881DAB"/>
    <w:rsid w:val="00881ED6"/>
    <w:rsid w:val="00881F02"/>
    <w:rsid w:val="00881FCC"/>
    <w:rsid w:val="008820CB"/>
    <w:rsid w:val="008821C5"/>
    <w:rsid w:val="008822CA"/>
    <w:rsid w:val="008822DA"/>
    <w:rsid w:val="008826A0"/>
    <w:rsid w:val="008826BF"/>
    <w:rsid w:val="0088293C"/>
    <w:rsid w:val="008829B2"/>
    <w:rsid w:val="00882A4A"/>
    <w:rsid w:val="00882A8D"/>
    <w:rsid w:val="00882E02"/>
    <w:rsid w:val="00882E59"/>
    <w:rsid w:val="008839EF"/>
    <w:rsid w:val="00883A38"/>
    <w:rsid w:val="00883B9C"/>
    <w:rsid w:val="00883BC4"/>
    <w:rsid w:val="00883D16"/>
    <w:rsid w:val="00883E24"/>
    <w:rsid w:val="008840FE"/>
    <w:rsid w:val="0088415F"/>
    <w:rsid w:val="0088438B"/>
    <w:rsid w:val="008844D6"/>
    <w:rsid w:val="008847FF"/>
    <w:rsid w:val="00884C28"/>
    <w:rsid w:val="00884DD5"/>
    <w:rsid w:val="00884F11"/>
    <w:rsid w:val="00884FC6"/>
    <w:rsid w:val="00884FE7"/>
    <w:rsid w:val="008850CF"/>
    <w:rsid w:val="008851C6"/>
    <w:rsid w:val="008851D2"/>
    <w:rsid w:val="00885484"/>
    <w:rsid w:val="008854DC"/>
    <w:rsid w:val="0088597C"/>
    <w:rsid w:val="00885C0F"/>
    <w:rsid w:val="00885FAE"/>
    <w:rsid w:val="008860A5"/>
    <w:rsid w:val="0088617B"/>
    <w:rsid w:val="008861C5"/>
    <w:rsid w:val="00886510"/>
    <w:rsid w:val="00886648"/>
    <w:rsid w:val="00886682"/>
    <w:rsid w:val="00886DA3"/>
    <w:rsid w:val="00886ED7"/>
    <w:rsid w:val="00886F4B"/>
    <w:rsid w:val="00887190"/>
    <w:rsid w:val="00887275"/>
    <w:rsid w:val="0088729F"/>
    <w:rsid w:val="008872C4"/>
    <w:rsid w:val="008874D2"/>
    <w:rsid w:val="0088752B"/>
    <w:rsid w:val="008875FC"/>
    <w:rsid w:val="00887E87"/>
    <w:rsid w:val="00887EDC"/>
    <w:rsid w:val="00887FDA"/>
    <w:rsid w:val="00890283"/>
    <w:rsid w:val="0089028C"/>
    <w:rsid w:val="008903BA"/>
    <w:rsid w:val="008903E8"/>
    <w:rsid w:val="0089055C"/>
    <w:rsid w:val="0089084C"/>
    <w:rsid w:val="0089087E"/>
    <w:rsid w:val="00890911"/>
    <w:rsid w:val="00890A87"/>
    <w:rsid w:val="00890E22"/>
    <w:rsid w:val="00890F06"/>
    <w:rsid w:val="00890FC8"/>
    <w:rsid w:val="0089134A"/>
    <w:rsid w:val="008917A9"/>
    <w:rsid w:val="00891861"/>
    <w:rsid w:val="008918AF"/>
    <w:rsid w:val="00891EC2"/>
    <w:rsid w:val="00891EE8"/>
    <w:rsid w:val="00891F9D"/>
    <w:rsid w:val="0089249A"/>
    <w:rsid w:val="00892C02"/>
    <w:rsid w:val="00892D8C"/>
    <w:rsid w:val="00893176"/>
    <w:rsid w:val="008937C0"/>
    <w:rsid w:val="0089386D"/>
    <w:rsid w:val="008938D9"/>
    <w:rsid w:val="00893A24"/>
    <w:rsid w:val="00893C03"/>
    <w:rsid w:val="00893C7F"/>
    <w:rsid w:val="00894031"/>
    <w:rsid w:val="00894207"/>
    <w:rsid w:val="0089446E"/>
    <w:rsid w:val="008944D8"/>
    <w:rsid w:val="00894767"/>
    <w:rsid w:val="00894838"/>
    <w:rsid w:val="00894962"/>
    <w:rsid w:val="00894C57"/>
    <w:rsid w:val="00894CA7"/>
    <w:rsid w:val="00894D86"/>
    <w:rsid w:val="00894F5F"/>
    <w:rsid w:val="008951C4"/>
    <w:rsid w:val="0089551A"/>
    <w:rsid w:val="008955D8"/>
    <w:rsid w:val="00895706"/>
    <w:rsid w:val="00896259"/>
    <w:rsid w:val="00896405"/>
    <w:rsid w:val="008964F2"/>
    <w:rsid w:val="008967CA"/>
    <w:rsid w:val="00896878"/>
    <w:rsid w:val="00896908"/>
    <w:rsid w:val="00896AD5"/>
    <w:rsid w:val="00896B0E"/>
    <w:rsid w:val="00896B39"/>
    <w:rsid w:val="00896B44"/>
    <w:rsid w:val="00896D7E"/>
    <w:rsid w:val="00896E2D"/>
    <w:rsid w:val="00896F0D"/>
    <w:rsid w:val="00897195"/>
    <w:rsid w:val="0089727F"/>
    <w:rsid w:val="008972C5"/>
    <w:rsid w:val="00897400"/>
    <w:rsid w:val="0089792D"/>
    <w:rsid w:val="00897E7C"/>
    <w:rsid w:val="00897FD0"/>
    <w:rsid w:val="008A0100"/>
    <w:rsid w:val="008A0347"/>
    <w:rsid w:val="008A0A61"/>
    <w:rsid w:val="008A0D71"/>
    <w:rsid w:val="008A1182"/>
    <w:rsid w:val="008A14C0"/>
    <w:rsid w:val="008A167B"/>
    <w:rsid w:val="008A186C"/>
    <w:rsid w:val="008A1924"/>
    <w:rsid w:val="008A1AB8"/>
    <w:rsid w:val="008A1BD2"/>
    <w:rsid w:val="008A1D1A"/>
    <w:rsid w:val="008A1DF0"/>
    <w:rsid w:val="008A1F98"/>
    <w:rsid w:val="008A2099"/>
    <w:rsid w:val="008A2170"/>
    <w:rsid w:val="008A2630"/>
    <w:rsid w:val="008A2664"/>
    <w:rsid w:val="008A26BA"/>
    <w:rsid w:val="008A26BE"/>
    <w:rsid w:val="008A26E3"/>
    <w:rsid w:val="008A2811"/>
    <w:rsid w:val="008A2913"/>
    <w:rsid w:val="008A29D5"/>
    <w:rsid w:val="008A2E73"/>
    <w:rsid w:val="008A2FAE"/>
    <w:rsid w:val="008A329A"/>
    <w:rsid w:val="008A34B8"/>
    <w:rsid w:val="008A35B3"/>
    <w:rsid w:val="008A370F"/>
    <w:rsid w:val="008A38EA"/>
    <w:rsid w:val="008A3964"/>
    <w:rsid w:val="008A39ED"/>
    <w:rsid w:val="008A3A78"/>
    <w:rsid w:val="008A3B43"/>
    <w:rsid w:val="008A3C30"/>
    <w:rsid w:val="008A3DB7"/>
    <w:rsid w:val="008A3DBB"/>
    <w:rsid w:val="008A3EE6"/>
    <w:rsid w:val="008A40E7"/>
    <w:rsid w:val="008A41D9"/>
    <w:rsid w:val="008A435A"/>
    <w:rsid w:val="008A4393"/>
    <w:rsid w:val="008A449E"/>
    <w:rsid w:val="008A46C4"/>
    <w:rsid w:val="008A47CD"/>
    <w:rsid w:val="008A4894"/>
    <w:rsid w:val="008A48E6"/>
    <w:rsid w:val="008A490E"/>
    <w:rsid w:val="008A4E58"/>
    <w:rsid w:val="008A4EC6"/>
    <w:rsid w:val="008A4F12"/>
    <w:rsid w:val="008A5201"/>
    <w:rsid w:val="008A540C"/>
    <w:rsid w:val="008A540E"/>
    <w:rsid w:val="008A5B61"/>
    <w:rsid w:val="008A5CB3"/>
    <w:rsid w:val="008A5FB8"/>
    <w:rsid w:val="008A670A"/>
    <w:rsid w:val="008A685F"/>
    <w:rsid w:val="008A697F"/>
    <w:rsid w:val="008A6B83"/>
    <w:rsid w:val="008A6CF5"/>
    <w:rsid w:val="008A7177"/>
    <w:rsid w:val="008A717F"/>
    <w:rsid w:val="008A787F"/>
    <w:rsid w:val="008A79B5"/>
    <w:rsid w:val="008A7A33"/>
    <w:rsid w:val="008A7AB2"/>
    <w:rsid w:val="008A7BE1"/>
    <w:rsid w:val="008A7D42"/>
    <w:rsid w:val="008B04D2"/>
    <w:rsid w:val="008B0B62"/>
    <w:rsid w:val="008B0C4E"/>
    <w:rsid w:val="008B0DAE"/>
    <w:rsid w:val="008B0EDA"/>
    <w:rsid w:val="008B0EF8"/>
    <w:rsid w:val="008B1028"/>
    <w:rsid w:val="008B1037"/>
    <w:rsid w:val="008B1133"/>
    <w:rsid w:val="008B137C"/>
    <w:rsid w:val="008B163B"/>
    <w:rsid w:val="008B175F"/>
    <w:rsid w:val="008B1958"/>
    <w:rsid w:val="008B1AC0"/>
    <w:rsid w:val="008B1ADE"/>
    <w:rsid w:val="008B1CBA"/>
    <w:rsid w:val="008B1D6F"/>
    <w:rsid w:val="008B1EF7"/>
    <w:rsid w:val="008B22F1"/>
    <w:rsid w:val="008B271C"/>
    <w:rsid w:val="008B290A"/>
    <w:rsid w:val="008B2A19"/>
    <w:rsid w:val="008B2B16"/>
    <w:rsid w:val="008B2FB5"/>
    <w:rsid w:val="008B359B"/>
    <w:rsid w:val="008B37AE"/>
    <w:rsid w:val="008B37EC"/>
    <w:rsid w:val="008B388D"/>
    <w:rsid w:val="008B3911"/>
    <w:rsid w:val="008B3D82"/>
    <w:rsid w:val="008B3E16"/>
    <w:rsid w:val="008B3E22"/>
    <w:rsid w:val="008B3FC6"/>
    <w:rsid w:val="008B40B3"/>
    <w:rsid w:val="008B40E1"/>
    <w:rsid w:val="008B4517"/>
    <w:rsid w:val="008B46CC"/>
    <w:rsid w:val="008B47AC"/>
    <w:rsid w:val="008B4A42"/>
    <w:rsid w:val="008B4AF2"/>
    <w:rsid w:val="008B4CF7"/>
    <w:rsid w:val="008B4D23"/>
    <w:rsid w:val="008B4E30"/>
    <w:rsid w:val="008B4EEA"/>
    <w:rsid w:val="008B4FE6"/>
    <w:rsid w:val="008B50F6"/>
    <w:rsid w:val="008B5275"/>
    <w:rsid w:val="008B52FD"/>
    <w:rsid w:val="008B5A23"/>
    <w:rsid w:val="008B5BBF"/>
    <w:rsid w:val="008B5EBB"/>
    <w:rsid w:val="008B5FB9"/>
    <w:rsid w:val="008B61BC"/>
    <w:rsid w:val="008B6525"/>
    <w:rsid w:val="008B673D"/>
    <w:rsid w:val="008B6749"/>
    <w:rsid w:val="008B6995"/>
    <w:rsid w:val="008B69A6"/>
    <w:rsid w:val="008B6A0C"/>
    <w:rsid w:val="008B6C6B"/>
    <w:rsid w:val="008B710D"/>
    <w:rsid w:val="008B71A1"/>
    <w:rsid w:val="008B71D8"/>
    <w:rsid w:val="008B73BF"/>
    <w:rsid w:val="008B7814"/>
    <w:rsid w:val="008B79EE"/>
    <w:rsid w:val="008B7B38"/>
    <w:rsid w:val="008B7C97"/>
    <w:rsid w:val="008B7D35"/>
    <w:rsid w:val="008B7EFE"/>
    <w:rsid w:val="008C0031"/>
    <w:rsid w:val="008C0332"/>
    <w:rsid w:val="008C063F"/>
    <w:rsid w:val="008C0668"/>
    <w:rsid w:val="008C0797"/>
    <w:rsid w:val="008C09DB"/>
    <w:rsid w:val="008C0B2F"/>
    <w:rsid w:val="008C0B8F"/>
    <w:rsid w:val="008C0CFA"/>
    <w:rsid w:val="008C0D4A"/>
    <w:rsid w:val="008C0F6F"/>
    <w:rsid w:val="008C112E"/>
    <w:rsid w:val="008C12C2"/>
    <w:rsid w:val="008C1449"/>
    <w:rsid w:val="008C144F"/>
    <w:rsid w:val="008C186E"/>
    <w:rsid w:val="008C19D8"/>
    <w:rsid w:val="008C1A18"/>
    <w:rsid w:val="008C1C37"/>
    <w:rsid w:val="008C1C5F"/>
    <w:rsid w:val="008C1CDE"/>
    <w:rsid w:val="008C1DD1"/>
    <w:rsid w:val="008C1DEC"/>
    <w:rsid w:val="008C2071"/>
    <w:rsid w:val="008C227C"/>
    <w:rsid w:val="008C23FD"/>
    <w:rsid w:val="008C2580"/>
    <w:rsid w:val="008C27F9"/>
    <w:rsid w:val="008C2C59"/>
    <w:rsid w:val="008C302A"/>
    <w:rsid w:val="008C314A"/>
    <w:rsid w:val="008C33E2"/>
    <w:rsid w:val="008C3ABE"/>
    <w:rsid w:val="008C3B7D"/>
    <w:rsid w:val="008C40C3"/>
    <w:rsid w:val="008C4150"/>
    <w:rsid w:val="008C4157"/>
    <w:rsid w:val="008C42FB"/>
    <w:rsid w:val="008C4340"/>
    <w:rsid w:val="008C4382"/>
    <w:rsid w:val="008C4742"/>
    <w:rsid w:val="008C4A39"/>
    <w:rsid w:val="008C4B6D"/>
    <w:rsid w:val="008C4B97"/>
    <w:rsid w:val="008C4D9B"/>
    <w:rsid w:val="008C4DF4"/>
    <w:rsid w:val="008C505B"/>
    <w:rsid w:val="008C516B"/>
    <w:rsid w:val="008C5175"/>
    <w:rsid w:val="008C53A9"/>
    <w:rsid w:val="008C5535"/>
    <w:rsid w:val="008C578C"/>
    <w:rsid w:val="008C59F5"/>
    <w:rsid w:val="008C5ABC"/>
    <w:rsid w:val="008C5AE4"/>
    <w:rsid w:val="008C5B06"/>
    <w:rsid w:val="008C5D05"/>
    <w:rsid w:val="008C5D3D"/>
    <w:rsid w:val="008C61F6"/>
    <w:rsid w:val="008C63A4"/>
    <w:rsid w:val="008C645B"/>
    <w:rsid w:val="008C6560"/>
    <w:rsid w:val="008C65B9"/>
    <w:rsid w:val="008C69F5"/>
    <w:rsid w:val="008C6BAA"/>
    <w:rsid w:val="008C6E31"/>
    <w:rsid w:val="008C6F3E"/>
    <w:rsid w:val="008C7102"/>
    <w:rsid w:val="008C7224"/>
    <w:rsid w:val="008C7636"/>
    <w:rsid w:val="008C7682"/>
    <w:rsid w:val="008C7A45"/>
    <w:rsid w:val="008C7BF5"/>
    <w:rsid w:val="008C7C73"/>
    <w:rsid w:val="008D00A6"/>
    <w:rsid w:val="008D02AB"/>
    <w:rsid w:val="008D03A6"/>
    <w:rsid w:val="008D04E6"/>
    <w:rsid w:val="008D06CA"/>
    <w:rsid w:val="008D07F7"/>
    <w:rsid w:val="008D087B"/>
    <w:rsid w:val="008D0AE5"/>
    <w:rsid w:val="008D0C9E"/>
    <w:rsid w:val="008D0FBC"/>
    <w:rsid w:val="008D14CB"/>
    <w:rsid w:val="008D172E"/>
    <w:rsid w:val="008D180E"/>
    <w:rsid w:val="008D1A6B"/>
    <w:rsid w:val="008D1C37"/>
    <w:rsid w:val="008D1CB3"/>
    <w:rsid w:val="008D1D55"/>
    <w:rsid w:val="008D1E77"/>
    <w:rsid w:val="008D1F5E"/>
    <w:rsid w:val="008D2312"/>
    <w:rsid w:val="008D235E"/>
    <w:rsid w:val="008D2649"/>
    <w:rsid w:val="008D26DB"/>
    <w:rsid w:val="008D27E4"/>
    <w:rsid w:val="008D2A15"/>
    <w:rsid w:val="008D2C17"/>
    <w:rsid w:val="008D2CB6"/>
    <w:rsid w:val="008D2EAE"/>
    <w:rsid w:val="008D3161"/>
    <w:rsid w:val="008D3374"/>
    <w:rsid w:val="008D3A3C"/>
    <w:rsid w:val="008D3B96"/>
    <w:rsid w:val="008D4111"/>
    <w:rsid w:val="008D418E"/>
    <w:rsid w:val="008D440B"/>
    <w:rsid w:val="008D464C"/>
    <w:rsid w:val="008D4892"/>
    <w:rsid w:val="008D4A53"/>
    <w:rsid w:val="008D4BB8"/>
    <w:rsid w:val="008D4EF7"/>
    <w:rsid w:val="008D5363"/>
    <w:rsid w:val="008D5620"/>
    <w:rsid w:val="008D5873"/>
    <w:rsid w:val="008D58A9"/>
    <w:rsid w:val="008D5A3B"/>
    <w:rsid w:val="008D5B3A"/>
    <w:rsid w:val="008D5D85"/>
    <w:rsid w:val="008D5EC9"/>
    <w:rsid w:val="008D5F2E"/>
    <w:rsid w:val="008D63E5"/>
    <w:rsid w:val="008D63EF"/>
    <w:rsid w:val="008D64B4"/>
    <w:rsid w:val="008D64C3"/>
    <w:rsid w:val="008D6515"/>
    <w:rsid w:val="008D654D"/>
    <w:rsid w:val="008D6891"/>
    <w:rsid w:val="008D690D"/>
    <w:rsid w:val="008D7087"/>
    <w:rsid w:val="008D734C"/>
    <w:rsid w:val="008D7647"/>
    <w:rsid w:val="008D7AF6"/>
    <w:rsid w:val="008D7DEF"/>
    <w:rsid w:val="008D7E04"/>
    <w:rsid w:val="008D7E17"/>
    <w:rsid w:val="008E06DE"/>
    <w:rsid w:val="008E07B4"/>
    <w:rsid w:val="008E0A65"/>
    <w:rsid w:val="008E0B25"/>
    <w:rsid w:val="008E0DAC"/>
    <w:rsid w:val="008E0FB3"/>
    <w:rsid w:val="008E144A"/>
    <w:rsid w:val="008E171D"/>
    <w:rsid w:val="008E18AE"/>
    <w:rsid w:val="008E1CAE"/>
    <w:rsid w:val="008E1CCA"/>
    <w:rsid w:val="008E1D05"/>
    <w:rsid w:val="008E1DFB"/>
    <w:rsid w:val="008E1E98"/>
    <w:rsid w:val="008E1F65"/>
    <w:rsid w:val="008E2134"/>
    <w:rsid w:val="008E2268"/>
    <w:rsid w:val="008E27AF"/>
    <w:rsid w:val="008E2AD6"/>
    <w:rsid w:val="008E2B05"/>
    <w:rsid w:val="008E2B07"/>
    <w:rsid w:val="008E2C2E"/>
    <w:rsid w:val="008E2E03"/>
    <w:rsid w:val="008E2FC2"/>
    <w:rsid w:val="008E3007"/>
    <w:rsid w:val="008E3074"/>
    <w:rsid w:val="008E34A1"/>
    <w:rsid w:val="008E34B9"/>
    <w:rsid w:val="008E3776"/>
    <w:rsid w:val="008E386F"/>
    <w:rsid w:val="008E3CA0"/>
    <w:rsid w:val="008E3CA3"/>
    <w:rsid w:val="008E3DC6"/>
    <w:rsid w:val="008E3E62"/>
    <w:rsid w:val="008E40BA"/>
    <w:rsid w:val="008E41E0"/>
    <w:rsid w:val="008E45F1"/>
    <w:rsid w:val="008E494B"/>
    <w:rsid w:val="008E4B26"/>
    <w:rsid w:val="008E4CE2"/>
    <w:rsid w:val="008E4E1C"/>
    <w:rsid w:val="008E4E58"/>
    <w:rsid w:val="008E4EF7"/>
    <w:rsid w:val="008E5059"/>
    <w:rsid w:val="008E52FF"/>
    <w:rsid w:val="008E5918"/>
    <w:rsid w:val="008E59B1"/>
    <w:rsid w:val="008E5B9B"/>
    <w:rsid w:val="008E5BFE"/>
    <w:rsid w:val="008E5C21"/>
    <w:rsid w:val="008E5DF5"/>
    <w:rsid w:val="008E63C8"/>
    <w:rsid w:val="008E654A"/>
    <w:rsid w:val="008E659D"/>
    <w:rsid w:val="008E6633"/>
    <w:rsid w:val="008E66AD"/>
    <w:rsid w:val="008E68E7"/>
    <w:rsid w:val="008E6C8B"/>
    <w:rsid w:val="008E6DF0"/>
    <w:rsid w:val="008E6E7D"/>
    <w:rsid w:val="008E7076"/>
    <w:rsid w:val="008E7468"/>
    <w:rsid w:val="008E7582"/>
    <w:rsid w:val="008E7632"/>
    <w:rsid w:val="008E771A"/>
    <w:rsid w:val="008E77F3"/>
    <w:rsid w:val="008E7843"/>
    <w:rsid w:val="008E7A3F"/>
    <w:rsid w:val="008E7BC9"/>
    <w:rsid w:val="008E7C16"/>
    <w:rsid w:val="008E7D26"/>
    <w:rsid w:val="008E7E3F"/>
    <w:rsid w:val="008E7EEA"/>
    <w:rsid w:val="008E7FDE"/>
    <w:rsid w:val="008F0048"/>
    <w:rsid w:val="008F0211"/>
    <w:rsid w:val="008F0246"/>
    <w:rsid w:val="008F06E5"/>
    <w:rsid w:val="008F06FE"/>
    <w:rsid w:val="008F09C4"/>
    <w:rsid w:val="008F0A1E"/>
    <w:rsid w:val="008F0A3F"/>
    <w:rsid w:val="008F0C4D"/>
    <w:rsid w:val="008F0DAB"/>
    <w:rsid w:val="008F1336"/>
    <w:rsid w:val="008F1347"/>
    <w:rsid w:val="008F13DD"/>
    <w:rsid w:val="008F18B9"/>
    <w:rsid w:val="008F193D"/>
    <w:rsid w:val="008F1A84"/>
    <w:rsid w:val="008F1B67"/>
    <w:rsid w:val="008F1BF8"/>
    <w:rsid w:val="008F1F62"/>
    <w:rsid w:val="008F20BD"/>
    <w:rsid w:val="008F22C4"/>
    <w:rsid w:val="008F2724"/>
    <w:rsid w:val="008F2916"/>
    <w:rsid w:val="008F2A6D"/>
    <w:rsid w:val="008F2A93"/>
    <w:rsid w:val="008F2B68"/>
    <w:rsid w:val="008F2B8C"/>
    <w:rsid w:val="008F2BFF"/>
    <w:rsid w:val="008F2CA4"/>
    <w:rsid w:val="008F2E34"/>
    <w:rsid w:val="008F2FF0"/>
    <w:rsid w:val="008F312E"/>
    <w:rsid w:val="008F31E5"/>
    <w:rsid w:val="008F326A"/>
    <w:rsid w:val="008F3374"/>
    <w:rsid w:val="008F3629"/>
    <w:rsid w:val="008F37F2"/>
    <w:rsid w:val="008F38C6"/>
    <w:rsid w:val="008F3B63"/>
    <w:rsid w:val="008F3E4F"/>
    <w:rsid w:val="008F40B2"/>
    <w:rsid w:val="008F40CA"/>
    <w:rsid w:val="008F40CC"/>
    <w:rsid w:val="008F43D0"/>
    <w:rsid w:val="008F4747"/>
    <w:rsid w:val="008F48D2"/>
    <w:rsid w:val="008F4993"/>
    <w:rsid w:val="008F4C0D"/>
    <w:rsid w:val="008F4DB8"/>
    <w:rsid w:val="008F5445"/>
    <w:rsid w:val="008F54AA"/>
    <w:rsid w:val="008F5560"/>
    <w:rsid w:val="008F55AF"/>
    <w:rsid w:val="008F5B2C"/>
    <w:rsid w:val="008F5CA9"/>
    <w:rsid w:val="008F5D83"/>
    <w:rsid w:val="008F5FD2"/>
    <w:rsid w:val="008F5FEA"/>
    <w:rsid w:val="008F604C"/>
    <w:rsid w:val="008F60AF"/>
    <w:rsid w:val="008F62A4"/>
    <w:rsid w:val="008F63BF"/>
    <w:rsid w:val="008F6BB9"/>
    <w:rsid w:val="008F6CB1"/>
    <w:rsid w:val="008F6E27"/>
    <w:rsid w:val="008F71E1"/>
    <w:rsid w:val="008F730D"/>
    <w:rsid w:val="008F74C9"/>
    <w:rsid w:val="008F74F4"/>
    <w:rsid w:val="008F7533"/>
    <w:rsid w:val="008F75BE"/>
    <w:rsid w:val="008F76BF"/>
    <w:rsid w:val="008F773D"/>
    <w:rsid w:val="008F77AE"/>
    <w:rsid w:val="008F7DEB"/>
    <w:rsid w:val="009000B8"/>
    <w:rsid w:val="0090015C"/>
    <w:rsid w:val="00900619"/>
    <w:rsid w:val="0090089C"/>
    <w:rsid w:val="0090092C"/>
    <w:rsid w:val="00900938"/>
    <w:rsid w:val="0090096E"/>
    <w:rsid w:val="00900C0F"/>
    <w:rsid w:val="00900CAB"/>
    <w:rsid w:val="00900CFA"/>
    <w:rsid w:val="00900E32"/>
    <w:rsid w:val="009010E7"/>
    <w:rsid w:val="0090113C"/>
    <w:rsid w:val="0090123A"/>
    <w:rsid w:val="00901470"/>
    <w:rsid w:val="009015F2"/>
    <w:rsid w:val="009015F3"/>
    <w:rsid w:val="00901614"/>
    <w:rsid w:val="009017BD"/>
    <w:rsid w:val="009019F7"/>
    <w:rsid w:val="00901C75"/>
    <w:rsid w:val="00901CD1"/>
    <w:rsid w:val="00901E89"/>
    <w:rsid w:val="00902075"/>
    <w:rsid w:val="009021FC"/>
    <w:rsid w:val="00902A35"/>
    <w:rsid w:val="00902ABE"/>
    <w:rsid w:val="00902B69"/>
    <w:rsid w:val="00902D5E"/>
    <w:rsid w:val="00902D71"/>
    <w:rsid w:val="00903220"/>
    <w:rsid w:val="009033B4"/>
    <w:rsid w:val="00903503"/>
    <w:rsid w:val="009035D4"/>
    <w:rsid w:val="00903A9E"/>
    <w:rsid w:val="00903B1D"/>
    <w:rsid w:val="00903BCB"/>
    <w:rsid w:val="00903C69"/>
    <w:rsid w:val="00903CA4"/>
    <w:rsid w:val="00903E1D"/>
    <w:rsid w:val="00903E4F"/>
    <w:rsid w:val="009041B4"/>
    <w:rsid w:val="0090426F"/>
    <w:rsid w:val="0090431D"/>
    <w:rsid w:val="00904398"/>
    <w:rsid w:val="009043A5"/>
    <w:rsid w:val="0090440B"/>
    <w:rsid w:val="00904510"/>
    <w:rsid w:val="00904544"/>
    <w:rsid w:val="00904562"/>
    <w:rsid w:val="009047D5"/>
    <w:rsid w:val="00904833"/>
    <w:rsid w:val="00904993"/>
    <w:rsid w:val="00904B92"/>
    <w:rsid w:val="00904C2D"/>
    <w:rsid w:val="00904E30"/>
    <w:rsid w:val="00904E8A"/>
    <w:rsid w:val="00905066"/>
    <w:rsid w:val="009050EB"/>
    <w:rsid w:val="0090511A"/>
    <w:rsid w:val="0090555F"/>
    <w:rsid w:val="00905744"/>
    <w:rsid w:val="00905948"/>
    <w:rsid w:val="00905C97"/>
    <w:rsid w:val="00905DE2"/>
    <w:rsid w:val="00905DE5"/>
    <w:rsid w:val="00905E3A"/>
    <w:rsid w:val="00905F30"/>
    <w:rsid w:val="00905F5B"/>
    <w:rsid w:val="009060B5"/>
    <w:rsid w:val="009061D1"/>
    <w:rsid w:val="009065AC"/>
    <w:rsid w:val="0090667C"/>
    <w:rsid w:val="0090676B"/>
    <w:rsid w:val="00906837"/>
    <w:rsid w:val="00906866"/>
    <w:rsid w:val="00906D4B"/>
    <w:rsid w:val="00906F26"/>
    <w:rsid w:val="009070A8"/>
    <w:rsid w:val="009070F3"/>
    <w:rsid w:val="0090722E"/>
    <w:rsid w:val="009074B0"/>
    <w:rsid w:val="00907935"/>
    <w:rsid w:val="00907D16"/>
    <w:rsid w:val="00907D41"/>
    <w:rsid w:val="00907FF5"/>
    <w:rsid w:val="0091000D"/>
    <w:rsid w:val="009100E5"/>
    <w:rsid w:val="0091013F"/>
    <w:rsid w:val="00910486"/>
    <w:rsid w:val="009106FD"/>
    <w:rsid w:val="0091082C"/>
    <w:rsid w:val="00910995"/>
    <w:rsid w:val="00910A0B"/>
    <w:rsid w:val="00910D11"/>
    <w:rsid w:val="00910E57"/>
    <w:rsid w:val="00910F26"/>
    <w:rsid w:val="00910F30"/>
    <w:rsid w:val="009111A8"/>
    <w:rsid w:val="009111F5"/>
    <w:rsid w:val="009113F7"/>
    <w:rsid w:val="00911425"/>
    <w:rsid w:val="0091177F"/>
    <w:rsid w:val="00911BA3"/>
    <w:rsid w:val="00911D23"/>
    <w:rsid w:val="0091205F"/>
    <w:rsid w:val="00912150"/>
    <w:rsid w:val="0091217C"/>
    <w:rsid w:val="00912295"/>
    <w:rsid w:val="009122E1"/>
    <w:rsid w:val="00912306"/>
    <w:rsid w:val="00912485"/>
    <w:rsid w:val="00912638"/>
    <w:rsid w:val="00912648"/>
    <w:rsid w:val="009128BF"/>
    <w:rsid w:val="0091292F"/>
    <w:rsid w:val="00912B24"/>
    <w:rsid w:val="00912B2B"/>
    <w:rsid w:val="00912D85"/>
    <w:rsid w:val="00912F11"/>
    <w:rsid w:val="00912FA7"/>
    <w:rsid w:val="0091303D"/>
    <w:rsid w:val="0091312A"/>
    <w:rsid w:val="00913209"/>
    <w:rsid w:val="009133A3"/>
    <w:rsid w:val="009138BB"/>
    <w:rsid w:val="00913B23"/>
    <w:rsid w:val="00913C58"/>
    <w:rsid w:val="00913CC0"/>
    <w:rsid w:val="00913F3D"/>
    <w:rsid w:val="00914262"/>
    <w:rsid w:val="00914540"/>
    <w:rsid w:val="00914548"/>
    <w:rsid w:val="009145A0"/>
    <w:rsid w:val="009145C3"/>
    <w:rsid w:val="009148E1"/>
    <w:rsid w:val="00914950"/>
    <w:rsid w:val="0091496F"/>
    <w:rsid w:val="00914A6A"/>
    <w:rsid w:val="00914BEA"/>
    <w:rsid w:val="00914C7E"/>
    <w:rsid w:val="00914C90"/>
    <w:rsid w:val="00914FEF"/>
    <w:rsid w:val="009151D2"/>
    <w:rsid w:val="009156D8"/>
    <w:rsid w:val="00915ADB"/>
    <w:rsid w:val="00916047"/>
    <w:rsid w:val="00916104"/>
    <w:rsid w:val="009162DA"/>
    <w:rsid w:val="009165AD"/>
    <w:rsid w:val="009169B3"/>
    <w:rsid w:val="00916F19"/>
    <w:rsid w:val="00916F41"/>
    <w:rsid w:val="0091702F"/>
    <w:rsid w:val="00917198"/>
    <w:rsid w:val="00917233"/>
    <w:rsid w:val="00917290"/>
    <w:rsid w:val="0091734A"/>
    <w:rsid w:val="0091759B"/>
    <w:rsid w:val="0091783C"/>
    <w:rsid w:val="00917977"/>
    <w:rsid w:val="00917A8C"/>
    <w:rsid w:val="00917BA4"/>
    <w:rsid w:val="00917BD4"/>
    <w:rsid w:val="00917D2C"/>
    <w:rsid w:val="00917E36"/>
    <w:rsid w:val="00917F10"/>
    <w:rsid w:val="00920234"/>
    <w:rsid w:val="00920351"/>
    <w:rsid w:val="00920CD8"/>
    <w:rsid w:val="009210DD"/>
    <w:rsid w:val="0092119D"/>
    <w:rsid w:val="00921289"/>
    <w:rsid w:val="00921291"/>
    <w:rsid w:val="009215D0"/>
    <w:rsid w:val="009216E0"/>
    <w:rsid w:val="00921714"/>
    <w:rsid w:val="009219F8"/>
    <w:rsid w:val="00921EF2"/>
    <w:rsid w:val="0092251A"/>
    <w:rsid w:val="00922558"/>
    <w:rsid w:val="00922F76"/>
    <w:rsid w:val="00922FA8"/>
    <w:rsid w:val="00922FB3"/>
    <w:rsid w:val="00923001"/>
    <w:rsid w:val="00923124"/>
    <w:rsid w:val="0092338C"/>
    <w:rsid w:val="009234E5"/>
    <w:rsid w:val="00923AC7"/>
    <w:rsid w:val="00923B8A"/>
    <w:rsid w:val="00923C2C"/>
    <w:rsid w:val="00924142"/>
    <w:rsid w:val="00924173"/>
    <w:rsid w:val="00924462"/>
    <w:rsid w:val="00924489"/>
    <w:rsid w:val="009246F8"/>
    <w:rsid w:val="00924772"/>
    <w:rsid w:val="009248DF"/>
    <w:rsid w:val="00924A6B"/>
    <w:rsid w:val="00924F4F"/>
    <w:rsid w:val="00924FDD"/>
    <w:rsid w:val="00925021"/>
    <w:rsid w:val="0092526D"/>
    <w:rsid w:val="00925342"/>
    <w:rsid w:val="00925449"/>
    <w:rsid w:val="00925520"/>
    <w:rsid w:val="0092557A"/>
    <w:rsid w:val="00925AF9"/>
    <w:rsid w:val="00925B46"/>
    <w:rsid w:val="00925E04"/>
    <w:rsid w:val="00926013"/>
    <w:rsid w:val="0092616A"/>
    <w:rsid w:val="00926276"/>
    <w:rsid w:val="00926577"/>
    <w:rsid w:val="00926672"/>
    <w:rsid w:val="009266A4"/>
    <w:rsid w:val="00926855"/>
    <w:rsid w:val="00926D50"/>
    <w:rsid w:val="00926E76"/>
    <w:rsid w:val="00926F34"/>
    <w:rsid w:val="00926FDD"/>
    <w:rsid w:val="00926FE2"/>
    <w:rsid w:val="009272CA"/>
    <w:rsid w:val="00927369"/>
    <w:rsid w:val="009273D1"/>
    <w:rsid w:val="00927433"/>
    <w:rsid w:val="00927470"/>
    <w:rsid w:val="00927578"/>
    <w:rsid w:val="00927721"/>
    <w:rsid w:val="0092776F"/>
    <w:rsid w:val="009279ED"/>
    <w:rsid w:val="009279FB"/>
    <w:rsid w:val="00927D7E"/>
    <w:rsid w:val="00927F3D"/>
    <w:rsid w:val="00927F6B"/>
    <w:rsid w:val="0093011E"/>
    <w:rsid w:val="00930130"/>
    <w:rsid w:val="00930179"/>
    <w:rsid w:val="0093019E"/>
    <w:rsid w:val="009301BC"/>
    <w:rsid w:val="00930262"/>
    <w:rsid w:val="0093026C"/>
    <w:rsid w:val="009302AB"/>
    <w:rsid w:val="009307DA"/>
    <w:rsid w:val="009307FD"/>
    <w:rsid w:val="00930A18"/>
    <w:rsid w:val="009314F7"/>
    <w:rsid w:val="0093160A"/>
    <w:rsid w:val="00931665"/>
    <w:rsid w:val="009316B8"/>
    <w:rsid w:val="009318B0"/>
    <w:rsid w:val="00931CC8"/>
    <w:rsid w:val="00931EC6"/>
    <w:rsid w:val="00932559"/>
    <w:rsid w:val="00932591"/>
    <w:rsid w:val="0093279B"/>
    <w:rsid w:val="009327B4"/>
    <w:rsid w:val="009329D2"/>
    <w:rsid w:val="00932A1F"/>
    <w:rsid w:val="00932A8E"/>
    <w:rsid w:val="00932C7E"/>
    <w:rsid w:val="00932E86"/>
    <w:rsid w:val="00933525"/>
    <w:rsid w:val="009339AA"/>
    <w:rsid w:val="00933E6D"/>
    <w:rsid w:val="00933F5F"/>
    <w:rsid w:val="00934074"/>
    <w:rsid w:val="00934196"/>
    <w:rsid w:val="00934298"/>
    <w:rsid w:val="00934578"/>
    <w:rsid w:val="00934689"/>
    <w:rsid w:val="0093494C"/>
    <w:rsid w:val="0093498D"/>
    <w:rsid w:val="00934BD3"/>
    <w:rsid w:val="00934DDF"/>
    <w:rsid w:val="0093501D"/>
    <w:rsid w:val="009352DC"/>
    <w:rsid w:val="00935406"/>
    <w:rsid w:val="009357AC"/>
    <w:rsid w:val="0093585C"/>
    <w:rsid w:val="00935E1D"/>
    <w:rsid w:val="00936220"/>
    <w:rsid w:val="0093660F"/>
    <w:rsid w:val="0093688D"/>
    <w:rsid w:val="00936AC9"/>
    <w:rsid w:val="00936C83"/>
    <w:rsid w:val="00936DA4"/>
    <w:rsid w:val="009370B1"/>
    <w:rsid w:val="009370BF"/>
    <w:rsid w:val="00937240"/>
    <w:rsid w:val="00937352"/>
    <w:rsid w:val="00937499"/>
    <w:rsid w:val="0093779F"/>
    <w:rsid w:val="009378A0"/>
    <w:rsid w:val="009378BA"/>
    <w:rsid w:val="00937E7F"/>
    <w:rsid w:val="009402C6"/>
    <w:rsid w:val="0094035F"/>
    <w:rsid w:val="009404C7"/>
    <w:rsid w:val="00940553"/>
    <w:rsid w:val="00940811"/>
    <w:rsid w:val="00940920"/>
    <w:rsid w:val="00940963"/>
    <w:rsid w:val="009409B1"/>
    <w:rsid w:val="00940A6C"/>
    <w:rsid w:val="00940D9C"/>
    <w:rsid w:val="009410D0"/>
    <w:rsid w:val="009411B7"/>
    <w:rsid w:val="009412C3"/>
    <w:rsid w:val="00941483"/>
    <w:rsid w:val="009415A7"/>
    <w:rsid w:val="0094185A"/>
    <w:rsid w:val="00941898"/>
    <w:rsid w:val="00941E7A"/>
    <w:rsid w:val="00942205"/>
    <w:rsid w:val="00942499"/>
    <w:rsid w:val="009424CE"/>
    <w:rsid w:val="00942885"/>
    <w:rsid w:val="00942B6C"/>
    <w:rsid w:val="00942FD9"/>
    <w:rsid w:val="0094304B"/>
    <w:rsid w:val="00943171"/>
    <w:rsid w:val="009431BA"/>
    <w:rsid w:val="00943452"/>
    <w:rsid w:val="00943771"/>
    <w:rsid w:val="009437DC"/>
    <w:rsid w:val="00943ADC"/>
    <w:rsid w:val="00943AF6"/>
    <w:rsid w:val="00943B5E"/>
    <w:rsid w:val="00943D82"/>
    <w:rsid w:val="00943EFD"/>
    <w:rsid w:val="00944299"/>
    <w:rsid w:val="009444AD"/>
    <w:rsid w:val="0094462A"/>
    <w:rsid w:val="00944A16"/>
    <w:rsid w:val="00944A8B"/>
    <w:rsid w:val="00944FE1"/>
    <w:rsid w:val="0094536D"/>
    <w:rsid w:val="0094537C"/>
    <w:rsid w:val="009453DB"/>
    <w:rsid w:val="00945544"/>
    <w:rsid w:val="00945569"/>
    <w:rsid w:val="009455B2"/>
    <w:rsid w:val="009455BC"/>
    <w:rsid w:val="009456A7"/>
    <w:rsid w:val="00945751"/>
    <w:rsid w:val="00945782"/>
    <w:rsid w:val="00945A9F"/>
    <w:rsid w:val="00945D89"/>
    <w:rsid w:val="00945DB6"/>
    <w:rsid w:val="00945E8C"/>
    <w:rsid w:val="0094601B"/>
    <w:rsid w:val="0094618B"/>
    <w:rsid w:val="0094619B"/>
    <w:rsid w:val="009461ED"/>
    <w:rsid w:val="009462BD"/>
    <w:rsid w:val="009462EB"/>
    <w:rsid w:val="009463AF"/>
    <w:rsid w:val="009463CB"/>
    <w:rsid w:val="00946C46"/>
    <w:rsid w:val="00946FE2"/>
    <w:rsid w:val="0094723C"/>
    <w:rsid w:val="00947283"/>
    <w:rsid w:val="009472CF"/>
    <w:rsid w:val="0094732E"/>
    <w:rsid w:val="0094758C"/>
    <w:rsid w:val="009476C1"/>
    <w:rsid w:val="009478DC"/>
    <w:rsid w:val="0094796E"/>
    <w:rsid w:val="009479B9"/>
    <w:rsid w:val="00947A38"/>
    <w:rsid w:val="00947C05"/>
    <w:rsid w:val="00947CDA"/>
    <w:rsid w:val="00947D86"/>
    <w:rsid w:val="00947ECC"/>
    <w:rsid w:val="00947FCF"/>
    <w:rsid w:val="00950125"/>
    <w:rsid w:val="0095058B"/>
    <w:rsid w:val="009505D8"/>
    <w:rsid w:val="00950A3E"/>
    <w:rsid w:val="009510A8"/>
    <w:rsid w:val="009510C2"/>
    <w:rsid w:val="00951249"/>
    <w:rsid w:val="00951384"/>
    <w:rsid w:val="00951949"/>
    <w:rsid w:val="00951B42"/>
    <w:rsid w:val="00951F15"/>
    <w:rsid w:val="0095207B"/>
    <w:rsid w:val="00952113"/>
    <w:rsid w:val="009522AD"/>
    <w:rsid w:val="0095234E"/>
    <w:rsid w:val="0095238C"/>
    <w:rsid w:val="00952421"/>
    <w:rsid w:val="00952619"/>
    <w:rsid w:val="009526DD"/>
    <w:rsid w:val="0095273D"/>
    <w:rsid w:val="0095274B"/>
    <w:rsid w:val="009527EA"/>
    <w:rsid w:val="009527EE"/>
    <w:rsid w:val="00952B0D"/>
    <w:rsid w:val="00952C68"/>
    <w:rsid w:val="00952D84"/>
    <w:rsid w:val="00952DC2"/>
    <w:rsid w:val="00953008"/>
    <w:rsid w:val="009533CC"/>
    <w:rsid w:val="009533EB"/>
    <w:rsid w:val="009539D1"/>
    <w:rsid w:val="00953E27"/>
    <w:rsid w:val="0095403A"/>
    <w:rsid w:val="009540CE"/>
    <w:rsid w:val="0095417A"/>
    <w:rsid w:val="009541D9"/>
    <w:rsid w:val="0095435F"/>
    <w:rsid w:val="00954385"/>
    <w:rsid w:val="0095442B"/>
    <w:rsid w:val="0095447F"/>
    <w:rsid w:val="00954610"/>
    <w:rsid w:val="00954700"/>
    <w:rsid w:val="00954792"/>
    <w:rsid w:val="00954836"/>
    <w:rsid w:val="00954933"/>
    <w:rsid w:val="00954B95"/>
    <w:rsid w:val="00954E9E"/>
    <w:rsid w:val="00954F6A"/>
    <w:rsid w:val="00954F6E"/>
    <w:rsid w:val="0095510B"/>
    <w:rsid w:val="0095527A"/>
    <w:rsid w:val="00955478"/>
    <w:rsid w:val="009554A2"/>
    <w:rsid w:val="009554AD"/>
    <w:rsid w:val="0095558B"/>
    <w:rsid w:val="00955642"/>
    <w:rsid w:val="009556B4"/>
    <w:rsid w:val="00955733"/>
    <w:rsid w:val="00955A2F"/>
    <w:rsid w:val="00955FB8"/>
    <w:rsid w:val="0095620C"/>
    <w:rsid w:val="009562D1"/>
    <w:rsid w:val="009563B7"/>
    <w:rsid w:val="009564A0"/>
    <w:rsid w:val="009564B4"/>
    <w:rsid w:val="0095666D"/>
    <w:rsid w:val="0095698E"/>
    <w:rsid w:val="00956CB6"/>
    <w:rsid w:val="00956D02"/>
    <w:rsid w:val="00956D96"/>
    <w:rsid w:val="00956DF1"/>
    <w:rsid w:val="009570E4"/>
    <w:rsid w:val="009570F1"/>
    <w:rsid w:val="00957464"/>
    <w:rsid w:val="009578F7"/>
    <w:rsid w:val="00957E14"/>
    <w:rsid w:val="00957FE4"/>
    <w:rsid w:val="00957FFC"/>
    <w:rsid w:val="00960248"/>
    <w:rsid w:val="0096030B"/>
    <w:rsid w:val="009604D4"/>
    <w:rsid w:val="009604F0"/>
    <w:rsid w:val="00960699"/>
    <w:rsid w:val="009607EC"/>
    <w:rsid w:val="009609B5"/>
    <w:rsid w:val="00960B00"/>
    <w:rsid w:val="00960BDF"/>
    <w:rsid w:val="00960D97"/>
    <w:rsid w:val="00960F2D"/>
    <w:rsid w:val="00960F2F"/>
    <w:rsid w:val="00961741"/>
    <w:rsid w:val="00961AB6"/>
    <w:rsid w:val="00961D44"/>
    <w:rsid w:val="00961DB1"/>
    <w:rsid w:val="0096208C"/>
    <w:rsid w:val="009622F8"/>
    <w:rsid w:val="00962426"/>
    <w:rsid w:val="009627A1"/>
    <w:rsid w:val="009629F1"/>
    <w:rsid w:val="00962B82"/>
    <w:rsid w:val="00962EB7"/>
    <w:rsid w:val="00962F60"/>
    <w:rsid w:val="00962FFF"/>
    <w:rsid w:val="0096329A"/>
    <w:rsid w:val="0096347F"/>
    <w:rsid w:val="00963729"/>
    <w:rsid w:val="009637CB"/>
    <w:rsid w:val="009638B2"/>
    <w:rsid w:val="0096397D"/>
    <w:rsid w:val="00963A05"/>
    <w:rsid w:val="00963A34"/>
    <w:rsid w:val="00963B23"/>
    <w:rsid w:val="00963BC0"/>
    <w:rsid w:val="00963BCD"/>
    <w:rsid w:val="00963D60"/>
    <w:rsid w:val="00964302"/>
    <w:rsid w:val="009645CC"/>
    <w:rsid w:val="00964F03"/>
    <w:rsid w:val="00964FAC"/>
    <w:rsid w:val="009650D0"/>
    <w:rsid w:val="009653A2"/>
    <w:rsid w:val="00965432"/>
    <w:rsid w:val="00965484"/>
    <w:rsid w:val="00965815"/>
    <w:rsid w:val="00965B3B"/>
    <w:rsid w:val="00965F96"/>
    <w:rsid w:val="009665AC"/>
    <w:rsid w:val="00966B5A"/>
    <w:rsid w:val="00967287"/>
    <w:rsid w:val="00967355"/>
    <w:rsid w:val="0096736E"/>
    <w:rsid w:val="00967486"/>
    <w:rsid w:val="00967560"/>
    <w:rsid w:val="00967855"/>
    <w:rsid w:val="00967BC6"/>
    <w:rsid w:val="00970055"/>
    <w:rsid w:val="00970235"/>
    <w:rsid w:val="00970331"/>
    <w:rsid w:val="009705B0"/>
    <w:rsid w:val="009708F2"/>
    <w:rsid w:val="00970D30"/>
    <w:rsid w:val="00970DED"/>
    <w:rsid w:val="00970E01"/>
    <w:rsid w:val="00970E0C"/>
    <w:rsid w:val="00970F9D"/>
    <w:rsid w:val="009710C0"/>
    <w:rsid w:val="00971204"/>
    <w:rsid w:val="009712C1"/>
    <w:rsid w:val="009712F9"/>
    <w:rsid w:val="00971DB5"/>
    <w:rsid w:val="00971FA0"/>
    <w:rsid w:val="009720E6"/>
    <w:rsid w:val="00972100"/>
    <w:rsid w:val="00972102"/>
    <w:rsid w:val="00972404"/>
    <w:rsid w:val="0097254A"/>
    <w:rsid w:val="0097294F"/>
    <w:rsid w:val="009729C4"/>
    <w:rsid w:val="00972CF7"/>
    <w:rsid w:val="00972F5A"/>
    <w:rsid w:val="00972FBC"/>
    <w:rsid w:val="00972FED"/>
    <w:rsid w:val="00973108"/>
    <w:rsid w:val="009732D9"/>
    <w:rsid w:val="00973374"/>
    <w:rsid w:val="009733B5"/>
    <w:rsid w:val="009735FC"/>
    <w:rsid w:val="009739F8"/>
    <w:rsid w:val="00973E77"/>
    <w:rsid w:val="00973ECA"/>
    <w:rsid w:val="00973FF8"/>
    <w:rsid w:val="009743A5"/>
    <w:rsid w:val="00974910"/>
    <w:rsid w:val="00974995"/>
    <w:rsid w:val="00974D3A"/>
    <w:rsid w:val="00974D69"/>
    <w:rsid w:val="00974E72"/>
    <w:rsid w:val="009750B6"/>
    <w:rsid w:val="009752B4"/>
    <w:rsid w:val="009753A3"/>
    <w:rsid w:val="009754BF"/>
    <w:rsid w:val="00975715"/>
    <w:rsid w:val="0097582A"/>
    <w:rsid w:val="00975847"/>
    <w:rsid w:val="00975868"/>
    <w:rsid w:val="009759B5"/>
    <w:rsid w:val="00975A64"/>
    <w:rsid w:val="00976050"/>
    <w:rsid w:val="009760B2"/>
    <w:rsid w:val="009764E8"/>
    <w:rsid w:val="00976565"/>
    <w:rsid w:val="00976590"/>
    <w:rsid w:val="009765B8"/>
    <w:rsid w:val="009765C5"/>
    <w:rsid w:val="00976886"/>
    <w:rsid w:val="00976C56"/>
    <w:rsid w:val="00976D8E"/>
    <w:rsid w:val="00976F01"/>
    <w:rsid w:val="00976F2B"/>
    <w:rsid w:val="0097712C"/>
    <w:rsid w:val="009772D9"/>
    <w:rsid w:val="00977352"/>
    <w:rsid w:val="009777DF"/>
    <w:rsid w:val="00977AC0"/>
    <w:rsid w:val="00977D75"/>
    <w:rsid w:val="00980517"/>
    <w:rsid w:val="009805CD"/>
    <w:rsid w:val="0098079E"/>
    <w:rsid w:val="00980E4D"/>
    <w:rsid w:val="00980F51"/>
    <w:rsid w:val="0098106F"/>
    <w:rsid w:val="0098118B"/>
    <w:rsid w:val="009813AC"/>
    <w:rsid w:val="009815DB"/>
    <w:rsid w:val="0098180A"/>
    <w:rsid w:val="00981A51"/>
    <w:rsid w:val="00981B1E"/>
    <w:rsid w:val="00981C00"/>
    <w:rsid w:val="00981C24"/>
    <w:rsid w:val="0098220F"/>
    <w:rsid w:val="0098238B"/>
    <w:rsid w:val="00982481"/>
    <w:rsid w:val="00982567"/>
    <w:rsid w:val="00982715"/>
    <w:rsid w:val="00982780"/>
    <w:rsid w:val="00982A28"/>
    <w:rsid w:val="00982D32"/>
    <w:rsid w:val="009831EB"/>
    <w:rsid w:val="00983A4E"/>
    <w:rsid w:val="00983BF6"/>
    <w:rsid w:val="00983CC4"/>
    <w:rsid w:val="00983E24"/>
    <w:rsid w:val="00983EA5"/>
    <w:rsid w:val="00984002"/>
    <w:rsid w:val="009840CF"/>
    <w:rsid w:val="009842EB"/>
    <w:rsid w:val="009844FA"/>
    <w:rsid w:val="009849D7"/>
    <w:rsid w:val="00984B7D"/>
    <w:rsid w:val="00984CCC"/>
    <w:rsid w:val="00984CF7"/>
    <w:rsid w:val="00984DE5"/>
    <w:rsid w:val="00985100"/>
    <w:rsid w:val="009854AB"/>
    <w:rsid w:val="009856B2"/>
    <w:rsid w:val="00986365"/>
    <w:rsid w:val="00986561"/>
    <w:rsid w:val="009866D6"/>
    <w:rsid w:val="00986818"/>
    <w:rsid w:val="00986A26"/>
    <w:rsid w:val="00986C7D"/>
    <w:rsid w:val="00987107"/>
    <w:rsid w:val="0098718E"/>
    <w:rsid w:val="00987307"/>
    <w:rsid w:val="009874C9"/>
    <w:rsid w:val="00987554"/>
    <w:rsid w:val="00987817"/>
    <w:rsid w:val="00987EDA"/>
    <w:rsid w:val="0099020B"/>
    <w:rsid w:val="0099029E"/>
    <w:rsid w:val="00990454"/>
    <w:rsid w:val="00990491"/>
    <w:rsid w:val="00990665"/>
    <w:rsid w:val="009909E3"/>
    <w:rsid w:val="00990A5A"/>
    <w:rsid w:val="00990B86"/>
    <w:rsid w:val="00990CC1"/>
    <w:rsid w:val="00990ECF"/>
    <w:rsid w:val="00991016"/>
    <w:rsid w:val="0099152F"/>
    <w:rsid w:val="0099165F"/>
    <w:rsid w:val="009919A5"/>
    <w:rsid w:val="009919FA"/>
    <w:rsid w:val="00991AE2"/>
    <w:rsid w:val="00991B68"/>
    <w:rsid w:val="00991D87"/>
    <w:rsid w:val="00991F1F"/>
    <w:rsid w:val="00992384"/>
    <w:rsid w:val="009923BC"/>
    <w:rsid w:val="009926D3"/>
    <w:rsid w:val="00992A7F"/>
    <w:rsid w:val="00992B26"/>
    <w:rsid w:val="00992B69"/>
    <w:rsid w:val="00992C83"/>
    <w:rsid w:val="00992D2B"/>
    <w:rsid w:val="00992E31"/>
    <w:rsid w:val="00992F2A"/>
    <w:rsid w:val="00992FF6"/>
    <w:rsid w:val="009931CD"/>
    <w:rsid w:val="009935FC"/>
    <w:rsid w:val="00993992"/>
    <w:rsid w:val="00993BB0"/>
    <w:rsid w:val="00993BB3"/>
    <w:rsid w:val="00993C65"/>
    <w:rsid w:val="0099416D"/>
    <w:rsid w:val="009941D3"/>
    <w:rsid w:val="00994283"/>
    <w:rsid w:val="00994506"/>
    <w:rsid w:val="00994BDE"/>
    <w:rsid w:val="00994D13"/>
    <w:rsid w:val="00994D70"/>
    <w:rsid w:val="00994E86"/>
    <w:rsid w:val="00994FB0"/>
    <w:rsid w:val="00995328"/>
    <w:rsid w:val="00995C52"/>
    <w:rsid w:val="00995DC6"/>
    <w:rsid w:val="00995F14"/>
    <w:rsid w:val="009960E1"/>
    <w:rsid w:val="00996466"/>
    <w:rsid w:val="00996609"/>
    <w:rsid w:val="0099669D"/>
    <w:rsid w:val="00996A84"/>
    <w:rsid w:val="00996BBD"/>
    <w:rsid w:val="00996C18"/>
    <w:rsid w:val="00996C85"/>
    <w:rsid w:val="009972BD"/>
    <w:rsid w:val="009972F2"/>
    <w:rsid w:val="00997770"/>
    <w:rsid w:val="0099782F"/>
    <w:rsid w:val="009978B3"/>
    <w:rsid w:val="00997A95"/>
    <w:rsid w:val="00997AAD"/>
    <w:rsid w:val="00997CE6"/>
    <w:rsid w:val="00997FAE"/>
    <w:rsid w:val="009A0269"/>
    <w:rsid w:val="009A035A"/>
    <w:rsid w:val="009A0601"/>
    <w:rsid w:val="009A06C3"/>
    <w:rsid w:val="009A0F1E"/>
    <w:rsid w:val="009A1049"/>
    <w:rsid w:val="009A1573"/>
    <w:rsid w:val="009A18D7"/>
    <w:rsid w:val="009A196E"/>
    <w:rsid w:val="009A1E38"/>
    <w:rsid w:val="009A2912"/>
    <w:rsid w:val="009A2926"/>
    <w:rsid w:val="009A2B04"/>
    <w:rsid w:val="009A2B27"/>
    <w:rsid w:val="009A2BB4"/>
    <w:rsid w:val="009A2BF4"/>
    <w:rsid w:val="009A2DED"/>
    <w:rsid w:val="009A304E"/>
    <w:rsid w:val="009A3304"/>
    <w:rsid w:val="009A3A0F"/>
    <w:rsid w:val="009A3AAF"/>
    <w:rsid w:val="009A3B13"/>
    <w:rsid w:val="009A3B14"/>
    <w:rsid w:val="009A400C"/>
    <w:rsid w:val="009A44EA"/>
    <w:rsid w:val="009A497E"/>
    <w:rsid w:val="009A49F4"/>
    <w:rsid w:val="009A4B1F"/>
    <w:rsid w:val="009A4C69"/>
    <w:rsid w:val="009A4CD9"/>
    <w:rsid w:val="009A4DFB"/>
    <w:rsid w:val="009A5071"/>
    <w:rsid w:val="009A56B5"/>
    <w:rsid w:val="009A56FE"/>
    <w:rsid w:val="009A5791"/>
    <w:rsid w:val="009A5B4D"/>
    <w:rsid w:val="009A5C34"/>
    <w:rsid w:val="009A5F02"/>
    <w:rsid w:val="009A6294"/>
    <w:rsid w:val="009A638A"/>
    <w:rsid w:val="009A6429"/>
    <w:rsid w:val="009A6D75"/>
    <w:rsid w:val="009A7105"/>
    <w:rsid w:val="009A7281"/>
    <w:rsid w:val="009A7399"/>
    <w:rsid w:val="009A74CE"/>
    <w:rsid w:val="009A777C"/>
    <w:rsid w:val="009A77C9"/>
    <w:rsid w:val="009A77F1"/>
    <w:rsid w:val="009A7913"/>
    <w:rsid w:val="009A7937"/>
    <w:rsid w:val="009A79C5"/>
    <w:rsid w:val="009A7AC2"/>
    <w:rsid w:val="009A7B17"/>
    <w:rsid w:val="009A7D35"/>
    <w:rsid w:val="009A7E4B"/>
    <w:rsid w:val="009A7EF5"/>
    <w:rsid w:val="009A7F78"/>
    <w:rsid w:val="009B01C8"/>
    <w:rsid w:val="009B0435"/>
    <w:rsid w:val="009B057C"/>
    <w:rsid w:val="009B0A72"/>
    <w:rsid w:val="009B0A94"/>
    <w:rsid w:val="009B0B37"/>
    <w:rsid w:val="009B0BDE"/>
    <w:rsid w:val="009B0C52"/>
    <w:rsid w:val="009B1071"/>
    <w:rsid w:val="009B117F"/>
    <w:rsid w:val="009B1343"/>
    <w:rsid w:val="009B13B7"/>
    <w:rsid w:val="009B174A"/>
    <w:rsid w:val="009B19AE"/>
    <w:rsid w:val="009B1B64"/>
    <w:rsid w:val="009B1BE3"/>
    <w:rsid w:val="009B1CF8"/>
    <w:rsid w:val="009B1D0F"/>
    <w:rsid w:val="009B1F00"/>
    <w:rsid w:val="009B1F68"/>
    <w:rsid w:val="009B2009"/>
    <w:rsid w:val="009B2504"/>
    <w:rsid w:val="009B259C"/>
    <w:rsid w:val="009B2791"/>
    <w:rsid w:val="009B2AA1"/>
    <w:rsid w:val="009B2D41"/>
    <w:rsid w:val="009B301C"/>
    <w:rsid w:val="009B3130"/>
    <w:rsid w:val="009B3180"/>
    <w:rsid w:val="009B3201"/>
    <w:rsid w:val="009B3418"/>
    <w:rsid w:val="009B352D"/>
    <w:rsid w:val="009B3689"/>
    <w:rsid w:val="009B369D"/>
    <w:rsid w:val="009B3894"/>
    <w:rsid w:val="009B3BAB"/>
    <w:rsid w:val="009B3C8E"/>
    <w:rsid w:val="009B3D61"/>
    <w:rsid w:val="009B4014"/>
    <w:rsid w:val="009B4225"/>
    <w:rsid w:val="009B451F"/>
    <w:rsid w:val="009B46D7"/>
    <w:rsid w:val="009B477A"/>
    <w:rsid w:val="009B49AE"/>
    <w:rsid w:val="009B4A24"/>
    <w:rsid w:val="009B4A62"/>
    <w:rsid w:val="009B5086"/>
    <w:rsid w:val="009B527D"/>
    <w:rsid w:val="009B56D9"/>
    <w:rsid w:val="009B5953"/>
    <w:rsid w:val="009B6246"/>
    <w:rsid w:val="009B62BC"/>
    <w:rsid w:val="009B640C"/>
    <w:rsid w:val="009B641B"/>
    <w:rsid w:val="009B6424"/>
    <w:rsid w:val="009B66CC"/>
    <w:rsid w:val="009B6775"/>
    <w:rsid w:val="009B6982"/>
    <w:rsid w:val="009B6C1E"/>
    <w:rsid w:val="009B6E29"/>
    <w:rsid w:val="009B6F6B"/>
    <w:rsid w:val="009B7132"/>
    <w:rsid w:val="009B732B"/>
    <w:rsid w:val="009B749C"/>
    <w:rsid w:val="009B75BB"/>
    <w:rsid w:val="009B75FD"/>
    <w:rsid w:val="009B79B6"/>
    <w:rsid w:val="009B7E19"/>
    <w:rsid w:val="009C0305"/>
    <w:rsid w:val="009C030B"/>
    <w:rsid w:val="009C039F"/>
    <w:rsid w:val="009C051A"/>
    <w:rsid w:val="009C0BC2"/>
    <w:rsid w:val="009C0E27"/>
    <w:rsid w:val="009C10BE"/>
    <w:rsid w:val="009C122D"/>
    <w:rsid w:val="009C12BD"/>
    <w:rsid w:val="009C135F"/>
    <w:rsid w:val="009C1577"/>
    <w:rsid w:val="009C1610"/>
    <w:rsid w:val="009C1818"/>
    <w:rsid w:val="009C1AE5"/>
    <w:rsid w:val="009C1B71"/>
    <w:rsid w:val="009C1C18"/>
    <w:rsid w:val="009C1E4C"/>
    <w:rsid w:val="009C204C"/>
    <w:rsid w:val="009C2122"/>
    <w:rsid w:val="009C2207"/>
    <w:rsid w:val="009C22A4"/>
    <w:rsid w:val="009C22CB"/>
    <w:rsid w:val="009C2AD3"/>
    <w:rsid w:val="009C30B2"/>
    <w:rsid w:val="009C31A3"/>
    <w:rsid w:val="009C3223"/>
    <w:rsid w:val="009C3232"/>
    <w:rsid w:val="009C3242"/>
    <w:rsid w:val="009C3CDF"/>
    <w:rsid w:val="009C3E29"/>
    <w:rsid w:val="009C40C7"/>
    <w:rsid w:val="009C423F"/>
    <w:rsid w:val="009C4264"/>
    <w:rsid w:val="009C4339"/>
    <w:rsid w:val="009C43CF"/>
    <w:rsid w:val="009C4652"/>
    <w:rsid w:val="009C473A"/>
    <w:rsid w:val="009C47BE"/>
    <w:rsid w:val="009C48B1"/>
    <w:rsid w:val="009C4907"/>
    <w:rsid w:val="009C49F8"/>
    <w:rsid w:val="009C4A99"/>
    <w:rsid w:val="009C4B09"/>
    <w:rsid w:val="009C4C1C"/>
    <w:rsid w:val="009C4C63"/>
    <w:rsid w:val="009C4D39"/>
    <w:rsid w:val="009C4E11"/>
    <w:rsid w:val="009C4E97"/>
    <w:rsid w:val="009C4F05"/>
    <w:rsid w:val="009C50D0"/>
    <w:rsid w:val="009C54D4"/>
    <w:rsid w:val="009C58B9"/>
    <w:rsid w:val="009C5916"/>
    <w:rsid w:val="009C59D4"/>
    <w:rsid w:val="009C5A6C"/>
    <w:rsid w:val="009C5BA9"/>
    <w:rsid w:val="009C5CDF"/>
    <w:rsid w:val="009C6142"/>
    <w:rsid w:val="009C63C8"/>
    <w:rsid w:val="009C64D0"/>
    <w:rsid w:val="009C654C"/>
    <w:rsid w:val="009C666D"/>
    <w:rsid w:val="009C669E"/>
    <w:rsid w:val="009C6718"/>
    <w:rsid w:val="009C6786"/>
    <w:rsid w:val="009C67F2"/>
    <w:rsid w:val="009C6AED"/>
    <w:rsid w:val="009C6B01"/>
    <w:rsid w:val="009C6CC9"/>
    <w:rsid w:val="009C6D01"/>
    <w:rsid w:val="009C716C"/>
    <w:rsid w:val="009C729E"/>
    <w:rsid w:val="009C72B7"/>
    <w:rsid w:val="009C7321"/>
    <w:rsid w:val="009C7668"/>
    <w:rsid w:val="009C76D7"/>
    <w:rsid w:val="009C771F"/>
    <w:rsid w:val="009C7ED5"/>
    <w:rsid w:val="009D0068"/>
    <w:rsid w:val="009D0089"/>
    <w:rsid w:val="009D0359"/>
    <w:rsid w:val="009D03DE"/>
    <w:rsid w:val="009D07AD"/>
    <w:rsid w:val="009D0AF5"/>
    <w:rsid w:val="009D0C6E"/>
    <w:rsid w:val="009D1081"/>
    <w:rsid w:val="009D11E9"/>
    <w:rsid w:val="009D14C4"/>
    <w:rsid w:val="009D1AF4"/>
    <w:rsid w:val="009D1BDB"/>
    <w:rsid w:val="009D1D06"/>
    <w:rsid w:val="009D1E1B"/>
    <w:rsid w:val="009D1FA4"/>
    <w:rsid w:val="009D205F"/>
    <w:rsid w:val="009D22A2"/>
    <w:rsid w:val="009D2521"/>
    <w:rsid w:val="009D25AD"/>
    <w:rsid w:val="009D28D5"/>
    <w:rsid w:val="009D2CAD"/>
    <w:rsid w:val="009D2F52"/>
    <w:rsid w:val="009D2F97"/>
    <w:rsid w:val="009D36AB"/>
    <w:rsid w:val="009D3709"/>
    <w:rsid w:val="009D3746"/>
    <w:rsid w:val="009D3D89"/>
    <w:rsid w:val="009D3DFA"/>
    <w:rsid w:val="009D3E64"/>
    <w:rsid w:val="009D46DE"/>
    <w:rsid w:val="009D4D3E"/>
    <w:rsid w:val="009D5083"/>
    <w:rsid w:val="009D508E"/>
    <w:rsid w:val="009D526D"/>
    <w:rsid w:val="009D5600"/>
    <w:rsid w:val="009D5966"/>
    <w:rsid w:val="009D5CC4"/>
    <w:rsid w:val="009D60BB"/>
    <w:rsid w:val="009D616C"/>
    <w:rsid w:val="009D6650"/>
    <w:rsid w:val="009D6659"/>
    <w:rsid w:val="009D669C"/>
    <w:rsid w:val="009D67B9"/>
    <w:rsid w:val="009D6A10"/>
    <w:rsid w:val="009D6B53"/>
    <w:rsid w:val="009D6BED"/>
    <w:rsid w:val="009D6CA8"/>
    <w:rsid w:val="009D6D2A"/>
    <w:rsid w:val="009D6D4F"/>
    <w:rsid w:val="009D711A"/>
    <w:rsid w:val="009D7321"/>
    <w:rsid w:val="009D7322"/>
    <w:rsid w:val="009D732E"/>
    <w:rsid w:val="009D73C4"/>
    <w:rsid w:val="009D769D"/>
    <w:rsid w:val="009D76CE"/>
    <w:rsid w:val="009D7712"/>
    <w:rsid w:val="009D7786"/>
    <w:rsid w:val="009D7B2E"/>
    <w:rsid w:val="009D7CF7"/>
    <w:rsid w:val="009D7E0E"/>
    <w:rsid w:val="009D7FDE"/>
    <w:rsid w:val="009E00F8"/>
    <w:rsid w:val="009E0115"/>
    <w:rsid w:val="009E017A"/>
    <w:rsid w:val="009E0315"/>
    <w:rsid w:val="009E0429"/>
    <w:rsid w:val="009E0602"/>
    <w:rsid w:val="009E06A8"/>
    <w:rsid w:val="009E087F"/>
    <w:rsid w:val="009E0A2D"/>
    <w:rsid w:val="009E0A90"/>
    <w:rsid w:val="009E0B32"/>
    <w:rsid w:val="009E0BBD"/>
    <w:rsid w:val="009E0BFA"/>
    <w:rsid w:val="009E0CFF"/>
    <w:rsid w:val="009E0DE8"/>
    <w:rsid w:val="009E15BE"/>
    <w:rsid w:val="009E1744"/>
    <w:rsid w:val="009E1748"/>
    <w:rsid w:val="009E1760"/>
    <w:rsid w:val="009E18A0"/>
    <w:rsid w:val="009E1907"/>
    <w:rsid w:val="009E1A1C"/>
    <w:rsid w:val="009E1BAB"/>
    <w:rsid w:val="009E1D93"/>
    <w:rsid w:val="009E1F69"/>
    <w:rsid w:val="009E22E6"/>
    <w:rsid w:val="009E2A1B"/>
    <w:rsid w:val="009E2B92"/>
    <w:rsid w:val="009E2CF0"/>
    <w:rsid w:val="009E2D0C"/>
    <w:rsid w:val="009E2E01"/>
    <w:rsid w:val="009E2E5D"/>
    <w:rsid w:val="009E2EAB"/>
    <w:rsid w:val="009E30AF"/>
    <w:rsid w:val="009E3281"/>
    <w:rsid w:val="009E32AA"/>
    <w:rsid w:val="009E34B1"/>
    <w:rsid w:val="009E39EE"/>
    <w:rsid w:val="009E3A2E"/>
    <w:rsid w:val="009E3BE5"/>
    <w:rsid w:val="009E3F7F"/>
    <w:rsid w:val="009E4260"/>
    <w:rsid w:val="009E4276"/>
    <w:rsid w:val="009E42BB"/>
    <w:rsid w:val="009E431C"/>
    <w:rsid w:val="009E4516"/>
    <w:rsid w:val="009E4695"/>
    <w:rsid w:val="009E481A"/>
    <w:rsid w:val="009E4D0B"/>
    <w:rsid w:val="009E516F"/>
    <w:rsid w:val="009E52C1"/>
    <w:rsid w:val="009E5552"/>
    <w:rsid w:val="009E5C49"/>
    <w:rsid w:val="009E5CD9"/>
    <w:rsid w:val="009E61AA"/>
    <w:rsid w:val="009E637B"/>
    <w:rsid w:val="009E63D5"/>
    <w:rsid w:val="009E644D"/>
    <w:rsid w:val="009E652F"/>
    <w:rsid w:val="009E655E"/>
    <w:rsid w:val="009E6651"/>
    <w:rsid w:val="009E6A02"/>
    <w:rsid w:val="009E6BD4"/>
    <w:rsid w:val="009E6D95"/>
    <w:rsid w:val="009E7046"/>
    <w:rsid w:val="009E7070"/>
    <w:rsid w:val="009E732E"/>
    <w:rsid w:val="009E7AB3"/>
    <w:rsid w:val="009E7B9B"/>
    <w:rsid w:val="009E7C23"/>
    <w:rsid w:val="009E7D0F"/>
    <w:rsid w:val="009E7E86"/>
    <w:rsid w:val="009E7EAE"/>
    <w:rsid w:val="009E7F08"/>
    <w:rsid w:val="009E7F57"/>
    <w:rsid w:val="009F0128"/>
    <w:rsid w:val="009F01A6"/>
    <w:rsid w:val="009F0713"/>
    <w:rsid w:val="009F08DC"/>
    <w:rsid w:val="009F0CAF"/>
    <w:rsid w:val="009F0E1C"/>
    <w:rsid w:val="009F0E61"/>
    <w:rsid w:val="009F0EA2"/>
    <w:rsid w:val="009F12A0"/>
    <w:rsid w:val="009F1416"/>
    <w:rsid w:val="009F1602"/>
    <w:rsid w:val="009F17FF"/>
    <w:rsid w:val="009F1F3A"/>
    <w:rsid w:val="009F1FC0"/>
    <w:rsid w:val="009F1FEB"/>
    <w:rsid w:val="009F20D8"/>
    <w:rsid w:val="009F21E7"/>
    <w:rsid w:val="009F230F"/>
    <w:rsid w:val="009F2335"/>
    <w:rsid w:val="009F240C"/>
    <w:rsid w:val="009F2584"/>
    <w:rsid w:val="009F287A"/>
    <w:rsid w:val="009F29CC"/>
    <w:rsid w:val="009F2BD3"/>
    <w:rsid w:val="009F30A6"/>
    <w:rsid w:val="009F34CE"/>
    <w:rsid w:val="009F3A7D"/>
    <w:rsid w:val="009F3CCD"/>
    <w:rsid w:val="009F403A"/>
    <w:rsid w:val="009F40C4"/>
    <w:rsid w:val="009F4249"/>
    <w:rsid w:val="009F4413"/>
    <w:rsid w:val="009F456A"/>
    <w:rsid w:val="009F4580"/>
    <w:rsid w:val="009F4600"/>
    <w:rsid w:val="009F46DA"/>
    <w:rsid w:val="009F4739"/>
    <w:rsid w:val="009F481B"/>
    <w:rsid w:val="009F5320"/>
    <w:rsid w:val="009F53DE"/>
    <w:rsid w:val="009F5493"/>
    <w:rsid w:val="009F5580"/>
    <w:rsid w:val="009F586A"/>
    <w:rsid w:val="009F5B01"/>
    <w:rsid w:val="009F5B39"/>
    <w:rsid w:val="009F5DEE"/>
    <w:rsid w:val="009F5E1C"/>
    <w:rsid w:val="009F6074"/>
    <w:rsid w:val="009F61B3"/>
    <w:rsid w:val="009F62E6"/>
    <w:rsid w:val="009F64AD"/>
    <w:rsid w:val="009F651B"/>
    <w:rsid w:val="009F677C"/>
    <w:rsid w:val="009F6A4F"/>
    <w:rsid w:val="009F6BCD"/>
    <w:rsid w:val="009F6CC4"/>
    <w:rsid w:val="009F6E4F"/>
    <w:rsid w:val="009F70B5"/>
    <w:rsid w:val="009F7227"/>
    <w:rsid w:val="009F76C5"/>
    <w:rsid w:val="009F786C"/>
    <w:rsid w:val="009F78B5"/>
    <w:rsid w:val="009F79EF"/>
    <w:rsid w:val="009F7A35"/>
    <w:rsid w:val="009F7B58"/>
    <w:rsid w:val="009F7B6C"/>
    <w:rsid w:val="009F7D14"/>
    <w:rsid w:val="009F7D20"/>
    <w:rsid w:val="009F7D84"/>
    <w:rsid w:val="009F7E85"/>
    <w:rsid w:val="00A00275"/>
    <w:rsid w:val="00A004C3"/>
    <w:rsid w:val="00A00529"/>
    <w:rsid w:val="00A0060C"/>
    <w:rsid w:val="00A0065B"/>
    <w:rsid w:val="00A0065E"/>
    <w:rsid w:val="00A006AF"/>
    <w:rsid w:val="00A00C26"/>
    <w:rsid w:val="00A00C84"/>
    <w:rsid w:val="00A00CBD"/>
    <w:rsid w:val="00A00EFA"/>
    <w:rsid w:val="00A012E9"/>
    <w:rsid w:val="00A01424"/>
    <w:rsid w:val="00A0176C"/>
    <w:rsid w:val="00A017A7"/>
    <w:rsid w:val="00A01A9B"/>
    <w:rsid w:val="00A01AC1"/>
    <w:rsid w:val="00A01CE2"/>
    <w:rsid w:val="00A022E0"/>
    <w:rsid w:val="00A024A7"/>
    <w:rsid w:val="00A02579"/>
    <w:rsid w:val="00A02734"/>
    <w:rsid w:val="00A031A8"/>
    <w:rsid w:val="00A0333C"/>
    <w:rsid w:val="00A03491"/>
    <w:rsid w:val="00A03701"/>
    <w:rsid w:val="00A03762"/>
    <w:rsid w:val="00A03792"/>
    <w:rsid w:val="00A03962"/>
    <w:rsid w:val="00A03B06"/>
    <w:rsid w:val="00A03EA9"/>
    <w:rsid w:val="00A03EBA"/>
    <w:rsid w:val="00A040A5"/>
    <w:rsid w:val="00A04323"/>
    <w:rsid w:val="00A0434B"/>
    <w:rsid w:val="00A04751"/>
    <w:rsid w:val="00A0484A"/>
    <w:rsid w:val="00A04966"/>
    <w:rsid w:val="00A04A7A"/>
    <w:rsid w:val="00A04C0D"/>
    <w:rsid w:val="00A053DA"/>
    <w:rsid w:val="00A05471"/>
    <w:rsid w:val="00A054CB"/>
    <w:rsid w:val="00A059DA"/>
    <w:rsid w:val="00A05B5B"/>
    <w:rsid w:val="00A061C4"/>
    <w:rsid w:val="00A06219"/>
    <w:rsid w:val="00A0624B"/>
    <w:rsid w:val="00A063FC"/>
    <w:rsid w:val="00A064F8"/>
    <w:rsid w:val="00A06B46"/>
    <w:rsid w:val="00A06C2E"/>
    <w:rsid w:val="00A06CF5"/>
    <w:rsid w:val="00A06D00"/>
    <w:rsid w:val="00A06DF7"/>
    <w:rsid w:val="00A06F99"/>
    <w:rsid w:val="00A07164"/>
    <w:rsid w:val="00A07266"/>
    <w:rsid w:val="00A0766D"/>
    <w:rsid w:val="00A07A14"/>
    <w:rsid w:val="00A07AC7"/>
    <w:rsid w:val="00A07E04"/>
    <w:rsid w:val="00A10036"/>
    <w:rsid w:val="00A10046"/>
    <w:rsid w:val="00A10168"/>
    <w:rsid w:val="00A10179"/>
    <w:rsid w:val="00A10262"/>
    <w:rsid w:val="00A104EC"/>
    <w:rsid w:val="00A1055F"/>
    <w:rsid w:val="00A11056"/>
    <w:rsid w:val="00A1106C"/>
    <w:rsid w:val="00A11395"/>
    <w:rsid w:val="00A11CE7"/>
    <w:rsid w:val="00A11D30"/>
    <w:rsid w:val="00A12202"/>
    <w:rsid w:val="00A124C0"/>
    <w:rsid w:val="00A12566"/>
    <w:rsid w:val="00A125DE"/>
    <w:rsid w:val="00A126EF"/>
    <w:rsid w:val="00A12846"/>
    <w:rsid w:val="00A128F0"/>
    <w:rsid w:val="00A12A99"/>
    <w:rsid w:val="00A12B35"/>
    <w:rsid w:val="00A12C28"/>
    <w:rsid w:val="00A130FC"/>
    <w:rsid w:val="00A131E4"/>
    <w:rsid w:val="00A1326A"/>
    <w:rsid w:val="00A134B8"/>
    <w:rsid w:val="00A134DC"/>
    <w:rsid w:val="00A13539"/>
    <w:rsid w:val="00A1399B"/>
    <w:rsid w:val="00A139F9"/>
    <w:rsid w:val="00A13A74"/>
    <w:rsid w:val="00A13B42"/>
    <w:rsid w:val="00A13ED3"/>
    <w:rsid w:val="00A14038"/>
    <w:rsid w:val="00A145F5"/>
    <w:rsid w:val="00A14864"/>
    <w:rsid w:val="00A1486A"/>
    <w:rsid w:val="00A14B70"/>
    <w:rsid w:val="00A14BEC"/>
    <w:rsid w:val="00A14C41"/>
    <w:rsid w:val="00A14D21"/>
    <w:rsid w:val="00A14F31"/>
    <w:rsid w:val="00A150C0"/>
    <w:rsid w:val="00A150F4"/>
    <w:rsid w:val="00A15157"/>
    <w:rsid w:val="00A1522B"/>
    <w:rsid w:val="00A1523A"/>
    <w:rsid w:val="00A152FC"/>
    <w:rsid w:val="00A15405"/>
    <w:rsid w:val="00A15420"/>
    <w:rsid w:val="00A1595C"/>
    <w:rsid w:val="00A15A4D"/>
    <w:rsid w:val="00A15D73"/>
    <w:rsid w:val="00A15D93"/>
    <w:rsid w:val="00A15DA6"/>
    <w:rsid w:val="00A15FC2"/>
    <w:rsid w:val="00A15FF5"/>
    <w:rsid w:val="00A15FFD"/>
    <w:rsid w:val="00A1653F"/>
    <w:rsid w:val="00A167B3"/>
    <w:rsid w:val="00A16837"/>
    <w:rsid w:val="00A168F9"/>
    <w:rsid w:val="00A16B19"/>
    <w:rsid w:val="00A16B3E"/>
    <w:rsid w:val="00A16D83"/>
    <w:rsid w:val="00A16EAA"/>
    <w:rsid w:val="00A17218"/>
    <w:rsid w:val="00A172A3"/>
    <w:rsid w:val="00A1733B"/>
    <w:rsid w:val="00A174E1"/>
    <w:rsid w:val="00A1766C"/>
    <w:rsid w:val="00A176D4"/>
    <w:rsid w:val="00A17A9E"/>
    <w:rsid w:val="00A17BBF"/>
    <w:rsid w:val="00A17C72"/>
    <w:rsid w:val="00A17D2C"/>
    <w:rsid w:val="00A20079"/>
    <w:rsid w:val="00A20199"/>
    <w:rsid w:val="00A20318"/>
    <w:rsid w:val="00A20443"/>
    <w:rsid w:val="00A20810"/>
    <w:rsid w:val="00A20935"/>
    <w:rsid w:val="00A20A51"/>
    <w:rsid w:val="00A20B8F"/>
    <w:rsid w:val="00A20C61"/>
    <w:rsid w:val="00A20EA4"/>
    <w:rsid w:val="00A20F3D"/>
    <w:rsid w:val="00A20F7A"/>
    <w:rsid w:val="00A2119D"/>
    <w:rsid w:val="00A215D7"/>
    <w:rsid w:val="00A216F1"/>
    <w:rsid w:val="00A2179B"/>
    <w:rsid w:val="00A21AD7"/>
    <w:rsid w:val="00A21B68"/>
    <w:rsid w:val="00A21C53"/>
    <w:rsid w:val="00A21D8F"/>
    <w:rsid w:val="00A2204F"/>
    <w:rsid w:val="00A222D1"/>
    <w:rsid w:val="00A22A79"/>
    <w:rsid w:val="00A22CD1"/>
    <w:rsid w:val="00A22D7F"/>
    <w:rsid w:val="00A22FC9"/>
    <w:rsid w:val="00A23299"/>
    <w:rsid w:val="00A234F8"/>
    <w:rsid w:val="00A23622"/>
    <w:rsid w:val="00A23AA9"/>
    <w:rsid w:val="00A23CDC"/>
    <w:rsid w:val="00A23D60"/>
    <w:rsid w:val="00A23F03"/>
    <w:rsid w:val="00A240D0"/>
    <w:rsid w:val="00A24160"/>
    <w:rsid w:val="00A241B1"/>
    <w:rsid w:val="00A24388"/>
    <w:rsid w:val="00A24548"/>
    <w:rsid w:val="00A24740"/>
    <w:rsid w:val="00A247F9"/>
    <w:rsid w:val="00A24955"/>
    <w:rsid w:val="00A24994"/>
    <w:rsid w:val="00A249F8"/>
    <w:rsid w:val="00A24A64"/>
    <w:rsid w:val="00A24AB8"/>
    <w:rsid w:val="00A257EC"/>
    <w:rsid w:val="00A257FC"/>
    <w:rsid w:val="00A25873"/>
    <w:rsid w:val="00A25903"/>
    <w:rsid w:val="00A25D1C"/>
    <w:rsid w:val="00A2636B"/>
    <w:rsid w:val="00A267B1"/>
    <w:rsid w:val="00A268E7"/>
    <w:rsid w:val="00A26D21"/>
    <w:rsid w:val="00A26E32"/>
    <w:rsid w:val="00A26E50"/>
    <w:rsid w:val="00A26EF4"/>
    <w:rsid w:val="00A27228"/>
    <w:rsid w:val="00A273B2"/>
    <w:rsid w:val="00A2745E"/>
    <w:rsid w:val="00A2754C"/>
    <w:rsid w:val="00A277BE"/>
    <w:rsid w:val="00A27906"/>
    <w:rsid w:val="00A27977"/>
    <w:rsid w:val="00A279EA"/>
    <w:rsid w:val="00A27B3B"/>
    <w:rsid w:val="00A27BF8"/>
    <w:rsid w:val="00A27C88"/>
    <w:rsid w:val="00A27DEA"/>
    <w:rsid w:val="00A300D8"/>
    <w:rsid w:val="00A305CD"/>
    <w:rsid w:val="00A306AF"/>
    <w:rsid w:val="00A30840"/>
    <w:rsid w:val="00A30961"/>
    <w:rsid w:val="00A30C9C"/>
    <w:rsid w:val="00A30E50"/>
    <w:rsid w:val="00A31046"/>
    <w:rsid w:val="00A3123C"/>
    <w:rsid w:val="00A3126F"/>
    <w:rsid w:val="00A312A9"/>
    <w:rsid w:val="00A31F33"/>
    <w:rsid w:val="00A31F4F"/>
    <w:rsid w:val="00A32181"/>
    <w:rsid w:val="00A32272"/>
    <w:rsid w:val="00A32345"/>
    <w:rsid w:val="00A324C4"/>
    <w:rsid w:val="00A32548"/>
    <w:rsid w:val="00A325C5"/>
    <w:rsid w:val="00A325D3"/>
    <w:rsid w:val="00A329C5"/>
    <w:rsid w:val="00A329DF"/>
    <w:rsid w:val="00A32A2F"/>
    <w:rsid w:val="00A32B0E"/>
    <w:rsid w:val="00A32C18"/>
    <w:rsid w:val="00A32ED0"/>
    <w:rsid w:val="00A32EFB"/>
    <w:rsid w:val="00A32F8B"/>
    <w:rsid w:val="00A33056"/>
    <w:rsid w:val="00A3335B"/>
    <w:rsid w:val="00A335B9"/>
    <w:rsid w:val="00A335E5"/>
    <w:rsid w:val="00A33719"/>
    <w:rsid w:val="00A3395D"/>
    <w:rsid w:val="00A33C45"/>
    <w:rsid w:val="00A33D32"/>
    <w:rsid w:val="00A34148"/>
    <w:rsid w:val="00A34219"/>
    <w:rsid w:val="00A3433E"/>
    <w:rsid w:val="00A344FC"/>
    <w:rsid w:val="00A34968"/>
    <w:rsid w:val="00A34A7A"/>
    <w:rsid w:val="00A34A9A"/>
    <w:rsid w:val="00A34BBE"/>
    <w:rsid w:val="00A34BFD"/>
    <w:rsid w:val="00A34D34"/>
    <w:rsid w:val="00A34EAA"/>
    <w:rsid w:val="00A34F55"/>
    <w:rsid w:val="00A350F5"/>
    <w:rsid w:val="00A351A7"/>
    <w:rsid w:val="00A35341"/>
    <w:rsid w:val="00A35542"/>
    <w:rsid w:val="00A35553"/>
    <w:rsid w:val="00A3561B"/>
    <w:rsid w:val="00A35793"/>
    <w:rsid w:val="00A357C3"/>
    <w:rsid w:val="00A358DC"/>
    <w:rsid w:val="00A35BC6"/>
    <w:rsid w:val="00A3604C"/>
    <w:rsid w:val="00A3622E"/>
    <w:rsid w:val="00A365EF"/>
    <w:rsid w:val="00A36727"/>
    <w:rsid w:val="00A367A6"/>
    <w:rsid w:val="00A36897"/>
    <w:rsid w:val="00A36959"/>
    <w:rsid w:val="00A36997"/>
    <w:rsid w:val="00A36DB8"/>
    <w:rsid w:val="00A36E2D"/>
    <w:rsid w:val="00A36E61"/>
    <w:rsid w:val="00A36F44"/>
    <w:rsid w:val="00A370E9"/>
    <w:rsid w:val="00A37155"/>
    <w:rsid w:val="00A371BF"/>
    <w:rsid w:val="00A376AA"/>
    <w:rsid w:val="00A376DC"/>
    <w:rsid w:val="00A37D8D"/>
    <w:rsid w:val="00A37E00"/>
    <w:rsid w:val="00A37ED4"/>
    <w:rsid w:val="00A37FC1"/>
    <w:rsid w:val="00A40118"/>
    <w:rsid w:val="00A40326"/>
    <w:rsid w:val="00A4065B"/>
    <w:rsid w:val="00A40670"/>
    <w:rsid w:val="00A4069C"/>
    <w:rsid w:val="00A40886"/>
    <w:rsid w:val="00A40891"/>
    <w:rsid w:val="00A40A2E"/>
    <w:rsid w:val="00A40AE6"/>
    <w:rsid w:val="00A40E50"/>
    <w:rsid w:val="00A41072"/>
    <w:rsid w:val="00A412E5"/>
    <w:rsid w:val="00A41551"/>
    <w:rsid w:val="00A41708"/>
    <w:rsid w:val="00A4188E"/>
    <w:rsid w:val="00A419E6"/>
    <w:rsid w:val="00A41C25"/>
    <w:rsid w:val="00A41FDC"/>
    <w:rsid w:val="00A42340"/>
    <w:rsid w:val="00A423A7"/>
    <w:rsid w:val="00A4253F"/>
    <w:rsid w:val="00A428FC"/>
    <w:rsid w:val="00A429A9"/>
    <w:rsid w:val="00A429F0"/>
    <w:rsid w:val="00A42AAE"/>
    <w:rsid w:val="00A42CC4"/>
    <w:rsid w:val="00A43017"/>
    <w:rsid w:val="00A43488"/>
    <w:rsid w:val="00A436D9"/>
    <w:rsid w:val="00A43B0B"/>
    <w:rsid w:val="00A43B69"/>
    <w:rsid w:val="00A43BF1"/>
    <w:rsid w:val="00A43CAD"/>
    <w:rsid w:val="00A43FE7"/>
    <w:rsid w:val="00A441D0"/>
    <w:rsid w:val="00A44449"/>
    <w:rsid w:val="00A44453"/>
    <w:rsid w:val="00A4455C"/>
    <w:rsid w:val="00A44908"/>
    <w:rsid w:val="00A4494F"/>
    <w:rsid w:val="00A4506F"/>
    <w:rsid w:val="00A45136"/>
    <w:rsid w:val="00A4526C"/>
    <w:rsid w:val="00A4526E"/>
    <w:rsid w:val="00A454A1"/>
    <w:rsid w:val="00A45614"/>
    <w:rsid w:val="00A45C1D"/>
    <w:rsid w:val="00A45C6B"/>
    <w:rsid w:val="00A45F45"/>
    <w:rsid w:val="00A460C9"/>
    <w:rsid w:val="00A4631B"/>
    <w:rsid w:val="00A46499"/>
    <w:rsid w:val="00A46506"/>
    <w:rsid w:val="00A46957"/>
    <w:rsid w:val="00A46989"/>
    <w:rsid w:val="00A46D1C"/>
    <w:rsid w:val="00A46D85"/>
    <w:rsid w:val="00A473A1"/>
    <w:rsid w:val="00A47466"/>
    <w:rsid w:val="00A47487"/>
    <w:rsid w:val="00A47491"/>
    <w:rsid w:val="00A47678"/>
    <w:rsid w:val="00A47CAE"/>
    <w:rsid w:val="00A47CB2"/>
    <w:rsid w:val="00A47F9E"/>
    <w:rsid w:val="00A47FA7"/>
    <w:rsid w:val="00A47FD8"/>
    <w:rsid w:val="00A5007E"/>
    <w:rsid w:val="00A5019A"/>
    <w:rsid w:val="00A506A0"/>
    <w:rsid w:val="00A507C2"/>
    <w:rsid w:val="00A50948"/>
    <w:rsid w:val="00A509BC"/>
    <w:rsid w:val="00A50D0F"/>
    <w:rsid w:val="00A50DEA"/>
    <w:rsid w:val="00A50DFC"/>
    <w:rsid w:val="00A50E04"/>
    <w:rsid w:val="00A51176"/>
    <w:rsid w:val="00A514A1"/>
    <w:rsid w:val="00A514EC"/>
    <w:rsid w:val="00A515AA"/>
    <w:rsid w:val="00A515CC"/>
    <w:rsid w:val="00A5162F"/>
    <w:rsid w:val="00A516AB"/>
    <w:rsid w:val="00A51737"/>
    <w:rsid w:val="00A5185E"/>
    <w:rsid w:val="00A5199C"/>
    <w:rsid w:val="00A51AFA"/>
    <w:rsid w:val="00A51C7B"/>
    <w:rsid w:val="00A51CF2"/>
    <w:rsid w:val="00A51FB4"/>
    <w:rsid w:val="00A521C0"/>
    <w:rsid w:val="00A5244A"/>
    <w:rsid w:val="00A52739"/>
    <w:rsid w:val="00A527A5"/>
    <w:rsid w:val="00A528AC"/>
    <w:rsid w:val="00A52913"/>
    <w:rsid w:val="00A52995"/>
    <w:rsid w:val="00A529AD"/>
    <w:rsid w:val="00A529DF"/>
    <w:rsid w:val="00A529E8"/>
    <w:rsid w:val="00A530A5"/>
    <w:rsid w:val="00A540E8"/>
    <w:rsid w:val="00A542F7"/>
    <w:rsid w:val="00A545E5"/>
    <w:rsid w:val="00A54B84"/>
    <w:rsid w:val="00A55213"/>
    <w:rsid w:val="00A55275"/>
    <w:rsid w:val="00A552E6"/>
    <w:rsid w:val="00A5547D"/>
    <w:rsid w:val="00A55A43"/>
    <w:rsid w:val="00A55A4A"/>
    <w:rsid w:val="00A55D4F"/>
    <w:rsid w:val="00A55E80"/>
    <w:rsid w:val="00A55E9A"/>
    <w:rsid w:val="00A55EB0"/>
    <w:rsid w:val="00A56162"/>
    <w:rsid w:val="00A561A4"/>
    <w:rsid w:val="00A5652C"/>
    <w:rsid w:val="00A56576"/>
    <w:rsid w:val="00A5697B"/>
    <w:rsid w:val="00A56A76"/>
    <w:rsid w:val="00A56C15"/>
    <w:rsid w:val="00A56CC6"/>
    <w:rsid w:val="00A570C2"/>
    <w:rsid w:val="00A573D9"/>
    <w:rsid w:val="00A574CD"/>
    <w:rsid w:val="00A576AE"/>
    <w:rsid w:val="00A5791D"/>
    <w:rsid w:val="00A57ACB"/>
    <w:rsid w:val="00A57FA8"/>
    <w:rsid w:val="00A60495"/>
    <w:rsid w:val="00A60DC6"/>
    <w:rsid w:val="00A60F40"/>
    <w:rsid w:val="00A60F9D"/>
    <w:rsid w:val="00A61701"/>
    <w:rsid w:val="00A6171B"/>
    <w:rsid w:val="00A61AEE"/>
    <w:rsid w:val="00A61CFB"/>
    <w:rsid w:val="00A61E11"/>
    <w:rsid w:val="00A61FC4"/>
    <w:rsid w:val="00A621B8"/>
    <w:rsid w:val="00A62219"/>
    <w:rsid w:val="00A622C6"/>
    <w:rsid w:val="00A62433"/>
    <w:rsid w:val="00A6244D"/>
    <w:rsid w:val="00A624A2"/>
    <w:rsid w:val="00A62732"/>
    <w:rsid w:val="00A62880"/>
    <w:rsid w:val="00A62973"/>
    <w:rsid w:val="00A629DF"/>
    <w:rsid w:val="00A629F2"/>
    <w:rsid w:val="00A62EB9"/>
    <w:rsid w:val="00A62EDC"/>
    <w:rsid w:val="00A62F3B"/>
    <w:rsid w:val="00A630BF"/>
    <w:rsid w:val="00A63117"/>
    <w:rsid w:val="00A63252"/>
    <w:rsid w:val="00A63331"/>
    <w:rsid w:val="00A637F3"/>
    <w:rsid w:val="00A63CC0"/>
    <w:rsid w:val="00A63F52"/>
    <w:rsid w:val="00A644F2"/>
    <w:rsid w:val="00A645B1"/>
    <w:rsid w:val="00A648E8"/>
    <w:rsid w:val="00A64BA7"/>
    <w:rsid w:val="00A64F2E"/>
    <w:rsid w:val="00A6523D"/>
    <w:rsid w:val="00A652EB"/>
    <w:rsid w:val="00A654F1"/>
    <w:rsid w:val="00A65C13"/>
    <w:rsid w:val="00A65C2A"/>
    <w:rsid w:val="00A65C90"/>
    <w:rsid w:val="00A65E0C"/>
    <w:rsid w:val="00A65F21"/>
    <w:rsid w:val="00A66414"/>
    <w:rsid w:val="00A664F5"/>
    <w:rsid w:val="00A665AA"/>
    <w:rsid w:val="00A666CE"/>
    <w:rsid w:val="00A66CAF"/>
    <w:rsid w:val="00A66EA2"/>
    <w:rsid w:val="00A66EE0"/>
    <w:rsid w:val="00A67060"/>
    <w:rsid w:val="00A670F3"/>
    <w:rsid w:val="00A672DC"/>
    <w:rsid w:val="00A67445"/>
    <w:rsid w:val="00A6755E"/>
    <w:rsid w:val="00A675D4"/>
    <w:rsid w:val="00A67665"/>
    <w:rsid w:val="00A6778D"/>
    <w:rsid w:val="00A67BF2"/>
    <w:rsid w:val="00A70020"/>
    <w:rsid w:val="00A70182"/>
    <w:rsid w:val="00A70420"/>
    <w:rsid w:val="00A70551"/>
    <w:rsid w:val="00A70628"/>
    <w:rsid w:val="00A7067D"/>
    <w:rsid w:val="00A706E6"/>
    <w:rsid w:val="00A70879"/>
    <w:rsid w:val="00A70B92"/>
    <w:rsid w:val="00A716EA"/>
    <w:rsid w:val="00A71872"/>
    <w:rsid w:val="00A71F50"/>
    <w:rsid w:val="00A71F6F"/>
    <w:rsid w:val="00A720C2"/>
    <w:rsid w:val="00A72268"/>
    <w:rsid w:val="00A72598"/>
    <w:rsid w:val="00A728B8"/>
    <w:rsid w:val="00A729A0"/>
    <w:rsid w:val="00A72AA5"/>
    <w:rsid w:val="00A72B19"/>
    <w:rsid w:val="00A736B2"/>
    <w:rsid w:val="00A73C13"/>
    <w:rsid w:val="00A73E73"/>
    <w:rsid w:val="00A73EAF"/>
    <w:rsid w:val="00A73F05"/>
    <w:rsid w:val="00A740C5"/>
    <w:rsid w:val="00A7431A"/>
    <w:rsid w:val="00A743B7"/>
    <w:rsid w:val="00A743BF"/>
    <w:rsid w:val="00A744A5"/>
    <w:rsid w:val="00A745F6"/>
    <w:rsid w:val="00A7480F"/>
    <w:rsid w:val="00A7485A"/>
    <w:rsid w:val="00A74BDE"/>
    <w:rsid w:val="00A74DFC"/>
    <w:rsid w:val="00A74E53"/>
    <w:rsid w:val="00A74EE8"/>
    <w:rsid w:val="00A75127"/>
    <w:rsid w:val="00A753BB"/>
    <w:rsid w:val="00A759DD"/>
    <w:rsid w:val="00A75AB3"/>
    <w:rsid w:val="00A75B07"/>
    <w:rsid w:val="00A75E66"/>
    <w:rsid w:val="00A75E86"/>
    <w:rsid w:val="00A760D6"/>
    <w:rsid w:val="00A7623F"/>
    <w:rsid w:val="00A763F0"/>
    <w:rsid w:val="00A76480"/>
    <w:rsid w:val="00A76594"/>
    <w:rsid w:val="00A76B21"/>
    <w:rsid w:val="00A76C0F"/>
    <w:rsid w:val="00A76D67"/>
    <w:rsid w:val="00A770E1"/>
    <w:rsid w:val="00A772BC"/>
    <w:rsid w:val="00A7745B"/>
    <w:rsid w:val="00A7758B"/>
    <w:rsid w:val="00A77628"/>
    <w:rsid w:val="00A7787C"/>
    <w:rsid w:val="00A77914"/>
    <w:rsid w:val="00A77B91"/>
    <w:rsid w:val="00A800F3"/>
    <w:rsid w:val="00A8021E"/>
    <w:rsid w:val="00A80221"/>
    <w:rsid w:val="00A8063C"/>
    <w:rsid w:val="00A806D4"/>
    <w:rsid w:val="00A808F8"/>
    <w:rsid w:val="00A80A90"/>
    <w:rsid w:val="00A80B9D"/>
    <w:rsid w:val="00A80C2B"/>
    <w:rsid w:val="00A80E0C"/>
    <w:rsid w:val="00A8106D"/>
    <w:rsid w:val="00A813A5"/>
    <w:rsid w:val="00A81438"/>
    <w:rsid w:val="00A81463"/>
    <w:rsid w:val="00A814E3"/>
    <w:rsid w:val="00A81504"/>
    <w:rsid w:val="00A8172C"/>
    <w:rsid w:val="00A81974"/>
    <w:rsid w:val="00A81C42"/>
    <w:rsid w:val="00A81CCB"/>
    <w:rsid w:val="00A823AB"/>
    <w:rsid w:val="00A82670"/>
    <w:rsid w:val="00A827F9"/>
    <w:rsid w:val="00A82833"/>
    <w:rsid w:val="00A82ADC"/>
    <w:rsid w:val="00A82D52"/>
    <w:rsid w:val="00A82DA3"/>
    <w:rsid w:val="00A82E67"/>
    <w:rsid w:val="00A82EF3"/>
    <w:rsid w:val="00A83008"/>
    <w:rsid w:val="00A83361"/>
    <w:rsid w:val="00A83912"/>
    <w:rsid w:val="00A83A55"/>
    <w:rsid w:val="00A83C24"/>
    <w:rsid w:val="00A83CBF"/>
    <w:rsid w:val="00A8401F"/>
    <w:rsid w:val="00A84038"/>
    <w:rsid w:val="00A84212"/>
    <w:rsid w:val="00A8429A"/>
    <w:rsid w:val="00A84374"/>
    <w:rsid w:val="00A847B4"/>
    <w:rsid w:val="00A8486B"/>
    <w:rsid w:val="00A848C5"/>
    <w:rsid w:val="00A84A9C"/>
    <w:rsid w:val="00A84CCF"/>
    <w:rsid w:val="00A84E99"/>
    <w:rsid w:val="00A85020"/>
    <w:rsid w:val="00A85212"/>
    <w:rsid w:val="00A855E8"/>
    <w:rsid w:val="00A8566A"/>
    <w:rsid w:val="00A8593C"/>
    <w:rsid w:val="00A85A80"/>
    <w:rsid w:val="00A85CB6"/>
    <w:rsid w:val="00A85D04"/>
    <w:rsid w:val="00A8600E"/>
    <w:rsid w:val="00A860AF"/>
    <w:rsid w:val="00A86327"/>
    <w:rsid w:val="00A8638C"/>
    <w:rsid w:val="00A86415"/>
    <w:rsid w:val="00A864FB"/>
    <w:rsid w:val="00A86627"/>
    <w:rsid w:val="00A868BC"/>
    <w:rsid w:val="00A86985"/>
    <w:rsid w:val="00A86FA5"/>
    <w:rsid w:val="00A873BD"/>
    <w:rsid w:val="00A87596"/>
    <w:rsid w:val="00A877D7"/>
    <w:rsid w:val="00A878CA"/>
    <w:rsid w:val="00A87B16"/>
    <w:rsid w:val="00A90110"/>
    <w:rsid w:val="00A9012A"/>
    <w:rsid w:val="00A90246"/>
    <w:rsid w:val="00A90562"/>
    <w:rsid w:val="00A909E6"/>
    <w:rsid w:val="00A90E46"/>
    <w:rsid w:val="00A90E89"/>
    <w:rsid w:val="00A90EA9"/>
    <w:rsid w:val="00A90F8B"/>
    <w:rsid w:val="00A912DA"/>
    <w:rsid w:val="00A91333"/>
    <w:rsid w:val="00A914A1"/>
    <w:rsid w:val="00A91648"/>
    <w:rsid w:val="00A91788"/>
    <w:rsid w:val="00A917EB"/>
    <w:rsid w:val="00A9190C"/>
    <w:rsid w:val="00A9197A"/>
    <w:rsid w:val="00A91A44"/>
    <w:rsid w:val="00A91AE0"/>
    <w:rsid w:val="00A91F9F"/>
    <w:rsid w:val="00A92274"/>
    <w:rsid w:val="00A9258F"/>
    <w:rsid w:val="00A92853"/>
    <w:rsid w:val="00A92916"/>
    <w:rsid w:val="00A92AF3"/>
    <w:rsid w:val="00A92BDC"/>
    <w:rsid w:val="00A92C97"/>
    <w:rsid w:val="00A92E15"/>
    <w:rsid w:val="00A9310F"/>
    <w:rsid w:val="00A93153"/>
    <w:rsid w:val="00A931E6"/>
    <w:rsid w:val="00A93458"/>
    <w:rsid w:val="00A936C4"/>
    <w:rsid w:val="00A9378C"/>
    <w:rsid w:val="00A937DC"/>
    <w:rsid w:val="00A93ADB"/>
    <w:rsid w:val="00A93D91"/>
    <w:rsid w:val="00A942B3"/>
    <w:rsid w:val="00A942F5"/>
    <w:rsid w:val="00A9449A"/>
    <w:rsid w:val="00A9454D"/>
    <w:rsid w:val="00A94559"/>
    <w:rsid w:val="00A94724"/>
    <w:rsid w:val="00A94801"/>
    <w:rsid w:val="00A94D53"/>
    <w:rsid w:val="00A94D6D"/>
    <w:rsid w:val="00A952C2"/>
    <w:rsid w:val="00A95A0F"/>
    <w:rsid w:val="00A95A15"/>
    <w:rsid w:val="00A95A72"/>
    <w:rsid w:val="00A95A77"/>
    <w:rsid w:val="00A95C6D"/>
    <w:rsid w:val="00A95DFC"/>
    <w:rsid w:val="00A961CC"/>
    <w:rsid w:val="00A9624F"/>
    <w:rsid w:val="00A9662D"/>
    <w:rsid w:val="00A967A1"/>
    <w:rsid w:val="00A96942"/>
    <w:rsid w:val="00A9694D"/>
    <w:rsid w:val="00A96960"/>
    <w:rsid w:val="00A96A56"/>
    <w:rsid w:val="00A96F99"/>
    <w:rsid w:val="00A971CF"/>
    <w:rsid w:val="00A972C9"/>
    <w:rsid w:val="00A973BB"/>
    <w:rsid w:val="00A973CA"/>
    <w:rsid w:val="00A9766F"/>
    <w:rsid w:val="00A97AD3"/>
    <w:rsid w:val="00A97B34"/>
    <w:rsid w:val="00A97D7F"/>
    <w:rsid w:val="00A97F47"/>
    <w:rsid w:val="00A97F8A"/>
    <w:rsid w:val="00AA039A"/>
    <w:rsid w:val="00AA0511"/>
    <w:rsid w:val="00AA06B6"/>
    <w:rsid w:val="00AA06B8"/>
    <w:rsid w:val="00AA073E"/>
    <w:rsid w:val="00AA0B22"/>
    <w:rsid w:val="00AA0BB9"/>
    <w:rsid w:val="00AA1008"/>
    <w:rsid w:val="00AA11C2"/>
    <w:rsid w:val="00AA12D0"/>
    <w:rsid w:val="00AA14F0"/>
    <w:rsid w:val="00AA19A5"/>
    <w:rsid w:val="00AA1A92"/>
    <w:rsid w:val="00AA1AE3"/>
    <w:rsid w:val="00AA1E8C"/>
    <w:rsid w:val="00AA1E97"/>
    <w:rsid w:val="00AA1E9F"/>
    <w:rsid w:val="00AA201A"/>
    <w:rsid w:val="00AA218C"/>
    <w:rsid w:val="00AA225C"/>
    <w:rsid w:val="00AA2420"/>
    <w:rsid w:val="00AA24D3"/>
    <w:rsid w:val="00AA30AC"/>
    <w:rsid w:val="00AA39DD"/>
    <w:rsid w:val="00AA3BF9"/>
    <w:rsid w:val="00AA3D26"/>
    <w:rsid w:val="00AA3E70"/>
    <w:rsid w:val="00AA3EE8"/>
    <w:rsid w:val="00AA42C1"/>
    <w:rsid w:val="00AA4588"/>
    <w:rsid w:val="00AA472F"/>
    <w:rsid w:val="00AA48D3"/>
    <w:rsid w:val="00AA4C7D"/>
    <w:rsid w:val="00AA4D28"/>
    <w:rsid w:val="00AA4E0D"/>
    <w:rsid w:val="00AA5049"/>
    <w:rsid w:val="00AA5417"/>
    <w:rsid w:val="00AA55AA"/>
    <w:rsid w:val="00AA58D0"/>
    <w:rsid w:val="00AA59FC"/>
    <w:rsid w:val="00AA5DC5"/>
    <w:rsid w:val="00AA5E0A"/>
    <w:rsid w:val="00AA5F3A"/>
    <w:rsid w:val="00AA5F60"/>
    <w:rsid w:val="00AA6522"/>
    <w:rsid w:val="00AA6599"/>
    <w:rsid w:val="00AA65A8"/>
    <w:rsid w:val="00AA66EB"/>
    <w:rsid w:val="00AA6879"/>
    <w:rsid w:val="00AA6A5D"/>
    <w:rsid w:val="00AA6AAA"/>
    <w:rsid w:val="00AA6B8B"/>
    <w:rsid w:val="00AA6D50"/>
    <w:rsid w:val="00AA6E1E"/>
    <w:rsid w:val="00AA73BF"/>
    <w:rsid w:val="00AA7782"/>
    <w:rsid w:val="00AA7982"/>
    <w:rsid w:val="00AA7C20"/>
    <w:rsid w:val="00AA7D52"/>
    <w:rsid w:val="00AA7EE8"/>
    <w:rsid w:val="00AA7FBC"/>
    <w:rsid w:val="00AA7FF8"/>
    <w:rsid w:val="00AB014E"/>
    <w:rsid w:val="00AB0181"/>
    <w:rsid w:val="00AB04A0"/>
    <w:rsid w:val="00AB0614"/>
    <w:rsid w:val="00AB0694"/>
    <w:rsid w:val="00AB0777"/>
    <w:rsid w:val="00AB10A1"/>
    <w:rsid w:val="00AB10A5"/>
    <w:rsid w:val="00AB10E3"/>
    <w:rsid w:val="00AB14A3"/>
    <w:rsid w:val="00AB14F0"/>
    <w:rsid w:val="00AB1664"/>
    <w:rsid w:val="00AB167E"/>
    <w:rsid w:val="00AB1819"/>
    <w:rsid w:val="00AB1994"/>
    <w:rsid w:val="00AB1B84"/>
    <w:rsid w:val="00AB1D8D"/>
    <w:rsid w:val="00AB1DBA"/>
    <w:rsid w:val="00AB1DFE"/>
    <w:rsid w:val="00AB1F78"/>
    <w:rsid w:val="00AB2310"/>
    <w:rsid w:val="00AB2870"/>
    <w:rsid w:val="00AB2985"/>
    <w:rsid w:val="00AB2A64"/>
    <w:rsid w:val="00AB2B0C"/>
    <w:rsid w:val="00AB2B60"/>
    <w:rsid w:val="00AB2D53"/>
    <w:rsid w:val="00AB2F1B"/>
    <w:rsid w:val="00AB31EA"/>
    <w:rsid w:val="00AB3A89"/>
    <w:rsid w:val="00AB430B"/>
    <w:rsid w:val="00AB4467"/>
    <w:rsid w:val="00AB45F2"/>
    <w:rsid w:val="00AB4610"/>
    <w:rsid w:val="00AB4A20"/>
    <w:rsid w:val="00AB4A99"/>
    <w:rsid w:val="00AB4C10"/>
    <w:rsid w:val="00AB4C51"/>
    <w:rsid w:val="00AB4C87"/>
    <w:rsid w:val="00AB5144"/>
    <w:rsid w:val="00AB5572"/>
    <w:rsid w:val="00AB5656"/>
    <w:rsid w:val="00AB5A66"/>
    <w:rsid w:val="00AB5C58"/>
    <w:rsid w:val="00AB5CC2"/>
    <w:rsid w:val="00AB5FB1"/>
    <w:rsid w:val="00AB5FBD"/>
    <w:rsid w:val="00AB63ED"/>
    <w:rsid w:val="00AB654C"/>
    <w:rsid w:val="00AB6678"/>
    <w:rsid w:val="00AB672A"/>
    <w:rsid w:val="00AB6882"/>
    <w:rsid w:val="00AB688C"/>
    <w:rsid w:val="00AB6BAF"/>
    <w:rsid w:val="00AB6E00"/>
    <w:rsid w:val="00AB6EE1"/>
    <w:rsid w:val="00AB6F59"/>
    <w:rsid w:val="00AB745E"/>
    <w:rsid w:val="00AB7630"/>
    <w:rsid w:val="00AB7885"/>
    <w:rsid w:val="00AB79B6"/>
    <w:rsid w:val="00AB7AA2"/>
    <w:rsid w:val="00AB7B10"/>
    <w:rsid w:val="00AB7B7A"/>
    <w:rsid w:val="00AB7CCE"/>
    <w:rsid w:val="00AB7D71"/>
    <w:rsid w:val="00AB7F59"/>
    <w:rsid w:val="00AC00F6"/>
    <w:rsid w:val="00AC0453"/>
    <w:rsid w:val="00AC0776"/>
    <w:rsid w:val="00AC0978"/>
    <w:rsid w:val="00AC0AE2"/>
    <w:rsid w:val="00AC0D87"/>
    <w:rsid w:val="00AC0E0E"/>
    <w:rsid w:val="00AC1292"/>
    <w:rsid w:val="00AC142C"/>
    <w:rsid w:val="00AC167E"/>
    <w:rsid w:val="00AC17C2"/>
    <w:rsid w:val="00AC1919"/>
    <w:rsid w:val="00AC1AC6"/>
    <w:rsid w:val="00AC1B99"/>
    <w:rsid w:val="00AC2166"/>
    <w:rsid w:val="00AC2517"/>
    <w:rsid w:val="00AC26EE"/>
    <w:rsid w:val="00AC2785"/>
    <w:rsid w:val="00AC2C68"/>
    <w:rsid w:val="00AC2D37"/>
    <w:rsid w:val="00AC3017"/>
    <w:rsid w:val="00AC32E5"/>
    <w:rsid w:val="00AC3403"/>
    <w:rsid w:val="00AC3996"/>
    <w:rsid w:val="00AC3CA7"/>
    <w:rsid w:val="00AC3E00"/>
    <w:rsid w:val="00AC3E8C"/>
    <w:rsid w:val="00AC4206"/>
    <w:rsid w:val="00AC42DE"/>
    <w:rsid w:val="00AC45CE"/>
    <w:rsid w:val="00AC46E5"/>
    <w:rsid w:val="00AC4ABF"/>
    <w:rsid w:val="00AC4C7A"/>
    <w:rsid w:val="00AC4D3E"/>
    <w:rsid w:val="00AC4E19"/>
    <w:rsid w:val="00AC4E36"/>
    <w:rsid w:val="00AC5098"/>
    <w:rsid w:val="00AC50E9"/>
    <w:rsid w:val="00AC5123"/>
    <w:rsid w:val="00AC5714"/>
    <w:rsid w:val="00AC5C3D"/>
    <w:rsid w:val="00AC5E11"/>
    <w:rsid w:val="00AC5E93"/>
    <w:rsid w:val="00AC5ECD"/>
    <w:rsid w:val="00AC5FA1"/>
    <w:rsid w:val="00AC6127"/>
    <w:rsid w:val="00AC619D"/>
    <w:rsid w:val="00AC634D"/>
    <w:rsid w:val="00AC64ED"/>
    <w:rsid w:val="00AC650A"/>
    <w:rsid w:val="00AC669A"/>
    <w:rsid w:val="00AC66B8"/>
    <w:rsid w:val="00AC71EA"/>
    <w:rsid w:val="00AC7574"/>
    <w:rsid w:val="00AC770E"/>
    <w:rsid w:val="00AC7F07"/>
    <w:rsid w:val="00AD01A9"/>
    <w:rsid w:val="00AD0262"/>
    <w:rsid w:val="00AD02E1"/>
    <w:rsid w:val="00AD02FD"/>
    <w:rsid w:val="00AD03C8"/>
    <w:rsid w:val="00AD03CC"/>
    <w:rsid w:val="00AD0495"/>
    <w:rsid w:val="00AD0686"/>
    <w:rsid w:val="00AD089D"/>
    <w:rsid w:val="00AD0BF7"/>
    <w:rsid w:val="00AD0CDE"/>
    <w:rsid w:val="00AD0F8F"/>
    <w:rsid w:val="00AD1495"/>
    <w:rsid w:val="00AD21DD"/>
    <w:rsid w:val="00AD221E"/>
    <w:rsid w:val="00AD22C4"/>
    <w:rsid w:val="00AD2930"/>
    <w:rsid w:val="00AD2B36"/>
    <w:rsid w:val="00AD2B68"/>
    <w:rsid w:val="00AD2CB3"/>
    <w:rsid w:val="00AD2DE8"/>
    <w:rsid w:val="00AD2E1A"/>
    <w:rsid w:val="00AD2FF0"/>
    <w:rsid w:val="00AD392C"/>
    <w:rsid w:val="00AD3983"/>
    <w:rsid w:val="00AD3A26"/>
    <w:rsid w:val="00AD3C18"/>
    <w:rsid w:val="00AD3DE0"/>
    <w:rsid w:val="00AD3E62"/>
    <w:rsid w:val="00AD4099"/>
    <w:rsid w:val="00AD4288"/>
    <w:rsid w:val="00AD42AE"/>
    <w:rsid w:val="00AD44F1"/>
    <w:rsid w:val="00AD4E3A"/>
    <w:rsid w:val="00AD4ECC"/>
    <w:rsid w:val="00AD518B"/>
    <w:rsid w:val="00AD53DE"/>
    <w:rsid w:val="00AD566B"/>
    <w:rsid w:val="00AD59EB"/>
    <w:rsid w:val="00AD5CA6"/>
    <w:rsid w:val="00AD5CB9"/>
    <w:rsid w:val="00AD5F4B"/>
    <w:rsid w:val="00AD6045"/>
    <w:rsid w:val="00AD61AF"/>
    <w:rsid w:val="00AD6512"/>
    <w:rsid w:val="00AD66BB"/>
    <w:rsid w:val="00AD6759"/>
    <w:rsid w:val="00AD6789"/>
    <w:rsid w:val="00AD6844"/>
    <w:rsid w:val="00AD6BA2"/>
    <w:rsid w:val="00AD6BF8"/>
    <w:rsid w:val="00AD6F0B"/>
    <w:rsid w:val="00AD7115"/>
    <w:rsid w:val="00AD740F"/>
    <w:rsid w:val="00AD782E"/>
    <w:rsid w:val="00AD79E6"/>
    <w:rsid w:val="00AD7AC3"/>
    <w:rsid w:val="00AD7B56"/>
    <w:rsid w:val="00AD7FDD"/>
    <w:rsid w:val="00AE00FE"/>
    <w:rsid w:val="00AE0233"/>
    <w:rsid w:val="00AE05BB"/>
    <w:rsid w:val="00AE08B8"/>
    <w:rsid w:val="00AE0A63"/>
    <w:rsid w:val="00AE0AD6"/>
    <w:rsid w:val="00AE0B0E"/>
    <w:rsid w:val="00AE0F52"/>
    <w:rsid w:val="00AE148A"/>
    <w:rsid w:val="00AE14DE"/>
    <w:rsid w:val="00AE1591"/>
    <w:rsid w:val="00AE16D2"/>
    <w:rsid w:val="00AE18DD"/>
    <w:rsid w:val="00AE1B83"/>
    <w:rsid w:val="00AE1F3A"/>
    <w:rsid w:val="00AE217B"/>
    <w:rsid w:val="00AE2215"/>
    <w:rsid w:val="00AE2255"/>
    <w:rsid w:val="00AE22E9"/>
    <w:rsid w:val="00AE23BA"/>
    <w:rsid w:val="00AE240F"/>
    <w:rsid w:val="00AE2BD1"/>
    <w:rsid w:val="00AE2D63"/>
    <w:rsid w:val="00AE2E06"/>
    <w:rsid w:val="00AE2E20"/>
    <w:rsid w:val="00AE3637"/>
    <w:rsid w:val="00AE39CC"/>
    <w:rsid w:val="00AE3D1E"/>
    <w:rsid w:val="00AE414F"/>
    <w:rsid w:val="00AE4413"/>
    <w:rsid w:val="00AE4914"/>
    <w:rsid w:val="00AE4948"/>
    <w:rsid w:val="00AE4B27"/>
    <w:rsid w:val="00AE5074"/>
    <w:rsid w:val="00AE57CA"/>
    <w:rsid w:val="00AE599C"/>
    <w:rsid w:val="00AE5FB7"/>
    <w:rsid w:val="00AE6024"/>
    <w:rsid w:val="00AE61CC"/>
    <w:rsid w:val="00AE63AD"/>
    <w:rsid w:val="00AE63B9"/>
    <w:rsid w:val="00AE6458"/>
    <w:rsid w:val="00AE652B"/>
    <w:rsid w:val="00AE6536"/>
    <w:rsid w:val="00AE66EB"/>
    <w:rsid w:val="00AE674A"/>
    <w:rsid w:val="00AE6803"/>
    <w:rsid w:val="00AE68B8"/>
    <w:rsid w:val="00AE68FE"/>
    <w:rsid w:val="00AE6A16"/>
    <w:rsid w:val="00AE6CEC"/>
    <w:rsid w:val="00AE6D93"/>
    <w:rsid w:val="00AE7061"/>
    <w:rsid w:val="00AE709D"/>
    <w:rsid w:val="00AE70B2"/>
    <w:rsid w:val="00AE7197"/>
    <w:rsid w:val="00AE7281"/>
    <w:rsid w:val="00AE74C6"/>
    <w:rsid w:val="00AE7AFC"/>
    <w:rsid w:val="00AE7E2B"/>
    <w:rsid w:val="00AF0016"/>
    <w:rsid w:val="00AF001A"/>
    <w:rsid w:val="00AF0548"/>
    <w:rsid w:val="00AF0649"/>
    <w:rsid w:val="00AF0956"/>
    <w:rsid w:val="00AF0AA1"/>
    <w:rsid w:val="00AF0EFB"/>
    <w:rsid w:val="00AF0F3C"/>
    <w:rsid w:val="00AF12CA"/>
    <w:rsid w:val="00AF15D5"/>
    <w:rsid w:val="00AF1A3F"/>
    <w:rsid w:val="00AF1A59"/>
    <w:rsid w:val="00AF1C1F"/>
    <w:rsid w:val="00AF1C25"/>
    <w:rsid w:val="00AF1C60"/>
    <w:rsid w:val="00AF1F04"/>
    <w:rsid w:val="00AF1F46"/>
    <w:rsid w:val="00AF1FEA"/>
    <w:rsid w:val="00AF2175"/>
    <w:rsid w:val="00AF28A2"/>
    <w:rsid w:val="00AF2D32"/>
    <w:rsid w:val="00AF2DA3"/>
    <w:rsid w:val="00AF2E09"/>
    <w:rsid w:val="00AF2F6E"/>
    <w:rsid w:val="00AF30CA"/>
    <w:rsid w:val="00AF31B3"/>
    <w:rsid w:val="00AF3270"/>
    <w:rsid w:val="00AF358E"/>
    <w:rsid w:val="00AF3605"/>
    <w:rsid w:val="00AF3D98"/>
    <w:rsid w:val="00AF42D4"/>
    <w:rsid w:val="00AF45B4"/>
    <w:rsid w:val="00AF47CE"/>
    <w:rsid w:val="00AF4AA8"/>
    <w:rsid w:val="00AF4AC1"/>
    <w:rsid w:val="00AF4B27"/>
    <w:rsid w:val="00AF4D60"/>
    <w:rsid w:val="00AF5091"/>
    <w:rsid w:val="00AF50F0"/>
    <w:rsid w:val="00AF523E"/>
    <w:rsid w:val="00AF52E4"/>
    <w:rsid w:val="00AF53E2"/>
    <w:rsid w:val="00AF54BF"/>
    <w:rsid w:val="00AF555A"/>
    <w:rsid w:val="00AF58F9"/>
    <w:rsid w:val="00AF5A6C"/>
    <w:rsid w:val="00AF5B67"/>
    <w:rsid w:val="00AF5C4E"/>
    <w:rsid w:val="00AF5E42"/>
    <w:rsid w:val="00AF5F69"/>
    <w:rsid w:val="00AF5FD4"/>
    <w:rsid w:val="00AF602C"/>
    <w:rsid w:val="00AF61E0"/>
    <w:rsid w:val="00AF6307"/>
    <w:rsid w:val="00AF6351"/>
    <w:rsid w:val="00AF635D"/>
    <w:rsid w:val="00AF643B"/>
    <w:rsid w:val="00AF64B8"/>
    <w:rsid w:val="00AF65FD"/>
    <w:rsid w:val="00AF6661"/>
    <w:rsid w:val="00AF677D"/>
    <w:rsid w:val="00AF693C"/>
    <w:rsid w:val="00AF6C4E"/>
    <w:rsid w:val="00AF6D04"/>
    <w:rsid w:val="00AF6F59"/>
    <w:rsid w:val="00AF7053"/>
    <w:rsid w:val="00AF76E8"/>
    <w:rsid w:val="00AF7B68"/>
    <w:rsid w:val="00AF7D4B"/>
    <w:rsid w:val="00AF7E9C"/>
    <w:rsid w:val="00B00146"/>
    <w:rsid w:val="00B0016F"/>
    <w:rsid w:val="00B001F7"/>
    <w:rsid w:val="00B00479"/>
    <w:rsid w:val="00B0049E"/>
    <w:rsid w:val="00B00865"/>
    <w:rsid w:val="00B008A6"/>
    <w:rsid w:val="00B009D4"/>
    <w:rsid w:val="00B009F5"/>
    <w:rsid w:val="00B00B3E"/>
    <w:rsid w:val="00B00B49"/>
    <w:rsid w:val="00B00BBB"/>
    <w:rsid w:val="00B00D37"/>
    <w:rsid w:val="00B00FA7"/>
    <w:rsid w:val="00B013DE"/>
    <w:rsid w:val="00B018BA"/>
    <w:rsid w:val="00B01A00"/>
    <w:rsid w:val="00B01FC4"/>
    <w:rsid w:val="00B022E0"/>
    <w:rsid w:val="00B0283E"/>
    <w:rsid w:val="00B02856"/>
    <w:rsid w:val="00B02875"/>
    <w:rsid w:val="00B02CCF"/>
    <w:rsid w:val="00B02DEB"/>
    <w:rsid w:val="00B0314B"/>
    <w:rsid w:val="00B033D9"/>
    <w:rsid w:val="00B034B7"/>
    <w:rsid w:val="00B03532"/>
    <w:rsid w:val="00B036D2"/>
    <w:rsid w:val="00B0383D"/>
    <w:rsid w:val="00B038C3"/>
    <w:rsid w:val="00B0397A"/>
    <w:rsid w:val="00B0428E"/>
    <w:rsid w:val="00B047F7"/>
    <w:rsid w:val="00B0484F"/>
    <w:rsid w:val="00B0501D"/>
    <w:rsid w:val="00B05136"/>
    <w:rsid w:val="00B05232"/>
    <w:rsid w:val="00B052A3"/>
    <w:rsid w:val="00B0543A"/>
    <w:rsid w:val="00B05470"/>
    <w:rsid w:val="00B055C9"/>
    <w:rsid w:val="00B05660"/>
    <w:rsid w:val="00B056F4"/>
    <w:rsid w:val="00B05956"/>
    <w:rsid w:val="00B05AC2"/>
    <w:rsid w:val="00B05EA2"/>
    <w:rsid w:val="00B05F65"/>
    <w:rsid w:val="00B05FE7"/>
    <w:rsid w:val="00B060AB"/>
    <w:rsid w:val="00B060DC"/>
    <w:rsid w:val="00B06119"/>
    <w:rsid w:val="00B061E1"/>
    <w:rsid w:val="00B061F3"/>
    <w:rsid w:val="00B062ED"/>
    <w:rsid w:val="00B063F1"/>
    <w:rsid w:val="00B06486"/>
    <w:rsid w:val="00B06655"/>
    <w:rsid w:val="00B069CA"/>
    <w:rsid w:val="00B069ED"/>
    <w:rsid w:val="00B06C8A"/>
    <w:rsid w:val="00B06CA7"/>
    <w:rsid w:val="00B06F14"/>
    <w:rsid w:val="00B070DC"/>
    <w:rsid w:val="00B07341"/>
    <w:rsid w:val="00B076E6"/>
    <w:rsid w:val="00B07728"/>
    <w:rsid w:val="00B077D5"/>
    <w:rsid w:val="00B078B9"/>
    <w:rsid w:val="00B07E03"/>
    <w:rsid w:val="00B10067"/>
    <w:rsid w:val="00B10314"/>
    <w:rsid w:val="00B1039E"/>
    <w:rsid w:val="00B107A5"/>
    <w:rsid w:val="00B108ED"/>
    <w:rsid w:val="00B10A0B"/>
    <w:rsid w:val="00B10E71"/>
    <w:rsid w:val="00B10EB0"/>
    <w:rsid w:val="00B11050"/>
    <w:rsid w:val="00B11489"/>
    <w:rsid w:val="00B11522"/>
    <w:rsid w:val="00B11717"/>
    <w:rsid w:val="00B118AB"/>
    <w:rsid w:val="00B11AED"/>
    <w:rsid w:val="00B11C52"/>
    <w:rsid w:val="00B11D40"/>
    <w:rsid w:val="00B11DA4"/>
    <w:rsid w:val="00B11E99"/>
    <w:rsid w:val="00B11E9C"/>
    <w:rsid w:val="00B124E8"/>
    <w:rsid w:val="00B12627"/>
    <w:rsid w:val="00B12710"/>
    <w:rsid w:val="00B129EC"/>
    <w:rsid w:val="00B12B03"/>
    <w:rsid w:val="00B12D18"/>
    <w:rsid w:val="00B12E4A"/>
    <w:rsid w:val="00B12EF3"/>
    <w:rsid w:val="00B13143"/>
    <w:rsid w:val="00B13741"/>
    <w:rsid w:val="00B137CB"/>
    <w:rsid w:val="00B13929"/>
    <w:rsid w:val="00B13CCB"/>
    <w:rsid w:val="00B14127"/>
    <w:rsid w:val="00B14739"/>
    <w:rsid w:val="00B1485E"/>
    <w:rsid w:val="00B149BB"/>
    <w:rsid w:val="00B14D9C"/>
    <w:rsid w:val="00B14F26"/>
    <w:rsid w:val="00B14FD6"/>
    <w:rsid w:val="00B151A7"/>
    <w:rsid w:val="00B15340"/>
    <w:rsid w:val="00B15538"/>
    <w:rsid w:val="00B15569"/>
    <w:rsid w:val="00B155DF"/>
    <w:rsid w:val="00B15625"/>
    <w:rsid w:val="00B15643"/>
    <w:rsid w:val="00B15795"/>
    <w:rsid w:val="00B15A2A"/>
    <w:rsid w:val="00B15B2E"/>
    <w:rsid w:val="00B16284"/>
    <w:rsid w:val="00B164A0"/>
    <w:rsid w:val="00B16AFD"/>
    <w:rsid w:val="00B16B3E"/>
    <w:rsid w:val="00B16CE1"/>
    <w:rsid w:val="00B16D89"/>
    <w:rsid w:val="00B17336"/>
    <w:rsid w:val="00B17353"/>
    <w:rsid w:val="00B17481"/>
    <w:rsid w:val="00B17674"/>
    <w:rsid w:val="00B179BC"/>
    <w:rsid w:val="00B17B24"/>
    <w:rsid w:val="00B17BEA"/>
    <w:rsid w:val="00B17D74"/>
    <w:rsid w:val="00B2012C"/>
    <w:rsid w:val="00B2071B"/>
    <w:rsid w:val="00B208D2"/>
    <w:rsid w:val="00B20A3F"/>
    <w:rsid w:val="00B20BE0"/>
    <w:rsid w:val="00B20C18"/>
    <w:rsid w:val="00B211D0"/>
    <w:rsid w:val="00B21349"/>
    <w:rsid w:val="00B216BD"/>
    <w:rsid w:val="00B217C3"/>
    <w:rsid w:val="00B21A55"/>
    <w:rsid w:val="00B21B8B"/>
    <w:rsid w:val="00B21D60"/>
    <w:rsid w:val="00B2212D"/>
    <w:rsid w:val="00B223AB"/>
    <w:rsid w:val="00B223C7"/>
    <w:rsid w:val="00B223E0"/>
    <w:rsid w:val="00B224C0"/>
    <w:rsid w:val="00B22B37"/>
    <w:rsid w:val="00B22CCB"/>
    <w:rsid w:val="00B22CE6"/>
    <w:rsid w:val="00B23033"/>
    <w:rsid w:val="00B2307C"/>
    <w:rsid w:val="00B231AA"/>
    <w:rsid w:val="00B235B4"/>
    <w:rsid w:val="00B2373C"/>
    <w:rsid w:val="00B23873"/>
    <w:rsid w:val="00B23BD2"/>
    <w:rsid w:val="00B23CE7"/>
    <w:rsid w:val="00B23E41"/>
    <w:rsid w:val="00B24067"/>
    <w:rsid w:val="00B242D3"/>
    <w:rsid w:val="00B2435B"/>
    <w:rsid w:val="00B24799"/>
    <w:rsid w:val="00B24A40"/>
    <w:rsid w:val="00B24A7A"/>
    <w:rsid w:val="00B24BAA"/>
    <w:rsid w:val="00B24CBE"/>
    <w:rsid w:val="00B24D82"/>
    <w:rsid w:val="00B250E1"/>
    <w:rsid w:val="00B252C0"/>
    <w:rsid w:val="00B2540D"/>
    <w:rsid w:val="00B25452"/>
    <w:rsid w:val="00B255EE"/>
    <w:rsid w:val="00B2563F"/>
    <w:rsid w:val="00B256D0"/>
    <w:rsid w:val="00B25704"/>
    <w:rsid w:val="00B2587A"/>
    <w:rsid w:val="00B25953"/>
    <w:rsid w:val="00B25F45"/>
    <w:rsid w:val="00B26217"/>
    <w:rsid w:val="00B26348"/>
    <w:rsid w:val="00B2642C"/>
    <w:rsid w:val="00B26C13"/>
    <w:rsid w:val="00B26C41"/>
    <w:rsid w:val="00B26C4F"/>
    <w:rsid w:val="00B26D3B"/>
    <w:rsid w:val="00B26E31"/>
    <w:rsid w:val="00B2710E"/>
    <w:rsid w:val="00B27434"/>
    <w:rsid w:val="00B275CA"/>
    <w:rsid w:val="00B277E3"/>
    <w:rsid w:val="00B27845"/>
    <w:rsid w:val="00B27B4F"/>
    <w:rsid w:val="00B27D5D"/>
    <w:rsid w:val="00B27E5F"/>
    <w:rsid w:val="00B30143"/>
    <w:rsid w:val="00B302B8"/>
    <w:rsid w:val="00B30525"/>
    <w:rsid w:val="00B306F5"/>
    <w:rsid w:val="00B30CE8"/>
    <w:rsid w:val="00B30F79"/>
    <w:rsid w:val="00B312E9"/>
    <w:rsid w:val="00B314AE"/>
    <w:rsid w:val="00B31521"/>
    <w:rsid w:val="00B31677"/>
    <w:rsid w:val="00B31C79"/>
    <w:rsid w:val="00B31D1E"/>
    <w:rsid w:val="00B31DE0"/>
    <w:rsid w:val="00B31EF1"/>
    <w:rsid w:val="00B31F25"/>
    <w:rsid w:val="00B31FCB"/>
    <w:rsid w:val="00B32124"/>
    <w:rsid w:val="00B321B6"/>
    <w:rsid w:val="00B3226B"/>
    <w:rsid w:val="00B32A4C"/>
    <w:rsid w:val="00B32C0F"/>
    <w:rsid w:val="00B32DAC"/>
    <w:rsid w:val="00B332F5"/>
    <w:rsid w:val="00B336AF"/>
    <w:rsid w:val="00B339A1"/>
    <w:rsid w:val="00B34262"/>
    <w:rsid w:val="00B3437F"/>
    <w:rsid w:val="00B344E7"/>
    <w:rsid w:val="00B34AEB"/>
    <w:rsid w:val="00B34BCF"/>
    <w:rsid w:val="00B34D18"/>
    <w:rsid w:val="00B34F75"/>
    <w:rsid w:val="00B34FEA"/>
    <w:rsid w:val="00B352BD"/>
    <w:rsid w:val="00B35307"/>
    <w:rsid w:val="00B355E7"/>
    <w:rsid w:val="00B35845"/>
    <w:rsid w:val="00B359BB"/>
    <w:rsid w:val="00B35B2E"/>
    <w:rsid w:val="00B35E85"/>
    <w:rsid w:val="00B35EB9"/>
    <w:rsid w:val="00B35EFF"/>
    <w:rsid w:val="00B362E3"/>
    <w:rsid w:val="00B36369"/>
    <w:rsid w:val="00B36392"/>
    <w:rsid w:val="00B36433"/>
    <w:rsid w:val="00B3669C"/>
    <w:rsid w:val="00B36903"/>
    <w:rsid w:val="00B36A37"/>
    <w:rsid w:val="00B36B3E"/>
    <w:rsid w:val="00B371EF"/>
    <w:rsid w:val="00B3743C"/>
    <w:rsid w:val="00B37593"/>
    <w:rsid w:val="00B379AB"/>
    <w:rsid w:val="00B37B8E"/>
    <w:rsid w:val="00B37BD5"/>
    <w:rsid w:val="00B37C42"/>
    <w:rsid w:val="00B37CA2"/>
    <w:rsid w:val="00B37E8E"/>
    <w:rsid w:val="00B37F0A"/>
    <w:rsid w:val="00B40324"/>
    <w:rsid w:val="00B4036E"/>
    <w:rsid w:val="00B4044D"/>
    <w:rsid w:val="00B40464"/>
    <w:rsid w:val="00B404BD"/>
    <w:rsid w:val="00B4071F"/>
    <w:rsid w:val="00B40E14"/>
    <w:rsid w:val="00B40F32"/>
    <w:rsid w:val="00B40F9C"/>
    <w:rsid w:val="00B40FFB"/>
    <w:rsid w:val="00B415A9"/>
    <w:rsid w:val="00B415BE"/>
    <w:rsid w:val="00B416E6"/>
    <w:rsid w:val="00B41AD6"/>
    <w:rsid w:val="00B41B85"/>
    <w:rsid w:val="00B41DA8"/>
    <w:rsid w:val="00B41EAF"/>
    <w:rsid w:val="00B41F22"/>
    <w:rsid w:val="00B41F37"/>
    <w:rsid w:val="00B41FDD"/>
    <w:rsid w:val="00B421B2"/>
    <w:rsid w:val="00B424A5"/>
    <w:rsid w:val="00B42532"/>
    <w:rsid w:val="00B4260E"/>
    <w:rsid w:val="00B42655"/>
    <w:rsid w:val="00B426F8"/>
    <w:rsid w:val="00B427FB"/>
    <w:rsid w:val="00B42DBB"/>
    <w:rsid w:val="00B42DE7"/>
    <w:rsid w:val="00B42F12"/>
    <w:rsid w:val="00B4316C"/>
    <w:rsid w:val="00B43191"/>
    <w:rsid w:val="00B4352A"/>
    <w:rsid w:val="00B43568"/>
    <w:rsid w:val="00B4358D"/>
    <w:rsid w:val="00B4367C"/>
    <w:rsid w:val="00B437FF"/>
    <w:rsid w:val="00B438B7"/>
    <w:rsid w:val="00B43EE0"/>
    <w:rsid w:val="00B43F60"/>
    <w:rsid w:val="00B43F68"/>
    <w:rsid w:val="00B43F91"/>
    <w:rsid w:val="00B449A7"/>
    <w:rsid w:val="00B44E56"/>
    <w:rsid w:val="00B44E88"/>
    <w:rsid w:val="00B45017"/>
    <w:rsid w:val="00B45263"/>
    <w:rsid w:val="00B452ED"/>
    <w:rsid w:val="00B45316"/>
    <w:rsid w:val="00B45343"/>
    <w:rsid w:val="00B453AE"/>
    <w:rsid w:val="00B45723"/>
    <w:rsid w:val="00B45726"/>
    <w:rsid w:val="00B45883"/>
    <w:rsid w:val="00B45B65"/>
    <w:rsid w:val="00B45DF3"/>
    <w:rsid w:val="00B4623C"/>
    <w:rsid w:val="00B4647D"/>
    <w:rsid w:val="00B46611"/>
    <w:rsid w:val="00B4670D"/>
    <w:rsid w:val="00B46891"/>
    <w:rsid w:val="00B46C1E"/>
    <w:rsid w:val="00B47407"/>
    <w:rsid w:val="00B47476"/>
    <w:rsid w:val="00B47A05"/>
    <w:rsid w:val="00B47A33"/>
    <w:rsid w:val="00B50431"/>
    <w:rsid w:val="00B5050B"/>
    <w:rsid w:val="00B505B9"/>
    <w:rsid w:val="00B50877"/>
    <w:rsid w:val="00B50944"/>
    <w:rsid w:val="00B50949"/>
    <w:rsid w:val="00B50C2E"/>
    <w:rsid w:val="00B50CFF"/>
    <w:rsid w:val="00B510E7"/>
    <w:rsid w:val="00B51189"/>
    <w:rsid w:val="00B513C0"/>
    <w:rsid w:val="00B519CF"/>
    <w:rsid w:val="00B51B4A"/>
    <w:rsid w:val="00B51B75"/>
    <w:rsid w:val="00B51B78"/>
    <w:rsid w:val="00B51CA6"/>
    <w:rsid w:val="00B51D9A"/>
    <w:rsid w:val="00B51DB7"/>
    <w:rsid w:val="00B51E7E"/>
    <w:rsid w:val="00B520FF"/>
    <w:rsid w:val="00B5253D"/>
    <w:rsid w:val="00B5255A"/>
    <w:rsid w:val="00B52877"/>
    <w:rsid w:val="00B52958"/>
    <w:rsid w:val="00B52DFC"/>
    <w:rsid w:val="00B52E61"/>
    <w:rsid w:val="00B52E78"/>
    <w:rsid w:val="00B52F9B"/>
    <w:rsid w:val="00B53199"/>
    <w:rsid w:val="00B531CA"/>
    <w:rsid w:val="00B53447"/>
    <w:rsid w:val="00B536DF"/>
    <w:rsid w:val="00B5372C"/>
    <w:rsid w:val="00B53960"/>
    <w:rsid w:val="00B53AA0"/>
    <w:rsid w:val="00B53B5D"/>
    <w:rsid w:val="00B53D50"/>
    <w:rsid w:val="00B53EA8"/>
    <w:rsid w:val="00B53EEA"/>
    <w:rsid w:val="00B5412B"/>
    <w:rsid w:val="00B54144"/>
    <w:rsid w:val="00B549EE"/>
    <w:rsid w:val="00B54B9D"/>
    <w:rsid w:val="00B54DB1"/>
    <w:rsid w:val="00B54F08"/>
    <w:rsid w:val="00B551D5"/>
    <w:rsid w:val="00B55D1B"/>
    <w:rsid w:val="00B55EB2"/>
    <w:rsid w:val="00B55FA4"/>
    <w:rsid w:val="00B56132"/>
    <w:rsid w:val="00B561F1"/>
    <w:rsid w:val="00B5638D"/>
    <w:rsid w:val="00B56395"/>
    <w:rsid w:val="00B5649F"/>
    <w:rsid w:val="00B56719"/>
    <w:rsid w:val="00B56815"/>
    <w:rsid w:val="00B568B3"/>
    <w:rsid w:val="00B570A4"/>
    <w:rsid w:val="00B571C9"/>
    <w:rsid w:val="00B571F9"/>
    <w:rsid w:val="00B5743F"/>
    <w:rsid w:val="00B57508"/>
    <w:rsid w:val="00B576BF"/>
    <w:rsid w:val="00B5786C"/>
    <w:rsid w:val="00B578FD"/>
    <w:rsid w:val="00B57B88"/>
    <w:rsid w:val="00B604C0"/>
    <w:rsid w:val="00B6064E"/>
    <w:rsid w:val="00B607F3"/>
    <w:rsid w:val="00B60867"/>
    <w:rsid w:val="00B608B7"/>
    <w:rsid w:val="00B60A32"/>
    <w:rsid w:val="00B60D0D"/>
    <w:rsid w:val="00B610AD"/>
    <w:rsid w:val="00B611A9"/>
    <w:rsid w:val="00B6178D"/>
    <w:rsid w:val="00B6187B"/>
    <w:rsid w:val="00B61F4F"/>
    <w:rsid w:val="00B62086"/>
    <w:rsid w:val="00B621E7"/>
    <w:rsid w:val="00B62206"/>
    <w:rsid w:val="00B6236B"/>
    <w:rsid w:val="00B623F0"/>
    <w:rsid w:val="00B6251F"/>
    <w:rsid w:val="00B62850"/>
    <w:rsid w:val="00B62856"/>
    <w:rsid w:val="00B629C6"/>
    <w:rsid w:val="00B62DE4"/>
    <w:rsid w:val="00B63772"/>
    <w:rsid w:val="00B638AD"/>
    <w:rsid w:val="00B63ED9"/>
    <w:rsid w:val="00B63F02"/>
    <w:rsid w:val="00B63F6C"/>
    <w:rsid w:val="00B642DF"/>
    <w:rsid w:val="00B645AB"/>
    <w:rsid w:val="00B647EA"/>
    <w:rsid w:val="00B64847"/>
    <w:rsid w:val="00B64B62"/>
    <w:rsid w:val="00B64C83"/>
    <w:rsid w:val="00B64D52"/>
    <w:rsid w:val="00B64DA7"/>
    <w:rsid w:val="00B65130"/>
    <w:rsid w:val="00B651AD"/>
    <w:rsid w:val="00B6537B"/>
    <w:rsid w:val="00B656B9"/>
    <w:rsid w:val="00B65FD2"/>
    <w:rsid w:val="00B66075"/>
    <w:rsid w:val="00B66101"/>
    <w:rsid w:val="00B662B1"/>
    <w:rsid w:val="00B662E9"/>
    <w:rsid w:val="00B66798"/>
    <w:rsid w:val="00B669C7"/>
    <w:rsid w:val="00B66A10"/>
    <w:rsid w:val="00B66E29"/>
    <w:rsid w:val="00B66EDD"/>
    <w:rsid w:val="00B66F5F"/>
    <w:rsid w:val="00B672B3"/>
    <w:rsid w:val="00B67338"/>
    <w:rsid w:val="00B67354"/>
    <w:rsid w:val="00B67432"/>
    <w:rsid w:val="00B674BE"/>
    <w:rsid w:val="00B67672"/>
    <w:rsid w:val="00B67717"/>
    <w:rsid w:val="00B67A68"/>
    <w:rsid w:val="00B67C5D"/>
    <w:rsid w:val="00B67D12"/>
    <w:rsid w:val="00B67D8E"/>
    <w:rsid w:val="00B67DB7"/>
    <w:rsid w:val="00B67E15"/>
    <w:rsid w:val="00B70043"/>
    <w:rsid w:val="00B7020D"/>
    <w:rsid w:val="00B70452"/>
    <w:rsid w:val="00B7058B"/>
    <w:rsid w:val="00B705E3"/>
    <w:rsid w:val="00B70C06"/>
    <w:rsid w:val="00B70D5F"/>
    <w:rsid w:val="00B70DDF"/>
    <w:rsid w:val="00B71107"/>
    <w:rsid w:val="00B71160"/>
    <w:rsid w:val="00B7174F"/>
    <w:rsid w:val="00B71900"/>
    <w:rsid w:val="00B71D13"/>
    <w:rsid w:val="00B71D15"/>
    <w:rsid w:val="00B71D69"/>
    <w:rsid w:val="00B71DA3"/>
    <w:rsid w:val="00B72509"/>
    <w:rsid w:val="00B72CC2"/>
    <w:rsid w:val="00B72D19"/>
    <w:rsid w:val="00B72FFD"/>
    <w:rsid w:val="00B7317D"/>
    <w:rsid w:val="00B733FB"/>
    <w:rsid w:val="00B736F0"/>
    <w:rsid w:val="00B738B3"/>
    <w:rsid w:val="00B73C8E"/>
    <w:rsid w:val="00B73DB3"/>
    <w:rsid w:val="00B73DC0"/>
    <w:rsid w:val="00B73F09"/>
    <w:rsid w:val="00B73F24"/>
    <w:rsid w:val="00B73F72"/>
    <w:rsid w:val="00B73FB4"/>
    <w:rsid w:val="00B74202"/>
    <w:rsid w:val="00B74383"/>
    <w:rsid w:val="00B74B15"/>
    <w:rsid w:val="00B74BF7"/>
    <w:rsid w:val="00B74D78"/>
    <w:rsid w:val="00B74EB8"/>
    <w:rsid w:val="00B754A6"/>
    <w:rsid w:val="00B755C0"/>
    <w:rsid w:val="00B7563D"/>
    <w:rsid w:val="00B7578D"/>
    <w:rsid w:val="00B757A1"/>
    <w:rsid w:val="00B759C7"/>
    <w:rsid w:val="00B75CC8"/>
    <w:rsid w:val="00B76476"/>
    <w:rsid w:val="00B767E9"/>
    <w:rsid w:val="00B76A5E"/>
    <w:rsid w:val="00B76CBE"/>
    <w:rsid w:val="00B76CD4"/>
    <w:rsid w:val="00B7707B"/>
    <w:rsid w:val="00B77147"/>
    <w:rsid w:val="00B771B2"/>
    <w:rsid w:val="00B771F1"/>
    <w:rsid w:val="00B77264"/>
    <w:rsid w:val="00B772AA"/>
    <w:rsid w:val="00B77917"/>
    <w:rsid w:val="00B77A0C"/>
    <w:rsid w:val="00B77F1D"/>
    <w:rsid w:val="00B77F65"/>
    <w:rsid w:val="00B77F88"/>
    <w:rsid w:val="00B77FCC"/>
    <w:rsid w:val="00B8006D"/>
    <w:rsid w:val="00B80083"/>
    <w:rsid w:val="00B80134"/>
    <w:rsid w:val="00B802C2"/>
    <w:rsid w:val="00B80348"/>
    <w:rsid w:val="00B8090F"/>
    <w:rsid w:val="00B809C8"/>
    <w:rsid w:val="00B80E5F"/>
    <w:rsid w:val="00B80EFA"/>
    <w:rsid w:val="00B80F46"/>
    <w:rsid w:val="00B812C8"/>
    <w:rsid w:val="00B8142E"/>
    <w:rsid w:val="00B815AF"/>
    <w:rsid w:val="00B815D7"/>
    <w:rsid w:val="00B816E0"/>
    <w:rsid w:val="00B81717"/>
    <w:rsid w:val="00B81789"/>
    <w:rsid w:val="00B8197E"/>
    <w:rsid w:val="00B81A09"/>
    <w:rsid w:val="00B81C7C"/>
    <w:rsid w:val="00B81D22"/>
    <w:rsid w:val="00B81E2C"/>
    <w:rsid w:val="00B82024"/>
    <w:rsid w:val="00B8219A"/>
    <w:rsid w:val="00B8224B"/>
    <w:rsid w:val="00B822E7"/>
    <w:rsid w:val="00B823B4"/>
    <w:rsid w:val="00B82436"/>
    <w:rsid w:val="00B82479"/>
    <w:rsid w:val="00B8259E"/>
    <w:rsid w:val="00B825C3"/>
    <w:rsid w:val="00B82862"/>
    <w:rsid w:val="00B82928"/>
    <w:rsid w:val="00B82ADF"/>
    <w:rsid w:val="00B82E79"/>
    <w:rsid w:val="00B831C6"/>
    <w:rsid w:val="00B8325C"/>
    <w:rsid w:val="00B832CC"/>
    <w:rsid w:val="00B83341"/>
    <w:rsid w:val="00B833A9"/>
    <w:rsid w:val="00B8354E"/>
    <w:rsid w:val="00B83574"/>
    <w:rsid w:val="00B83A95"/>
    <w:rsid w:val="00B83AD8"/>
    <w:rsid w:val="00B83B30"/>
    <w:rsid w:val="00B83C63"/>
    <w:rsid w:val="00B83C6E"/>
    <w:rsid w:val="00B83D2F"/>
    <w:rsid w:val="00B83E41"/>
    <w:rsid w:val="00B84147"/>
    <w:rsid w:val="00B841C7"/>
    <w:rsid w:val="00B8434C"/>
    <w:rsid w:val="00B84528"/>
    <w:rsid w:val="00B84A81"/>
    <w:rsid w:val="00B84BA7"/>
    <w:rsid w:val="00B84C78"/>
    <w:rsid w:val="00B84E24"/>
    <w:rsid w:val="00B85227"/>
    <w:rsid w:val="00B8527F"/>
    <w:rsid w:val="00B853B7"/>
    <w:rsid w:val="00B853F1"/>
    <w:rsid w:val="00B85646"/>
    <w:rsid w:val="00B856B1"/>
    <w:rsid w:val="00B85771"/>
    <w:rsid w:val="00B85803"/>
    <w:rsid w:val="00B85D0D"/>
    <w:rsid w:val="00B85EDA"/>
    <w:rsid w:val="00B86347"/>
    <w:rsid w:val="00B8635C"/>
    <w:rsid w:val="00B865D2"/>
    <w:rsid w:val="00B865D6"/>
    <w:rsid w:val="00B866B6"/>
    <w:rsid w:val="00B8689A"/>
    <w:rsid w:val="00B86A00"/>
    <w:rsid w:val="00B86CBE"/>
    <w:rsid w:val="00B86D4B"/>
    <w:rsid w:val="00B86F6B"/>
    <w:rsid w:val="00B87496"/>
    <w:rsid w:val="00B8749D"/>
    <w:rsid w:val="00B875AD"/>
    <w:rsid w:val="00B87624"/>
    <w:rsid w:val="00B87803"/>
    <w:rsid w:val="00B87B5B"/>
    <w:rsid w:val="00B87B9B"/>
    <w:rsid w:val="00B9017D"/>
    <w:rsid w:val="00B90AA7"/>
    <w:rsid w:val="00B90D4E"/>
    <w:rsid w:val="00B90E0F"/>
    <w:rsid w:val="00B90E20"/>
    <w:rsid w:val="00B90F06"/>
    <w:rsid w:val="00B910AB"/>
    <w:rsid w:val="00B91608"/>
    <w:rsid w:val="00B91693"/>
    <w:rsid w:val="00B91A01"/>
    <w:rsid w:val="00B91B7E"/>
    <w:rsid w:val="00B91ECC"/>
    <w:rsid w:val="00B91F91"/>
    <w:rsid w:val="00B92075"/>
    <w:rsid w:val="00B920AF"/>
    <w:rsid w:val="00B9239B"/>
    <w:rsid w:val="00B92457"/>
    <w:rsid w:val="00B9246A"/>
    <w:rsid w:val="00B924B3"/>
    <w:rsid w:val="00B9265D"/>
    <w:rsid w:val="00B928A8"/>
    <w:rsid w:val="00B92DE5"/>
    <w:rsid w:val="00B92F7A"/>
    <w:rsid w:val="00B9325D"/>
    <w:rsid w:val="00B93493"/>
    <w:rsid w:val="00B936DB"/>
    <w:rsid w:val="00B93750"/>
    <w:rsid w:val="00B937AC"/>
    <w:rsid w:val="00B938B0"/>
    <w:rsid w:val="00B93C07"/>
    <w:rsid w:val="00B93EFD"/>
    <w:rsid w:val="00B9418F"/>
    <w:rsid w:val="00B941A7"/>
    <w:rsid w:val="00B943FB"/>
    <w:rsid w:val="00B94402"/>
    <w:rsid w:val="00B944B5"/>
    <w:rsid w:val="00B9499F"/>
    <w:rsid w:val="00B94C97"/>
    <w:rsid w:val="00B94CB9"/>
    <w:rsid w:val="00B94DFB"/>
    <w:rsid w:val="00B94F26"/>
    <w:rsid w:val="00B9507E"/>
    <w:rsid w:val="00B951CC"/>
    <w:rsid w:val="00B9540F"/>
    <w:rsid w:val="00B95427"/>
    <w:rsid w:val="00B956A1"/>
    <w:rsid w:val="00B9591A"/>
    <w:rsid w:val="00B95943"/>
    <w:rsid w:val="00B95C21"/>
    <w:rsid w:val="00B95C49"/>
    <w:rsid w:val="00B95DDC"/>
    <w:rsid w:val="00B95E52"/>
    <w:rsid w:val="00B96225"/>
    <w:rsid w:val="00B96236"/>
    <w:rsid w:val="00B9627C"/>
    <w:rsid w:val="00B964B9"/>
    <w:rsid w:val="00B96A5F"/>
    <w:rsid w:val="00B96F7D"/>
    <w:rsid w:val="00B97098"/>
    <w:rsid w:val="00B9738F"/>
    <w:rsid w:val="00B975AE"/>
    <w:rsid w:val="00B976A5"/>
    <w:rsid w:val="00B97CEB"/>
    <w:rsid w:val="00B97EC1"/>
    <w:rsid w:val="00B97FB9"/>
    <w:rsid w:val="00BA0184"/>
    <w:rsid w:val="00BA0222"/>
    <w:rsid w:val="00BA0223"/>
    <w:rsid w:val="00BA040B"/>
    <w:rsid w:val="00BA0475"/>
    <w:rsid w:val="00BA04D2"/>
    <w:rsid w:val="00BA05D6"/>
    <w:rsid w:val="00BA07BD"/>
    <w:rsid w:val="00BA0A84"/>
    <w:rsid w:val="00BA0AD0"/>
    <w:rsid w:val="00BA0DA6"/>
    <w:rsid w:val="00BA10E2"/>
    <w:rsid w:val="00BA1DC8"/>
    <w:rsid w:val="00BA1E16"/>
    <w:rsid w:val="00BA21A6"/>
    <w:rsid w:val="00BA249A"/>
    <w:rsid w:val="00BA24ED"/>
    <w:rsid w:val="00BA25E9"/>
    <w:rsid w:val="00BA27DA"/>
    <w:rsid w:val="00BA2E24"/>
    <w:rsid w:val="00BA3753"/>
    <w:rsid w:val="00BA3874"/>
    <w:rsid w:val="00BA3945"/>
    <w:rsid w:val="00BA3C5F"/>
    <w:rsid w:val="00BA3EC1"/>
    <w:rsid w:val="00BA4018"/>
    <w:rsid w:val="00BA4329"/>
    <w:rsid w:val="00BA452E"/>
    <w:rsid w:val="00BA459C"/>
    <w:rsid w:val="00BA486F"/>
    <w:rsid w:val="00BA497F"/>
    <w:rsid w:val="00BA49C5"/>
    <w:rsid w:val="00BA4EDD"/>
    <w:rsid w:val="00BA54C7"/>
    <w:rsid w:val="00BA563C"/>
    <w:rsid w:val="00BA5815"/>
    <w:rsid w:val="00BA58F1"/>
    <w:rsid w:val="00BA5C03"/>
    <w:rsid w:val="00BA5C6A"/>
    <w:rsid w:val="00BA5D18"/>
    <w:rsid w:val="00BA5D3B"/>
    <w:rsid w:val="00BA5F3D"/>
    <w:rsid w:val="00BA5F61"/>
    <w:rsid w:val="00BA60EB"/>
    <w:rsid w:val="00BA611A"/>
    <w:rsid w:val="00BA6145"/>
    <w:rsid w:val="00BA65AD"/>
    <w:rsid w:val="00BA6643"/>
    <w:rsid w:val="00BA6872"/>
    <w:rsid w:val="00BA6970"/>
    <w:rsid w:val="00BA6DF8"/>
    <w:rsid w:val="00BA6F35"/>
    <w:rsid w:val="00BA6F84"/>
    <w:rsid w:val="00BA704D"/>
    <w:rsid w:val="00BA71C2"/>
    <w:rsid w:val="00BA71CC"/>
    <w:rsid w:val="00BA74C3"/>
    <w:rsid w:val="00BA7647"/>
    <w:rsid w:val="00BA77AF"/>
    <w:rsid w:val="00BA790D"/>
    <w:rsid w:val="00BA7A97"/>
    <w:rsid w:val="00BA7C15"/>
    <w:rsid w:val="00BA7C74"/>
    <w:rsid w:val="00BA7CBE"/>
    <w:rsid w:val="00BA7D07"/>
    <w:rsid w:val="00BA7D4E"/>
    <w:rsid w:val="00BB002C"/>
    <w:rsid w:val="00BB0AE9"/>
    <w:rsid w:val="00BB0BAC"/>
    <w:rsid w:val="00BB0BE6"/>
    <w:rsid w:val="00BB0CAF"/>
    <w:rsid w:val="00BB135B"/>
    <w:rsid w:val="00BB153F"/>
    <w:rsid w:val="00BB1596"/>
    <w:rsid w:val="00BB15F9"/>
    <w:rsid w:val="00BB1634"/>
    <w:rsid w:val="00BB166E"/>
    <w:rsid w:val="00BB1751"/>
    <w:rsid w:val="00BB1871"/>
    <w:rsid w:val="00BB19D4"/>
    <w:rsid w:val="00BB1CF4"/>
    <w:rsid w:val="00BB23CD"/>
    <w:rsid w:val="00BB24EF"/>
    <w:rsid w:val="00BB29EE"/>
    <w:rsid w:val="00BB2A21"/>
    <w:rsid w:val="00BB2B6A"/>
    <w:rsid w:val="00BB2C70"/>
    <w:rsid w:val="00BB2CC2"/>
    <w:rsid w:val="00BB2F9B"/>
    <w:rsid w:val="00BB2FAA"/>
    <w:rsid w:val="00BB3098"/>
    <w:rsid w:val="00BB31AB"/>
    <w:rsid w:val="00BB333F"/>
    <w:rsid w:val="00BB3405"/>
    <w:rsid w:val="00BB3455"/>
    <w:rsid w:val="00BB37D7"/>
    <w:rsid w:val="00BB3DC2"/>
    <w:rsid w:val="00BB4168"/>
    <w:rsid w:val="00BB43F9"/>
    <w:rsid w:val="00BB44E3"/>
    <w:rsid w:val="00BB45E2"/>
    <w:rsid w:val="00BB4668"/>
    <w:rsid w:val="00BB4886"/>
    <w:rsid w:val="00BB48E4"/>
    <w:rsid w:val="00BB49ED"/>
    <w:rsid w:val="00BB4C00"/>
    <w:rsid w:val="00BB4EE5"/>
    <w:rsid w:val="00BB4F09"/>
    <w:rsid w:val="00BB5273"/>
    <w:rsid w:val="00BB5396"/>
    <w:rsid w:val="00BB559C"/>
    <w:rsid w:val="00BB5E06"/>
    <w:rsid w:val="00BB5E8A"/>
    <w:rsid w:val="00BB616E"/>
    <w:rsid w:val="00BB61F3"/>
    <w:rsid w:val="00BB6433"/>
    <w:rsid w:val="00BB647F"/>
    <w:rsid w:val="00BB6D7D"/>
    <w:rsid w:val="00BB74F6"/>
    <w:rsid w:val="00BB77CE"/>
    <w:rsid w:val="00BB7A7D"/>
    <w:rsid w:val="00BB7BC4"/>
    <w:rsid w:val="00BB7EEE"/>
    <w:rsid w:val="00BC01D2"/>
    <w:rsid w:val="00BC0385"/>
    <w:rsid w:val="00BC0538"/>
    <w:rsid w:val="00BC054C"/>
    <w:rsid w:val="00BC08E8"/>
    <w:rsid w:val="00BC0A04"/>
    <w:rsid w:val="00BC0C43"/>
    <w:rsid w:val="00BC0E88"/>
    <w:rsid w:val="00BC1318"/>
    <w:rsid w:val="00BC154F"/>
    <w:rsid w:val="00BC15FA"/>
    <w:rsid w:val="00BC17C0"/>
    <w:rsid w:val="00BC1855"/>
    <w:rsid w:val="00BC186D"/>
    <w:rsid w:val="00BC19FE"/>
    <w:rsid w:val="00BC21D7"/>
    <w:rsid w:val="00BC235D"/>
    <w:rsid w:val="00BC2393"/>
    <w:rsid w:val="00BC26FC"/>
    <w:rsid w:val="00BC27DF"/>
    <w:rsid w:val="00BC2807"/>
    <w:rsid w:val="00BC2AC7"/>
    <w:rsid w:val="00BC2B20"/>
    <w:rsid w:val="00BC2B6B"/>
    <w:rsid w:val="00BC2DF0"/>
    <w:rsid w:val="00BC3479"/>
    <w:rsid w:val="00BC34A1"/>
    <w:rsid w:val="00BC3826"/>
    <w:rsid w:val="00BC3894"/>
    <w:rsid w:val="00BC39F2"/>
    <w:rsid w:val="00BC3E94"/>
    <w:rsid w:val="00BC3F4B"/>
    <w:rsid w:val="00BC3F98"/>
    <w:rsid w:val="00BC41C2"/>
    <w:rsid w:val="00BC42D9"/>
    <w:rsid w:val="00BC4404"/>
    <w:rsid w:val="00BC445C"/>
    <w:rsid w:val="00BC4894"/>
    <w:rsid w:val="00BC4A76"/>
    <w:rsid w:val="00BC4B1F"/>
    <w:rsid w:val="00BC4D60"/>
    <w:rsid w:val="00BC4EDE"/>
    <w:rsid w:val="00BC4F40"/>
    <w:rsid w:val="00BC551B"/>
    <w:rsid w:val="00BC560E"/>
    <w:rsid w:val="00BC56AC"/>
    <w:rsid w:val="00BC58C5"/>
    <w:rsid w:val="00BC58DE"/>
    <w:rsid w:val="00BC592E"/>
    <w:rsid w:val="00BC5946"/>
    <w:rsid w:val="00BC59B0"/>
    <w:rsid w:val="00BC5ACB"/>
    <w:rsid w:val="00BC5ADC"/>
    <w:rsid w:val="00BC5DDA"/>
    <w:rsid w:val="00BC5FDA"/>
    <w:rsid w:val="00BC6138"/>
    <w:rsid w:val="00BC6480"/>
    <w:rsid w:val="00BC68BD"/>
    <w:rsid w:val="00BC69A6"/>
    <w:rsid w:val="00BC6AC2"/>
    <w:rsid w:val="00BC6B72"/>
    <w:rsid w:val="00BC6CB7"/>
    <w:rsid w:val="00BC6DF2"/>
    <w:rsid w:val="00BC73B1"/>
    <w:rsid w:val="00BC749D"/>
    <w:rsid w:val="00BC7553"/>
    <w:rsid w:val="00BC7712"/>
    <w:rsid w:val="00BC78FF"/>
    <w:rsid w:val="00BC7B4B"/>
    <w:rsid w:val="00BC7D31"/>
    <w:rsid w:val="00BC7D72"/>
    <w:rsid w:val="00BC7F29"/>
    <w:rsid w:val="00BD00C2"/>
    <w:rsid w:val="00BD04E7"/>
    <w:rsid w:val="00BD04EF"/>
    <w:rsid w:val="00BD061C"/>
    <w:rsid w:val="00BD0702"/>
    <w:rsid w:val="00BD07C1"/>
    <w:rsid w:val="00BD0880"/>
    <w:rsid w:val="00BD090A"/>
    <w:rsid w:val="00BD0D8C"/>
    <w:rsid w:val="00BD0EA9"/>
    <w:rsid w:val="00BD11A9"/>
    <w:rsid w:val="00BD1422"/>
    <w:rsid w:val="00BD1718"/>
    <w:rsid w:val="00BD25B4"/>
    <w:rsid w:val="00BD25C7"/>
    <w:rsid w:val="00BD27DC"/>
    <w:rsid w:val="00BD29EB"/>
    <w:rsid w:val="00BD2B69"/>
    <w:rsid w:val="00BD2BA8"/>
    <w:rsid w:val="00BD2F37"/>
    <w:rsid w:val="00BD2F86"/>
    <w:rsid w:val="00BD3014"/>
    <w:rsid w:val="00BD30C8"/>
    <w:rsid w:val="00BD3116"/>
    <w:rsid w:val="00BD312F"/>
    <w:rsid w:val="00BD31F2"/>
    <w:rsid w:val="00BD34D5"/>
    <w:rsid w:val="00BD3615"/>
    <w:rsid w:val="00BD3690"/>
    <w:rsid w:val="00BD3855"/>
    <w:rsid w:val="00BD387E"/>
    <w:rsid w:val="00BD3EA2"/>
    <w:rsid w:val="00BD3F81"/>
    <w:rsid w:val="00BD3FD7"/>
    <w:rsid w:val="00BD46D2"/>
    <w:rsid w:val="00BD4951"/>
    <w:rsid w:val="00BD4994"/>
    <w:rsid w:val="00BD4BA7"/>
    <w:rsid w:val="00BD4D30"/>
    <w:rsid w:val="00BD4D4C"/>
    <w:rsid w:val="00BD4D85"/>
    <w:rsid w:val="00BD4DC6"/>
    <w:rsid w:val="00BD4FD9"/>
    <w:rsid w:val="00BD5035"/>
    <w:rsid w:val="00BD54F8"/>
    <w:rsid w:val="00BD57AD"/>
    <w:rsid w:val="00BD598C"/>
    <w:rsid w:val="00BD5A0F"/>
    <w:rsid w:val="00BD5F3F"/>
    <w:rsid w:val="00BD611C"/>
    <w:rsid w:val="00BD6196"/>
    <w:rsid w:val="00BD61D2"/>
    <w:rsid w:val="00BD627D"/>
    <w:rsid w:val="00BD6416"/>
    <w:rsid w:val="00BD6601"/>
    <w:rsid w:val="00BD6694"/>
    <w:rsid w:val="00BD686C"/>
    <w:rsid w:val="00BD687C"/>
    <w:rsid w:val="00BD6AE3"/>
    <w:rsid w:val="00BD6CE6"/>
    <w:rsid w:val="00BD6E74"/>
    <w:rsid w:val="00BD6F8B"/>
    <w:rsid w:val="00BD7267"/>
    <w:rsid w:val="00BD7430"/>
    <w:rsid w:val="00BD746C"/>
    <w:rsid w:val="00BD76EF"/>
    <w:rsid w:val="00BD78A1"/>
    <w:rsid w:val="00BD78D4"/>
    <w:rsid w:val="00BD7F1C"/>
    <w:rsid w:val="00BD7F6D"/>
    <w:rsid w:val="00BE00D1"/>
    <w:rsid w:val="00BE00F1"/>
    <w:rsid w:val="00BE0359"/>
    <w:rsid w:val="00BE03A3"/>
    <w:rsid w:val="00BE07C0"/>
    <w:rsid w:val="00BE0804"/>
    <w:rsid w:val="00BE08A3"/>
    <w:rsid w:val="00BE08AD"/>
    <w:rsid w:val="00BE0B18"/>
    <w:rsid w:val="00BE0BCD"/>
    <w:rsid w:val="00BE0CD4"/>
    <w:rsid w:val="00BE0ED5"/>
    <w:rsid w:val="00BE10EF"/>
    <w:rsid w:val="00BE1670"/>
    <w:rsid w:val="00BE1715"/>
    <w:rsid w:val="00BE1F30"/>
    <w:rsid w:val="00BE2028"/>
    <w:rsid w:val="00BE20DB"/>
    <w:rsid w:val="00BE2584"/>
    <w:rsid w:val="00BE2637"/>
    <w:rsid w:val="00BE2641"/>
    <w:rsid w:val="00BE2734"/>
    <w:rsid w:val="00BE28BC"/>
    <w:rsid w:val="00BE29FE"/>
    <w:rsid w:val="00BE2B36"/>
    <w:rsid w:val="00BE2B7A"/>
    <w:rsid w:val="00BE2D3C"/>
    <w:rsid w:val="00BE2D3E"/>
    <w:rsid w:val="00BE2E5A"/>
    <w:rsid w:val="00BE2F38"/>
    <w:rsid w:val="00BE300C"/>
    <w:rsid w:val="00BE30A6"/>
    <w:rsid w:val="00BE31AF"/>
    <w:rsid w:val="00BE3310"/>
    <w:rsid w:val="00BE3921"/>
    <w:rsid w:val="00BE3DE5"/>
    <w:rsid w:val="00BE424B"/>
    <w:rsid w:val="00BE43BA"/>
    <w:rsid w:val="00BE4418"/>
    <w:rsid w:val="00BE48B6"/>
    <w:rsid w:val="00BE4AA8"/>
    <w:rsid w:val="00BE4AB8"/>
    <w:rsid w:val="00BE4D42"/>
    <w:rsid w:val="00BE4F05"/>
    <w:rsid w:val="00BE51D3"/>
    <w:rsid w:val="00BE51F5"/>
    <w:rsid w:val="00BE5392"/>
    <w:rsid w:val="00BE53D3"/>
    <w:rsid w:val="00BE56D4"/>
    <w:rsid w:val="00BE5B09"/>
    <w:rsid w:val="00BE5F95"/>
    <w:rsid w:val="00BE602F"/>
    <w:rsid w:val="00BE62B6"/>
    <w:rsid w:val="00BE63A8"/>
    <w:rsid w:val="00BE64EE"/>
    <w:rsid w:val="00BE680C"/>
    <w:rsid w:val="00BE68EB"/>
    <w:rsid w:val="00BE69BB"/>
    <w:rsid w:val="00BE6AED"/>
    <w:rsid w:val="00BE6BD9"/>
    <w:rsid w:val="00BE6CF8"/>
    <w:rsid w:val="00BE7018"/>
    <w:rsid w:val="00BE7093"/>
    <w:rsid w:val="00BE717C"/>
    <w:rsid w:val="00BE71A3"/>
    <w:rsid w:val="00BE7233"/>
    <w:rsid w:val="00BE72D9"/>
    <w:rsid w:val="00BE7649"/>
    <w:rsid w:val="00BE765C"/>
    <w:rsid w:val="00BE76A7"/>
    <w:rsid w:val="00BE7770"/>
    <w:rsid w:val="00BE7826"/>
    <w:rsid w:val="00BE7859"/>
    <w:rsid w:val="00BE7887"/>
    <w:rsid w:val="00BE7A39"/>
    <w:rsid w:val="00BE7A4C"/>
    <w:rsid w:val="00BE7C53"/>
    <w:rsid w:val="00BE7D47"/>
    <w:rsid w:val="00BE7F13"/>
    <w:rsid w:val="00BF015E"/>
    <w:rsid w:val="00BF037C"/>
    <w:rsid w:val="00BF04CF"/>
    <w:rsid w:val="00BF0632"/>
    <w:rsid w:val="00BF0790"/>
    <w:rsid w:val="00BF07C8"/>
    <w:rsid w:val="00BF092D"/>
    <w:rsid w:val="00BF09EC"/>
    <w:rsid w:val="00BF0A0E"/>
    <w:rsid w:val="00BF0A79"/>
    <w:rsid w:val="00BF0DE7"/>
    <w:rsid w:val="00BF129C"/>
    <w:rsid w:val="00BF12D8"/>
    <w:rsid w:val="00BF1510"/>
    <w:rsid w:val="00BF153E"/>
    <w:rsid w:val="00BF1594"/>
    <w:rsid w:val="00BF15AD"/>
    <w:rsid w:val="00BF18DD"/>
    <w:rsid w:val="00BF192A"/>
    <w:rsid w:val="00BF1BB5"/>
    <w:rsid w:val="00BF1BDD"/>
    <w:rsid w:val="00BF1DEC"/>
    <w:rsid w:val="00BF1EDE"/>
    <w:rsid w:val="00BF1FF6"/>
    <w:rsid w:val="00BF2088"/>
    <w:rsid w:val="00BF2127"/>
    <w:rsid w:val="00BF217D"/>
    <w:rsid w:val="00BF222D"/>
    <w:rsid w:val="00BF26C3"/>
    <w:rsid w:val="00BF27C4"/>
    <w:rsid w:val="00BF27CE"/>
    <w:rsid w:val="00BF283A"/>
    <w:rsid w:val="00BF2846"/>
    <w:rsid w:val="00BF2978"/>
    <w:rsid w:val="00BF29D0"/>
    <w:rsid w:val="00BF2ABF"/>
    <w:rsid w:val="00BF31A8"/>
    <w:rsid w:val="00BF3611"/>
    <w:rsid w:val="00BF3808"/>
    <w:rsid w:val="00BF3ED4"/>
    <w:rsid w:val="00BF4319"/>
    <w:rsid w:val="00BF45FB"/>
    <w:rsid w:val="00BF4BCB"/>
    <w:rsid w:val="00BF4ED2"/>
    <w:rsid w:val="00BF4EDF"/>
    <w:rsid w:val="00BF5166"/>
    <w:rsid w:val="00BF5273"/>
    <w:rsid w:val="00BF5281"/>
    <w:rsid w:val="00BF563F"/>
    <w:rsid w:val="00BF57EA"/>
    <w:rsid w:val="00BF5D10"/>
    <w:rsid w:val="00BF5DD9"/>
    <w:rsid w:val="00BF5E45"/>
    <w:rsid w:val="00BF6197"/>
    <w:rsid w:val="00BF63E7"/>
    <w:rsid w:val="00BF655A"/>
    <w:rsid w:val="00BF674E"/>
    <w:rsid w:val="00BF6758"/>
    <w:rsid w:val="00BF67E2"/>
    <w:rsid w:val="00BF6A33"/>
    <w:rsid w:val="00BF6CF3"/>
    <w:rsid w:val="00BF6F8C"/>
    <w:rsid w:val="00BF6FEB"/>
    <w:rsid w:val="00BF7899"/>
    <w:rsid w:val="00BF7A5B"/>
    <w:rsid w:val="00BF7B0B"/>
    <w:rsid w:val="00BF7CF9"/>
    <w:rsid w:val="00BF7D2A"/>
    <w:rsid w:val="00BF7F03"/>
    <w:rsid w:val="00C001EE"/>
    <w:rsid w:val="00C005CB"/>
    <w:rsid w:val="00C005F0"/>
    <w:rsid w:val="00C00790"/>
    <w:rsid w:val="00C007DC"/>
    <w:rsid w:val="00C008C8"/>
    <w:rsid w:val="00C00920"/>
    <w:rsid w:val="00C00B69"/>
    <w:rsid w:val="00C00C6B"/>
    <w:rsid w:val="00C00F43"/>
    <w:rsid w:val="00C00F4D"/>
    <w:rsid w:val="00C01247"/>
    <w:rsid w:val="00C013D8"/>
    <w:rsid w:val="00C01435"/>
    <w:rsid w:val="00C01520"/>
    <w:rsid w:val="00C015D4"/>
    <w:rsid w:val="00C0181D"/>
    <w:rsid w:val="00C01889"/>
    <w:rsid w:val="00C01A33"/>
    <w:rsid w:val="00C01B77"/>
    <w:rsid w:val="00C01F8F"/>
    <w:rsid w:val="00C02352"/>
    <w:rsid w:val="00C0259E"/>
    <w:rsid w:val="00C02680"/>
    <w:rsid w:val="00C02896"/>
    <w:rsid w:val="00C02B9D"/>
    <w:rsid w:val="00C02B9E"/>
    <w:rsid w:val="00C02DE9"/>
    <w:rsid w:val="00C02E60"/>
    <w:rsid w:val="00C02EB8"/>
    <w:rsid w:val="00C02EF5"/>
    <w:rsid w:val="00C030D4"/>
    <w:rsid w:val="00C0317C"/>
    <w:rsid w:val="00C032A8"/>
    <w:rsid w:val="00C032ED"/>
    <w:rsid w:val="00C03717"/>
    <w:rsid w:val="00C037DD"/>
    <w:rsid w:val="00C039E9"/>
    <w:rsid w:val="00C03D94"/>
    <w:rsid w:val="00C03EC1"/>
    <w:rsid w:val="00C03EE9"/>
    <w:rsid w:val="00C040A8"/>
    <w:rsid w:val="00C041C8"/>
    <w:rsid w:val="00C04217"/>
    <w:rsid w:val="00C042A4"/>
    <w:rsid w:val="00C042F7"/>
    <w:rsid w:val="00C04586"/>
    <w:rsid w:val="00C045F1"/>
    <w:rsid w:val="00C0463D"/>
    <w:rsid w:val="00C048D8"/>
    <w:rsid w:val="00C04C59"/>
    <w:rsid w:val="00C04CDE"/>
    <w:rsid w:val="00C04DB6"/>
    <w:rsid w:val="00C04E3B"/>
    <w:rsid w:val="00C050A8"/>
    <w:rsid w:val="00C050EF"/>
    <w:rsid w:val="00C052D4"/>
    <w:rsid w:val="00C0561B"/>
    <w:rsid w:val="00C05677"/>
    <w:rsid w:val="00C056FA"/>
    <w:rsid w:val="00C05732"/>
    <w:rsid w:val="00C05746"/>
    <w:rsid w:val="00C058E7"/>
    <w:rsid w:val="00C05953"/>
    <w:rsid w:val="00C0596F"/>
    <w:rsid w:val="00C05D72"/>
    <w:rsid w:val="00C05FCE"/>
    <w:rsid w:val="00C05FF9"/>
    <w:rsid w:val="00C06255"/>
    <w:rsid w:val="00C0635D"/>
    <w:rsid w:val="00C06406"/>
    <w:rsid w:val="00C068BF"/>
    <w:rsid w:val="00C06C72"/>
    <w:rsid w:val="00C06D1A"/>
    <w:rsid w:val="00C07073"/>
    <w:rsid w:val="00C071F7"/>
    <w:rsid w:val="00C07776"/>
    <w:rsid w:val="00C078D1"/>
    <w:rsid w:val="00C07926"/>
    <w:rsid w:val="00C07A2F"/>
    <w:rsid w:val="00C07BD4"/>
    <w:rsid w:val="00C07E8A"/>
    <w:rsid w:val="00C104F8"/>
    <w:rsid w:val="00C1053F"/>
    <w:rsid w:val="00C10553"/>
    <w:rsid w:val="00C10ADF"/>
    <w:rsid w:val="00C10C10"/>
    <w:rsid w:val="00C10C44"/>
    <w:rsid w:val="00C10D70"/>
    <w:rsid w:val="00C10EF3"/>
    <w:rsid w:val="00C10FC2"/>
    <w:rsid w:val="00C11127"/>
    <w:rsid w:val="00C111B6"/>
    <w:rsid w:val="00C11472"/>
    <w:rsid w:val="00C114D3"/>
    <w:rsid w:val="00C1179E"/>
    <w:rsid w:val="00C118CF"/>
    <w:rsid w:val="00C118F1"/>
    <w:rsid w:val="00C119CB"/>
    <w:rsid w:val="00C11B36"/>
    <w:rsid w:val="00C120AF"/>
    <w:rsid w:val="00C122C0"/>
    <w:rsid w:val="00C12314"/>
    <w:rsid w:val="00C12512"/>
    <w:rsid w:val="00C12638"/>
    <w:rsid w:val="00C12646"/>
    <w:rsid w:val="00C1267A"/>
    <w:rsid w:val="00C126C1"/>
    <w:rsid w:val="00C12A4E"/>
    <w:rsid w:val="00C12D3E"/>
    <w:rsid w:val="00C13110"/>
    <w:rsid w:val="00C134AD"/>
    <w:rsid w:val="00C13631"/>
    <w:rsid w:val="00C1368B"/>
    <w:rsid w:val="00C1390F"/>
    <w:rsid w:val="00C13C5E"/>
    <w:rsid w:val="00C13EF3"/>
    <w:rsid w:val="00C140E7"/>
    <w:rsid w:val="00C142E0"/>
    <w:rsid w:val="00C1456E"/>
    <w:rsid w:val="00C14712"/>
    <w:rsid w:val="00C14739"/>
    <w:rsid w:val="00C1483D"/>
    <w:rsid w:val="00C14A82"/>
    <w:rsid w:val="00C14C50"/>
    <w:rsid w:val="00C14D08"/>
    <w:rsid w:val="00C14E27"/>
    <w:rsid w:val="00C15246"/>
    <w:rsid w:val="00C15311"/>
    <w:rsid w:val="00C1559D"/>
    <w:rsid w:val="00C15972"/>
    <w:rsid w:val="00C15BA0"/>
    <w:rsid w:val="00C15D5B"/>
    <w:rsid w:val="00C15E20"/>
    <w:rsid w:val="00C15FA3"/>
    <w:rsid w:val="00C15FAC"/>
    <w:rsid w:val="00C15FEC"/>
    <w:rsid w:val="00C16062"/>
    <w:rsid w:val="00C16305"/>
    <w:rsid w:val="00C165B5"/>
    <w:rsid w:val="00C1660D"/>
    <w:rsid w:val="00C17056"/>
    <w:rsid w:val="00C17333"/>
    <w:rsid w:val="00C1767D"/>
    <w:rsid w:val="00C17749"/>
    <w:rsid w:val="00C178BD"/>
    <w:rsid w:val="00C179BC"/>
    <w:rsid w:val="00C179F6"/>
    <w:rsid w:val="00C17A3A"/>
    <w:rsid w:val="00C17EC9"/>
    <w:rsid w:val="00C17FBE"/>
    <w:rsid w:val="00C2013F"/>
    <w:rsid w:val="00C201A4"/>
    <w:rsid w:val="00C2033E"/>
    <w:rsid w:val="00C203C3"/>
    <w:rsid w:val="00C207D5"/>
    <w:rsid w:val="00C209FA"/>
    <w:rsid w:val="00C20AE1"/>
    <w:rsid w:val="00C20D92"/>
    <w:rsid w:val="00C212FE"/>
    <w:rsid w:val="00C21343"/>
    <w:rsid w:val="00C2138A"/>
    <w:rsid w:val="00C21394"/>
    <w:rsid w:val="00C219EB"/>
    <w:rsid w:val="00C21B1F"/>
    <w:rsid w:val="00C21B8B"/>
    <w:rsid w:val="00C21F05"/>
    <w:rsid w:val="00C220A7"/>
    <w:rsid w:val="00C223D3"/>
    <w:rsid w:val="00C224EC"/>
    <w:rsid w:val="00C2269B"/>
    <w:rsid w:val="00C22780"/>
    <w:rsid w:val="00C227CE"/>
    <w:rsid w:val="00C22995"/>
    <w:rsid w:val="00C22AF5"/>
    <w:rsid w:val="00C22C44"/>
    <w:rsid w:val="00C23980"/>
    <w:rsid w:val="00C239FA"/>
    <w:rsid w:val="00C23AA6"/>
    <w:rsid w:val="00C23CE8"/>
    <w:rsid w:val="00C23E8B"/>
    <w:rsid w:val="00C23F5D"/>
    <w:rsid w:val="00C23F72"/>
    <w:rsid w:val="00C24129"/>
    <w:rsid w:val="00C241A6"/>
    <w:rsid w:val="00C2422B"/>
    <w:rsid w:val="00C24687"/>
    <w:rsid w:val="00C24765"/>
    <w:rsid w:val="00C247DE"/>
    <w:rsid w:val="00C247E2"/>
    <w:rsid w:val="00C24801"/>
    <w:rsid w:val="00C248F3"/>
    <w:rsid w:val="00C24A37"/>
    <w:rsid w:val="00C24A7E"/>
    <w:rsid w:val="00C24AAB"/>
    <w:rsid w:val="00C24B7B"/>
    <w:rsid w:val="00C24C98"/>
    <w:rsid w:val="00C25059"/>
    <w:rsid w:val="00C254AD"/>
    <w:rsid w:val="00C25744"/>
    <w:rsid w:val="00C25C00"/>
    <w:rsid w:val="00C25D1A"/>
    <w:rsid w:val="00C25D89"/>
    <w:rsid w:val="00C25F68"/>
    <w:rsid w:val="00C261EB"/>
    <w:rsid w:val="00C26223"/>
    <w:rsid w:val="00C26D85"/>
    <w:rsid w:val="00C26E23"/>
    <w:rsid w:val="00C26E7E"/>
    <w:rsid w:val="00C2730F"/>
    <w:rsid w:val="00C2759F"/>
    <w:rsid w:val="00C279D5"/>
    <w:rsid w:val="00C27DD2"/>
    <w:rsid w:val="00C27F15"/>
    <w:rsid w:val="00C300DF"/>
    <w:rsid w:val="00C3020A"/>
    <w:rsid w:val="00C303F2"/>
    <w:rsid w:val="00C305CE"/>
    <w:rsid w:val="00C3064B"/>
    <w:rsid w:val="00C30959"/>
    <w:rsid w:val="00C30A30"/>
    <w:rsid w:val="00C30BF7"/>
    <w:rsid w:val="00C30C98"/>
    <w:rsid w:val="00C30D23"/>
    <w:rsid w:val="00C30EEE"/>
    <w:rsid w:val="00C30F28"/>
    <w:rsid w:val="00C31194"/>
    <w:rsid w:val="00C311A1"/>
    <w:rsid w:val="00C3169E"/>
    <w:rsid w:val="00C31C30"/>
    <w:rsid w:val="00C31C3C"/>
    <w:rsid w:val="00C31EB4"/>
    <w:rsid w:val="00C31FE7"/>
    <w:rsid w:val="00C32220"/>
    <w:rsid w:val="00C32300"/>
    <w:rsid w:val="00C32372"/>
    <w:rsid w:val="00C32B44"/>
    <w:rsid w:val="00C32EDB"/>
    <w:rsid w:val="00C33358"/>
    <w:rsid w:val="00C3337A"/>
    <w:rsid w:val="00C334B5"/>
    <w:rsid w:val="00C3362A"/>
    <w:rsid w:val="00C33679"/>
    <w:rsid w:val="00C3368D"/>
    <w:rsid w:val="00C33881"/>
    <w:rsid w:val="00C3392D"/>
    <w:rsid w:val="00C33C08"/>
    <w:rsid w:val="00C3422E"/>
    <w:rsid w:val="00C343C4"/>
    <w:rsid w:val="00C344DD"/>
    <w:rsid w:val="00C3461A"/>
    <w:rsid w:val="00C348AF"/>
    <w:rsid w:val="00C34AF0"/>
    <w:rsid w:val="00C34B8B"/>
    <w:rsid w:val="00C34DD5"/>
    <w:rsid w:val="00C34E02"/>
    <w:rsid w:val="00C34E12"/>
    <w:rsid w:val="00C34F2B"/>
    <w:rsid w:val="00C34F59"/>
    <w:rsid w:val="00C35347"/>
    <w:rsid w:val="00C3561B"/>
    <w:rsid w:val="00C358DF"/>
    <w:rsid w:val="00C35A68"/>
    <w:rsid w:val="00C35AA3"/>
    <w:rsid w:val="00C35ABA"/>
    <w:rsid w:val="00C35AE7"/>
    <w:rsid w:val="00C35B3D"/>
    <w:rsid w:val="00C35C12"/>
    <w:rsid w:val="00C36250"/>
    <w:rsid w:val="00C363B8"/>
    <w:rsid w:val="00C36476"/>
    <w:rsid w:val="00C364F0"/>
    <w:rsid w:val="00C36568"/>
    <w:rsid w:val="00C3657F"/>
    <w:rsid w:val="00C36B3B"/>
    <w:rsid w:val="00C36B93"/>
    <w:rsid w:val="00C36DDD"/>
    <w:rsid w:val="00C36E54"/>
    <w:rsid w:val="00C36F5C"/>
    <w:rsid w:val="00C3713C"/>
    <w:rsid w:val="00C3723B"/>
    <w:rsid w:val="00C374D0"/>
    <w:rsid w:val="00C3752E"/>
    <w:rsid w:val="00C378B7"/>
    <w:rsid w:val="00C378C0"/>
    <w:rsid w:val="00C379E0"/>
    <w:rsid w:val="00C37BF5"/>
    <w:rsid w:val="00C37C93"/>
    <w:rsid w:val="00C403B2"/>
    <w:rsid w:val="00C404E7"/>
    <w:rsid w:val="00C40571"/>
    <w:rsid w:val="00C4060F"/>
    <w:rsid w:val="00C408C5"/>
    <w:rsid w:val="00C40934"/>
    <w:rsid w:val="00C40AF7"/>
    <w:rsid w:val="00C410DD"/>
    <w:rsid w:val="00C415CC"/>
    <w:rsid w:val="00C416A4"/>
    <w:rsid w:val="00C41748"/>
    <w:rsid w:val="00C41759"/>
    <w:rsid w:val="00C4188B"/>
    <w:rsid w:val="00C41997"/>
    <w:rsid w:val="00C41A12"/>
    <w:rsid w:val="00C41F96"/>
    <w:rsid w:val="00C421CC"/>
    <w:rsid w:val="00C42641"/>
    <w:rsid w:val="00C4270B"/>
    <w:rsid w:val="00C42A09"/>
    <w:rsid w:val="00C43108"/>
    <w:rsid w:val="00C437BF"/>
    <w:rsid w:val="00C437DD"/>
    <w:rsid w:val="00C43A2F"/>
    <w:rsid w:val="00C43A4C"/>
    <w:rsid w:val="00C43B2B"/>
    <w:rsid w:val="00C43C67"/>
    <w:rsid w:val="00C43CDF"/>
    <w:rsid w:val="00C43F2F"/>
    <w:rsid w:val="00C44060"/>
    <w:rsid w:val="00C44127"/>
    <w:rsid w:val="00C442B5"/>
    <w:rsid w:val="00C44608"/>
    <w:rsid w:val="00C44687"/>
    <w:rsid w:val="00C447EF"/>
    <w:rsid w:val="00C44A73"/>
    <w:rsid w:val="00C44B15"/>
    <w:rsid w:val="00C44BBC"/>
    <w:rsid w:val="00C44FE7"/>
    <w:rsid w:val="00C451DA"/>
    <w:rsid w:val="00C45256"/>
    <w:rsid w:val="00C4554C"/>
    <w:rsid w:val="00C45EF8"/>
    <w:rsid w:val="00C46170"/>
    <w:rsid w:val="00C46398"/>
    <w:rsid w:val="00C46442"/>
    <w:rsid w:val="00C46660"/>
    <w:rsid w:val="00C46896"/>
    <w:rsid w:val="00C46BC5"/>
    <w:rsid w:val="00C46DF5"/>
    <w:rsid w:val="00C47048"/>
    <w:rsid w:val="00C4729B"/>
    <w:rsid w:val="00C4745C"/>
    <w:rsid w:val="00C477B3"/>
    <w:rsid w:val="00C47B28"/>
    <w:rsid w:val="00C47B6E"/>
    <w:rsid w:val="00C47DC5"/>
    <w:rsid w:val="00C508CA"/>
    <w:rsid w:val="00C50B70"/>
    <w:rsid w:val="00C50B84"/>
    <w:rsid w:val="00C50E39"/>
    <w:rsid w:val="00C51299"/>
    <w:rsid w:val="00C512D5"/>
    <w:rsid w:val="00C512EA"/>
    <w:rsid w:val="00C51433"/>
    <w:rsid w:val="00C51493"/>
    <w:rsid w:val="00C514F9"/>
    <w:rsid w:val="00C514FE"/>
    <w:rsid w:val="00C5150D"/>
    <w:rsid w:val="00C51B05"/>
    <w:rsid w:val="00C51C04"/>
    <w:rsid w:val="00C51E4B"/>
    <w:rsid w:val="00C51E95"/>
    <w:rsid w:val="00C51FA0"/>
    <w:rsid w:val="00C52520"/>
    <w:rsid w:val="00C5269F"/>
    <w:rsid w:val="00C52C51"/>
    <w:rsid w:val="00C52DB4"/>
    <w:rsid w:val="00C52E4E"/>
    <w:rsid w:val="00C52FAB"/>
    <w:rsid w:val="00C53544"/>
    <w:rsid w:val="00C53D40"/>
    <w:rsid w:val="00C53DAE"/>
    <w:rsid w:val="00C53FDD"/>
    <w:rsid w:val="00C54351"/>
    <w:rsid w:val="00C543C2"/>
    <w:rsid w:val="00C544A8"/>
    <w:rsid w:val="00C544B6"/>
    <w:rsid w:val="00C54590"/>
    <w:rsid w:val="00C54707"/>
    <w:rsid w:val="00C54767"/>
    <w:rsid w:val="00C54DC6"/>
    <w:rsid w:val="00C55166"/>
    <w:rsid w:val="00C55209"/>
    <w:rsid w:val="00C5526A"/>
    <w:rsid w:val="00C553CE"/>
    <w:rsid w:val="00C55B04"/>
    <w:rsid w:val="00C55C41"/>
    <w:rsid w:val="00C55D02"/>
    <w:rsid w:val="00C55E65"/>
    <w:rsid w:val="00C567F0"/>
    <w:rsid w:val="00C5683D"/>
    <w:rsid w:val="00C5687F"/>
    <w:rsid w:val="00C569C1"/>
    <w:rsid w:val="00C56C6D"/>
    <w:rsid w:val="00C56E5A"/>
    <w:rsid w:val="00C56FED"/>
    <w:rsid w:val="00C57091"/>
    <w:rsid w:val="00C5733B"/>
    <w:rsid w:val="00C57521"/>
    <w:rsid w:val="00C577CC"/>
    <w:rsid w:val="00C57D3B"/>
    <w:rsid w:val="00C57E62"/>
    <w:rsid w:val="00C600B8"/>
    <w:rsid w:val="00C602B1"/>
    <w:rsid w:val="00C60309"/>
    <w:rsid w:val="00C60562"/>
    <w:rsid w:val="00C605FF"/>
    <w:rsid w:val="00C60642"/>
    <w:rsid w:val="00C60A9C"/>
    <w:rsid w:val="00C61136"/>
    <w:rsid w:val="00C61463"/>
    <w:rsid w:val="00C61658"/>
    <w:rsid w:val="00C6186C"/>
    <w:rsid w:val="00C618AC"/>
    <w:rsid w:val="00C62060"/>
    <w:rsid w:val="00C62175"/>
    <w:rsid w:val="00C6217D"/>
    <w:rsid w:val="00C6268C"/>
    <w:rsid w:val="00C62833"/>
    <w:rsid w:val="00C629E2"/>
    <w:rsid w:val="00C62EE3"/>
    <w:rsid w:val="00C63040"/>
    <w:rsid w:val="00C632AE"/>
    <w:rsid w:val="00C63638"/>
    <w:rsid w:val="00C6377D"/>
    <w:rsid w:val="00C63D8E"/>
    <w:rsid w:val="00C63EF8"/>
    <w:rsid w:val="00C63FF6"/>
    <w:rsid w:val="00C64555"/>
    <w:rsid w:val="00C645E0"/>
    <w:rsid w:val="00C64743"/>
    <w:rsid w:val="00C64B2B"/>
    <w:rsid w:val="00C64D8B"/>
    <w:rsid w:val="00C64D90"/>
    <w:rsid w:val="00C64E47"/>
    <w:rsid w:val="00C650CE"/>
    <w:rsid w:val="00C6571E"/>
    <w:rsid w:val="00C657D6"/>
    <w:rsid w:val="00C658B3"/>
    <w:rsid w:val="00C65ACD"/>
    <w:rsid w:val="00C65D69"/>
    <w:rsid w:val="00C65DA1"/>
    <w:rsid w:val="00C66491"/>
    <w:rsid w:val="00C664B6"/>
    <w:rsid w:val="00C66587"/>
    <w:rsid w:val="00C6674D"/>
    <w:rsid w:val="00C669FE"/>
    <w:rsid w:val="00C66AFA"/>
    <w:rsid w:val="00C66B24"/>
    <w:rsid w:val="00C66C58"/>
    <w:rsid w:val="00C66EBE"/>
    <w:rsid w:val="00C66ED5"/>
    <w:rsid w:val="00C66F7F"/>
    <w:rsid w:val="00C6702F"/>
    <w:rsid w:val="00C6720C"/>
    <w:rsid w:val="00C6728B"/>
    <w:rsid w:val="00C672FA"/>
    <w:rsid w:val="00C6757F"/>
    <w:rsid w:val="00C6766E"/>
    <w:rsid w:val="00C676EE"/>
    <w:rsid w:val="00C67C8C"/>
    <w:rsid w:val="00C67CBD"/>
    <w:rsid w:val="00C67D6D"/>
    <w:rsid w:val="00C67D89"/>
    <w:rsid w:val="00C67E6B"/>
    <w:rsid w:val="00C7038F"/>
    <w:rsid w:val="00C70473"/>
    <w:rsid w:val="00C70508"/>
    <w:rsid w:val="00C7059F"/>
    <w:rsid w:val="00C707A8"/>
    <w:rsid w:val="00C708ED"/>
    <w:rsid w:val="00C70C5E"/>
    <w:rsid w:val="00C70C9F"/>
    <w:rsid w:val="00C70EC3"/>
    <w:rsid w:val="00C70EEA"/>
    <w:rsid w:val="00C71377"/>
    <w:rsid w:val="00C713B0"/>
    <w:rsid w:val="00C718BA"/>
    <w:rsid w:val="00C719CA"/>
    <w:rsid w:val="00C71A14"/>
    <w:rsid w:val="00C71EB9"/>
    <w:rsid w:val="00C71F2B"/>
    <w:rsid w:val="00C722D4"/>
    <w:rsid w:val="00C72343"/>
    <w:rsid w:val="00C7242D"/>
    <w:rsid w:val="00C72A11"/>
    <w:rsid w:val="00C72A8D"/>
    <w:rsid w:val="00C72ABC"/>
    <w:rsid w:val="00C72B2D"/>
    <w:rsid w:val="00C72C3B"/>
    <w:rsid w:val="00C72C6D"/>
    <w:rsid w:val="00C72C90"/>
    <w:rsid w:val="00C72D7F"/>
    <w:rsid w:val="00C73355"/>
    <w:rsid w:val="00C7343F"/>
    <w:rsid w:val="00C73A2F"/>
    <w:rsid w:val="00C73C41"/>
    <w:rsid w:val="00C73DA3"/>
    <w:rsid w:val="00C73EF2"/>
    <w:rsid w:val="00C73FCD"/>
    <w:rsid w:val="00C74181"/>
    <w:rsid w:val="00C741D2"/>
    <w:rsid w:val="00C741F6"/>
    <w:rsid w:val="00C7466B"/>
    <w:rsid w:val="00C7469E"/>
    <w:rsid w:val="00C748B2"/>
    <w:rsid w:val="00C74AE1"/>
    <w:rsid w:val="00C74AFB"/>
    <w:rsid w:val="00C74BD4"/>
    <w:rsid w:val="00C74C40"/>
    <w:rsid w:val="00C74DBF"/>
    <w:rsid w:val="00C74E00"/>
    <w:rsid w:val="00C74E10"/>
    <w:rsid w:val="00C74E37"/>
    <w:rsid w:val="00C75039"/>
    <w:rsid w:val="00C750B2"/>
    <w:rsid w:val="00C75254"/>
    <w:rsid w:val="00C754DA"/>
    <w:rsid w:val="00C755AD"/>
    <w:rsid w:val="00C75B1D"/>
    <w:rsid w:val="00C75BC8"/>
    <w:rsid w:val="00C75D1B"/>
    <w:rsid w:val="00C75DE4"/>
    <w:rsid w:val="00C75F92"/>
    <w:rsid w:val="00C7618F"/>
    <w:rsid w:val="00C7626D"/>
    <w:rsid w:val="00C76362"/>
    <w:rsid w:val="00C7665A"/>
    <w:rsid w:val="00C766DC"/>
    <w:rsid w:val="00C768B9"/>
    <w:rsid w:val="00C76D90"/>
    <w:rsid w:val="00C76DE0"/>
    <w:rsid w:val="00C7734C"/>
    <w:rsid w:val="00C774B1"/>
    <w:rsid w:val="00C77622"/>
    <w:rsid w:val="00C776D9"/>
    <w:rsid w:val="00C77AD0"/>
    <w:rsid w:val="00C77E1E"/>
    <w:rsid w:val="00C800BC"/>
    <w:rsid w:val="00C80759"/>
    <w:rsid w:val="00C80D9A"/>
    <w:rsid w:val="00C810E4"/>
    <w:rsid w:val="00C81279"/>
    <w:rsid w:val="00C81353"/>
    <w:rsid w:val="00C81687"/>
    <w:rsid w:val="00C81843"/>
    <w:rsid w:val="00C818E3"/>
    <w:rsid w:val="00C81931"/>
    <w:rsid w:val="00C81BF6"/>
    <w:rsid w:val="00C81C7B"/>
    <w:rsid w:val="00C81E2E"/>
    <w:rsid w:val="00C82209"/>
    <w:rsid w:val="00C823CA"/>
    <w:rsid w:val="00C82412"/>
    <w:rsid w:val="00C82560"/>
    <w:rsid w:val="00C82663"/>
    <w:rsid w:val="00C82877"/>
    <w:rsid w:val="00C82965"/>
    <w:rsid w:val="00C82E3E"/>
    <w:rsid w:val="00C82EFA"/>
    <w:rsid w:val="00C831C4"/>
    <w:rsid w:val="00C8324A"/>
    <w:rsid w:val="00C833C4"/>
    <w:rsid w:val="00C83CD9"/>
    <w:rsid w:val="00C83D0F"/>
    <w:rsid w:val="00C83FA1"/>
    <w:rsid w:val="00C840BB"/>
    <w:rsid w:val="00C84387"/>
    <w:rsid w:val="00C8441A"/>
    <w:rsid w:val="00C84429"/>
    <w:rsid w:val="00C844A7"/>
    <w:rsid w:val="00C844F0"/>
    <w:rsid w:val="00C845CD"/>
    <w:rsid w:val="00C84614"/>
    <w:rsid w:val="00C84909"/>
    <w:rsid w:val="00C855D4"/>
    <w:rsid w:val="00C859BB"/>
    <w:rsid w:val="00C85C45"/>
    <w:rsid w:val="00C85CDE"/>
    <w:rsid w:val="00C85DC4"/>
    <w:rsid w:val="00C85EF6"/>
    <w:rsid w:val="00C864FE"/>
    <w:rsid w:val="00C865E1"/>
    <w:rsid w:val="00C866C4"/>
    <w:rsid w:val="00C86890"/>
    <w:rsid w:val="00C86A1D"/>
    <w:rsid w:val="00C86A93"/>
    <w:rsid w:val="00C86B61"/>
    <w:rsid w:val="00C86FFD"/>
    <w:rsid w:val="00C87262"/>
    <w:rsid w:val="00C872EC"/>
    <w:rsid w:val="00C874C6"/>
    <w:rsid w:val="00C878AF"/>
    <w:rsid w:val="00C87BEC"/>
    <w:rsid w:val="00C87CEC"/>
    <w:rsid w:val="00C87FED"/>
    <w:rsid w:val="00C90162"/>
    <w:rsid w:val="00C90414"/>
    <w:rsid w:val="00C90556"/>
    <w:rsid w:val="00C905BF"/>
    <w:rsid w:val="00C9066E"/>
    <w:rsid w:val="00C909AD"/>
    <w:rsid w:val="00C910EF"/>
    <w:rsid w:val="00C9122F"/>
    <w:rsid w:val="00C91253"/>
    <w:rsid w:val="00C91367"/>
    <w:rsid w:val="00C91461"/>
    <w:rsid w:val="00C915EF"/>
    <w:rsid w:val="00C918C6"/>
    <w:rsid w:val="00C91921"/>
    <w:rsid w:val="00C91965"/>
    <w:rsid w:val="00C91BF9"/>
    <w:rsid w:val="00C91FE9"/>
    <w:rsid w:val="00C9223F"/>
    <w:rsid w:val="00C92543"/>
    <w:rsid w:val="00C9268D"/>
    <w:rsid w:val="00C92759"/>
    <w:rsid w:val="00C928C9"/>
    <w:rsid w:val="00C92924"/>
    <w:rsid w:val="00C929F6"/>
    <w:rsid w:val="00C92BDC"/>
    <w:rsid w:val="00C92C35"/>
    <w:rsid w:val="00C92CD4"/>
    <w:rsid w:val="00C92F83"/>
    <w:rsid w:val="00C93079"/>
    <w:rsid w:val="00C93080"/>
    <w:rsid w:val="00C931FA"/>
    <w:rsid w:val="00C932B7"/>
    <w:rsid w:val="00C933E6"/>
    <w:rsid w:val="00C9341B"/>
    <w:rsid w:val="00C938A8"/>
    <w:rsid w:val="00C939A8"/>
    <w:rsid w:val="00C939F2"/>
    <w:rsid w:val="00C93AD2"/>
    <w:rsid w:val="00C93D9F"/>
    <w:rsid w:val="00C93EC4"/>
    <w:rsid w:val="00C940F3"/>
    <w:rsid w:val="00C94121"/>
    <w:rsid w:val="00C942A3"/>
    <w:rsid w:val="00C94721"/>
    <w:rsid w:val="00C94746"/>
    <w:rsid w:val="00C94A7A"/>
    <w:rsid w:val="00C94CC5"/>
    <w:rsid w:val="00C94DEE"/>
    <w:rsid w:val="00C94ED5"/>
    <w:rsid w:val="00C951F6"/>
    <w:rsid w:val="00C95320"/>
    <w:rsid w:val="00C9534A"/>
    <w:rsid w:val="00C9535C"/>
    <w:rsid w:val="00C954C2"/>
    <w:rsid w:val="00C95517"/>
    <w:rsid w:val="00C95607"/>
    <w:rsid w:val="00C95706"/>
    <w:rsid w:val="00C9571C"/>
    <w:rsid w:val="00C95A21"/>
    <w:rsid w:val="00C95A8C"/>
    <w:rsid w:val="00C95CF2"/>
    <w:rsid w:val="00C9627D"/>
    <w:rsid w:val="00C962C5"/>
    <w:rsid w:val="00C96370"/>
    <w:rsid w:val="00C965C0"/>
    <w:rsid w:val="00C965D8"/>
    <w:rsid w:val="00C966AB"/>
    <w:rsid w:val="00C966CB"/>
    <w:rsid w:val="00C96B13"/>
    <w:rsid w:val="00C96CEE"/>
    <w:rsid w:val="00C96D37"/>
    <w:rsid w:val="00C96F11"/>
    <w:rsid w:val="00C972A2"/>
    <w:rsid w:val="00C97302"/>
    <w:rsid w:val="00C9736A"/>
    <w:rsid w:val="00C97576"/>
    <w:rsid w:val="00C976E2"/>
    <w:rsid w:val="00C97830"/>
    <w:rsid w:val="00C97B3D"/>
    <w:rsid w:val="00C97CEF"/>
    <w:rsid w:val="00CA014B"/>
    <w:rsid w:val="00CA082F"/>
    <w:rsid w:val="00CA0C24"/>
    <w:rsid w:val="00CA1740"/>
    <w:rsid w:val="00CA17E1"/>
    <w:rsid w:val="00CA19AB"/>
    <w:rsid w:val="00CA1C5B"/>
    <w:rsid w:val="00CA1D48"/>
    <w:rsid w:val="00CA1EAA"/>
    <w:rsid w:val="00CA1F58"/>
    <w:rsid w:val="00CA202F"/>
    <w:rsid w:val="00CA2089"/>
    <w:rsid w:val="00CA23DF"/>
    <w:rsid w:val="00CA2469"/>
    <w:rsid w:val="00CA26BA"/>
    <w:rsid w:val="00CA28D8"/>
    <w:rsid w:val="00CA2CEF"/>
    <w:rsid w:val="00CA2DB7"/>
    <w:rsid w:val="00CA388C"/>
    <w:rsid w:val="00CA3C06"/>
    <w:rsid w:val="00CA3CB3"/>
    <w:rsid w:val="00CA3D35"/>
    <w:rsid w:val="00CA3DBA"/>
    <w:rsid w:val="00CA3DF0"/>
    <w:rsid w:val="00CA40E4"/>
    <w:rsid w:val="00CA41E5"/>
    <w:rsid w:val="00CA4219"/>
    <w:rsid w:val="00CA423F"/>
    <w:rsid w:val="00CA4299"/>
    <w:rsid w:val="00CA436F"/>
    <w:rsid w:val="00CA461A"/>
    <w:rsid w:val="00CA4757"/>
    <w:rsid w:val="00CA478B"/>
    <w:rsid w:val="00CA4843"/>
    <w:rsid w:val="00CA499D"/>
    <w:rsid w:val="00CA4E5E"/>
    <w:rsid w:val="00CA544C"/>
    <w:rsid w:val="00CA5468"/>
    <w:rsid w:val="00CA570E"/>
    <w:rsid w:val="00CA58AB"/>
    <w:rsid w:val="00CA595D"/>
    <w:rsid w:val="00CA5A2E"/>
    <w:rsid w:val="00CA5A4C"/>
    <w:rsid w:val="00CA5A61"/>
    <w:rsid w:val="00CA5DF3"/>
    <w:rsid w:val="00CA5E1B"/>
    <w:rsid w:val="00CA6169"/>
    <w:rsid w:val="00CA6310"/>
    <w:rsid w:val="00CA656F"/>
    <w:rsid w:val="00CA6831"/>
    <w:rsid w:val="00CA69C0"/>
    <w:rsid w:val="00CA6B8C"/>
    <w:rsid w:val="00CA6E2F"/>
    <w:rsid w:val="00CA7139"/>
    <w:rsid w:val="00CA716B"/>
    <w:rsid w:val="00CA7288"/>
    <w:rsid w:val="00CA75F3"/>
    <w:rsid w:val="00CA777C"/>
    <w:rsid w:val="00CA78F4"/>
    <w:rsid w:val="00CA7921"/>
    <w:rsid w:val="00CA796A"/>
    <w:rsid w:val="00CA7A0F"/>
    <w:rsid w:val="00CA7AAF"/>
    <w:rsid w:val="00CA7B57"/>
    <w:rsid w:val="00CB0135"/>
    <w:rsid w:val="00CB027E"/>
    <w:rsid w:val="00CB03D7"/>
    <w:rsid w:val="00CB0959"/>
    <w:rsid w:val="00CB0C00"/>
    <w:rsid w:val="00CB0C62"/>
    <w:rsid w:val="00CB0CAF"/>
    <w:rsid w:val="00CB0E74"/>
    <w:rsid w:val="00CB0EB5"/>
    <w:rsid w:val="00CB0F18"/>
    <w:rsid w:val="00CB1125"/>
    <w:rsid w:val="00CB1327"/>
    <w:rsid w:val="00CB1358"/>
    <w:rsid w:val="00CB1490"/>
    <w:rsid w:val="00CB19F1"/>
    <w:rsid w:val="00CB1A05"/>
    <w:rsid w:val="00CB1EA6"/>
    <w:rsid w:val="00CB22AD"/>
    <w:rsid w:val="00CB25DC"/>
    <w:rsid w:val="00CB2793"/>
    <w:rsid w:val="00CB283D"/>
    <w:rsid w:val="00CB2940"/>
    <w:rsid w:val="00CB31E2"/>
    <w:rsid w:val="00CB360C"/>
    <w:rsid w:val="00CB36C7"/>
    <w:rsid w:val="00CB37A5"/>
    <w:rsid w:val="00CB3A4A"/>
    <w:rsid w:val="00CB3B81"/>
    <w:rsid w:val="00CB3C74"/>
    <w:rsid w:val="00CB3CFE"/>
    <w:rsid w:val="00CB3F62"/>
    <w:rsid w:val="00CB3FA0"/>
    <w:rsid w:val="00CB4052"/>
    <w:rsid w:val="00CB409E"/>
    <w:rsid w:val="00CB4253"/>
    <w:rsid w:val="00CB42B5"/>
    <w:rsid w:val="00CB46B5"/>
    <w:rsid w:val="00CB46F6"/>
    <w:rsid w:val="00CB4941"/>
    <w:rsid w:val="00CB498B"/>
    <w:rsid w:val="00CB4A3C"/>
    <w:rsid w:val="00CB4B86"/>
    <w:rsid w:val="00CB50D9"/>
    <w:rsid w:val="00CB57BE"/>
    <w:rsid w:val="00CB5914"/>
    <w:rsid w:val="00CB5C68"/>
    <w:rsid w:val="00CB5D71"/>
    <w:rsid w:val="00CB5EFA"/>
    <w:rsid w:val="00CB6082"/>
    <w:rsid w:val="00CB6136"/>
    <w:rsid w:val="00CB6408"/>
    <w:rsid w:val="00CB649A"/>
    <w:rsid w:val="00CB6635"/>
    <w:rsid w:val="00CB68CE"/>
    <w:rsid w:val="00CB6A47"/>
    <w:rsid w:val="00CB6ACF"/>
    <w:rsid w:val="00CB6AD1"/>
    <w:rsid w:val="00CB6AED"/>
    <w:rsid w:val="00CB6B38"/>
    <w:rsid w:val="00CB6B6C"/>
    <w:rsid w:val="00CB6CD6"/>
    <w:rsid w:val="00CB6FB2"/>
    <w:rsid w:val="00CB7105"/>
    <w:rsid w:val="00CB7179"/>
    <w:rsid w:val="00CB725A"/>
    <w:rsid w:val="00CB7316"/>
    <w:rsid w:val="00CB752E"/>
    <w:rsid w:val="00CB7891"/>
    <w:rsid w:val="00CB79F8"/>
    <w:rsid w:val="00CB7A00"/>
    <w:rsid w:val="00CB7FAC"/>
    <w:rsid w:val="00CC0287"/>
    <w:rsid w:val="00CC03F2"/>
    <w:rsid w:val="00CC05D1"/>
    <w:rsid w:val="00CC06AE"/>
    <w:rsid w:val="00CC076A"/>
    <w:rsid w:val="00CC07B1"/>
    <w:rsid w:val="00CC07C9"/>
    <w:rsid w:val="00CC07F4"/>
    <w:rsid w:val="00CC0D70"/>
    <w:rsid w:val="00CC0E4C"/>
    <w:rsid w:val="00CC0E6B"/>
    <w:rsid w:val="00CC10EA"/>
    <w:rsid w:val="00CC15F8"/>
    <w:rsid w:val="00CC16AC"/>
    <w:rsid w:val="00CC17F9"/>
    <w:rsid w:val="00CC1829"/>
    <w:rsid w:val="00CC182B"/>
    <w:rsid w:val="00CC18D4"/>
    <w:rsid w:val="00CC1A51"/>
    <w:rsid w:val="00CC1D14"/>
    <w:rsid w:val="00CC27CB"/>
    <w:rsid w:val="00CC2844"/>
    <w:rsid w:val="00CC29BD"/>
    <w:rsid w:val="00CC2E1C"/>
    <w:rsid w:val="00CC32A2"/>
    <w:rsid w:val="00CC36EC"/>
    <w:rsid w:val="00CC3899"/>
    <w:rsid w:val="00CC38E7"/>
    <w:rsid w:val="00CC3B59"/>
    <w:rsid w:val="00CC3B8F"/>
    <w:rsid w:val="00CC3BA8"/>
    <w:rsid w:val="00CC3E72"/>
    <w:rsid w:val="00CC3FBA"/>
    <w:rsid w:val="00CC4338"/>
    <w:rsid w:val="00CC440B"/>
    <w:rsid w:val="00CC45F0"/>
    <w:rsid w:val="00CC467C"/>
    <w:rsid w:val="00CC4807"/>
    <w:rsid w:val="00CC49B5"/>
    <w:rsid w:val="00CC4A8E"/>
    <w:rsid w:val="00CC4AB5"/>
    <w:rsid w:val="00CC4B0F"/>
    <w:rsid w:val="00CC4C62"/>
    <w:rsid w:val="00CC4C8B"/>
    <w:rsid w:val="00CC51A5"/>
    <w:rsid w:val="00CC5311"/>
    <w:rsid w:val="00CC5708"/>
    <w:rsid w:val="00CC5B01"/>
    <w:rsid w:val="00CC5F53"/>
    <w:rsid w:val="00CC618A"/>
    <w:rsid w:val="00CC620E"/>
    <w:rsid w:val="00CC62C0"/>
    <w:rsid w:val="00CC64E3"/>
    <w:rsid w:val="00CC6731"/>
    <w:rsid w:val="00CC678C"/>
    <w:rsid w:val="00CC69BE"/>
    <w:rsid w:val="00CC6C22"/>
    <w:rsid w:val="00CC6D8C"/>
    <w:rsid w:val="00CC6ED8"/>
    <w:rsid w:val="00CC7083"/>
    <w:rsid w:val="00CC7634"/>
    <w:rsid w:val="00CC7C34"/>
    <w:rsid w:val="00CD013D"/>
    <w:rsid w:val="00CD0261"/>
    <w:rsid w:val="00CD05B0"/>
    <w:rsid w:val="00CD06A6"/>
    <w:rsid w:val="00CD0785"/>
    <w:rsid w:val="00CD094B"/>
    <w:rsid w:val="00CD09B1"/>
    <w:rsid w:val="00CD09B8"/>
    <w:rsid w:val="00CD0A51"/>
    <w:rsid w:val="00CD0AC7"/>
    <w:rsid w:val="00CD0D04"/>
    <w:rsid w:val="00CD0D40"/>
    <w:rsid w:val="00CD0DF4"/>
    <w:rsid w:val="00CD0F5B"/>
    <w:rsid w:val="00CD0F64"/>
    <w:rsid w:val="00CD11FB"/>
    <w:rsid w:val="00CD169B"/>
    <w:rsid w:val="00CD17C2"/>
    <w:rsid w:val="00CD1906"/>
    <w:rsid w:val="00CD1AED"/>
    <w:rsid w:val="00CD1AFC"/>
    <w:rsid w:val="00CD1BE2"/>
    <w:rsid w:val="00CD1CDA"/>
    <w:rsid w:val="00CD1D18"/>
    <w:rsid w:val="00CD1EA1"/>
    <w:rsid w:val="00CD1F0A"/>
    <w:rsid w:val="00CD2020"/>
    <w:rsid w:val="00CD2086"/>
    <w:rsid w:val="00CD25A7"/>
    <w:rsid w:val="00CD263A"/>
    <w:rsid w:val="00CD28A7"/>
    <w:rsid w:val="00CD2A25"/>
    <w:rsid w:val="00CD2B4A"/>
    <w:rsid w:val="00CD2C89"/>
    <w:rsid w:val="00CD2CAB"/>
    <w:rsid w:val="00CD32AB"/>
    <w:rsid w:val="00CD33A4"/>
    <w:rsid w:val="00CD3486"/>
    <w:rsid w:val="00CD3517"/>
    <w:rsid w:val="00CD3AC2"/>
    <w:rsid w:val="00CD3B16"/>
    <w:rsid w:val="00CD3B6B"/>
    <w:rsid w:val="00CD427A"/>
    <w:rsid w:val="00CD43BA"/>
    <w:rsid w:val="00CD45E6"/>
    <w:rsid w:val="00CD49A0"/>
    <w:rsid w:val="00CD4C7E"/>
    <w:rsid w:val="00CD4E20"/>
    <w:rsid w:val="00CD504A"/>
    <w:rsid w:val="00CD53D0"/>
    <w:rsid w:val="00CD5D47"/>
    <w:rsid w:val="00CD5FE2"/>
    <w:rsid w:val="00CD6110"/>
    <w:rsid w:val="00CD618C"/>
    <w:rsid w:val="00CD673C"/>
    <w:rsid w:val="00CD6A92"/>
    <w:rsid w:val="00CD6B04"/>
    <w:rsid w:val="00CD6B9F"/>
    <w:rsid w:val="00CD6F5B"/>
    <w:rsid w:val="00CD702D"/>
    <w:rsid w:val="00CD70CD"/>
    <w:rsid w:val="00CD749A"/>
    <w:rsid w:val="00CD78B5"/>
    <w:rsid w:val="00CD7A34"/>
    <w:rsid w:val="00CD7F48"/>
    <w:rsid w:val="00CE0459"/>
    <w:rsid w:val="00CE05ED"/>
    <w:rsid w:val="00CE0767"/>
    <w:rsid w:val="00CE082C"/>
    <w:rsid w:val="00CE09EA"/>
    <w:rsid w:val="00CE0CD5"/>
    <w:rsid w:val="00CE0D7B"/>
    <w:rsid w:val="00CE0E8F"/>
    <w:rsid w:val="00CE0ED5"/>
    <w:rsid w:val="00CE108A"/>
    <w:rsid w:val="00CE1116"/>
    <w:rsid w:val="00CE134F"/>
    <w:rsid w:val="00CE171C"/>
    <w:rsid w:val="00CE17F8"/>
    <w:rsid w:val="00CE192D"/>
    <w:rsid w:val="00CE1C81"/>
    <w:rsid w:val="00CE1ECA"/>
    <w:rsid w:val="00CE221D"/>
    <w:rsid w:val="00CE2AB4"/>
    <w:rsid w:val="00CE31D0"/>
    <w:rsid w:val="00CE31EC"/>
    <w:rsid w:val="00CE36DA"/>
    <w:rsid w:val="00CE3717"/>
    <w:rsid w:val="00CE3A26"/>
    <w:rsid w:val="00CE3B92"/>
    <w:rsid w:val="00CE3C86"/>
    <w:rsid w:val="00CE43E9"/>
    <w:rsid w:val="00CE449F"/>
    <w:rsid w:val="00CE4688"/>
    <w:rsid w:val="00CE4C6B"/>
    <w:rsid w:val="00CE4D0E"/>
    <w:rsid w:val="00CE4D71"/>
    <w:rsid w:val="00CE5149"/>
    <w:rsid w:val="00CE5383"/>
    <w:rsid w:val="00CE54B5"/>
    <w:rsid w:val="00CE57CA"/>
    <w:rsid w:val="00CE585E"/>
    <w:rsid w:val="00CE59DF"/>
    <w:rsid w:val="00CE5A7F"/>
    <w:rsid w:val="00CE5ADD"/>
    <w:rsid w:val="00CE5B82"/>
    <w:rsid w:val="00CE5D1A"/>
    <w:rsid w:val="00CE5FAF"/>
    <w:rsid w:val="00CE6042"/>
    <w:rsid w:val="00CE649B"/>
    <w:rsid w:val="00CE6937"/>
    <w:rsid w:val="00CE6CD2"/>
    <w:rsid w:val="00CE7424"/>
    <w:rsid w:val="00CE7443"/>
    <w:rsid w:val="00CE7586"/>
    <w:rsid w:val="00CE7D32"/>
    <w:rsid w:val="00CE7F73"/>
    <w:rsid w:val="00CF0130"/>
    <w:rsid w:val="00CF0236"/>
    <w:rsid w:val="00CF041E"/>
    <w:rsid w:val="00CF04AB"/>
    <w:rsid w:val="00CF056A"/>
    <w:rsid w:val="00CF0651"/>
    <w:rsid w:val="00CF0958"/>
    <w:rsid w:val="00CF0BDF"/>
    <w:rsid w:val="00CF101D"/>
    <w:rsid w:val="00CF1245"/>
    <w:rsid w:val="00CF139C"/>
    <w:rsid w:val="00CF13C7"/>
    <w:rsid w:val="00CF1639"/>
    <w:rsid w:val="00CF1A00"/>
    <w:rsid w:val="00CF1D9C"/>
    <w:rsid w:val="00CF1EB8"/>
    <w:rsid w:val="00CF1FE7"/>
    <w:rsid w:val="00CF1FFF"/>
    <w:rsid w:val="00CF2093"/>
    <w:rsid w:val="00CF2205"/>
    <w:rsid w:val="00CF2258"/>
    <w:rsid w:val="00CF2284"/>
    <w:rsid w:val="00CF26E8"/>
    <w:rsid w:val="00CF27B3"/>
    <w:rsid w:val="00CF2B29"/>
    <w:rsid w:val="00CF2CFB"/>
    <w:rsid w:val="00CF2F7D"/>
    <w:rsid w:val="00CF2FF9"/>
    <w:rsid w:val="00CF304B"/>
    <w:rsid w:val="00CF3105"/>
    <w:rsid w:val="00CF3238"/>
    <w:rsid w:val="00CF32A2"/>
    <w:rsid w:val="00CF377D"/>
    <w:rsid w:val="00CF3A19"/>
    <w:rsid w:val="00CF3B3F"/>
    <w:rsid w:val="00CF40FE"/>
    <w:rsid w:val="00CF430B"/>
    <w:rsid w:val="00CF45B5"/>
    <w:rsid w:val="00CF4694"/>
    <w:rsid w:val="00CF4A0A"/>
    <w:rsid w:val="00CF4DC3"/>
    <w:rsid w:val="00CF4F9B"/>
    <w:rsid w:val="00CF51CD"/>
    <w:rsid w:val="00CF585F"/>
    <w:rsid w:val="00CF59BC"/>
    <w:rsid w:val="00CF5A8D"/>
    <w:rsid w:val="00CF5AEF"/>
    <w:rsid w:val="00CF5E21"/>
    <w:rsid w:val="00CF61CF"/>
    <w:rsid w:val="00CF66E6"/>
    <w:rsid w:val="00CF68C9"/>
    <w:rsid w:val="00CF6CEF"/>
    <w:rsid w:val="00CF6FE3"/>
    <w:rsid w:val="00CF71C5"/>
    <w:rsid w:val="00CF7517"/>
    <w:rsid w:val="00CF78B6"/>
    <w:rsid w:val="00CF7AFE"/>
    <w:rsid w:val="00CF7B53"/>
    <w:rsid w:val="00CF7C5F"/>
    <w:rsid w:val="00CF7CF4"/>
    <w:rsid w:val="00CF7D28"/>
    <w:rsid w:val="00CF7E89"/>
    <w:rsid w:val="00D00068"/>
    <w:rsid w:val="00D000E5"/>
    <w:rsid w:val="00D0013A"/>
    <w:rsid w:val="00D002B9"/>
    <w:rsid w:val="00D002CF"/>
    <w:rsid w:val="00D00372"/>
    <w:rsid w:val="00D0040D"/>
    <w:rsid w:val="00D0069A"/>
    <w:rsid w:val="00D00754"/>
    <w:rsid w:val="00D007BE"/>
    <w:rsid w:val="00D008EE"/>
    <w:rsid w:val="00D00A3B"/>
    <w:rsid w:val="00D00B4D"/>
    <w:rsid w:val="00D00D2E"/>
    <w:rsid w:val="00D00F75"/>
    <w:rsid w:val="00D011C0"/>
    <w:rsid w:val="00D01391"/>
    <w:rsid w:val="00D01A0A"/>
    <w:rsid w:val="00D01C64"/>
    <w:rsid w:val="00D01D35"/>
    <w:rsid w:val="00D021D7"/>
    <w:rsid w:val="00D022E4"/>
    <w:rsid w:val="00D023A1"/>
    <w:rsid w:val="00D023B8"/>
    <w:rsid w:val="00D0244D"/>
    <w:rsid w:val="00D0258E"/>
    <w:rsid w:val="00D0263C"/>
    <w:rsid w:val="00D02913"/>
    <w:rsid w:val="00D02A31"/>
    <w:rsid w:val="00D02A50"/>
    <w:rsid w:val="00D02AC1"/>
    <w:rsid w:val="00D02ADB"/>
    <w:rsid w:val="00D02ADE"/>
    <w:rsid w:val="00D02D74"/>
    <w:rsid w:val="00D02DF1"/>
    <w:rsid w:val="00D02E12"/>
    <w:rsid w:val="00D02E55"/>
    <w:rsid w:val="00D02F42"/>
    <w:rsid w:val="00D030B2"/>
    <w:rsid w:val="00D03142"/>
    <w:rsid w:val="00D0324B"/>
    <w:rsid w:val="00D03295"/>
    <w:rsid w:val="00D033A9"/>
    <w:rsid w:val="00D03465"/>
    <w:rsid w:val="00D034A1"/>
    <w:rsid w:val="00D03858"/>
    <w:rsid w:val="00D03979"/>
    <w:rsid w:val="00D03A9F"/>
    <w:rsid w:val="00D03ABB"/>
    <w:rsid w:val="00D03D3D"/>
    <w:rsid w:val="00D03E5E"/>
    <w:rsid w:val="00D04060"/>
    <w:rsid w:val="00D041A3"/>
    <w:rsid w:val="00D042BB"/>
    <w:rsid w:val="00D0441A"/>
    <w:rsid w:val="00D047C6"/>
    <w:rsid w:val="00D04815"/>
    <w:rsid w:val="00D0485C"/>
    <w:rsid w:val="00D04A24"/>
    <w:rsid w:val="00D04A2A"/>
    <w:rsid w:val="00D04A3C"/>
    <w:rsid w:val="00D04BC5"/>
    <w:rsid w:val="00D04FF0"/>
    <w:rsid w:val="00D05061"/>
    <w:rsid w:val="00D05066"/>
    <w:rsid w:val="00D0508B"/>
    <w:rsid w:val="00D05201"/>
    <w:rsid w:val="00D05237"/>
    <w:rsid w:val="00D05364"/>
    <w:rsid w:val="00D053D2"/>
    <w:rsid w:val="00D0540E"/>
    <w:rsid w:val="00D056BA"/>
    <w:rsid w:val="00D056D9"/>
    <w:rsid w:val="00D05E47"/>
    <w:rsid w:val="00D05EEE"/>
    <w:rsid w:val="00D060BF"/>
    <w:rsid w:val="00D06272"/>
    <w:rsid w:val="00D0644E"/>
    <w:rsid w:val="00D065D1"/>
    <w:rsid w:val="00D06CA0"/>
    <w:rsid w:val="00D06CBA"/>
    <w:rsid w:val="00D06E4D"/>
    <w:rsid w:val="00D06F23"/>
    <w:rsid w:val="00D07074"/>
    <w:rsid w:val="00D0712B"/>
    <w:rsid w:val="00D074F4"/>
    <w:rsid w:val="00D0753D"/>
    <w:rsid w:val="00D078AF"/>
    <w:rsid w:val="00D07D31"/>
    <w:rsid w:val="00D07E29"/>
    <w:rsid w:val="00D07F45"/>
    <w:rsid w:val="00D100AF"/>
    <w:rsid w:val="00D10343"/>
    <w:rsid w:val="00D1041A"/>
    <w:rsid w:val="00D1043C"/>
    <w:rsid w:val="00D105BA"/>
    <w:rsid w:val="00D10745"/>
    <w:rsid w:val="00D10AA6"/>
    <w:rsid w:val="00D10B08"/>
    <w:rsid w:val="00D10CB8"/>
    <w:rsid w:val="00D10D17"/>
    <w:rsid w:val="00D10F35"/>
    <w:rsid w:val="00D11022"/>
    <w:rsid w:val="00D1134F"/>
    <w:rsid w:val="00D11756"/>
    <w:rsid w:val="00D119DB"/>
    <w:rsid w:val="00D11D94"/>
    <w:rsid w:val="00D11E8D"/>
    <w:rsid w:val="00D12093"/>
    <w:rsid w:val="00D12784"/>
    <w:rsid w:val="00D127FA"/>
    <w:rsid w:val="00D12C18"/>
    <w:rsid w:val="00D12CCF"/>
    <w:rsid w:val="00D13363"/>
    <w:rsid w:val="00D13978"/>
    <w:rsid w:val="00D13D03"/>
    <w:rsid w:val="00D13FC6"/>
    <w:rsid w:val="00D140B2"/>
    <w:rsid w:val="00D14318"/>
    <w:rsid w:val="00D14360"/>
    <w:rsid w:val="00D1438D"/>
    <w:rsid w:val="00D143CD"/>
    <w:rsid w:val="00D143D9"/>
    <w:rsid w:val="00D145C0"/>
    <w:rsid w:val="00D14D85"/>
    <w:rsid w:val="00D1552E"/>
    <w:rsid w:val="00D15677"/>
    <w:rsid w:val="00D156C3"/>
    <w:rsid w:val="00D1576F"/>
    <w:rsid w:val="00D1587E"/>
    <w:rsid w:val="00D15C93"/>
    <w:rsid w:val="00D15FFD"/>
    <w:rsid w:val="00D161E6"/>
    <w:rsid w:val="00D165A2"/>
    <w:rsid w:val="00D16659"/>
    <w:rsid w:val="00D16A91"/>
    <w:rsid w:val="00D17160"/>
    <w:rsid w:val="00D173CF"/>
    <w:rsid w:val="00D1740E"/>
    <w:rsid w:val="00D17929"/>
    <w:rsid w:val="00D179A0"/>
    <w:rsid w:val="00D17B33"/>
    <w:rsid w:val="00D17B7D"/>
    <w:rsid w:val="00D17CE7"/>
    <w:rsid w:val="00D202A8"/>
    <w:rsid w:val="00D205E7"/>
    <w:rsid w:val="00D20756"/>
    <w:rsid w:val="00D20988"/>
    <w:rsid w:val="00D209AF"/>
    <w:rsid w:val="00D20DA0"/>
    <w:rsid w:val="00D20FBA"/>
    <w:rsid w:val="00D2128F"/>
    <w:rsid w:val="00D2132C"/>
    <w:rsid w:val="00D217F4"/>
    <w:rsid w:val="00D21A8C"/>
    <w:rsid w:val="00D21BD6"/>
    <w:rsid w:val="00D21DD1"/>
    <w:rsid w:val="00D21DDF"/>
    <w:rsid w:val="00D21E11"/>
    <w:rsid w:val="00D2205C"/>
    <w:rsid w:val="00D222B6"/>
    <w:rsid w:val="00D223F3"/>
    <w:rsid w:val="00D22481"/>
    <w:rsid w:val="00D226B3"/>
    <w:rsid w:val="00D226F1"/>
    <w:rsid w:val="00D2297A"/>
    <w:rsid w:val="00D229C6"/>
    <w:rsid w:val="00D22C9F"/>
    <w:rsid w:val="00D22D64"/>
    <w:rsid w:val="00D23001"/>
    <w:rsid w:val="00D23004"/>
    <w:rsid w:val="00D23470"/>
    <w:rsid w:val="00D23831"/>
    <w:rsid w:val="00D2393C"/>
    <w:rsid w:val="00D239BF"/>
    <w:rsid w:val="00D23A61"/>
    <w:rsid w:val="00D23B89"/>
    <w:rsid w:val="00D23B99"/>
    <w:rsid w:val="00D23D82"/>
    <w:rsid w:val="00D243B8"/>
    <w:rsid w:val="00D24401"/>
    <w:rsid w:val="00D244C7"/>
    <w:rsid w:val="00D2463E"/>
    <w:rsid w:val="00D24720"/>
    <w:rsid w:val="00D247BF"/>
    <w:rsid w:val="00D249A1"/>
    <w:rsid w:val="00D24AB8"/>
    <w:rsid w:val="00D24DFA"/>
    <w:rsid w:val="00D24F29"/>
    <w:rsid w:val="00D24FDB"/>
    <w:rsid w:val="00D25329"/>
    <w:rsid w:val="00D2533E"/>
    <w:rsid w:val="00D25487"/>
    <w:rsid w:val="00D257BF"/>
    <w:rsid w:val="00D2583D"/>
    <w:rsid w:val="00D25C57"/>
    <w:rsid w:val="00D25DAB"/>
    <w:rsid w:val="00D25DD4"/>
    <w:rsid w:val="00D25F7C"/>
    <w:rsid w:val="00D26084"/>
    <w:rsid w:val="00D263C9"/>
    <w:rsid w:val="00D267CA"/>
    <w:rsid w:val="00D26E69"/>
    <w:rsid w:val="00D270A0"/>
    <w:rsid w:val="00D270F7"/>
    <w:rsid w:val="00D2718C"/>
    <w:rsid w:val="00D271EE"/>
    <w:rsid w:val="00D275B0"/>
    <w:rsid w:val="00D2760F"/>
    <w:rsid w:val="00D27781"/>
    <w:rsid w:val="00D27865"/>
    <w:rsid w:val="00D27A32"/>
    <w:rsid w:val="00D3002E"/>
    <w:rsid w:val="00D3007C"/>
    <w:rsid w:val="00D300B7"/>
    <w:rsid w:val="00D301D7"/>
    <w:rsid w:val="00D30654"/>
    <w:rsid w:val="00D307EF"/>
    <w:rsid w:val="00D30E90"/>
    <w:rsid w:val="00D31296"/>
    <w:rsid w:val="00D314E4"/>
    <w:rsid w:val="00D317E6"/>
    <w:rsid w:val="00D318B2"/>
    <w:rsid w:val="00D318ED"/>
    <w:rsid w:val="00D319A3"/>
    <w:rsid w:val="00D31B42"/>
    <w:rsid w:val="00D31FAD"/>
    <w:rsid w:val="00D3210E"/>
    <w:rsid w:val="00D3243E"/>
    <w:rsid w:val="00D32559"/>
    <w:rsid w:val="00D3255B"/>
    <w:rsid w:val="00D326C5"/>
    <w:rsid w:val="00D32807"/>
    <w:rsid w:val="00D3281E"/>
    <w:rsid w:val="00D32BC8"/>
    <w:rsid w:val="00D32C30"/>
    <w:rsid w:val="00D32D19"/>
    <w:rsid w:val="00D32DBD"/>
    <w:rsid w:val="00D32DC6"/>
    <w:rsid w:val="00D32E7F"/>
    <w:rsid w:val="00D32F6A"/>
    <w:rsid w:val="00D3327B"/>
    <w:rsid w:val="00D334D6"/>
    <w:rsid w:val="00D33701"/>
    <w:rsid w:val="00D337A8"/>
    <w:rsid w:val="00D337BA"/>
    <w:rsid w:val="00D33822"/>
    <w:rsid w:val="00D338F3"/>
    <w:rsid w:val="00D33B6E"/>
    <w:rsid w:val="00D33C29"/>
    <w:rsid w:val="00D344A7"/>
    <w:rsid w:val="00D346CB"/>
    <w:rsid w:val="00D348ED"/>
    <w:rsid w:val="00D34B5F"/>
    <w:rsid w:val="00D34D35"/>
    <w:rsid w:val="00D34E06"/>
    <w:rsid w:val="00D34E4E"/>
    <w:rsid w:val="00D34EAF"/>
    <w:rsid w:val="00D34F2C"/>
    <w:rsid w:val="00D350A8"/>
    <w:rsid w:val="00D35263"/>
    <w:rsid w:val="00D353E8"/>
    <w:rsid w:val="00D35718"/>
    <w:rsid w:val="00D3596A"/>
    <w:rsid w:val="00D359D5"/>
    <w:rsid w:val="00D35B2F"/>
    <w:rsid w:val="00D35D90"/>
    <w:rsid w:val="00D364DE"/>
    <w:rsid w:val="00D367E7"/>
    <w:rsid w:val="00D36809"/>
    <w:rsid w:val="00D368AF"/>
    <w:rsid w:val="00D368EA"/>
    <w:rsid w:val="00D369D6"/>
    <w:rsid w:val="00D36A9C"/>
    <w:rsid w:val="00D36DFD"/>
    <w:rsid w:val="00D36E2D"/>
    <w:rsid w:val="00D375F8"/>
    <w:rsid w:val="00D376F6"/>
    <w:rsid w:val="00D37954"/>
    <w:rsid w:val="00D37B89"/>
    <w:rsid w:val="00D37BDF"/>
    <w:rsid w:val="00D37E7F"/>
    <w:rsid w:val="00D40390"/>
    <w:rsid w:val="00D40433"/>
    <w:rsid w:val="00D406E5"/>
    <w:rsid w:val="00D40B5A"/>
    <w:rsid w:val="00D40CCD"/>
    <w:rsid w:val="00D40F0E"/>
    <w:rsid w:val="00D410CB"/>
    <w:rsid w:val="00D410FC"/>
    <w:rsid w:val="00D4116B"/>
    <w:rsid w:val="00D412AC"/>
    <w:rsid w:val="00D415AB"/>
    <w:rsid w:val="00D4170B"/>
    <w:rsid w:val="00D418CA"/>
    <w:rsid w:val="00D420D8"/>
    <w:rsid w:val="00D42127"/>
    <w:rsid w:val="00D4222D"/>
    <w:rsid w:val="00D4236E"/>
    <w:rsid w:val="00D424A6"/>
    <w:rsid w:val="00D429F1"/>
    <w:rsid w:val="00D42BDF"/>
    <w:rsid w:val="00D42D92"/>
    <w:rsid w:val="00D42DD2"/>
    <w:rsid w:val="00D4304A"/>
    <w:rsid w:val="00D43106"/>
    <w:rsid w:val="00D4313B"/>
    <w:rsid w:val="00D43380"/>
    <w:rsid w:val="00D433B9"/>
    <w:rsid w:val="00D43556"/>
    <w:rsid w:val="00D4358E"/>
    <w:rsid w:val="00D437EC"/>
    <w:rsid w:val="00D43B7A"/>
    <w:rsid w:val="00D43C00"/>
    <w:rsid w:val="00D43C55"/>
    <w:rsid w:val="00D43DFC"/>
    <w:rsid w:val="00D43E5C"/>
    <w:rsid w:val="00D43E66"/>
    <w:rsid w:val="00D440B8"/>
    <w:rsid w:val="00D44194"/>
    <w:rsid w:val="00D444CC"/>
    <w:rsid w:val="00D448D9"/>
    <w:rsid w:val="00D44BE2"/>
    <w:rsid w:val="00D44F26"/>
    <w:rsid w:val="00D44FB1"/>
    <w:rsid w:val="00D45189"/>
    <w:rsid w:val="00D45197"/>
    <w:rsid w:val="00D452CF"/>
    <w:rsid w:val="00D452D9"/>
    <w:rsid w:val="00D456D0"/>
    <w:rsid w:val="00D45747"/>
    <w:rsid w:val="00D45798"/>
    <w:rsid w:val="00D4579E"/>
    <w:rsid w:val="00D457E1"/>
    <w:rsid w:val="00D458AE"/>
    <w:rsid w:val="00D459F3"/>
    <w:rsid w:val="00D45F99"/>
    <w:rsid w:val="00D46127"/>
    <w:rsid w:val="00D461DF"/>
    <w:rsid w:val="00D462D0"/>
    <w:rsid w:val="00D4681A"/>
    <w:rsid w:val="00D46A58"/>
    <w:rsid w:val="00D46AF7"/>
    <w:rsid w:val="00D46C51"/>
    <w:rsid w:val="00D46D2B"/>
    <w:rsid w:val="00D46E95"/>
    <w:rsid w:val="00D47186"/>
    <w:rsid w:val="00D47A24"/>
    <w:rsid w:val="00D47C9C"/>
    <w:rsid w:val="00D47CB0"/>
    <w:rsid w:val="00D47F0D"/>
    <w:rsid w:val="00D47F98"/>
    <w:rsid w:val="00D5047D"/>
    <w:rsid w:val="00D509C4"/>
    <w:rsid w:val="00D50BE3"/>
    <w:rsid w:val="00D50C29"/>
    <w:rsid w:val="00D50E7D"/>
    <w:rsid w:val="00D5141E"/>
    <w:rsid w:val="00D514EE"/>
    <w:rsid w:val="00D51661"/>
    <w:rsid w:val="00D51736"/>
    <w:rsid w:val="00D518F4"/>
    <w:rsid w:val="00D51C38"/>
    <w:rsid w:val="00D51C77"/>
    <w:rsid w:val="00D51D0A"/>
    <w:rsid w:val="00D51DFF"/>
    <w:rsid w:val="00D51FFA"/>
    <w:rsid w:val="00D52023"/>
    <w:rsid w:val="00D5203A"/>
    <w:rsid w:val="00D520FD"/>
    <w:rsid w:val="00D522CC"/>
    <w:rsid w:val="00D52405"/>
    <w:rsid w:val="00D5240B"/>
    <w:rsid w:val="00D525B6"/>
    <w:rsid w:val="00D52776"/>
    <w:rsid w:val="00D52ADC"/>
    <w:rsid w:val="00D52BBB"/>
    <w:rsid w:val="00D52D61"/>
    <w:rsid w:val="00D5338D"/>
    <w:rsid w:val="00D533EA"/>
    <w:rsid w:val="00D534A0"/>
    <w:rsid w:val="00D53534"/>
    <w:rsid w:val="00D53656"/>
    <w:rsid w:val="00D545F7"/>
    <w:rsid w:val="00D54C0A"/>
    <w:rsid w:val="00D54DD1"/>
    <w:rsid w:val="00D55406"/>
    <w:rsid w:val="00D5540D"/>
    <w:rsid w:val="00D5555E"/>
    <w:rsid w:val="00D555A5"/>
    <w:rsid w:val="00D555FB"/>
    <w:rsid w:val="00D55DE7"/>
    <w:rsid w:val="00D560BF"/>
    <w:rsid w:val="00D56127"/>
    <w:rsid w:val="00D562B7"/>
    <w:rsid w:val="00D562F3"/>
    <w:rsid w:val="00D564A2"/>
    <w:rsid w:val="00D5653E"/>
    <w:rsid w:val="00D5657C"/>
    <w:rsid w:val="00D56593"/>
    <w:rsid w:val="00D5660F"/>
    <w:rsid w:val="00D56868"/>
    <w:rsid w:val="00D56BD5"/>
    <w:rsid w:val="00D56DFB"/>
    <w:rsid w:val="00D57196"/>
    <w:rsid w:val="00D572AA"/>
    <w:rsid w:val="00D5730D"/>
    <w:rsid w:val="00D57342"/>
    <w:rsid w:val="00D574A4"/>
    <w:rsid w:val="00D575B5"/>
    <w:rsid w:val="00D57668"/>
    <w:rsid w:val="00D57679"/>
    <w:rsid w:val="00D57706"/>
    <w:rsid w:val="00D577C3"/>
    <w:rsid w:val="00D57A9D"/>
    <w:rsid w:val="00D57F25"/>
    <w:rsid w:val="00D6008F"/>
    <w:rsid w:val="00D600CD"/>
    <w:rsid w:val="00D601D3"/>
    <w:rsid w:val="00D60365"/>
    <w:rsid w:val="00D604EC"/>
    <w:rsid w:val="00D60653"/>
    <w:rsid w:val="00D60A21"/>
    <w:rsid w:val="00D60B3D"/>
    <w:rsid w:val="00D60B81"/>
    <w:rsid w:val="00D60CCF"/>
    <w:rsid w:val="00D60DEE"/>
    <w:rsid w:val="00D610E3"/>
    <w:rsid w:val="00D610FC"/>
    <w:rsid w:val="00D61224"/>
    <w:rsid w:val="00D61691"/>
    <w:rsid w:val="00D61790"/>
    <w:rsid w:val="00D6187D"/>
    <w:rsid w:val="00D618AB"/>
    <w:rsid w:val="00D619FC"/>
    <w:rsid w:val="00D61A2D"/>
    <w:rsid w:val="00D61A5B"/>
    <w:rsid w:val="00D61C4C"/>
    <w:rsid w:val="00D61E64"/>
    <w:rsid w:val="00D61F04"/>
    <w:rsid w:val="00D61F0E"/>
    <w:rsid w:val="00D6216E"/>
    <w:rsid w:val="00D621B6"/>
    <w:rsid w:val="00D622DE"/>
    <w:rsid w:val="00D623AE"/>
    <w:rsid w:val="00D62450"/>
    <w:rsid w:val="00D62AB2"/>
    <w:rsid w:val="00D62B60"/>
    <w:rsid w:val="00D62B62"/>
    <w:rsid w:val="00D62BDC"/>
    <w:rsid w:val="00D62D57"/>
    <w:rsid w:val="00D62DB1"/>
    <w:rsid w:val="00D6308E"/>
    <w:rsid w:val="00D631C4"/>
    <w:rsid w:val="00D634CE"/>
    <w:rsid w:val="00D63610"/>
    <w:rsid w:val="00D63875"/>
    <w:rsid w:val="00D63E38"/>
    <w:rsid w:val="00D63E3F"/>
    <w:rsid w:val="00D640F1"/>
    <w:rsid w:val="00D646AD"/>
    <w:rsid w:val="00D649AA"/>
    <w:rsid w:val="00D64C10"/>
    <w:rsid w:val="00D64E42"/>
    <w:rsid w:val="00D6521E"/>
    <w:rsid w:val="00D652EE"/>
    <w:rsid w:val="00D652EF"/>
    <w:rsid w:val="00D6546C"/>
    <w:rsid w:val="00D6556B"/>
    <w:rsid w:val="00D655F3"/>
    <w:rsid w:val="00D6587C"/>
    <w:rsid w:val="00D658F4"/>
    <w:rsid w:val="00D65921"/>
    <w:rsid w:val="00D65E59"/>
    <w:rsid w:val="00D65F7F"/>
    <w:rsid w:val="00D66039"/>
    <w:rsid w:val="00D66064"/>
    <w:rsid w:val="00D6680E"/>
    <w:rsid w:val="00D668CE"/>
    <w:rsid w:val="00D66AFE"/>
    <w:rsid w:val="00D66B83"/>
    <w:rsid w:val="00D66BF6"/>
    <w:rsid w:val="00D66F06"/>
    <w:rsid w:val="00D66FD9"/>
    <w:rsid w:val="00D672EE"/>
    <w:rsid w:val="00D67581"/>
    <w:rsid w:val="00D6769E"/>
    <w:rsid w:val="00D67D96"/>
    <w:rsid w:val="00D702DC"/>
    <w:rsid w:val="00D7052E"/>
    <w:rsid w:val="00D70859"/>
    <w:rsid w:val="00D7126D"/>
    <w:rsid w:val="00D715E0"/>
    <w:rsid w:val="00D71921"/>
    <w:rsid w:val="00D71B5F"/>
    <w:rsid w:val="00D71E25"/>
    <w:rsid w:val="00D7211B"/>
    <w:rsid w:val="00D72280"/>
    <w:rsid w:val="00D723BF"/>
    <w:rsid w:val="00D723C3"/>
    <w:rsid w:val="00D72468"/>
    <w:rsid w:val="00D7262D"/>
    <w:rsid w:val="00D72799"/>
    <w:rsid w:val="00D72A94"/>
    <w:rsid w:val="00D72C6E"/>
    <w:rsid w:val="00D72EEB"/>
    <w:rsid w:val="00D72F42"/>
    <w:rsid w:val="00D72FAD"/>
    <w:rsid w:val="00D731EA"/>
    <w:rsid w:val="00D73277"/>
    <w:rsid w:val="00D733D9"/>
    <w:rsid w:val="00D73BD5"/>
    <w:rsid w:val="00D73C7F"/>
    <w:rsid w:val="00D73F64"/>
    <w:rsid w:val="00D74536"/>
    <w:rsid w:val="00D7453B"/>
    <w:rsid w:val="00D74551"/>
    <w:rsid w:val="00D7459D"/>
    <w:rsid w:val="00D746D2"/>
    <w:rsid w:val="00D7470F"/>
    <w:rsid w:val="00D74A1E"/>
    <w:rsid w:val="00D74AC0"/>
    <w:rsid w:val="00D74D02"/>
    <w:rsid w:val="00D74D88"/>
    <w:rsid w:val="00D74E4D"/>
    <w:rsid w:val="00D74E63"/>
    <w:rsid w:val="00D7508B"/>
    <w:rsid w:val="00D750FE"/>
    <w:rsid w:val="00D75452"/>
    <w:rsid w:val="00D756F8"/>
    <w:rsid w:val="00D757B4"/>
    <w:rsid w:val="00D75926"/>
    <w:rsid w:val="00D75BF7"/>
    <w:rsid w:val="00D75D9A"/>
    <w:rsid w:val="00D75EBB"/>
    <w:rsid w:val="00D762F7"/>
    <w:rsid w:val="00D76393"/>
    <w:rsid w:val="00D764B9"/>
    <w:rsid w:val="00D76549"/>
    <w:rsid w:val="00D7658A"/>
    <w:rsid w:val="00D7667C"/>
    <w:rsid w:val="00D7675D"/>
    <w:rsid w:val="00D767BB"/>
    <w:rsid w:val="00D76859"/>
    <w:rsid w:val="00D76977"/>
    <w:rsid w:val="00D76AC5"/>
    <w:rsid w:val="00D76B0D"/>
    <w:rsid w:val="00D76B79"/>
    <w:rsid w:val="00D76CB5"/>
    <w:rsid w:val="00D76FFA"/>
    <w:rsid w:val="00D7705F"/>
    <w:rsid w:val="00D77072"/>
    <w:rsid w:val="00D77388"/>
    <w:rsid w:val="00D77553"/>
    <w:rsid w:val="00D77610"/>
    <w:rsid w:val="00D77886"/>
    <w:rsid w:val="00D77891"/>
    <w:rsid w:val="00D778FB"/>
    <w:rsid w:val="00D77955"/>
    <w:rsid w:val="00D77979"/>
    <w:rsid w:val="00D77A3C"/>
    <w:rsid w:val="00D77DAA"/>
    <w:rsid w:val="00D800E6"/>
    <w:rsid w:val="00D80191"/>
    <w:rsid w:val="00D80292"/>
    <w:rsid w:val="00D80405"/>
    <w:rsid w:val="00D80711"/>
    <w:rsid w:val="00D80AFC"/>
    <w:rsid w:val="00D80CA8"/>
    <w:rsid w:val="00D812ED"/>
    <w:rsid w:val="00D81AF0"/>
    <w:rsid w:val="00D81D93"/>
    <w:rsid w:val="00D81DC4"/>
    <w:rsid w:val="00D81FD2"/>
    <w:rsid w:val="00D820B6"/>
    <w:rsid w:val="00D82111"/>
    <w:rsid w:val="00D8264C"/>
    <w:rsid w:val="00D827AC"/>
    <w:rsid w:val="00D8285A"/>
    <w:rsid w:val="00D8293E"/>
    <w:rsid w:val="00D82989"/>
    <w:rsid w:val="00D82A09"/>
    <w:rsid w:val="00D82A2F"/>
    <w:rsid w:val="00D82C12"/>
    <w:rsid w:val="00D82E41"/>
    <w:rsid w:val="00D8340E"/>
    <w:rsid w:val="00D8347D"/>
    <w:rsid w:val="00D834AE"/>
    <w:rsid w:val="00D834B6"/>
    <w:rsid w:val="00D83522"/>
    <w:rsid w:val="00D835ED"/>
    <w:rsid w:val="00D835FB"/>
    <w:rsid w:val="00D8369E"/>
    <w:rsid w:val="00D83DBD"/>
    <w:rsid w:val="00D840C7"/>
    <w:rsid w:val="00D8412B"/>
    <w:rsid w:val="00D845F3"/>
    <w:rsid w:val="00D84907"/>
    <w:rsid w:val="00D84A72"/>
    <w:rsid w:val="00D84D82"/>
    <w:rsid w:val="00D84DB0"/>
    <w:rsid w:val="00D850B4"/>
    <w:rsid w:val="00D851DD"/>
    <w:rsid w:val="00D85215"/>
    <w:rsid w:val="00D85219"/>
    <w:rsid w:val="00D85283"/>
    <w:rsid w:val="00D856DB"/>
    <w:rsid w:val="00D85804"/>
    <w:rsid w:val="00D85B6D"/>
    <w:rsid w:val="00D85CEF"/>
    <w:rsid w:val="00D85DE5"/>
    <w:rsid w:val="00D85EC3"/>
    <w:rsid w:val="00D85FF4"/>
    <w:rsid w:val="00D86145"/>
    <w:rsid w:val="00D861A8"/>
    <w:rsid w:val="00D8626B"/>
    <w:rsid w:val="00D86323"/>
    <w:rsid w:val="00D863CD"/>
    <w:rsid w:val="00D86453"/>
    <w:rsid w:val="00D86486"/>
    <w:rsid w:val="00D864B6"/>
    <w:rsid w:val="00D86988"/>
    <w:rsid w:val="00D86C4D"/>
    <w:rsid w:val="00D86DAC"/>
    <w:rsid w:val="00D86EB7"/>
    <w:rsid w:val="00D87235"/>
    <w:rsid w:val="00D8734B"/>
    <w:rsid w:val="00D873AB"/>
    <w:rsid w:val="00D877FE"/>
    <w:rsid w:val="00D87DD9"/>
    <w:rsid w:val="00D87F8F"/>
    <w:rsid w:val="00D90146"/>
    <w:rsid w:val="00D90186"/>
    <w:rsid w:val="00D9028D"/>
    <w:rsid w:val="00D90380"/>
    <w:rsid w:val="00D90794"/>
    <w:rsid w:val="00D90878"/>
    <w:rsid w:val="00D90892"/>
    <w:rsid w:val="00D908C0"/>
    <w:rsid w:val="00D90936"/>
    <w:rsid w:val="00D90F34"/>
    <w:rsid w:val="00D9107C"/>
    <w:rsid w:val="00D91147"/>
    <w:rsid w:val="00D91162"/>
    <w:rsid w:val="00D911D7"/>
    <w:rsid w:val="00D9123A"/>
    <w:rsid w:val="00D9134B"/>
    <w:rsid w:val="00D9154D"/>
    <w:rsid w:val="00D91638"/>
    <w:rsid w:val="00D916BB"/>
    <w:rsid w:val="00D916DB"/>
    <w:rsid w:val="00D917E6"/>
    <w:rsid w:val="00D921B1"/>
    <w:rsid w:val="00D923FF"/>
    <w:rsid w:val="00D926C1"/>
    <w:rsid w:val="00D92E22"/>
    <w:rsid w:val="00D93300"/>
    <w:rsid w:val="00D93309"/>
    <w:rsid w:val="00D933DB"/>
    <w:rsid w:val="00D93485"/>
    <w:rsid w:val="00D934A6"/>
    <w:rsid w:val="00D934D6"/>
    <w:rsid w:val="00D938C5"/>
    <w:rsid w:val="00D93F20"/>
    <w:rsid w:val="00D93F89"/>
    <w:rsid w:val="00D94022"/>
    <w:rsid w:val="00D9428A"/>
    <w:rsid w:val="00D943FE"/>
    <w:rsid w:val="00D9443A"/>
    <w:rsid w:val="00D944C5"/>
    <w:rsid w:val="00D9455B"/>
    <w:rsid w:val="00D94649"/>
    <w:rsid w:val="00D9485B"/>
    <w:rsid w:val="00D94A8A"/>
    <w:rsid w:val="00D94BBC"/>
    <w:rsid w:val="00D94BCF"/>
    <w:rsid w:val="00D94D4A"/>
    <w:rsid w:val="00D94DE0"/>
    <w:rsid w:val="00D94E44"/>
    <w:rsid w:val="00D95137"/>
    <w:rsid w:val="00D95222"/>
    <w:rsid w:val="00D952CE"/>
    <w:rsid w:val="00D95413"/>
    <w:rsid w:val="00D9548B"/>
    <w:rsid w:val="00D95741"/>
    <w:rsid w:val="00D957CB"/>
    <w:rsid w:val="00D9584A"/>
    <w:rsid w:val="00D95BD5"/>
    <w:rsid w:val="00D95C70"/>
    <w:rsid w:val="00D95D3A"/>
    <w:rsid w:val="00D95E6C"/>
    <w:rsid w:val="00D95F95"/>
    <w:rsid w:val="00D962EC"/>
    <w:rsid w:val="00D9677F"/>
    <w:rsid w:val="00D967E5"/>
    <w:rsid w:val="00D96A7C"/>
    <w:rsid w:val="00D96C44"/>
    <w:rsid w:val="00D96CEA"/>
    <w:rsid w:val="00D96E4D"/>
    <w:rsid w:val="00D96EFA"/>
    <w:rsid w:val="00D972EA"/>
    <w:rsid w:val="00D973AF"/>
    <w:rsid w:val="00D976A6"/>
    <w:rsid w:val="00D978B4"/>
    <w:rsid w:val="00D97A4C"/>
    <w:rsid w:val="00D97AC9"/>
    <w:rsid w:val="00D97B7C"/>
    <w:rsid w:val="00D97D7E"/>
    <w:rsid w:val="00D97FE9"/>
    <w:rsid w:val="00DA02CF"/>
    <w:rsid w:val="00DA02E7"/>
    <w:rsid w:val="00DA039A"/>
    <w:rsid w:val="00DA0539"/>
    <w:rsid w:val="00DA06FB"/>
    <w:rsid w:val="00DA0742"/>
    <w:rsid w:val="00DA0909"/>
    <w:rsid w:val="00DA0BB3"/>
    <w:rsid w:val="00DA0BCF"/>
    <w:rsid w:val="00DA1024"/>
    <w:rsid w:val="00DA1090"/>
    <w:rsid w:val="00DA10A8"/>
    <w:rsid w:val="00DA1124"/>
    <w:rsid w:val="00DA1605"/>
    <w:rsid w:val="00DA178D"/>
    <w:rsid w:val="00DA1927"/>
    <w:rsid w:val="00DA1A04"/>
    <w:rsid w:val="00DA1A37"/>
    <w:rsid w:val="00DA1A3F"/>
    <w:rsid w:val="00DA1A59"/>
    <w:rsid w:val="00DA1B0D"/>
    <w:rsid w:val="00DA1BDF"/>
    <w:rsid w:val="00DA1BEA"/>
    <w:rsid w:val="00DA1BFA"/>
    <w:rsid w:val="00DA1F68"/>
    <w:rsid w:val="00DA2008"/>
    <w:rsid w:val="00DA2112"/>
    <w:rsid w:val="00DA27B1"/>
    <w:rsid w:val="00DA2996"/>
    <w:rsid w:val="00DA29A3"/>
    <w:rsid w:val="00DA2BFF"/>
    <w:rsid w:val="00DA2C10"/>
    <w:rsid w:val="00DA2C53"/>
    <w:rsid w:val="00DA2D24"/>
    <w:rsid w:val="00DA2F65"/>
    <w:rsid w:val="00DA2F81"/>
    <w:rsid w:val="00DA3005"/>
    <w:rsid w:val="00DA30A3"/>
    <w:rsid w:val="00DA3287"/>
    <w:rsid w:val="00DA34E0"/>
    <w:rsid w:val="00DA34FA"/>
    <w:rsid w:val="00DA3636"/>
    <w:rsid w:val="00DA366F"/>
    <w:rsid w:val="00DA3D2B"/>
    <w:rsid w:val="00DA3DE7"/>
    <w:rsid w:val="00DA3FC9"/>
    <w:rsid w:val="00DA400F"/>
    <w:rsid w:val="00DA4287"/>
    <w:rsid w:val="00DA434E"/>
    <w:rsid w:val="00DA439F"/>
    <w:rsid w:val="00DA46A4"/>
    <w:rsid w:val="00DA475E"/>
    <w:rsid w:val="00DA484B"/>
    <w:rsid w:val="00DA495F"/>
    <w:rsid w:val="00DA4D94"/>
    <w:rsid w:val="00DA52F1"/>
    <w:rsid w:val="00DA55CD"/>
    <w:rsid w:val="00DA5896"/>
    <w:rsid w:val="00DA58F5"/>
    <w:rsid w:val="00DA5B65"/>
    <w:rsid w:val="00DA5B93"/>
    <w:rsid w:val="00DA5CE7"/>
    <w:rsid w:val="00DA629C"/>
    <w:rsid w:val="00DA62B5"/>
    <w:rsid w:val="00DA6383"/>
    <w:rsid w:val="00DA64ED"/>
    <w:rsid w:val="00DA6695"/>
    <w:rsid w:val="00DA676F"/>
    <w:rsid w:val="00DA68CD"/>
    <w:rsid w:val="00DA69F2"/>
    <w:rsid w:val="00DA6C0D"/>
    <w:rsid w:val="00DA6D25"/>
    <w:rsid w:val="00DA7229"/>
    <w:rsid w:val="00DA7278"/>
    <w:rsid w:val="00DA73B5"/>
    <w:rsid w:val="00DA73F4"/>
    <w:rsid w:val="00DA7490"/>
    <w:rsid w:val="00DA75C1"/>
    <w:rsid w:val="00DA78E4"/>
    <w:rsid w:val="00DA78FE"/>
    <w:rsid w:val="00DA79E7"/>
    <w:rsid w:val="00DA7C5F"/>
    <w:rsid w:val="00DA7CF5"/>
    <w:rsid w:val="00DA7EF0"/>
    <w:rsid w:val="00DB01A5"/>
    <w:rsid w:val="00DB023D"/>
    <w:rsid w:val="00DB0241"/>
    <w:rsid w:val="00DB02B9"/>
    <w:rsid w:val="00DB0313"/>
    <w:rsid w:val="00DB03A2"/>
    <w:rsid w:val="00DB05CD"/>
    <w:rsid w:val="00DB099F"/>
    <w:rsid w:val="00DB0AC3"/>
    <w:rsid w:val="00DB0DD1"/>
    <w:rsid w:val="00DB0F0D"/>
    <w:rsid w:val="00DB0F30"/>
    <w:rsid w:val="00DB1356"/>
    <w:rsid w:val="00DB136A"/>
    <w:rsid w:val="00DB13B5"/>
    <w:rsid w:val="00DB1416"/>
    <w:rsid w:val="00DB1C30"/>
    <w:rsid w:val="00DB2101"/>
    <w:rsid w:val="00DB210C"/>
    <w:rsid w:val="00DB245F"/>
    <w:rsid w:val="00DB2693"/>
    <w:rsid w:val="00DB2A5A"/>
    <w:rsid w:val="00DB2ACE"/>
    <w:rsid w:val="00DB2B10"/>
    <w:rsid w:val="00DB2B87"/>
    <w:rsid w:val="00DB2E6C"/>
    <w:rsid w:val="00DB2FB2"/>
    <w:rsid w:val="00DB305D"/>
    <w:rsid w:val="00DB3304"/>
    <w:rsid w:val="00DB343A"/>
    <w:rsid w:val="00DB399F"/>
    <w:rsid w:val="00DB4304"/>
    <w:rsid w:val="00DB431F"/>
    <w:rsid w:val="00DB4580"/>
    <w:rsid w:val="00DB4598"/>
    <w:rsid w:val="00DB479D"/>
    <w:rsid w:val="00DB48AC"/>
    <w:rsid w:val="00DB491B"/>
    <w:rsid w:val="00DB49C2"/>
    <w:rsid w:val="00DB4C9C"/>
    <w:rsid w:val="00DB4D88"/>
    <w:rsid w:val="00DB4E02"/>
    <w:rsid w:val="00DB4E6E"/>
    <w:rsid w:val="00DB50AF"/>
    <w:rsid w:val="00DB51A8"/>
    <w:rsid w:val="00DB5570"/>
    <w:rsid w:val="00DB59F8"/>
    <w:rsid w:val="00DB5A38"/>
    <w:rsid w:val="00DB5B46"/>
    <w:rsid w:val="00DB5BC1"/>
    <w:rsid w:val="00DB5D6F"/>
    <w:rsid w:val="00DB5F38"/>
    <w:rsid w:val="00DB5F4C"/>
    <w:rsid w:val="00DB60D9"/>
    <w:rsid w:val="00DB6146"/>
    <w:rsid w:val="00DB6361"/>
    <w:rsid w:val="00DB6540"/>
    <w:rsid w:val="00DB7051"/>
    <w:rsid w:val="00DB7263"/>
    <w:rsid w:val="00DB73A0"/>
    <w:rsid w:val="00DB73C6"/>
    <w:rsid w:val="00DB740B"/>
    <w:rsid w:val="00DB7473"/>
    <w:rsid w:val="00DB7805"/>
    <w:rsid w:val="00DB796F"/>
    <w:rsid w:val="00DB7989"/>
    <w:rsid w:val="00DB79F5"/>
    <w:rsid w:val="00DB7B8A"/>
    <w:rsid w:val="00DB7B99"/>
    <w:rsid w:val="00DB7DDE"/>
    <w:rsid w:val="00DB7F33"/>
    <w:rsid w:val="00DB7FA0"/>
    <w:rsid w:val="00DC0045"/>
    <w:rsid w:val="00DC007F"/>
    <w:rsid w:val="00DC0189"/>
    <w:rsid w:val="00DC0274"/>
    <w:rsid w:val="00DC030D"/>
    <w:rsid w:val="00DC03AD"/>
    <w:rsid w:val="00DC04D5"/>
    <w:rsid w:val="00DC050A"/>
    <w:rsid w:val="00DC082D"/>
    <w:rsid w:val="00DC08AE"/>
    <w:rsid w:val="00DC0B1F"/>
    <w:rsid w:val="00DC0C6F"/>
    <w:rsid w:val="00DC130B"/>
    <w:rsid w:val="00DC13E4"/>
    <w:rsid w:val="00DC1528"/>
    <w:rsid w:val="00DC15F3"/>
    <w:rsid w:val="00DC15F4"/>
    <w:rsid w:val="00DC16B8"/>
    <w:rsid w:val="00DC1B15"/>
    <w:rsid w:val="00DC1BC7"/>
    <w:rsid w:val="00DC1D1E"/>
    <w:rsid w:val="00DC1DBE"/>
    <w:rsid w:val="00DC206E"/>
    <w:rsid w:val="00DC21A2"/>
    <w:rsid w:val="00DC21F9"/>
    <w:rsid w:val="00DC2319"/>
    <w:rsid w:val="00DC24F9"/>
    <w:rsid w:val="00DC2507"/>
    <w:rsid w:val="00DC270B"/>
    <w:rsid w:val="00DC2910"/>
    <w:rsid w:val="00DC2C9E"/>
    <w:rsid w:val="00DC30C6"/>
    <w:rsid w:val="00DC30C8"/>
    <w:rsid w:val="00DC34F6"/>
    <w:rsid w:val="00DC3905"/>
    <w:rsid w:val="00DC39C6"/>
    <w:rsid w:val="00DC39EA"/>
    <w:rsid w:val="00DC3C4D"/>
    <w:rsid w:val="00DC3D4C"/>
    <w:rsid w:val="00DC3E92"/>
    <w:rsid w:val="00DC41A0"/>
    <w:rsid w:val="00DC42B2"/>
    <w:rsid w:val="00DC42FA"/>
    <w:rsid w:val="00DC49A1"/>
    <w:rsid w:val="00DC4A34"/>
    <w:rsid w:val="00DC50C4"/>
    <w:rsid w:val="00DC50D5"/>
    <w:rsid w:val="00DC50E9"/>
    <w:rsid w:val="00DC511F"/>
    <w:rsid w:val="00DC513B"/>
    <w:rsid w:val="00DC58C9"/>
    <w:rsid w:val="00DC5E0B"/>
    <w:rsid w:val="00DC64FC"/>
    <w:rsid w:val="00DC658A"/>
    <w:rsid w:val="00DC65E0"/>
    <w:rsid w:val="00DC67F1"/>
    <w:rsid w:val="00DC6C9B"/>
    <w:rsid w:val="00DC6D51"/>
    <w:rsid w:val="00DC70CA"/>
    <w:rsid w:val="00DC722C"/>
    <w:rsid w:val="00DC7435"/>
    <w:rsid w:val="00DC7531"/>
    <w:rsid w:val="00DC7704"/>
    <w:rsid w:val="00DC7878"/>
    <w:rsid w:val="00DC7B9F"/>
    <w:rsid w:val="00DC7CD5"/>
    <w:rsid w:val="00DD02F4"/>
    <w:rsid w:val="00DD0407"/>
    <w:rsid w:val="00DD0478"/>
    <w:rsid w:val="00DD0516"/>
    <w:rsid w:val="00DD05A9"/>
    <w:rsid w:val="00DD06C1"/>
    <w:rsid w:val="00DD06EA"/>
    <w:rsid w:val="00DD0767"/>
    <w:rsid w:val="00DD07D4"/>
    <w:rsid w:val="00DD0958"/>
    <w:rsid w:val="00DD09E9"/>
    <w:rsid w:val="00DD0A29"/>
    <w:rsid w:val="00DD0EC2"/>
    <w:rsid w:val="00DD0F97"/>
    <w:rsid w:val="00DD10F2"/>
    <w:rsid w:val="00DD111A"/>
    <w:rsid w:val="00DD11AA"/>
    <w:rsid w:val="00DD123A"/>
    <w:rsid w:val="00DD1465"/>
    <w:rsid w:val="00DD15FF"/>
    <w:rsid w:val="00DD17A9"/>
    <w:rsid w:val="00DD1B21"/>
    <w:rsid w:val="00DD1C13"/>
    <w:rsid w:val="00DD1DB1"/>
    <w:rsid w:val="00DD23C0"/>
    <w:rsid w:val="00DD2449"/>
    <w:rsid w:val="00DD290D"/>
    <w:rsid w:val="00DD2A3E"/>
    <w:rsid w:val="00DD2C98"/>
    <w:rsid w:val="00DD2E16"/>
    <w:rsid w:val="00DD31D2"/>
    <w:rsid w:val="00DD327B"/>
    <w:rsid w:val="00DD33D6"/>
    <w:rsid w:val="00DD3667"/>
    <w:rsid w:val="00DD37B6"/>
    <w:rsid w:val="00DD385B"/>
    <w:rsid w:val="00DD39AC"/>
    <w:rsid w:val="00DD3A94"/>
    <w:rsid w:val="00DD3B31"/>
    <w:rsid w:val="00DD3D5C"/>
    <w:rsid w:val="00DD3E38"/>
    <w:rsid w:val="00DD3FB0"/>
    <w:rsid w:val="00DD415D"/>
    <w:rsid w:val="00DD42E0"/>
    <w:rsid w:val="00DD440A"/>
    <w:rsid w:val="00DD44EB"/>
    <w:rsid w:val="00DD4779"/>
    <w:rsid w:val="00DD4A8F"/>
    <w:rsid w:val="00DD4FF3"/>
    <w:rsid w:val="00DD5071"/>
    <w:rsid w:val="00DD50E4"/>
    <w:rsid w:val="00DD5270"/>
    <w:rsid w:val="00DD5543"/>
    <w:rsid w:val="00DD5B19"/>
    <w:rsid w:val="00DD5D9F"/>
    <w:rsid w:val="00DD5F7B"/>
    <w:rsid w:val="00DD6003"/>
    <w:rsid w:val="00DD6335"/>
    <w:rsid w:val="00DD6D13"/>
    <w:rsid w:val="00DD6E73"/>
    <w:rsid w:val="00DD7050"/>
    <w:rsid w:val="00DD705B"/>
    <w:rsid w:val="00DD77AB"/>
    <w:rsid w:val="00DD77FB"/>
    <w:rsid w:val="00DD7A14"/>
    <w:rsid w:val="00DD7DEA"/>
    <w:rsid w:val="00DD7EEB"/>
    <w:rsid w:val="00DE0152"/>
    <w:rsid w:val="00DE032B"/>
    <w:rsid w:val="00DE0519"/>
    <w:rsid w:val="00DE0691"/>
    <w:rsid w:val="00DE06CB"/>
    <w:rsid w:val="00DE0966"/>
    <w:rsid w:val="00DE0A63"/>
    <w:rsid w:val="00DE0BAE"/>
    <w:rsid w:val="00DE0E8E"/>
    <w:rsid w:val="00DE14D6"/>
    <w:rsid w:val="00DE1522"/>
    <w:rsid w:val="00DE167D"/>
    <w:rsid w:val="00DE171E"/>
    <w:rsid w:val="00DE17CA"/>
    <w:rsid w:val="00DE186F"/>
    <w:rsid w:val="00DE1B1A"/>
    <w:rsid w:val="00DE1BD9"/>
    <w:rsid w:val="00DE229F"/>
    <w:rsid w:val="00DE23D1"/>
    <w:rsid w:val="00DE24A5"/>
    <w:rsid w:val="00DE26AC"/>
    <w:rsid w:val="00DE28CE"/>
    <w:rsid w:val="00DE2C91"/>
    <w:rsid w:val="00DE2DB4"/>
    <w:rsid w:val="00DE2DF7"/>
    <w:rsid w:val="00DE3283"/>
    <w:rsid w:val="00DE3297"/>
    <w:rsid w:val="00DE329E"/>
    <w:rsid w:val="00DE3333"/>
    <w:rsid w:val="00DE36B3"/>
    <w:rsid w:val="00DE3705"/>
    <w:rsid w:val="00DE3A48"/>
    <w:rsid w:val="00DE3BD6"/>
    <w:rsid w:val="00DE3CC8"/>
    <w:rsid w:val="00DE3D7E"/>
    <w:rsid w:val="00DE410E"/>
    <w:rsid w:val="00DE4239"/>
    <w:rsid w:val="00DE4250"/>
    <w:rsid w:val="00DE4278"/>
    <w:rsid w:val="00DE43A9"/>
    <w:rsid w:val="00DE4700"/>
    <w:rsid w:val="00DE477F"/>
    <w:rsid w:val="00DE4796"/>
    <w:rsid w:val="00DE48FF"/>
    <w:rsid w:val="00DE4D56"/>
    <w:rsid w:val="00DE5382"/>
    <w:rsid w:val="00DE5421"/>
    <w:rsid w:val="00DE5455"/>
    <w:rsid w:val="00DE5721"/>
    <w:rsid w:val="00DE5912"/>
    <w:rsid w:val="00DE5993"/>
    <w:rsid w:val="00DE59B2"/>
    <w:rsid w:val="00DE5DF6"/>
    <w:rsid w:val="00DE5FC7"/>
    <w:rsid w:val="00DE61B9"/>
    <w:rsid w:val="00DE6202"/>
    <w:rsid w:val="00DE6213"/>
    <w:rsid w:val="00DE64F9"/>
    <w:rsid w:val="00DE652D"/>
    <w:rsid w:val="00DE673E"/>
    <w:rsid w:val="00DE6A0D"/>
    <w:rsid w:val="00DE6D98"/>
    <w:rsid w:val="00DE6E20"/>
    <w:rsid w:val="00DE6E67"/>
    <w:rsid w:val="00DE752A"/>
    <w:rsid w:val="00DE7799"/>
    <w:rsid w:val="00DE78EC"/>
    <w:rsid w:val="00DE7A7B"/>
    <w:rsid w:val="00DE7B2C"/>
    <w:rsid w:val="00DE7DB2"/>
    <w:rsid w:val="00DE7F13"/>
    <w:rsid w:val="00DE7F7D"/>
    <w:rsid w:val="00DE7FF0"/>
    <w:rsid w:val="00DF0149"/>
    <w:rsid w:val="00DF032D"/>
    <w:rsid w:val="00DF03AF"/>
    <w:rsid w:val="00DF05F5"/>
    <w:rsid w:val="00DF07F9"/>
    <w:rsid w:val="00DF0893"/>
    <w:rsid w:val="00DF0ACF"/>
    <w:rsid w:val="00DF0C10"/>
    <w:rsid w:val="00DF0E13"/>
    <w:rsid w:val="00DF0E74"/>
    <w:rsid w:val="00DF1048"/>
    <w:rsid w:val="00DF114F"/>
    <w:rsid w:val="00DF1210"/>
    <w:rsid w:val="00DF15BC"/>
    <w:rsid w:val="00DF18E7"/>
    <w:rsid w:val="00DF192D"/>
    <w:rsid w:val="00DF1CC7"/>
    <w:rsid w:val="00DF1D23"/>
    <w:rsid w:val="00DF1D83"/>
    <w:rsid w:val="00DF2266"/>
    <w:rsid w:val="00DF24BD"/>
    <w:rsid w:val="00DF26FF"/>
    <w:rsid w:val="00DF2707"/>
    <w:rsid w:val="00DF2784"/>
    <w:rsid w:val="00DF27C4"/>
    <w:rsid w:val="00DF2822"/>
    <w:rsid w:val="00DF2A40"/>
    <w:rsid w:val="00DF2B93"/>
    <w:rsid w:val="00DF2CB5"/>
    <w:rsid w:val="00DF2D78"/>
    <w:rsid w:val="00DF310B"/>
    <w:rsid w:val="00DF3856"/>
    <w:rsid w:val="00DF3951"/>
    <w:rsid w:val="00DF3C03"/>
    <w:rsid w:val="00DF3C22"/>
    <w:rsid w:val="00DF3FCF"/>
    <w:rsid w:val="00DF445F"/>
    <w:rsid w:val="00DF4589"/>
    <w:rsid w:val="00DF47E2"/>
    <w:rsid w:val="00DF4933"/>
    <w:rsid w:val="00DF4A75"/>
    <w:rsid w:val="00DF4D57"/>
    <w:rsid w:val="00DF4EFF"/>
    <w:rsid w:val="00DF51A7"/>
    <w:rsid w:val="00DF529A"/>
    <w:rsid w:val="00DF5412"/>
    <w:rsid w:val="00DF5669"/>
    <w:rsid w:val="00DF57AD"/>
    <w:rsid w:val="00DF57EF"/>
    <w:rsid w:val="00DF586E"/>
    <w:rsid w:val="00DF5CC7"/>
    <w:rsid w:val="00DF5D96"/>
    <w:rsid w:val="00DF608D"/>
    <w:rsid w:val="00DF60F2"/>
    <w:rsid w:val="00DF63E7"/>
    <w:rsid w:val="00DF6B40"/>
    <w:rsid w:val="00DF730D"/>
    <w:rsid w:val="00DF762C"/>
    <w:rsid w:val="00DF776C"/>
    <w:rsid w:val="00DF7AE2"/>
    <w:rsid w:val="00DF7C79"/>
    <w:rsid w:val="00DF7EB4"/>
    <w:rsid w:val="00E001EC"/>
    <w:rsid w:val="00E001F4"/>
    <w:rsid w:val="00E001FC"/>
    <w:rsid w:val="00E002B7"/>
    <w:rsid w:val="00E003AC"/>
    <w:rsid w:val="00E0040F"/>
    <w:rsid w:val="00E004D3"/>
    <w:rsid w:val="00E007B8"/>
    <w:rsid w:val="00E00979"/>
    <w:rsid w:val="00E00A3F"/>
    <w:rsid w:val="00E00A79"/>
    <w:rsid w:val="00E00C24"/>
    <w:rsid w:val="00E00E6C"/>
    <w:rsid w:val="00E01164"/>
    <w:rsid w:val="00E017A1"/>
    <w:rsid w:val="00E0193E"/>
    <w:rsid w:val="00E01A10"/>
    <w:rsid w:val="00E01EAE"/>
    <w:rsid w:val="00E02089"/>
    <w:rsid w:val="00E0236C"/>
    <w:rsid w:val="00E025E8"/>
    <w:rsid w:val="00E02655"/>
    <w:rsid w:val="00E026F4"/>
    <w:rsid w:val="00E02EEA"/>
    <w:rsid w:val="00E02F6E"/>
    <w:rsid w:val="00E030B6"/>
    <w:rsid w:val="00E032A0"/>
    <w:rsid w:val="00E032F8"/>
    <w:rsid w:val="00E033B8"/>
    <w:rsid w:val="00E03944"/>
    <w:rsid w:val="00E03F41"/>
    <w:rsid w:val="00E0405B"/>
    <w:rsid w:val="00E04376"/>
    <w:rsid w:val="00E0451B"/>
    <w:rsid w:val="00E045F5"/>
    <w:rsid w:val="00E0468D"/>
    <w:rsid w:val="00E04717"/>
    <w:rsid w:val="00E049B3"/>
    <w:rsid w:val="00E04F21"/>
    <w:rsid w:val="00E0542C"/>
    <w:rsid w:val="00E056C6"/>
    <w:rsid w:val="00E05A0D"/>
    <w:rsid w:val="00E05A4E"/>
    <w:rsid w:val="00E05CF4"/>
    <w:rsid w:val="00E05D15"/>
    <w:rsid w:val="00E05E54"/>
    <w:rsid w:val="00E05ECE"/>
    <w:rsid w:val="00E060D7"/>
    <w:rsid w:val="00E061F4"/>
    <w:rsid w:val="00E062A8"/>
    <w:rsid w:val="00E064B0"/>
    <w:rsid w:val="00E06640"/>
    <w:rsid w:val="00E06A20"/>
    <w:rsid w:val="00E06CA0"/>
    <w:rsid w:val="00E06E4F"/>
    <w:rsid w:val="00E06FF8"/>
    <w:rsid w:val="00E072F7"/>
    <w:rsid w:val="00E07333"/>
    <w:rsid w:val="00E073C3"/>
    <w:rsid w:val="00E07403"/>
    <w:rsid w:val="00E076A9"/>
    <w:rsid w:val="00E07753"/>
    <w:rsid w:val="00E07908"/>
    <w:rsid w:val="00E079FC"/>
    <w:rsid w:val="00E10304"/>
    <w:rsid w:val="00E10419"/>
    <w:rsid w:val="00E1059F"/>
    <w:rsid w:val="00E1070B"/>
    <w:rsid w:val="00E10C86"/>
    <w:rsid w:val="00E10E7F"/>
    <w:rsid w:val="00E110F2"/>
    <w:rsid w:val="00E11125"/>
    <w:rsid w:val="00E113F9"/>
    <w:rsid w:val="00E1177D"/>
    <w:rsid w:val="00E119B9"/>
    <w:rsid w:val="00E11C01"/>
    <w:rsid w:val="00E11C86"/>
    <w:rsid w:val="00E11F73"/>
    <w:rsid w:val="00E120C1"/>
    <w:rsid w:val="00E12846"/>
    <w:rsid w:val="00E12B7B"/>
    <w:rsid w:val="00E12D44"/>
    <w:rsid w:val="00E12DE2"/>
    <w:rsid w:val="00E12E4B"/>
    <w:rsid w:val="00E12F82"/>
    <w:rsid w:val="00E13480"/>
    <w:rsid w:val="00E13D03"/>
    <w:rsid w:val="00E143A1"/>
    <w:rsid w:val="00E14636"/>
    <w:rsid w:val="00E14AA1"/>
    <w:rsid w:val="00E14CEB"/>
    <w:rsid w:val="00E14EF1"/>
    <w:rsid w:val="00E1533F"/>
    <w:rsid w:val="00E156D7"/>
    <w:rsid w:val="00E15BFC"/>
    <w:rsid w:val="00E15C48"/>
    <w:rsid w:val="00E15EB6"/>
    <w:rsid w:val="00E15FA3"/>
    <w:rsid w:val="00E16113"/>
    <w:rsid w:val="00E1615D"/>
    <w:rsid w:val="00E16195"/>
    <w:rsid w:val="00E16269"/>
    <w:rsid w:val="00E164FE"/>
    <w:rsid w:val="00E1699D"/>
    <w:rsid w:val="00E16AF9"/>
    <w:rsid w:val="00E16BEA"/>
    <w:rsid w:val="00E16D46"/>
    <w:rsid w:val="00E16F4B"/>
    <w:rsid w:val="00E17779"/>
    <w:rsid w:val="00E17991"/>
    <w:rsid w:val="00E17A6F"/>
    <w:rsid w:val="00E17AC6"/>
    <w:rsid w:val="00E17B59"/>
    <w:rsid w:val="00E17BF8"/>
    <w:rsid w:val="00E17C15"/>
    <w:rsid w:val="00E17FE7"/>
    <w:rsid w:val="00E20194"/>
    <w:rsid w:val="00E202BD"/>
    <w:rsid w:val="00E20592"/>
    <w:rsid w:val="00E20B32"/>
    <w:rsid w:val="00E20B53"/>
    <w:rsid w:val="00E20CFF"/>
    <w:rsid w:val="00E20D50"/>
    <w:rsid w:val="00E20DA7"/>
    <w:rsid w:val="00E20FD0"/>
    <w:rsid w:val="00E21087"/>
    <w:rsid w:val="00E2167C"/>
    <w:rsid w:val="00E21753"/>
    <w:rsid w:val="00E217E8"/>
    <w:rsid w:val="00E21B58"/>
    <w:rsid w:val="00E21C7C"/>
    <w:rsid w:val="00E21CBC"/>
    <w:rsid w:val="00E22171"/>
    <w:rsid w:val="00E22452"/>
    <w:rsid w:val="00E22502"/>
    <w:rsid w:val="00E2255C"/>
    <w:rsid w:val="00E22638"/>
    <w:rsid w:val="00E229D4"/>
    <w:rsid w:val="00E22ACE"/>
    <w:rsid w:val="00E22C47"/>
    <w:rsid w:val="00E22EBC"/>
    <w:rsid w:val="00E23151"/>
    <w:rsid w:val="00E23357"/>
    <w:rsid w:val="00E233CA"/>
    <w:rsid w:val="00E233F7"/>
    <w:rsid w:val="00E237BB"/>
    <w:rsid w:val="00E23889"/>
    <w:rsid w:val="00E23E29"/>
    <w:rsid w:val="00E23FFE"/>
    <w:rsid w:val="00E24042"/>
    <w:rsid w:val="00E2404C"/>
    <w:rsid w:val="00E24337"/>
    <w:rsid w:val="00E2455F"/>
    <w:rsid w:val="00E24836"/>
    <w:rsid w:val="00E2490B"/>
    <w:rsid w:val="00E2492C"/>
    <w:rsid w:val="00E24B64"/>
    <w:rsid w:val="00E24E58"/>
    <w:rsid w:val="00E2517F"/>
    <w:rsid w:val="00E251C3"/>
    <w:rsid w:val="00E253E6"/>
    <w:rsid w:val="00E254DA"/>
    <w:rsid w:val="00E255F0"/>
    <w:rsid w:val="00E2565E"/>
    <w:rsid w:val="00E2573B"/>
    <w:rsid w:val="00E2591C"/>
    <w:rsid w:val="00E25BA9"/>
    <w:rsid w:val="00E25E23"/>
    <w:rsid w:val="00E26267"/>
    <w:rsid w:val="00E263D2"/>
    <w:rsid w:val="00E267FA"/>
    <w:rsid w:val="00E2683E"/>
    <w:rsid w:val="00E26CA7"/>
    <w:rsid w:val="00E26E06"/>
    <w:rsid w:val="00E26FC8"/>
    <w:rsid w:val="00E2738B"/>
    <w:rsid w:val="00E27589"/>
    <w:rsid w:val="00E276B1"/>
    <w:rsid w:val="00E27727"/>
    <w:rsid w:val="00E277BA"/>
    <w:rsid w:val="00E278F8"/>
    <w:rsid w:val="00E30170"/>
    <w:rsid w:val="00E3017F"/>
    <w:rsid w:val="00E303B0"/>
    <w:rsid w:val="00E30624"/>
    <w:rsid w:val="00E30660"/>
    <w:rsid w:val="00E30825"/>
    <w:rsid w:val="00E30B83"/>
    <w:rsid w:val="00E30CD7"/>
    <w:rsid w:val="00E30DED"/>
    <w:rsid w:val="00E30F23"/>
    <w:rsid w:val="00E312BD"/>
    <w:rsid w:val="00E31709"/>
    <w:rsid w:val="00E31804"/>
    <w:rsid w:val="00E31D71"/>
    <w:rsid w:val="00E320D0"/>
    <w:rsid w:val="00E32442"/>
    <w:rsid w:val="00E32462"/>
    <w:rsid w:val="00E32497"/>
    <w:rsid w:val="00E325EF"/>
    <w:rsid w:val="00E32708"/>
    <w:rsid w:val="00E32991"/>
    <w:rsid w:val="00E32A8A"/>
    <w:rsid w:val="00E32B58"/>
    <w:rsid w:val="00E32D0D"/>
    <w:rsid w:val="00E32FCE"/>
    <w:rsid w:val="00E3305F"/>
    <w:rsid w:val="00E33074"/>
    <w:rsid w:val="00E33249"/>
    <w:rsid w:val="00E332DE"/>
    <w:rsid w:val="00E3371B"/>
    <w:rsid w:val="00E3398E"/>
    <w:rsid w:val="00E33A50"/>
    <w:rsid w:val="00E33B46"/>
    <w:rsid w:val="00E33C84"/>
    <w:rsid w:val="00E33C94"/>
    <w:rsid w:val="00E33CCB"/>
    <w:rsid w:val="00E33CF2"/>
    <w:rsid w:val="00E33F2A"/>
    <w:rsid w:val="00E341D3"/>
    <w:rsid w:val="00E34256"/>
    <w:rsid w:val="00E34598"/>
    <w:rsid w:val="00E345C8"/>
    <w:rsid w:val="00E346D8"/>
    <w:rsid w:val="00E3481C"/>
    <w:rsid w:val="00E34821"/>
    <w:rsid w:val="00E34845"/>
    <w:rsid w:val="00E3484C"/>
    <w:rsid w:val="00E3494A"/>
    <w:rsid w:val="00E34967"/>
    <w:rsid w:val="00E3498D"/>
    <w:rsid w:val="00E349A5"/>
    <w:rsid w:val="00E34AE3"/>
    <w:rsid w:val="00E34BEE"/>
    <w:rsid w:val="00E34E0E"/>
    <w:rsid w:val="00E34F75"/>
    <w:rsid w:val="00E34F7D"/>
    <w:rsid w:val="00E35044"/>
    <w:rsid w:val="00E35187"/>
    <w:rsid w:val="00E352FB"/>
    <w:rsid w:val="00E35312"/>
    <w:rsid w:val="00E35976"/>
    <w:rsid w:val="00E35C86"/>
    <w:rsid w:val="00E35D8D"/>
    <w:rsid w:val="00E35DEB"/>
    <w:rsid w:val="00E35E28"/>
    <w:rsid w:val="00E35EAC"/>
    <w:rsid w:val="00E3658A"/>
    <w:rsid w:val="00E366BC"/>
    <w:rsid w:val="00E369C0"/>
    <w:rsid w:val="00E36A49"/>
    <w:rsid w:val="00E36B1F"/>
    <w:rsid w:val="00E36C25"/>
    <w:rsid w:val="00E36C76"/>
    <w:rsid w:val="00E36CFB"/>
    <w:rsid w:val="00E36F08"/>
    <w:rsid w:val="00E372DF"/>
    <w:rsid w:val="00E37371"/>
    <w:rsid w:val="00E377F7"/>
    <w:rsid w:val="00E37B32"/>
    <w:rsid w:val="00E37BD1"/>
    <w:rsid w:val="00E37BEF"/>
    <w:rsid w:val="00E37C91"/>
    <w:rsid w:val="00E37CFA"/>
    <w:rsid w:val="00E37DCC"/>
    <w:rsid w:val="00E37E3D"/>
    <w:rsid w:val="00E37E48"/>
    <w:rsid w:val="00E39ED2"/>
    <w:rsid w:val="00E4077D"/>
    <w:rsid w:val="00E40890"/>
    <w:rsid w:val="00E411C8"/>
    <w:rsid w:val="00E41254"/>
    <w:rsid w:val="00E413E6"/>
    <w:rsid w:val="00E4152A"/>
    <w:rsid w:val="00E418D9"/>
    <w:rsid w:val="00E41A69"/>
    <w:rsid w:val="00E41ADA"/>
    <w:rsid w:val="00E41B10"/>
    <w:rsid w:val="00E41BAD"/>
    <w:rsid w:val="00E41CF4"/>
    <w:rsid w:val="00E41DF8"/>
    <w:rsid w:val="00E42105"/>
    <w:rsid w:val="00E4258E"/>
    <w:rsid w:val="00E43003"/>
    <w:rsid w:val="00E43240"/>
    <w:rsid w:val="00E4381B"/>
    <w:rsid w:val="00E43CD0"/>
    <w:rsid w:val="00E43EF0"/>
    <w:rsid w:val="00E43F6C"/>
    <w:rsid w:val="00E43F78"/>
    <w:rsid w:val="00E442BE"/>
    <w:rsid w:val="00E4448E"/>
    <w:rsid w:val="00E44779"/>
    <w:rsid w:val="00E447AA"/>
    <w:rsid w:val="00E44853"/>
    <w:rsid w:val="00E44973"/>
    <w:rsid w:val="00E44980"/>
    <w:rsid w:val="00E44ACE"/>
    <w:rsid w:val="00E44C7F"/>
    <w:rsid w:val="00E44D06"/>
    <w:rsid w:val="00E44D34"/>
    <w:rsid w:val="00E4559D"/>
    <w:rsid w:val="00E457B9"/>
    <w:rsid w:val="00E45DA3"/>
    <w:rsid w:val="00E45E94"/>
    <w:rsid w:val="00E45E98"/>
    <w:rsid w:val="00E45EDE"/>
    <w:rsid w:val="00E46479"/>
    <w:rsid w:val="00E46B39"/>
    <w:rsid w:val="00E46FAC"/>
    <w:rsid w:val="00E47049"/>
    <w:rsid w:val="00E47059"/>
    <w:rsid w:val="00E471BE"/>
    <w:rsid w:val="00E47355"/>
    <w:rsid w:val="00E47442"/>
    <w:rsid w:val="00E47974"/>
    <w:rsid w:val="00E47BAD"/>
    <w:rsid w:val="00E47BEE"/>
    <w:rsid w:val="00E47FFE"/>
    <w:rsid w:val="00E500DF"/>
    <w:rsid w:val="00E504B2"/>
    <w:rsid w:val="00E505ED"/>
    <w:rsid w:val="00E50774"/>
    <w:rsid w:val="00E5082E"/>
    <w:rsid w:val="00E50882"/>
    <w:rsid w:val="00E50BA3"/>
    <w:rsid w:val="00E50C69"/>
    <w:rsid w:val="00E50CE9"/>
    <w:rsid w:val="00E51059"/>
    <w:rsid w:val="00E513F7"/>
    <w:rsid w:val="00E51670"/>
    <w:rsid w:val="00E51C1F"/>
    <w:rsid w:val="00E51DA2"/>
    <w:rsid w:val="00E5201B"/>
    <w:rsid w:val="00E523E3"/>
    <w:rsid w:val="00E52A5C"/>
    <w:rsid w:val="00E52F3E"/>
    <w:rsid w:val="00E52FAE"/>
    <w:rsid w:val="00E5313D"/>
    <w:rsid w:val="00E53221"/>
    <w:rsid w:val="00E53249"/>
    <w:rsid w:val="00E53302"/>
    <w:rsid w:val="00E533F9"/>
    <w:rsid w:val="00E5349B"/>
    <w:rsid w:val="00E5362B"/>
    <w:rsid w:val="00E537AC"/>
    <w:rsid w:val="00E53C3F"/>
    <w:rsid w:val="00E541E9"/>
    <w:rsid w:val="00E54215"/>
    <w:rsid w:val="00E544D9"/>
    <w:rsid w:val="00E544FF"/>
    <w:rsid w:val="00E545D1"/>
    <w:rsid w:val="00E54EEC"/>
    <w:rsid w:val="00E54F33"/>
    <w:rsid w:val="00E5509A"/>
    <w:rsid w:val="00E55177"/>
    <w:rsid w:val="00E55224"/>
    <w:rsid w:val="00E5539E"/>
    <w:rsid w:val="00E553E3"/>
    <w:rsid w:val="00E5561B"/>
    <w:rsid w:val="00E558B2"/>
    <w:rsid w:val="00E55AAA"/>
    <w:rsid w:val="00E55EAF"/>
    <w:rsid w:val="00E56152"/>
    <w:rsid w:val="00E56328"/>
    <w:rsid w:val="00E563AB"/>
    <w:rsid w:val="00E56609"/>
    <w:rsid w:val="00E5696F"/>
    <w:rsid w:val="00E56D3A"/>
    <w:rsid w:val="00E56EA1"/>
    <w:rsid w:val="00E5715C"/>
    <w:rsid w:val="00E57304"/>
    <w:rsid w:val="00E576B2"/>
    <w:rsid w:val="00E577D7"/>
    <w:rsid w:val="00E5794E"/>
    <w:rsid w:val="00E5798A"/>
    <w:rsid w:val="00E600DC"/>
    <w:rsid w:val="00E600FC"/>
    <w:rsid w:val="00E6017B"/>
    <w:rsid w:val="00E6040B"/>
    <w:rsid w:val="00E6063F"/>
    <w:rsid w:val="00E60BFE"/>
    <w:rsid w:val="00E60EC0"/>
    <w:rsid w:val="00E60EF1"/>
    <w:rsid w:val="00E6126E"/>
    <w:rsid w:val="00E612E8"/>
    <w:rsid w:val="00E6151A"/>
    <w:rsid w:val="00E61859"/>
    <w:rsid w:val="00E61C15"/>
    <w:rsid w:val="00E61C58"/>
    <w:rsid w:val="00E61CBE"/>
    <w:rsid w:val="00E61EC1"/>
    <w:rsid w:val="00E61EDD"/>
    <w:rsid w:val="00E61F00"/>
    <w:rsid w:val="00E6201C"/>
    <w:rsid w:val="00E620C2"/>
    <w:rsid w:val="00E623A3"/>
    <w:rsid w:val="00E627A6"/>
    <w:rsid w:val="00E62A20"/>
    <w:rsid w:val="00E62D44"/>
    <w:rsid w:val="00E62DBF"/>
    <w:rsid w:val="00E62DF2"/>
    <w:rsid w:val="00E62E78"/>
    <w:rsid w:val="00E632F3"/>
    <w:rsid w:val="00E63517"/>
    <w:rsid w:val="00E6360F"/>
    <w:rsid w:val="00E637DC"/>
    <w:rsid w:val="00E637DD"/>
    <w:rsid w:val="00E63C55"/>
    <w:rsid w:val="00E63F1C"/>
    <w:rsid w:val="00E63FD1"/>
    <w:rsid w:val="00E642DD"/>
    <w:rsid w:val="00E645E5"/>
    <w:rsid w:val="00E6464F"/>
    <w:rsid w:val="00E6481F"/>
    <w:rsid w:val="00E64982"/>
    <w:rsid w:val="00E64B77"/>
    <w:rsid w:val="00E64C43"/>
    <w:rsid w:val="00E64DC1"/>
    <w:rsid w:val="00E650CF"/>
    <w:rsid w:val="00E6528C"/>
    <w:rsid w:val="00E65316"/>
    <w:rsid w:val="00E6558A"/>
    <w:rsid w:val="00E656AA"/>
    <w:rsid w:val="00E65814"/>
    <w:rsid w:val="00E65A74"/>
    <w:rsid w:val="00E65A94"/>
    <w:rsid w:val="00E65F43"/>
    <w:rsid w:val="00E660A3"/>
    <w:rsid w:val="00E662CA"/>
    <w:rsid w:val="00E6656D"/>
    <w:rsid w:val="00E66782"/>
    <w:rsid w:val="00E66C96"/>
    <w:rsid w:val="00E66CB8"/>
    <w:rsid w:val="00E67204"/>
    <w:rsid w:val="00E676EF"/>
    <w:rsid w:val="00E67B26"/>
    <w:rsid w:val="00E67D9B"/>
    <w:rsid w:val="00E67DDB"/>
    <w:rsid w:val="00E67F37"/>
    <w:rsid w:val="00E703F3"/>
    <w:rsid w:val="00E70559"/>
    <w:rsid w:val="00E7080C"/>
    <w:rsid w:val="00E708A3"/>
    <w:rsid w:val="00E7092E"/>
    <w:rsid w:val="00E70B0D"/>
    <w:rsid w:val="00E70CE1"/>
    <w:rsid w:val="00E71199"/>
    <w:rsid w:val="00E71257"/>
    <w:rsid w:val="00E713C5"/>
    <w:rsid w:val="00E7153C"/>
    <w:rsid w:val="00E71560"/>
    <w:rsid w:val="00E71BEF"/>
    <w:rsid w:val="00E71D90"/>
    <w:rsid w:val="00E71E5A"/>
    <w:rsid w:val="00E71F91"/>
    <w:rsid w:val="00E723DF"/>
    <w:rsid w:val="00E72421"/>
    <w:rsid w:val="00E7247D"/>
    <w:rsid w:val="00E72553"/>
    <w:rsid w:val="00E726AC"/>
    <w:rsid w:val="00E726D3"/>
    <w:rsid w:val="00E72FB3"/>
    <w:rsid w:val="00E7301F"/>
    <w:rsid w:val="00E7309B"/>
    <w:rsid w:val="00E7327A"/>
    <w:rsid w:val="00E735A7"/>
    <w:rsid w:val="00E7364C"/>
    <w:rsid w:val="00E73B94"/>
    <w:rsid w:val="00E73CC0"/>
    <w:rsid w:val="00E73DD7"/>
    <w:rsid w:val="00E73E22"/>
    <w:rsid w:val="00E7412D"/>
    <w:rsid w:val="00E74459"/>
    <w:rsid w:val="00E744A8"/>
    <w:rsid w:val="00E74581"/>
    <w:rsid w:val="00E74AA0"/>
    <w:rsid w:val="00E74C22"/>
    <w:rsid w:val="00E74D40"/>
    <w:rsid w:val="00E74E92"/>
    <w:rsid w:val="00E74F07"/>
    <w:rsid w:val="00E750F1"/>
    <w:rsid w:val="00E751F4"/>
    <w:rsid w:val="00E753CD"/>
    <w:rsid w:val="00E753F7"/>
    <w:rsid w:val="00E7548F"/>
    <w:rsid w:val="00E754E7"/>
    <w:rsid w:val="00E75717"/>
    <w:rsid w:val="00E75D62"/>
    <w:rsid w:val="00E762B3"/>
    <w:rsid w:val="00E76393"/>
    <w:rsid w:val="00E76677"/>
    <w:rsid w:val="00E76839"/>
    <w:rsid w:val="00E76CDE"/>
    <w:rsid w:val="00E76EC9"/>
    <w:rsid w:val="00E76EDE"/>
    <w:rsid w:val="00E76EE6"/>
    <w:rsid w:val="00E77106"/>
    <w:rsid w:val="00E77304"/>
    <w:rsid w:val="00E7741B"/>
    <w:rsid w:val="00E774C5"/>
    <w:rsid w:val="00E776D6"/>
    <w:rsid w:val="00E77731"/>
    <w:rsid w:val="00E777E9"/>
    <w:rsid w:val="00E77805"/>
    <w:rsid w:val="00E77875"/>
    <w:rsid w:val="00E80126"/>
    <w:rsid w:val="00E804C8"/>
    <w:rsid w:val="00E804EE"/>
    <w:rsid w:val="00E80530"/>
    <w:rsid w:val="00E80673"/>
    <w:rsid w:val="00E8068B"/>
    <w:rsid w:val="00E807FE"/>
    <w:rsid w:val="00E808A2"/>
    <w:rsid w:val="00E80E10"/>
    <w:rsid w:val="00E80F6A"/>
    <w:rsid w:val="00E80FE8"/>
    <w:rsid w:val="00E8131B"/>
    <w:rsid w:val="00E81A39"/>
    <w:rsid w:val="00E81BA7"/>
    <w:rsid w:val="00E81CFA"/>
    <w:rsid w:val="00E81EEB"/>
    <w:rsid w:val="00E81FB3"/>
    <w:rsid w:val="00E82008"/>
    <w:rsid w:val="00E821C1"/>
    <w:rsid w:val="00E824E6"/>
    <w:rsid w:val="00E829D8"/>
    <w:rsid w:val="00E82DFD"/>
    <w:rsid w:val="00E82FD9"/>
    <w:rsid w:val="00E834A6"/>
    <w:rsid w:val="00E835EB"/>
    <w:rsid w:val="00E83663"/>
    <w:rsid w:val="00E836F2"/>
    <w:rsid w:val="00E837F4"/>
    <w:rsid w:val="00E83BEB"/>
    <w:rsid w:val="00E83CD4"/>
    <w:rsid w:val="00E83D63"/>
    <w:rsid w:val="00E83F00"/>
    <w:rsid w:val="00E83F9E"/>
    <w:rsid w:val="00E84066"/>
    <w:rsid w:val="00E840DB"/>
    <w:rsid w:val="00E84200"/>
    <w:rsid w:val="00E848C9"/>
    <w:rsid w:val="00E8493F"/>
    <w:rsid w:val="00E84A8D"/>
    <w:rsid w:val="00E84CF6"/>
    <w:rsid w:val="00E84D8C"/>
    <w:rsid w:val="00E850DE"/>
    <w:rsid w:val="00E851EF"/>
    <w:rsid w:val="00E85277"/>
    <w:rsid w:val="00E866E6"/>
    <w:rsid w:val="00E869C2"/>
    <w:rsid w:val="00E86ED0"/>
    <w:rsid w:val="00E8735B"/>
    <w:rsid w:val="00E87384"/>
    <w:rsid w:val="00E8750F"/>
    <w:rsid w:val="00E876A5"/>
    <w:rsid w:val="00E87899"/>
    <w:rsid w:val="00E8794C"/>
    <w:rsid w:val="00E879A1"/>
    <w:rsid w:val="00E87A38"/>
    <w:rsid w:val="00E87A41"/>
    <w:rsid w:val="00E87C1D"/>
    <w:rsid w:val="00E87EFC"/>
    <w:rsid w:val="00E87F1D"/>
    <w:rsid w:val="00E87F4F"/>
    <w:rsid w:val="00E87F5C"/>
    <w:rsid w:val="00E9025B"/>
    <w:rsid w:val="00E9027B"/>
    <w:rsid w:val="00E90329"/>
    <w:rsid w:val="00E90534"/>
    <w:rsid w:val="00E90869"/>
    <w:rsid w:val="00E90C67"/>
    <w:rsid w:val="00E90DAB"/>
    <w:rsid w:val="00E91280"/>
    <w:rsid w:val="00E9131A"/>
    <w:rsid w:val="00E91950"/>
    <w:rsid w:val="00E91C7E"/>
    <w:rsid w:val="00E91DEE"/>
    <w:rsid w:val="00E91ED9"/>
    <w:rsid w:val="00E921FF"/>
    <w:rsid w:val="00E922BE"/>
    <w:rsid w:val="00E9231C"/>
    <w:rsid w:val="00E923DC"/>
    <w:rsid w:val="00E928D4"/>
    <w:rsid w:val="00E92987"/>
    <w:rsid w:val="00E93142"/>
    <w:rsid w:val="00E93487"/>
    <w:rsid w:val="00E936E3"/>
    <w:rsid w:val="00E93DFE"/>
    <w:rsid w:val="00E9452E"/>
    <w:rsid w:val="00E94843"/>
    <w:rsid w:val="00E94A93"/>
    <w:rsid w:val="00E94F18"/>
    <w:rsid w:val="00E95100"/>
    <w:rsid w:val="00E95182"/>
    <w:rsid w:val="00E95529"/>
    <w:rsid w:val="00E956FA"/>
    <w:rsid w:val="00E9571C"/>
    <w:rsid w:val="00E95756"/>
    <w:rsid w:val="00E9575A"/>
    <w:rsid w:val="00E95781"/>
    <w:rsid w:val="00E958A0"/>
    <w:rsid w:val="00E958F6"/>
    <w:rsid w:val="00E9598D"/>
    <w:rsid w:val="00E96029"/>
    <w:rsid w:val="00E96892"/>
    <w:rsid w:val="00E96B56"/>
    <w:rsid w:val="00E970B0"/>
    <w:rsid w:val="00E9717C"/>
    <w:rsid w:val="00E97275"/>
    <w:rsid w:val="00E9768B"/>
    <w:rsid w:val="00E9779B"/>
    <w:rsid w:val="00E97821"/>
    <w:rsid w:val="00E978F3"/>
    <w:rsid w:val="00E97925"/>
    <w:rsid w:val="00E97C4A"/>
    <w:rsid w:val="00E97D2C"/>
    <w:rsid w:val="00E97E3D"/>
    <w:rsid w:val="00EA00A8"/>
    <w:rsid w:val="00EA0247"/>
    <w:rsid w:val="00EA0317"/>
    <w:rsid w:val="00EA067E"/>
    <w:rsid w:val="00EA06BA"/>
    <w:rsid w:val="00EA0AFF"/>
    <w:rsid w:val="00EA0BC4"/>
    <w:rsid w:val="00EA0D6B"/>
    <w:rsid w:val="00EA0E6F"/>
    <w:rsid w:val="00EA0EC1"/>
    <w:rsid w:val="00EA13C3"/>
    <w:rsid w:val="00EA1724"/>
    <w:rsid w:val="00EA17ED"/>
    <w:rsid w:val="00EA1C16"/>
    <w:rsid w:val="00EA25A8"/>
    <w:rsid w:val="00EA272A"/>
    <w:rsid w:val="00EA278D"/>
    <w:rsid w:val="00EA2798"/>
    <w:rsid w:val="00EA28E1"/>
    <w:rsid w:val="00EA2C78"/>
    <w:rsid w:val="00EA2ECC"/>
    <w:rsid w:val="00EA2FB2"/>
    <w:rsid w:val="00EA3057"/>
    <w:rsid w:val="00EA3243"/>
    <w:rsid w:val="00EA3821"/>
    <w:rsid w:val="00EA395E"/>
    <w:rsid w:val="00EA3A42"/>
    <w:rsid w:val="00EA3CC2"/>
    <w:rsid w:val="00EA3EB4"/>
    <w:rsid w:val="00EA42AC"/>
    <w:rsid w:val="00EA465C"/>
    <w:rsid w:val="00EA466A"/>
    <w:rsid w:val="00EA479B"/>
    <w:rsid w:val="00EA5015"/>
    <w:rsid w:val="00EA5091"/>
    <w:rsid w:val="00EA517B"/>
    <w:rsid w:val="00EA530B"/>
    <w:rsid w:val="00EA5358"/>
    <w:rsid w:val="00EA5530"/>
    <w:rsid w:val="00EA5694"/>
    <w:rsid w:val="00EA587F"/>
    <w:rsid w:val="00EA590B"/>
    <w:rsid w:val="00EA5931"/>
    <w:rsid w:val="00EA59E9"/>
    <w:rsid w:val="00EA59F6"/>
    <w:rsid w:val="00EA5B7D"/>
    <w:rsid w:val="00EA5CA8"/>
    <w:rsid w:val="00EA5DCC"/>
    <w:rsid w:val="00EA613A"/>
    <w:rsid w:val="00EA6235"/>
    <w:rsid w:val="00EA65E5"/>
    <w:rsid w:val="00EA671A"/>
    <w:rsid w:val="00EA68D2"/>
    <w:rsid w:val="00EA6A00"/>
    <w:rsid w:val="00EA723D"/>
    <w:rsid w:val="00EA7346"/>
    <w:rsid w:val="00EA76A1"/>
    <w:rsid w:val="00EA7836"/>
    <w:rsid w:val="00EA78B4"/>
    <w:rsid w:val="00EA7D41"/>
    <w:rsid w:val="00EB002A"/>
    <w:rsid w:val="00EB00BB"/>
    <w:rsid w:val="00EB01A2"/>
    <w:rsid w:val="00EB01B7"/>
    <w:rsid w:val="00EB02CD"/>
    <w:rsid w:val="00EB04E0"/>
    <w:rsid w:val="00EB0521"/>
    <w:rsid w:val="00EB06C7"/>
    <w:rsid w:val="00EB0CB6"/>
    <w:rsid w:val="00EB0D1C"/>
    <w:rsid w:val="00EB0D57"/>
    <w:rsid w:val="00EB0EE2"/>
    <w:rsid w:val="00EB0F0B"/>
    <w:rsid w:val="00EB0F89"/>
    <w:rsid w:val="00EB1078"/>
    <w:rsid w:val="00EB1213"/>
    <w:rsid w:val="00EB1288"/>
    <w:rsid w:val="00EB1A63"/>
    <w:rsid w:val="00EB1F0F"/>
    <w:rsid w:val="00EB2034"/>
    <w:rsid w:val="00EB20A1"/>
    <w:rsid w:val="00EB21BA"/>
    <w:rsid w:val="00EB234F"/>
    <w:rsid w:val="00EB2374"/>
    <w:rsid w:val="00EB23F4"/>
    <w:rsid w:val="00EB240A"/>
    <w:rsid w:val="00EB264C"/>
    <w:rsid w:val="00EB26BA"/>
    <w:rsid w:val="00EB2815"/>
    <w:rsid w:val="00EB2871"/>
    <w:rsid w:val="00EB2885"/>
    <w:rsid w:val="00EB2902"/>
    <w:rsid w:val="00EB2C00"/>
    <w:rsid w:val="00EB304D"/>
    <w:rsid w:val="00EB307D"/>
    <w:rsid w:val="00EB31EC"/>
    <w:rsid w:val="00EB3770"/>
    <w:rsid w:val="00EB3A56"/>
    <w:rsid w:val="00EB3EBD"/>
    <w:rsid w:val="00EB3EE9"/>
    <w:rsid w:val="00EB3F32"/>
    <w:rsid w:val="00EB3FE1"/>
    <w:rsid w:val="00EB430E"/>
    <w:rsid w:val="00EB43A8"/>
    <w:rsid w:val="00EB4474"/>
    <w:rsid w:val="00EB4593"/>
    <w:rsid w:val="00EB49EF"/>
    <w:rsid w:val="00EB4A20"/>
    <w:rsid w:val="00EB4AF4"/>
    <w:rsid w:val="00EB4D25"/>
    <w:rsid w:val="00EB50F0"/>
    <w:rsid w:val="00EB5140"/>
    <w:rsid w:val="00EB5162"/>
    <w:rsid w:val="00EB546B"/>
    <w:rsid w:val="00EB56BA"/>
    <w:rsid w:val="00EB5BCA"/>
    <w:rsid w:val="00EB5BDE"/>
    <w:rsid w:val="00EB5C87"/>
    <w:rsid w:val="00EB64EF"/>
    <w:rsid w:val="00EB68A1"/>
    <w:rsid w:val="00EB6913"/>
    <w:rsid w:val="00EB69E8"/>
    <w:rsid w:val="00EB6FA8"/>
    <w:rsid w:val="00EB7021"/>
    <w:rsid w:val="00EB7084"/>
    <w:rsid w:val="00EB70B5"/>
    <w:rsid w:val="00EB710C"/>
    <w:rsid w:val="00EB71CE"/>
    <w:rsid w:val="00EB73CC"/>
    <w:rsid w:val="00EB751D"/>
    <w:rsid w:val="00EB75AA"/>
    <w:rsid w:val="00EB7694"/>
    <w:rsid w:val="00EB76EF"/>
    <w:rsid w:val="00EB7C99"/>
    <w:rsid w:val="00EB7D03"/>
    <w:rsid w:val="00EB7DEA"/>
    <w:rsid w:val="00EB7E07"/>
    <w:rsid w:val="00EC02C8"/>
    <w:rsid w:val="00EC02DE"/>
    <w:rsid w:val="00EC0384"/>
    <w:rsid w:val="00EC0493"/>
    <w:rsid w:val="00EC0575"/>
    <w:rsid w:val="00EC070A"/>
    <w:rsid w:val="00EC0831"/>
    <w:rsid w:val="00EC08D3"/>
    <w:rsid w:val="00EC0B4A"/>
    <w:rsid w:val="00EC0C6F"/>
    <w:rsid w:val="00EC0E6A"/>
    <w:rsid w:val="00EC0ED7"/>
    <w:rsid w:val="00EC0F54"/>
    <w:rsid w:val="00EC10E7"/>
    <w:rsid w:val="00EC1189"/>
    <w:rsid w:val="00EC11B6"/>
    <w:rsid w:val="00EC1248"/>
    <w:rsid w:val="00EC17DA"/>
    <w:rsid w:val="00EC1CE5"/>
    <w:rsid w:val="00EC2235"/>
    <w:rsid w:val="00EC2470"/>
    <w:rsid w:val="00EC26CD"/>
    <w:rsid w:val="00EC29B0"/>
    <w:rsid w:val="00EC29C1"/>
    <w:rsid w:val="00EC2AA6"/>
    <w:rsid w:val="00EC2C9A"/>
    <w:rsid w:val="00EC2E77"/>
    <w:rsid w:val="00EC2FD3"/>
    <w:rsid w:val="00EC3103"/>
    <w:rsid w:val="00EC3194"/>
    <w:rsid w:val="00EC330A"/>
    <w:rsid w:val="00EC3562"/>
    <w:rsid w:val="00EC359D"/>
    <w:rsid w:val="00EC35BD"/>
    <w:rsid w:val="00EC35C4"/>
    <w:rsid w:val="00EC39DA"/>
    <w:rsid w:val="00EC3A8F"/>
    <w:rsid w:val="00EC3B95"/>
    <w:rsid w:val="00EC3C97"/>
    <w:rsid w:val="00EC3C9A"/>
    <w:rsid w:val="00EC3D1C"/>
    <w:rsid w:val="00EC4173"/>
    <w:rsid w:val="00EC41E5"/>
    <w:rsid w:val="00EC444C"/>
    <w:rsid w:val="00EC4843"/>
    <w:rsid w:val="00EC49EC"/>
    <w:rsid w:val="00EC4D84"/>
    <w:rsid w:val="00EC507B"/>
    <w:rsid w:val="00EC54EC"/>
    <w:rsid w:val="00EC5A49"/>
    <w:rsid w:val="00EC5C6A"/>
    <w:rsid w:val="00EC5C73"/>
    <w:rsid w:val="00EC5CB0"/>
    <w:rsid w:val="00EC5DFA"/>
    <w:rsid w:val="00EC5FEB"/>
    <w:rsid w:val="00EC645F"/>
    <w:rsid w:val="00EC67C1"/>
    <w:rsid w:val="00EC6984"/>
    <w:rsid w:val="00EC6E65"/>
    <w:rsid w:val="00EC7087"/>
    <w:rsid w:val="00EC7381"/>
    <w:rsid w:val="00EC73AB"/>
    <w:rsid w:val="00EC73AF"/>
    <w:rsid w:val="00EC73FD"/>
    <w:rsid w:val="00EC74B6"/>
    <w:rsid w:val="00EC7A6C"/>
    <w:rsid w:val="00EC7DC5"/>
    <w:rsid w:val="00EC7E1C"/>
    <w:rsid w:val="00EC7FB8"/>
    <w:rsid w:val="00ED014F"/>
    <w:rsid w:val="00ED03AB"/>
    <w:rsid w:val="00ED045C"/>
    <w:rsid w:val="00ED05EE"/>
    <w:rsid w:val="00ED077D"/>
    <w:rsid w:val="00ED088C"/>
    <w:rsid w:val="00ED105F"/>
    <w:rsid w:val="00ED15ED"/>
    <w:rsid w:val="00ED1959"/>
    <w:rsid w:val="00ED19BB"/>
    <w:rsid w:val="00ED1EC8"/>
    <w:rsid w:val="00ED200D"/>
    <w:rsid w:val="00ED2569"/>
    <w:rsid w:val="00ED256A"/>
    <w:rsid w:val="00ED2659"/>
    <w:rsid w:val="00ED2947"/>
    <w:rsid w:val="00ED29D8"/>
    <w:rsid w:val="00ED2D98"/>
    <w:rsid w:val="00ED2E18"/>
    <w:rsid w:val="00ED3043"/>
    <w:rsid w:val="00ED3414"/>
    <w:rsid w:val="00ED3659"/>
    <w:rsid w:val="00ED3918"/>
    <w:rsid w:val="00ED3A28"/>
    <w:rsid w:val="00ED3A90"/>
    <w:rsid w:val="00ED3D38"/>
    <w:rsid w:val="00ED3D73"/>
    <w:rsid w:val="00ED3DD9"/>
    <w:rsid w:val="00ED405F"/>
    <w:rsid w:val="00ED41A4"/>
    <w:rsid w:val="00ED4222"/>
    <w:rsid w:val="00ED43E7"/>
    <w:rsid w:val="00ED4549"/>
    <w:rsid w:val="00ED455A"/>
    <w:rsid w:val="00ED4AA6"/>
    <w:rsid w:val="00ED5258"/>
    <w:rsid w:val="00ED534D"/>
    <w:rsid w:val="00ED5401"/>
    <w:rsid w:val="00ED55AF"/>
    <w:rsid w:val="00ED598E"/>
    <w:rsid w:val="00ED6029"/>
    <w:rsid w:val="00ED60E6"/>
    <w:rsid w:val="00ED6200"/>
    <w:rsid w:val="00ED6F32"/>
    <w:rsid w:val="00ED6F86"/>
    <w:rsid w:val="00ED71D2"/>
    <w:rsid w:val="00ED750A"/>
    <w:rsid w:val="00ED75E2"/>
    <w:rsid w:val="00ED760A"/>
    <w:rsid w:val="00ED760E"/>
    <w:rsid w:val="00ED77A6"/>
    <w:rsid w:val="00ED7A6F"/>
    <w:rsid w:val="00ED7FDC"/>
    <w:rsid w:val="00ED7FF4"/>
    <w:rsid w:val="00EE0034"/>
    <w:rsid w:val="00EE013A"/>
    <w:rsid w:val="00EE03FB"/>
    <w:rsid w:val="00EE04BB"/>
    <w:rsid w:val="00EE06A9"/>
    <w:rsid w:val="00EE094D"/>
    <w:rsid w:val="00EE0CCD"/>
    <w:rsid w:val="00EE1109"/>
    <w:rsid w:val="00EE114A"/>
    <w:rsid w:val="00EE11B7"/>
    <w:rsid w:val="00EE1499"/>
    <w:rsid w:val="00EE14B5"/>
    <w:rsid w:val="00EE18B3"/>
    <w:rsid w:val="00EE1AF0"/>
    <w:rsid w:val="00EE1CF3"/>
    <w:rsid w:val="00EE1EEA"/>
    <w:rsid w:val="00EE1FFC"/>
    <w:rsid w:val="00EE2552"/>
    <w:rsid w:val="00EE26DD"/>
    <w:rsid w:val="00EE27A3"/>
    <w:rsid w:val="00EE2E7B"/>
    <w:rsid w:val="00EE3065"/>
    <w:rsid w:val="00EE30F0"/>
    <w:rsid w:val="00EE31C9"/>
    <w:rsid w:val="00EE356E"/>
    <w:rsid w:val="00EE3869"/>
    <w:rsid w:val="00EE38AE"/>
    <w:rsid w:val="00EE3A33"/>
    <w:rsid w:val="00EE3A89"/>
    <w:rsid w:val="00EE41B8"/>
    <w:rsid w:val="00EE42C0"/>
    <w:rsid w:val="00EE4560"/>
    <w:rsid w:val="00EE45AE"/>
    <w:rsid w:val="00EE4668"/>
    <w:rsid w:val="00EE4811"/>
    <w:rsid w:val="00EE4872"/>
    <w:rsid w:val="00EE4A8D"/>
    <w:rsid w:val="00EE4B25"/>
    <w:rsid w:val="00EE4BE5"/>
    <w:rsid w:val="00EE4F81"/>
    <w:rsid w:val="00EE4FFD"/>
    <w:rsid w:val="00EE5485"/>
    <w:rsid w:val="00EE58E4"/>
    <w:rsid w:val="00EE5E95"/>
    <w:rsid w:val="00EE5FB6"/>
    <w:rsid w:val="00EE6125"/>
    <w:rsid w:val="00EE621D"/>
    <w:rsid w:val="00EE62A2"/>
    <w:rsid w:val="00EE634C"/>
    <w:rsid w:val="00EE63AD"/>
    <w:rsid w:val="00EE64A4"/>
    <w:rsid w:val="00EE69E3"/>
    <w:rsid w:val="00EE6C89"/>
    <w:rsid w:val="00EE722F"/>
    <w:rsid w:val="00EE7489"/>
    <w:rsid w:val="00EE74F3"/>
    <w:rsid w:val="00EE75A5"/>
    <w:rsid w:val="00EE75FE"/>
    <w:rsid w:val="00EF0094"/>
    <w:rsid w:val="00EF0387"/>
    <w:rsid w:val="00EF03BE"/>
    <w:rsid w:val="00EF064A"/>
    <w:rsid w:val="00EF0686"/>
    <w:rsid w:val="00EF074A"/>
    <w:rsid w:val="00EF07CF"/>
    <w:rsid w:val="00EF0B83"/>
    <w:rsid w:val="00EF0FA9"/>
    <w:rsid w:val="00EF1225"/>
    <w:rsid w:val="00EF19D1"/>
    <w:rsid w:val="00EF19F8"/>
    <w:rsid w:val="00EF1A94"/>
    <w:rsid w:val="00EF1AA2"/>
    <w:rsid w:val="00EF1BB2"/>
    <w:rsid w:val="00EF1F61"/>
    <w:rsid w:val="00EF208F"/>
    <w:rsid w:val="00EF20A0"/>
    <w:rsid w:val="00EF20A8"/>
    <w:rsid w:val="00EF212D"/>
    <w:rsid w:val="00EF2174"/>
    <w:rsid w:val="00EF2196"/>
    <w:rsid w:val="00EF21E9"/>
    <w:rsid w:val="00EF2238"/>
    <w:rsid w:val="00EF2256"/>
    <w:rsid w:val="00EF2577"/>
    <w:rsid w:val="00EF2A8D"/>
    <w:rsid w:val="00EF2C5E"/>
    <w:rsid w:val="00EF3024"/>
    <w:rsid w:val="00EF3311"/>
    <w:rsid w:val="00EF347C"/>
    <w:rsid w:val="00EF34D5"/>
    <w:rsid w:val="00EF3707"/>
    <w:rsid w:val="00EF3C02"/>
    <w:rsid w:val="00EF3DD4"/>
    <w:rsid w:val="00EF3FAC"/>
    <w:rsid w:val="00EF402A"/>
    <w:rsid w:val="00EF4155"/>
    <w:rsid w:val="00EF438A"/>
    <w:rsid w:val="00EF4451"/>
    <w:rsid w:val="00EF4792"/>
    <w:rsid w:val="00EF4879"/>
    <w:rsid w:val="00EF489C"/>
    <w:rsid w:val="00EF49EA"/>
    <w:rsid w:val="00EF4D0F"/>
    <w:rsid w:val="00EF4E34"/>
    <w:rsid w:val="00EF544A"/>
    <w:rsid w:val="00EF5648"/>
    <w:rsid w:val="00EF5A73"/>
    <w:rsid w:val="00EF5FA1"/>
    <w:rsid w:val="00EF6257"/>
    <w:rsid w:val="00EF665C"/>
    <w:rsid w:val="00EF670B"/>
    <w:rsid w:val="00EF6736"/>
    <w:rsid w:val="00EF67D8"/>
    <w:rsid w:val="00EF6860"/>
    <w:rsid w:val="00EF6871"/>
    <w:rsid w:val="00EF6995"/>
    <w:rsid w:val="00EF6A9A"/>
    <w:rsid w:val="00EF6B81"/>
    <w:rsid w:val="00EF6B94"/>
    <w:rsid w:val="00EF6BEE"/>
    <w:rsid w:val="00EF6CB9"/>
    <w:rsid w:val="00EF6D0C"/>
    <w:rsid w:val="00EF702C"/>
    <w:rsid w:val="00EF7178"/>
    <w:rsid w:val="00EF72B5"/>
    <w:rsid w:val="00EF748B"/>
    <w:rsid w:val="00EF74EA"/>
    <w:rsid w:val="00EF7563"/>
    <w:rsid w:val="00EF7719"/>
    <w:rsid w:val="00EF7AC0"/>
    <w:rsid w:val="00F002FA"/>
    <w:rsid w:val="00F0063C"/>
    <w:rsid w:val="00F009E0"/>
    <w:rsid w:val="00F00B5B"/>
    <w:rsid w:val="00F00BA8"/>
    <w:rsid w:val="00F00D8A"/>
    <w:rsid w:val="00F00DFB"/>
    <w:rsid w:val="00F0106C"/>
    <w:rsid w:val="00F01265"/>
    <w:rsid w:val="00F0126F"/>
    <w:rsid w:val="00F012E6"/>
    <w:rsid w:val="00F015D2"/>
    <w:rsid w:val="00F016D1"/>
    <w:rsid w:val="00F01719"/>
    <w:rsid w:val="00F01C43"/>
    <w:rsid w:val="00F01C73"/>
    <w:rsid w:val="00F01D8E"/>
    <w:rsid w:val="00F01FF8"/>
    <w:rsid w:val="00F025CA"/>
    <w:rsid w:val="00F02809"/>
    <w:rsid w:val="00F02904"/>
    <w:rsid w:val="00F02AA8"/>
    <w:rsid w:val="00F02CDE"/>
    <w:rsid w:val="00F02DCA"/>
    <w:rsid w:val="00F02E71"/>
    <w:rsid w:val="00F0320D"/>
    <w:rsid w:val="00F0369A"/>
    <w:rsid w:val="00F037CB"/>
    <w:rsid w:val="00F03B3B"/>
    <w:rsid w:val="00F03B7F"/>
    <w:rsid w:val="00F03CD8"/>
    <w:rsid w:val="00F04321"/>
    <w:rsid w:val="00F0464F"/>
    <w:rsid w:val="00F0497A"/>
    <w:rsid w:val="00F049DE"/>
    <w:rsid w:val="00F04A3C"/>
    <w:rsid w:val="00F04A5D"/>
    <w:rsid w:val="00F04AE5"/>
    <w:rsid w:val="00F04DD2"/>
    <w:rsid w:val="00F04F0F"/>
    <w:rsid w:val="00F04F27"/>
    <w:rsid w:val="00F04FB1"/>
    <w:rsid w:val="00F05211"/>
    <w:rsid w:val="00F057BA"/>
    <w:rsid w:val="00F057C0"/>
    <w:rsid w:val="00F0582E"/>
    <w:rsid w:val="00F05AA8"/>
    <w:rsid w:val="00F05AE7"/>
    <w:rsid w:val="00F05BCC"/>
    <w:rsid w:val="00F05DA3"/>
    <w:rsid w:val="00F05FC8"/>
    <w:rsid w:val="00F060C1"/>
    <w:rsid w:val="00F0645A"/>
    <w:rsid w:val="00F0666D"/>
    <w:rsid w:val="00F06677"/>
    <w:rsid w:val="00F0678E"/>
    <w:rsid w:val="00F06B38"/>
    <w:rsid w:val="00F06B71"/>
    <w:rsid w:val="00F06D7A"/>
    <w:rsid w:val="00F06DFA"/>
    <w:rsid w:val="00F06EA0"/>
    <w:rsid w:val="00F06EFD"/>
    <w:rsid w:val="00F07481"/>
    <w:rsid w:val="00F075D6"/>
    <w:rsid w:val="00F07650"/>
    <w:rsid w:val="00F0767E"/>
    <w:rsid w:val="00F0788E"/>
    <w:rsid w:val="00F078A8"/>
    <w:rsid w:val="00F07CBC"/>
    <w:rsid w:val="00F07CE5"/>
    <w:rsid w:val="00F07E1B"/>
    <w:rsid w:val="00F1006C"/>
    <w:rsid w:val="00F100C2"/>
    <w:rsid w:val="00F100D4"/>
    <w:rsid w:val="00F101DA"/>
    <w:rsid w:val="00F101EE"/>
    <w:rsid w:val="00F1032F"/>
    <w:rsid w:val="00F10569"/>
    <w:rsid w:val="00F10785"/>
    <w:rsid w:val="00F107B6"/>
    <w:rsid w:val="00F10924"/>
    <w:rsid w:val="00F10A6A"/>
    <w:rsid w:val="00F10A9F"/>
    <w:rsid w:val="00F10BBF"/>
    <w:rsid w:val="00F10C60"/>
    <w:rsid w:val="00F10DFB"/>
    <w:rsid w:val="00F10EF0"/>
    <w:rsid w:val="00F10F69"/>
    <w:rsid w:val="00F10FCA"/>
    <w:rsid w:val="00F111EB"/>
    <w:rsid w:val="00F112CA"/>
    <w:rsid w:val="00F11550"/>
    <w:rsid w:val="00F11838"/>
    <w:rsid w:val="00F1183A"/>
    <w:rsid w:val="00F11934"/>
    <w:rsid w:val="00F11A10"/>
    <w:rsid w:val="00F11C59"/>
    <w:rsid w:val="00F11F2E"/>
    <w:rsid w:val="00F12025"/>
    <w:rsid w:val="00F12580"/>
    <w:rsid w:val="00F12728"/>
    <w:rsid w:val="00F1280C"/>
    <w:rsid w:val="00F12877"/>
    <w:rsid w:val="00F12DFA"/>
    <w:rsid w:val="00F12F7A"/>
    <w:rsid w:val="00F1302B"/>
    <w:rsid w:val="00F13057"/>
    <w:rsid w:val="00F1327A"/>
    <w:rsid w:val="00F137C4"/>
    <w:rsid w:val="00F13BA6"/>
    <w:rsid w:val="00F13DC9"/>
    <w:rsid w:val="00F14101"/>
    <w:rsid w:val="00F146FE"/>
    <w:rsid w:val="00F148B2"/>
    <w:rsid w:val="00F14A7F"/>
    <w:rsid w:val="00F14D9F"/>
    <w:rsid w:val="00F15037"/>
    <w:rsid w:val="00F15155"/>
    <w:rsid w:val="00F1568F"/>
    <w:rsid w:val="00F15733"/>
    <w:rsid w:val="00F15AD8"/>
    <w:rsid w:val="00F15F16"/>
    <w:rsid w:val="00F161BD"/>
    <w:rsid w:val="00F16298"/>
    <w:rsid w:val="00F16529"/>
    <w:rsid w:val="00F165B8"/>
    <w:rsid w:val="00F165D7"/>
    <w:rsid w:val="00F16839"/>
    <w:rsid w:val="00F1692B"/>
    <w:rsid w:val="00F16941"/>
    <w:rsid w:val="00F16A54"/>
    <w:rsid w:val="00F16E5E"/>
    <w:rsid w:val="00F16EB0"/>
    <w:rsid w:val="00F16F84"/>
    <w:rsid w:val="00F16F9A"/>
    <w:rsid w:val="00F170C7"/>
    <w:rsid w:val="00F17207"/>
    <w:rsid w:val="00F17247"/>
    <w:rsid w:val="00F173DA"/>
    <w:rsid w:val="00F1759B"/>
    <w:rsid w:val="00F177FC"/>
    <w:rsid w:val="00F179D2"/>
    <w:rsid w:val="00F17B1E"/>
    <w:rsid w:val="00F20151"/>
    <w:rsid w:val="00F202B5"/>
    <w:rsid w:val="00F20672"/>
    <w:rsid w:val="00F206D4"/>
    <w:rsid w:val="00F206ED"/>
    <w:rsid w:val="00F207AC"/>
    <w:rsid w:val="00F212E8"/>
    <w:rsid w:val="00F2130A"/>
    <w:rsid w:val="00F21546"/>
    <w:rsid w:val="00F217C7"/>
    <w:rsid w:val="00F21A34"/>
    <w:rsid w:val="00F21BC1"/>
    <w:rsid w:val="00F21BD4"/>
    <w:rsid w:val="00F22048"/>
    <w:rsid w:val="00F2228B"/>
    <w:rsid w:val="00F2287A"/>
    <w:rsid w:val="00F2287C"/>
    <w:rsid w:val="00F2290A"/>
    <w:rsid w:val="00F22A87"/>
    <w:rsid w:val="00F23048"/>
    <w:rsid w:val="00F2310A"/>
    <w:rsid w:val="00F23316"/>
    <w:rsid w:val="00F233B0"/>
    <w:rsid w:val="00F23481"/>
    <w:rsid w:val="00F235A1"/>
    <w:rsid w:val="00F23898"/>
    <w:rsid w:val="00F23C10"/>
    <w:rsid w:val="00F23DE7"/>
    <w:rsid w:val="00F240DB"/>
    <w:rsid w:val="00F240FA"/>
    <w:rsid w:val="00F24360"/>
    <w:rsid w:val="00F24477"/>
    <w:rsid w:val="00F2477E"/>
    <w:rsid w:val="00F247C2"/>
    <w:rsid w:val="00F24803"/>
    <w:rsid w:val="00F24927"/>
    <w:rsid w:val="00F24AD7"/>
    <w:rsid w:val="00F24D0C"/>
    <w:rsid w:val="00F251CD"/>
    <w:rsid w:val="00F2532F"/>
    <w:rsid w:val="00F256FC"/>
    <w:rsid w:val="00F257BF"/>
    <w:rsid w:val="00F258BB"/>
    <w:rsid w:val="00F25CB0"/>
    <w:rsid w:val="00F25D8E"/>
    <w:rsid w:val="00F260CD"/>
    <w:rsid w:val="00F26256"/>
    <w:rsid w:val="00F26439"/>
    <w:rsid w:val="00F26825"/>
    <w:rsid w:val="00F26840"/>
    <w:rsid w:val="00F268AB"/>
    <w:rsid w:val="00F26B18"/>
    <w:rsid w:val="00F26B4C"/>
    <w:rsid w:val="00F26C74"/>
    <w:rsid w:val="00F26F19"/>
    <w:rsid w:val="00F272A6"/>
    <w:rsid w:val="00F2750D"/>
    <w:rsid w:val="00F27572"/>
    <w:rsid w:val="00F27623"/>
    <w:rsid w:val="00F276CC"/>
    <w:rsid w:val="00F27763"/>
    <w:rsid w:val="00F27821"/>
    <w:rsid w:val="00F27EF3"/>
    <w:rsid w:val="00F30008"/>
    <w:rsid w:val="00F30273"/>
    <w:rsid w:val="00F303B0"/>
    <w:rsid w:val="00F30460"/>
    <w:rsid w:val="00F30596"/>
    <w:rsid w:val="00F30861"/>
    <w:rsid w:val="00F30A25"/>
    <w:rsid w:val="00F30E6C"/>
    <w:rsid w:val="00F31107"/>
    <w:rsid w:val="00F311FF"/>
    <w:rsid w:val="00F3131A"/>
    <w:rsid w:val="00F3137E"/>
    <w:rsid w:val="00F3144D"/>
    <w:rsid w:val="00F31469"/>
    <w:rsid w:val="00F31705"/>
    <w:rsid w:val="00F31798"/>
    <w:rsid w:val="00F31C95"/>
    <w:rsid w:val="00F31EA7"/>
    <w:rsid w:val="00F31FD6"/>
    <w:rsid w:val="00F31FF6"/>
    <w:rsid w:val="00F320A2"/>
    <w:rsid w:val="00F32140"/>
    <w:rsid w:val="00F3238D"/>
    <w:rsid w:val="00F32536"/>
    <w:rsid w:val="00F326AD"/>
    <w:rsid w:val="00F32766"/>
    <w:rsid w:val="00F328A3"/>
    <w:rsid w:val="00F32F93"/>
    <w:rsid w:val="00F33145"/>
    <w:rsid w:val="00F3339F"/>
    <w:rsid w:val="00F333BD"/>
    <w:rsid w:val="00F3346F"/>
    <w:rsid w:val="00F334D8"/>
    <w:rsid w:val="00F3359A"/>
    <w:rsid w:val="00F33D13"/>
    <w:rsid w:val="00F33DAD"/>
    <w:rsid w:val="00F33FB8"/>
    <w:rsid w:val="00F34203"/>
    <w:rsid w:val="00F344E1"/>
    <w:rsid w:val="00F346CD"/>
    <w:rsid w:val="00F346D4"/>
    <w:rsid w:val="00F34896"/>
    <w:rsid w:val="00F34A42"/>
    <w:rsid w:val="00F34E5E"/>
    <w:rsid w:val="00F350AA"/>
    <w:rsid w:val="00F35124"/>
    <w:rsid w:val="00F35393"/>
    <w:rsid w:val="00F35451"/>
    <w:rsid w:val="00F35C58"/>
    <w:rsid w:val="00F35DC2"/>
    <w:rsid w:val="00F35EE2"/>
    <w:rsid w:val="00F3622F"/>
    <w:rsid w:val="00F36311"/>
    <w:rsid w:val="00F364D9"/>
    <w:rsid w:val="00F365FF"/>
    <w:rsid w:val="00F36680"/>
    <w:rsid w:val="00F366D3"/>
    <w:rsid w:val="00F36766"/>
    <w:rsid w:val="00F36828"/>
    <w:rsid w:val="00F368BC"/>
    <w:rsid w:val="00F36AE9"/>
    <w:rsid w:val="00F36B60"/>
    <w:rsid w:val="00F36CCB"/>
    <w:rsid w:val="00F36E9F"/>
    <w:rsid w:val="00F36F83"/>
    <w:rsid w:val="00F37007"/>
    <w:rsid w:val="00F372B5"/>
    <w:rsid w:val="00F37496"/>
    <w:rsid w:val="00F378A6"/>
    <w:rsid w:val="00F37BF3"/>
    <w:rsid w:val="00F37C2F"/>
    <w:rsid w:val="00F37CB8"/>
    <w:rsid w:val="00F37F28"/>
    <w:rsid w:val="00F37FEE"/>
    <w:rsid w:val="00F40183"/>
    <w:rsid w:val="00F40680"/>
    <w:rsid w:val="00F4085D"/>
    <w:rsid w:val="00F4095D"/>
    <w:rsid w:val="00F40CB2"/>
    <w:rsid w:val="00F40DBD"/>
    <w:rsid w:val="00F40E3F"/>
    <w:rsid w:val="00F411E9"/>
    <w:rsid w:val="00F4143E"/>
    <w:rsid w:val="00F41588"/>
    <w:rsid w:val="00F41793"/>
    <w:rsid w:val="00F4179C"/>
    <w:rsid w:val="00F418E1"/>
    <w:rsid w:val="00F41A18"/>
    <w:rsid w:val="00F41B6C"/>
    <w:rsid w:val="00F41C51"/>
    <w:rsid w:val="00F41C7D"/>
    <w:rsid w:val="00F41DD7"/>
    <w:rsid w:val="00F41E3B"/>
    <w:rsid w:val="00F42049"/>
    <w:rsid w:val="00F42442"/>
    <w:rsid w:val="00F4293C"/>
    <w:rsid w:val="00F42A93"/>
    <w:rsid w:val="00F42BB7"/>
    <w:rsid w:val="00F42CE8"/>
    <w:rsid w:val="00F42D3B"/>
    <w:rsid w:val="00F43018"/>
    <w:rsid w:val="00F431DC"/>
    <w:rsid w:val="00F431EA"/>
    <w:rsid w:val="00F431F0"/>
    <w:rsid w:val="00F435E8"/>
    <w:rsid w:val="00F436DC"/>
    <w:rsid w:val="00F439BA"/>
    <w:rsid w:val="00F44618"/>
    <w:rsid w:val="00F448F0"/>
    <w:rsid w:val="00F44977"/>
    <w:rsid w:val="00F44B94"/>
    <w:rsid w:val="00F44E78"/>
    <w:rsid w:val="00F44EAE"/>
    <w:rsid w:val="00F4522E"/>
    <w:rsid w:val="00F452F7"/>
    <w:rsid w:val="00F453E4"/>
    <w:rsid w:val="00F4545F"/>
    <w:rsid w:val="00F4548D"/>
    <w:rsid w:val="00F45C6E"/>
    <w:rsid w:val="00F45D99"/>
    <w:rsid w:val="00F45E0B"/>
    <w:rsid w:val="00F45E20"/>
    <w:rsid w:val="00F46109"/>
    <w:rsid w:val="00F464C0"/>
    <w:rsid w:val="00F471BD"/>
    <w:rsid w:val="00F47264"/>
    <w:rsid w:val="00F4748A"/>
    <w:rsid w:val="00F47888"/>
    <w:rsid w:val="00F47909"/>
    <w:rsid w:val="00F47AFE"/>
    <w:rsid w:val="00F47B1E"/>
    <w:rsid w:val="00F47F82"/>
    <w:rsid w:val="00F503DC"/>
    <w:rsid w:val="00F503FB"/>
    <w:rsid w:val="00F504F6"/>
    <w:rsid w:val="00F50BCF"/>
    <w:rsid w:val="00F50D9D"/>
    <w:rsid w:val="00F50FD8"/>
    <w:rsid w:val="00F51369"/>
    <w:rsid w:val="00F5155A"/>
    <w:rsid w:val="00F516B8"/>
    <w:rsid w:val="00F51710"/>
    <w:rsid w:val="00F5177C"/>
    <w:rsid w:val="00F51926"/>
    <w:rsid w:val="00F51A21"/>
    <w:rsid w:val="00F51AF9"/>
    <w:rsid w:val="00F51B7B"/>
    <w:rsid w:val="00F51D1C"/>
    <w:rsid w:val="00F51E8E"/>
    <w:rsid w:val="00F51F33"/>
    <w:rsid w:val="00F51F8C"/>
    <w:rsid w:val="00F52244"/>
    <w:rsid w:val="00F528BA"/>
    <w:rsid w:val="00F52A84"/>
    <w:rsid w:val="00F53079"/>
    <w:rsid w:val="00F53390"/>
    <w:rsid w:val="00F5373C"/>
    <w:rsid w:val="00F5394A"/>
    <w:rsid w:val="00F539DD"/>
    <w:rsid w:val="00F53E19"/>
    <w:rsid w:val="00F53E51"/>
    <w:rsid w:val="00F540DD"/>
    <w:rsid w:val="00F5414C"/>
    <w:rsid w:val="00F541A9"/>
    <w:rsid w:val="00F541B7"/>
    <w:rsid w:val="00F5458A"/>
    <w:rsid w:val="00F54993"/>
    <w:rsid w:val="00F549C7"/>
    <w:rsid w:val="00F54E2D"/>
    <w:rsid w:val="00F54ED3"/>
    <w:rsid w:val="00F55036"/>
    <w:rsid w:val="00F55065"/>
    <w:rsid w:val="00F550C8"/>
    <w:rsid w:val="00F5518E"/>
    <w:rsid w:val="00F5535B"/>
    <w:rsid w:val="00F553F3"/>
    <w:rsid w:val="00F5545E"/>
    <w:rsid w:val="00F555B5"/>
    <w:rsid w:val="00F5570F"/>
    <w:rsid w:val="00F5583C"/>
    <w:rsid w:val="00F55AFE"/>
    <w:rsid w:val="00F55E42"/>
    <w:rsid w:val="00F55F46"/>
    <w:rsid w:val="00F561E8"/>
    <w:rsid w:val="00F56953"/>
    <w:rsid w:val="00F56D3F"/>
    <w:rsid w:val="00F576C4"/>
    <w:rsid w:val="00F579DF"/>
    <w:rsid w:val="00F60068"/>
    <w:rsid w:val="00F60120"/>
    <w:rsid w:val="00F601AF"/>
    <w:rsid w:val="00F602F7"/>
    <w:rsid w:val="00F603FB"/>
    <w:rsid w:val="00F606EB"/>
    <w:rsid w:val="00F606EE"/>
    <w:rsid w:val="00F60715"/>
    <w:rsid w:val="00F608DE"/>
    <w:rsid w:val="00F609B8"/>
    <w:rsid w:val="00F609D6"/>
    <w:rsid w:val="00F60ABC"/>
    <w:rsid w:val="00F60BF5"/>
    <w:rsid w:val="00F60C18"/>
    <w:rsid w:val="00F611EC"/>
    <w:rsid w:val="00F6126B"/>
    <w:rsid w:val="00F61335"/>
    <w:rsid w:val="00F61439"/>
    <w:rsid w:val="00F6166B"/>
    <w:rsid w:val="00F61691"/>
    <w:rsid w:val="00F61739"/>
    <w:rsid w:val="00F619F5"/>
    <w:rsid w:val="00F619F8"/>
    <w:rsid w:val="00F61AF0"/>
    <w:rsid w:val="00F61C14"/>
    <w:rsid w:val="00F61CBF"/>
    <w:rsid w:val="00F621B7"/>
    <w:rsid w:val="00F62233"/>
    <w:rsid w:val="00F6234C"/>
    <w:rsid w:val="00F623ED"/>
    <w:rsid w:val="00F625B1"/>
    <w:rsid w:val="00F6329D"/>
    <w:rsid w:val="00F6366A"/>
    <w:rsid w:val="00F63D68"/>
    <w:rsid w:val="00F63DBE"/>
    <w:rsid w:val="00F63E03"/>
    <w:rsid w:val="00F63ED1"/>
    <w:rsid w:val="00F6403A"/>
    <w:rsid w:val="00F641B7"/>
    <w:rsid w:val="00F641E7"/>
    <w:rsid w:val="00F64290"/>
    <w:rsid w:val="00F644D1"/>
    <w:rsid w:val="00F64517"/>
    <w:rsid w:val="00F6463F"/>
    <w:rsid w:val="00F647A3"/>
    <w:rsid w:val="00F64A50"/>
    <w:rsid w:val="00F64D5D"/>
    <w:rsid w:val="00F64D82"/>
    <w:rsid w:val="00F64F6B"/>
    <w:rsid w:val="00F64F98"/>
    <w:rsid w:val="00F64F9D"/>
    <w:rsid w:val="00F64FBC"/>
    <w:rsid w:val="00F65071"/>
    <w:rsid w:val="00F65161"/>
    <w:rsid w:val="00F65255"/>
    <w:rsid w:val="00F652CA"/>
    <w:rsid w:val="00F6541C"/>
    <w:rsid w:val="00F655B4"/>
    <w:rsid w:val="00F6571B"/>
    <w:rsid w:val="00F65738"/>
    <w:rsid w:val="00F657A5"/>
    <w:rsid w:val="00F658BD"/>
    <w:rsid w:val="00F65930"/>
    <w:rsid w:val="00F65977"/>
    <w:rsid w:val="00F65B0A"/>
    <w:rsid w:val="00F6647F"/>
    <w:rsid w:val="00F66893"/>
    <w:rsid w:val="00F66AB6"/>
    <w:rsid w:val="00F66B54"/>
    <w:rsid w:val="00F66E1A"/>
    <w:rsid w:val="00F66ECC"/>
    <w:rsid w:val="00F676F3"/>
    <w:rsid w:val="00F677C3"/>
    <w:rsid w:val="00F6794B"/>
    <w:rsid w:val="00F67A23"/>
    <w:rsid w:val="00F67B44"/>
    <w:rsid w:val="00F701EC"/>
    <w:rsid w:val="00F7099B"/>
    <w:rsid w:val="00F70CA7"/>
    <w:rsid w:val="00F70F34"/>
    <w:rsid w:val="00F70FDA"/>
    <w:rsid w:val="00F711CE"/>
    <w:rsid w:val="00F71206"/>
    <w:rsid w:val="00F7143C"/>
    <w:rsid w:val="00F71633"/>
    <w:rsid w:val="00F718B7"/>
    <w:rsid w:val="00F71CC0"/>
    <w:rsid w:val="00F71E3D"/>
    <w:rsid w:val="00F71F38"/>
    <w:rsid w:val="00F7213B"/>
    <w:rsid w:val="00F721E3"/>
    <w:rsid w:val="00F722CD"/>
    <w:rsid w:val="00F724B5"/>
    <w:rsid w:val="00F7257C"/>
    <w:rsid w:val="00F72988"/>
    <w:rsid w:val="00F72D82"/>
    <w:rsid w:val="00F730E9"/>
    <w:rsid w:val="00F73224"/>
    <w:rsid w:val="00F73453"/>
    <w:rsid w:val="00F73619"/>
    <w:rsid w:val="00F73783"/>
    <w:rsid w:val="00F73A43"/>
    <w:rsid w:val="00F73B51"/>
    <w:rsid w:val="00F73DA3"/>
    <w:rsid w:val="00F73E32"/>
    <w:rsid w:val="00F73FBA"/>
    <w:rsid w:val="00F74309"/>
    <w:rsid w:val="00F74539"/>
    <w:rsid w:val="00F74A66"/>
    <w:rsid w:val="00F74F9F"/>
    <w:rsid w:val="00F75138"/>
    <w:rsid w:val="00F756FE"/>
    <w:rsid w:val="00F7597D"/>
    <w:rsid w:val="00F75A21"/>
    <w:rsid w:val="00F75AE8"/>
    <w:rsid w:val="00F75B5F"/>
    <w:rsid w:val="00F75CC2"/>
    <w:rsid w:val="00F75DA6"/>
    <w:rsid w:val="00F75EBE"/>
    <w:rsid w:val="00F75F4B"/>
    <w:rsid w:val="00F7609D"/>
    <w:rsid w:val="00F7619C"/>
    <w:rsid w:val="00F7627D"/>
    <w:rsid w:val="00F763D8"/>
    <w:rsid w:val="00F76478"/>
    <w:rsid w:val="00F76486"/>
    <w:rsid w:val="00F76550"/>
    <w:rsid w:val="00F766D2"/>
    <w:rsid w:val="00F766DE"/>
    <w:rsid w:val="00F767D4"/>
    <w:rsid w:val="00F7699E"/>
    <w:rsid w:val="00F76A7B"/>
    <w:rsid w:val="00F76B6B"/>
    <w:rsid w:val="00F76B7F"/>
    <w:rsid w:val="00F77358"/>
    <w:rsid w:val="00F777E7"/>
    <w:rsid w:val="00F77907"/>
    <w:rsid w:val="00F77E1D"/>
    <w:rsid w:val="00F77E93"/>
    <w:rsid w:val="00F77E9F"/>
    <w:rsid w:val="00F77F5C"/>
    <w:rsid w:val="00F8009E"/>
    <w:rsid w:val="00F801A7"/>
    <w:rsid w:val="00F80B24"/>
    <w:rsid w:val="00F80B33"/>
    <w:rsid w:val="00F80DC4"/>
    <w:rsid w:val="00F81029"/>
    <w:rsid w:val="00F811E6"/>
    <w:rsid w:val="00F81494"/>
    <w:rsid w:val="00F815C3"/>
    <w:rsid w:val="00F817BD"/>
    <w:rsid w:val="00F81A9B"/>
    <w:rsid w:val="00F81B28"/>
    <w:rsid w:val="00F81DB3"/>
    <w:rsid w:val="00F820CF"/>
    <w:rsid w:val="00F82235"/>
    <w:rsid w:val="00F82294"/>
    <w:rsid w:val="00F8256B"/>
    <w:rsid w:val="00F82798"/>
    <w:rsid w:val="00F82B5D"/>
    <w:rsid w:val="00F82C5E"/>
    <w:rsid w:val="00F82F4A"/>
    <w:rsid w:val="00F8301A"/>
    <w:rsid w:val="00F83193"/>
    <w:rsid w:val="00F83255"/>
    <w:rsid w:val="00F83443"/>
    <w:rsid w:val="00F834B7"/>
    <w:rsid w:val="00F8352D"/>
    <w:rsid w:val="00F83540"/>
    <w:rsid w:val="00F835B9"/>
    <w:rsid w:val="00F83635"/>
    <w:rsid w:val="00F837D8"/>
    <w:rsid w:val="00F83A1D"/>
    <w:rsid w:val="00F83EB6"/>
    <w:rsid w:val="00F83F55"/>
    <w:rsid w:val="00F84030"/>
    <w:rsid w:val="00F84510"/>
    <w:rsid w:val="00F8460F"/>
    <w:rsid w:val="00F847F6"/>
    <w:rsid w:val="00F8481C"/>
    <w:rsid w:val="00F849FE"/>
    <w:rsid w:val="00F84C9D"/>
    <w:rsid w:val="00F84CBC"/>
    <w:rsid w:val="00F84D88"/>
    <w:rsid w:val="00F85624"/>
    <w:rsid w:val="00F85750"/>
    <w:rsid w:val="00F85ADF"/>
    <w:rsid w:val="00F85B29"/>
    <w:rsid w:val="00F85E0E"/>
    <w:rsid w:val="00F85ECB"/>
    <w:rsid w:val="00F86002"/>
    <w:rsid w:val="00F8621F"/>
    <w:rsid w:val="00F8629D"/>
    <w:rsid w:val="00F86372"/>
    <w:rsid w:val="00F8637F"/>
    <w:rsid w:val="00F8658A"/>
    <w:rsid w:val="00F86993"/>
    <w:rsid w:val="00F86A42"/>
    <w:rsid w:val="00F86C7A"/>
    <w:rsid w:val="00F86FEB"/>
    <w:rsid w:val="00F870CD"/>
    <w:rsid w:val="00F870DF"/>
    <w:rsid w:val="00F870FE"/>
    <w:rsid w:val="00F87435"/>
    <w:rsid w:val="00F87624"/>
    <w:rsid w:val="00F87748"/>
    <w:rsid w:val="00F87FB4"/>
    <w:rsid w:val="00F90021"/>
    <w:rsid w:val="00F900CD"/>
    <w:rsid w:val="00F906C4"/>
    <w:rsid w:val="00F906CE"/>
    <w:rsid w:val="00F90921"/>
    <w:rsid w:val="00F90CC8"/>
    <w:rsid w:val="00F90EF7"/>
    <w:rsid w:val="00F90F1C"/>
    <w:rsid w:val="00F90F99"/>
    <w:rsid w:val="00F913F8"/>
    <w:rsid w:val="00F9178F"/>
    <w:rsid w:val="00F91A44"/>
    <w:rsid w:val="00F91CF0"/>
    <w:rsid w:val="00F91CF6"/>
    <w:rsid w:val="00F91E16"/>
    <w:rsid w:val="00F91F21"/>
    <w:rsid w:val="00F92567"/>
    <w:rsid w:val="00F92E19"/>
    <w:rsid w:val="00F92FD1"/>
    <w:rsid w:val="00F9302B"/>
    <w:rsid w:val="00F9312E"/>
    <w:rsid w:val="00F931FD"/>
    <w:rsid w:val="00F93218"/>
    <w:rsid w:val="00F93584"/>
    <w:rsid w:val="00F93B57"/>
    <w:rsid w:val="00F93CBB"/>
    <w:rsid w:val="00F94065"/>
    <w:rsid w:val="00F94084"/>
    <w:rsid w:val="00F94091"/>
    <w:rsid w:val="00F9426F"/>
    <w:rsid w:val="00F943B8"/>
    <w:rsid w:val="00F94536"/>
    <w:rsid w:val="00F947C5"/>
    <w:rsid w:val="00F94B97"/>
    <w:rsid w:val="00F94DB1"/>
    <w:rsid w:val="00F9506B"/>
    <w:rsid w:val="00F95203"/>
    <w:rsid w:val="00F95210"/>
    <w:rsid w:val="00F9550D"/>
    <w:rsid w:val="00F9559E"/>
    <w:rsid w:val="00F9580D"/>
    <w:rsid w:val="00F95885"/>
    <w:rsid w:val="00F95C76"/>
    <w:rsid w:val="00F95CB9"/>
    <w:rsid w:val="00F95CEA"/>
    <w:rsid w:val="00F95D13"/>
    <w:rsid w:val="00F95E7A"/>
    <w:rsid w:val="00F961D3"/>
    <w:rsid w:val="00F961DE"/>
    <w:rsid w:val="00F962CF"/>
    <w:rsid w:val="00F968B0"/>
    <w:rsid w:val="00F96CBF"/>
    <w:rsid w:val="00F96E6D"/>
    <w:rsid w:val="00F96F0D"/>
    <w:rsid w:val="00F9718E"/>
    <w:rsid w:val="00F971CB"/>
    <w:rsid w:val="00F973A1"/>
    <w:rsid w:val="00F973A8"/>
    <w:rsid w:val="00F9775A"/>
    <w:rsid w:val="00F97773"/>
    <w:rsid w:val="00F97B16"/>
    <w:rsid w:val="00F97E29"/>
    <w:rsid w:val="00FA004D"/>
    <w:rsid w:val="00FA00EA"/>
    <w:rsid w:val="00FA0515"/>
    <w:rsid w:val="00FA0995"/>
    <w:rsid w:val="00FA0AC3"/>
    <w:rsid w:val="00FA0D23"/>
    <w:rsid w:val="00FA0F5E"/>
    <w:rsid w:val="00FA109C"/>
    <w:rsid w:val="00FA1334"/>
    <w:rsid w:val="00FA1407"/>
    <w:rsid w:val="00FA1585"/>
    <w:rsid w:val="00FA186C"/>
    <w:rsid w:val="00FA18F5"/>
    <w:rsid w:val="00FA1C8C"/>
    <w:rsid w:val="00FA21BE"/>
    <w:rsid w:val="00FA2217"/>
    <w:rsid w:val="00FA22B8"/>
    <w:rsid w:val="00FA23F6"/>
    <w:rsid w:val="00FA2770"/>
    <w:rsid w:val="00FA2A0A"/>
    <w:rsid w:val="00FA2B85"/>
    <w:rsid w:val="00FA2D15"/>
    <w:rsid w:val="00FA2E08"/>
    <w:rsid w:val="00FA3164"/>
    <w:rsid w:val="00FA351D"/>
    <w:rsid w:val="00FA3603"/>
    <w:rsid w:val="00FA3750"/>
    <w:rsid w:val="00FA3832"/>
    <w:rsid w:val="00FA3CB8"/>
    <w:rsid w:val="00FA3E06"/>
    <w:rsid w:val="00FA3EB7"/>
    <w:rsid w:val="00FA3F2E"/>
    <w:rsid w:val="00FA41D7"/>
    <w:rsid w:val="00FA4629"/>
    <w:rsid w:val="00FA47BE"/>
    <w:rsid w:val="00FA486A"/>
    <w:rsid w:val="00FA488D"/>
    <w:rsid w:val="00FA48D2"/>
    <w:rsid w:val="00FA490B"/>
    <w:rsid w:val="00FA4CA2"/>
    <w:rsid w:val="00FA4FC1"/>
    <w:rsid w:val="00FA503E"/>
    <w:rsid w:val="00FA5065"/>
    <w:rsid w:val="00FA518B"/>
    <w:rsid w:val="00FA52C0"/>
    <w:rsid w:val="00FA5530"/>
    <w:rsid w:val="00FA5573"/>
    <w:rsid w:val="00FA5826"/>
    <w:rsid w:val="00FA6013"/>
    <w:rsid w:val="00FA63C6"/>
    <w:rsid w:val="00FA6714"/>
    <w:rsid w:val="00FA678B"/>
    <w:rsid w:val="00FA69CD"/>
    <w:rsid w:val="00FA6A0E"/>
    <w:rsid w:val="00FA6E8F"/>
    <w:rsid w:val="00FA7115"/>
    <w:rsid w:val="00FA734D"/>
    <w:rsid w:val="00FA742E"/>
    <w:rsid w:val="00FA76DE"/>
    <w:rsid w:val="00FA7821"/>
    <w:rsid w:val="00FA7ABF"/>
    <w:rsid w:val="00FA7EE6"/>
    <w:rsid w:val="00FA7FDF"/>
    <w:rsid w:val="00FB00FE"/>
    <w:rsid w:val="00FB03D3"/>
    <w:rsid w:val="00FB040F"/>
    <w:rsid w:val="00FB08B2"/>
    <w:rsid w:val="00FB0DCC"/>
    <w:rsid w:val="00FB0DD5"/>
    <w:rsid w:val="00FB0FEB"/>
    <w:rsid w:val="00FB127E"/>
    <w:rsid w:val="00FB12D0"/>
    <w:rsid w:val="00FB1368"/>
    <w:rsid w:val="00FB1394"/>
    <w:rsid w:val="00FB148A"/>
    <w:rsid w:val="00FB1C04"/>
    <w:rsid w:val="00FB1D82"/>
    <w:rsid w:val="00FB1E49"/>
    <w:rsid w:val="00FB1EAB"/>
    <w:rsid w:val="00FB2089"/>
    <w:rsid w:val="00FB2142"/>
    <w:rsid w:val="00FB2347"/>
    <w:rsid w:val="00FB24BC"/>
    <w:rsid w:val="00FB24DC"/>
    <w:rsid w:val="00FB2719"/>
    <w:rsid w:val="00FB29B4"/>
    <w:rsid w:val="00FB29F4"/>
    <w:rsid w:val="00FB2E3E"/>
    <w:rsid w:val="00FB2F6D"/>
    <w:rsid w:val="00FB2FCC"/>
    <w:rsid w:val="00FB3156"/>
    <w:rsid w:val="00FB3157"/>
    <w:rsid w:val="00FB33E0"/>
    <w:rsid w:val="00FB33E2"/>
    <w:rsid w:val="00FB35AE"/>
    <w:rsid w:val="00FB35CD"/>
    <w:rsid w:val="00FB3710"/>
    <w:rsid w:val="00FB3894"/>
    <w:rsid w:val="00FB3969"/>
    <w:rsid w:val="00FB39EF"/>
    <w:rsid w:val="00FB3A5E"/>
    <w:rsid w:val="00FB3B5C"/>
    <w:rsid w:val="00FB3E1E"/>
    <w:rsid w:val="00FB3EAE"/>
    <w:rsid w:val="00FB40FF"/>
    <w:rsid w:val="00FB41A2"/>
    <w:rsid w:val="00FB4265"/>
    <w:rsid w:val="00FB42B3"/>
    <w:rsid w:val="00FB45A8"/>
    <w:rsid w:val="00FB4643"/>
    <w:rsid w:val="00FB473B"/>
    <w:rsid w:val="00FB4761"/>
    <w:rsid w:val="00FB4816"/>
    <w:rsid w:val="00FB49D9"/>
    <w:rsid w:val="00FB49FB"/>
    <w:rsid w:val="00FB4C91"/>
    <w:rsid w:val="00FB4FE0"/>
    <w:rsid w:val="00FB51A4"/>
    <w:rsid w:val="00FB5396"/>
    <w:rsid w:val="00FB54AF"/>
    <w:rsid w:val="00FB54F0"/>
    <w:rsid w:val="00FB5A39"/>
    <w:rsid w:val="00FB5BF5"/>
    <w:rsid w:val="00FB5C5C"/>
    <w:rsid w:val="00FB5EFB"/>
    <w:rsid w:val="00FB6059"/>
    <w:rsid w:val="00FB6227"/>
    <w:rsid w:val="00FB6347"/>
    <w:rsid w:val="00FB6809"/>
    <w:rsid w:val="00FB6982"/>
    <w:rsid w:val="00FB6B76"/>
    <w:rsid w:val="00FB6DE3"/>
    <w:rsid w:val="00FB6DFD"/>
    <w:rsid w:val="00FB6E2E"/>
    <w:rsid w:val="00FB6E3B"/>
    <w:rsid w:val="00FB6F0C"/>
    <w:rsid w:val="00FB6F5B"/>
    <w:rsid w:val="00FB6FED"/>
    <w:rsid w:val="00FB70B7"/>
    <w:rsid w:val="00FB72AA"/>
    <w:rsid w:val="00FB7334"/>
    <w:rsid w:val="00FB7553"/>
    <w:rsid w:val="00FB7611"/>
    <w:rsid w:val="00FB7ACD"/>
    <w:rsid w:val="00FB7B75"/>
    <w:rsid w:val="00FB7E18"/>
    <w:rsid w:val="00FB7EDD"/>
    <w:rsid w:val="00FC02DA"/>
    <w:rsid w:val="00FC03CE"/>
    <w:rsid w:val="00FC04F5"/>
    <w:rsid w:val="00FC0705"/>
    <w:rsid w:val="00FC086E"/>
    <w:rsid w:val="00FC08DC"/>
    <w:rsid w:val="00FC11FC"/>
    <w:rsid w:val="00FC1259"/>
    <w:rsid w:val="00FC14E5"/>
    <w:rsid w:val="00FC2399"/>
    <w:rsid w:val="00FC275E"/>
    <w:rsid w:val="00FC27D8"/>
    <w:rsid w:val="00FC388B"/>
    <w:rsid w:val="00FC3A89"/>
    <w:rsid w:val="00FC3DD7"/>
    <w:rsid w:val="00FC41F6"/>
    <w:rsid w:val="00FC42B9"/>
    <w:rsid w:val="00FC4387"/>
    <w:rsid w:val="00FC44D2"/>
    <w:rsid w:val="00FC48E4"/>
    <w:rsid w:val="00FC4CC5"/>
    <w:rsid w:val="00FC52ED"/>
    <w:rsid w:val="00FC545E"/>
    <w:rsid w:val="00FC54AE"/>
    <w:rsid w:val="00FC55BD"/>
    <w:rsid w:val="00FC5B24"/>
    <w:rsid w:val="00FC5BFB"/>
    <w:rsid w:val="00FC5DDB"/>
    <w:rsid w:val="00FC601D"/>
    <w:rsid w:val="00FC6180"/>
    <w:rsid w:val="00FC6268"/>
    <w:rsid w:val="00FC6919"/>
    <w:rsid w:val="00FC6AA1"/>
    <w:rsid w:val="00FC6C0B"/>
    <w:rsid w:val="00FC6D74"/>
    <w:rsid w:val="00FC6FC1"/>
    <w:rsid w:val="00FC7271"/>
    <w:rsid w:val="00FC7287"/>
    <w:rsid w:val="00FC735A"/>
    <w:rsid w:val="00FC7412"/>
    <w:rsid w:val="00FC74C7"/>
    <w:rsid w:val="00FC7521"/>
    <w:rsid w:val="00FC7B60"/>
    <w:rsid w:val="00FC7D67"/>
    <w:rsid w:val="00FC7F3E"/>
    <w:rsid w:val="00FC7F8F"/>
    <w:rsid w:val="00FD0097"/>
    <w:rsid w:val="00FD0129"/>
    <w:rsid w:val="00FD017D"/>
    <w:rsid w:val="00FD0481"/>
    <w:rsid w:val="00FD05DE"/>
    <w:rsid w:val="00FD0BCF"/>
    <w:rsid w:val="00FD0DA2"/>
    <w:rsid w:val="00FD0E35"/>
    <w:rsid w:val="00FD0E3E"/>
    <w:rsid w:val="00FD0E4B"/>
    <w:rsid w:val="00FD1368"/>
    <w:rsid w:val="00FD148A"/>
    <w:rsid w:val="00FD14BE"/>
    <w:rsid w:val="00FD1754"/>
    <w:rsid w:val="00FD182E"/>
    <w:rsid w:val="00FD1831"/>
    <w:rsid w:val="00FD1D1E"/>
    <w:rsid w:val="00FD1F72"/>
    <w:rsid w:val="00FD2026"/>
    <w:rsid w:val="00FD20BE"/>
    <w:rsid w:val="00FD2187"/>
    <w:rsid w:val="00FD2333"/>
    <w:rsid w:val="00FD2AC7"/>
    <w:rsid w:val="00FD2AF1"/>
    <w:rsid w:val="00FD2F50"/>
    <w:rsid w:val="00FD2FCD"/>
    <w:rsid w:val="00FD34AB"/>
    <w:rsid w:val="00FD359A"/>
    <w:rsid w:val="00FD39C5"/>
    <w:rsid w:val="00FD3D26"/>
    <w:rsid w:val="00FD3E16"/>
    <w:rsid w:val="00FD3F44"/>
    <w:rsid w:val="00FD418D"/>
    <w:rsid w:val="00FD42A0"/>
    <w:rsid w:val="00FD42E3"/>
    <w:rsid w:val="00FD438C"/>
    <w:rsid w:val="00FD43D5"/>
    <w:rsid w:val="00FD44FB"/>
    <w:rsid w:val="00FD454A"/>
    <w:rsid w:val="00FD4800"/>
    <w:rsid w:val="00FD48F6"/>
    <w:rsid w:val="00FD4930"/>
    <w:rsid w:val="00FD4D51"/>
    <w:rsid w:val="00FD4F96"/>
    <w:rsid w:val="00FD4FAF"/>
    <w:rsid w:val="00FD510D"/>
    <w:rsid w:val="00FD5216"/>
    <w:rsid w:val="00FD533F"/>
    <w:rsid w:val="00FD5715"/>
    <w:rsid w:val="00FD573F"/>
    <w:rsid w:val="00FD5958"/>
    <w:rsid w:val="00FD5B74"/>
    <w:rsid w:val="00FD5BEC"/>
    <w:rsid w:val="00FD5D14"/>
    <w:rsid w:val="00FD5D72"/>
    <w:rsid w:val="00FD6007"/>
    <w:rsid w:val="00FD604E"/>
    <w:rsid w:val="00FD6228"/>
    <w:rsid w:val="00FD62E2"/>
    <w:rsid w:val="00FD6335"/>
    <w:rsid w:val="00FD645B"/>
    <w:rsid w:val="00FD67B1"/>
    <w:rsid w:val="00FD67FD"/>
    <w:rsid w:val="00FD6A52"/>
    <w:rsid w:val="00FD6AE8"/>
    <w:rsid w:val="00FD6C3B"/>
    <w:rsid w:val="00FD6CFB"/>
    <w:rsid w:val="00FD6D03"/>
    <w:rsid w:val="00FD70F3"/>
    <w:rsid w:val="00FD7360"/>
    <w:rsid w:val="00FD7663"/>
    <w:rsid w:val="00FD7AA2"/>
    <w:rsid w:val="00FD7B6F"/>
    <w:rsid w:val="00FD7B71"/>
    <w:rsid w:val="00FD7FB0"/>
    <w:rsid w:val="00FE02E7"/>
    <w:rsid w:val="00FE0324"/>
    <w:rsid w:val="00FE03AE"/>
    <w:rsid w:val="00FE0436"/>
    <w:rsid w:val="00FE04F7"/>
    <w:rsid w:val="00FE0625"/>
    <w:rsid w:val="00FE06DF"/>
    <w:rsid w:val="00FE0955"/>
    <w:rsid w:val="00FE09F1"/>
    <w:rsid w:val="00FE0BF0"/>
    <w:rsid w:val="00FE0DD6"/>
    <w:rsid w:val="00FE1063"/>
    <w:rsid w:val="00FE1093"/>
    <w:rsid w:val="00FE17C9"/>
    <w:rsid w:val="00FE1851"/>
    <w:rsid w:val="00FE19A9"/>
    <w:rsid w:val="00FE1C71"/>
    <w:rsid w:val="00FE1C9E"/>
    <w:rsid w:val="00FE1D1E"/>
    <w:rsid w:val="00FE1D51"/>
    <w:rsid w:val="00FE1F40"/>
    <w:rsid w:val="00FE21AB"/>
    <w:rsid w:val="00FE29B3"/>
    <w:rsid w:val="00FE29DC"/>
    <w:rsid w:val="00FE2CF6"/>
    <w:rsid w:val="00FE2D32"/>
    <w:rsid w:val="00FE2D48"/>
    <w:rsid w:val="00FE2DEE"/>
    <w:rsid w:val="00FE2E0A"/>
    <w:rsid w:val="00FE30AC"/>
    <w:rsid w:val="00FE30B9"/>
    <w:rsid w:val="00FE32B6"/>
    <w:rsid w:val="00FE332C"/>
    <w:rsid w:val="00FE34E4"/>
    <w:rsid w:val="00FE35AB"/>
    <w:rsid w:val="00FE367B"/>
    <w:rsid w:val="00FE38D0"/>
    <w:rsid w:val="00FE3DB0"/>
    <w:rsid w:val="00FE3EA6"/>
    <w:rsid w:val="00FE418A"/>
    <w:rsid w:val="00FE43E7"/>
    <w:rsid w:val="00FE44B9"/>
    <w:rsid w:val="00FE46E6"/>
    <w:rsid w:val="00FE4899"/>
    <w:rsid w:val="00FE4905"/>
    <w:rsid w:val="00FE492F"/>
    <w:rsid w:val="00FE5415"/>
    <w:rsid w:val="00FE546B"/>
    <w:rsid w:val="00FE5649"/>
    <w:rsid w:val="00FE5682"/>
    <w:rsid w:val="00FE57BE"/>
    <w:rsid w:val="00FE5BC3"/>
    <w:rsid w:val="00FE62AC"/>
    <w:rsid w:val="00FE63A9"/>
    <w:rsid w:val="00FE68BA"/>
    <w:rsid w:val="00FE68C1"/>
    <w:rsid w:val="00FE6A7D"/>
    <w:rsid w:val="00FE6B5C"/>
    <w:rsid w:val="00FE6D2C"/>
    <w:rsid w:val="00FE6D40"/>
    <w:rsid w:val="00FE6DB9"/>
    <w:rsid w:val="00FE6F1E"/>
    <w:rsid w:val="00FE6F93"/>
    <w:rsid w:val="00FE6F9D"/>
    <w:rsid w:val="00FE72F1"/>
    <w:rsid w:val="00FE74D8"/>
    <w:rsid w:val="00FE7581"/>
    <w:rsid w:val="00FE75E1"/>
    <w:rsid w:val="00FE764A"/>
    <w:rsid w:val="00FE7D8D"/>
    <w:rsid w:val="00FE7E5E"/>
    <w:rsid w:val="00FE7EBB"/>
    <w:rsid w:val="00FF0158"/>
    <w:rsid w:val="00FF0178"/>
    <w:rsid w:val="00FF0289"/>
    <w:rsid w:val="00FF03F1"/>
    <w:rsid w:val="00FF0729"/>
    <w:rsid w:val="00FF07D5"/>
    <w:rsid w:val="00FF083F"/>
    <w:rsid w:val="00FF138E"/>
    <w:rsid w:val="00FF1425"/>
    <w:rsid w:val="00FF14AA"/>
    <w:rsid w:val="00FF14DB"/>
    <w:rsid w:val="00FF1501"/>
    <w:rsid w:val="00FF194A"/>
    <w:rsid w:val="00FF1B55"/>
    <w:rsid w:val="00FF1BD1"/>
    <w:rsid w:val="00FF1EB2"/>
    <w:rsid w:val="00FF2064"/>
    <w:rsid w:val="00FF21A1"/>
    <w:rsid w:val="00FF2315"/>
    <w:rsid w:val="00FF247D"/>
    <w:rsid w:val="00FF2671"/>
    <w:rsid w:val="00FF2778"/>
    <w:rsid w:val="00FF2AAF"/>
    <w:rsid w:val="00FF2F10"/>
    <w:rsid w:val="00FF3047"/>
    <w:rsid w:val="00FF3178"/>
    <w:rsid w:val="00FF324D"/>
    <w:rsid w:val="00FF32ED"/>
    <w:rsid w:val="00FF3365"/>
    <w:rsid w:val="00FF3693"/>
    <w:rsid w:val="00FF388A"/>
    <w:rsid w:val="00FF3BBB"/>
    <w:rsid w:val="00FF3C2B"/>
    <w:rsid w:val="00FF3E1C"/>
    <w:rsid w:val="00FF458D"/>
    <w:rsid w:val="00FF4697"/>
    <w:rsid w:val="00FF4939"/>
    <w:rsid w:val="00FF4B0F"/>
    <w:rsid w:val="00FF4DA0"/>
    <w:rsid w:val="00FF5020"/>
    <w:rsid w:val="00FF5602"/>
    <w:rsid w:val="00FF575F"/>
    <w:rsid w:val="00FF5FA2"/>
    <w:rsid w:val="00FF5FA6"/>
    <w:rsid w:val="00FF62AD"/>
    <w:rsid w:val="00FF647E"/>
    <w:rsid w:val="00FF66C7"/>
    <w:rsid w:val="00FF6C75"/>
    <w:rsid w:val="00FF6E56"/>
    <w:rsid w:val="00FF730C"/>
    <w:rsid w:val="00FF746B"/>
    <w:rsid w:val="00FF77CF"/>
    <w:rsid w:val="00FF7943"/>
    <w:rsid w:val="00FF7B68"/>
    <w:rsid w:val="00FF7F76"/>
    <w:rsid w:val="010B4FEA"/>
    <w:rsid w:val="0114EE2B"/>
    <w:rsid w:val="0150D274"/>
    <w:rsid w:val="01747284"/>
    <w:rsid w:val="01760E44"/>
    <w:rsid w:val="0196F3C5"/>
    <w:rsid w:val="02180005"/>
    <w:rsid w:val="024555E0"/>
    <w:rsid w:val="026099DF"/>
    <w:rsid w:val="027BABF1"/>
    <w:rsid w:val="0284B6D8"/>
    <w:rsid w:val="02882DA0"/>
    <w:rsid w:val="028E1637"/>
    <w:rsid w:val="028E26C5"/>
    <w:rsid w:val="02AFC105"/>
    <w:rsid w:val="02B1549C"/>
    <w:rsid w:val="02B2E132"/>
    <w:rsid w:val="02B4BEE2"/>
    <w:rsid w:val="02DCB83D"/>
    <w:rsid w:val="02EB5269"/>
    <w:rsid w:val="0302FFA4"/>
    <w:rsid w:val="030868F0"/>
    <w:rsid w:val="03198AE2"/>
    <w:rsid w:val="033A5544"/>
    <w:rsid w:val="03440995"/>
    <w:rsid w:val="035D5930"/>
    <w:rsid w:val="03A9913B"/>
    <w:rsid w:val="03C0B907"/>
    <w:rsid w:val="03CEF221"/>
    <w:rsid w:val="04056225"/>
    <w:rsid w:val="040B39C6"/>
    <w:rsid w:val="040C2BD3"/>
    <w:rsid w:val="041DFDA2"/>
    <w:rsid w:val="04292167"/>
    <w:rsid w:val="04548AA7"/>
    <w:rsid w:val="0480AFAB"/>
    <w:rsid w:val="04A56AB8"/>
    <w:rsid w:val="04EA2F1F"/>
    <w:rsid w:val="04EEEECB"/>
    <w:rsid w:val="054215E5"/>
    <w:rsid w:val="054B7C32"/>
    <w:rsid w:val="0560CDE8"/>
    <w:rsid w:val="0574A30D"/>
    <w:rsid w:val="0584AFEF"/>
    <w:rsid w:val="05A3F21D"/>
    <w:rsid w:val="05BB105D"/>
    <w:rsid w:val="05BC579A"/>
    <w:rsid w:val="05BF83AD"/>
    <w:rsid w:val="05C40787"/>
    <w:rsid w:val="05CCC923"/>
    <w:rsid w:val="05FB912E"/>
    <w:rsid w:val="0610FCE3"/>
    <w:rsid w:val="06272F1F"/>
    <w:rsid w:val="06659E90"/>
    <w:rsid w:val="067C962F"/>
    <w:rsid w:val="06B3D912"/>
    <w:rsid w:val="06BAACF9"/>
    <w:rsid w:val="06CAA57D"/>
    <w:rsid w:val="073A96B0"/>
    <w:rsid w:val="077C79B9"/>
    <w:rsid w:val="07899C93"/>
    <w:rsid w:val="07A5A2ED"/>
    <w:rsid w:val="07EF9042"/>
    <w:rsid w:val="07F42118"/>
    <w:rsid w:val="081C79BF"/>
    <w:rsid w:val="082C0A4C"/>
    <w:rsid w:val="082D50BE"/>
    <w:rsid w:val="08358518"/>
    <w:rsid w:val="087FDDC5"/>
    <w:rsid w:val="08A64A99"/>
    <w:rsid w:val="08B88F81"/>
    <w:rsid w:val="08CCE48F"/>
    <w:rsid w:val="08DAF36B"/>
    <w:rsid w:val="08FDF350"/>
    <w:rsid w:val="0943CEC8"/>
    <w:rsid w:val="095862A1"/>
    <w:rsid w:val="0970D4CF"/>
    <w:rsid w:val="097213CA"/>
    <w:rsid w:val="099A7233"/>
    <w:rsid w:val="09AE8BDB"/>
    <w:rsid w:val="09C800EA"/>
    <w:rsid w:val="09F54C1F"/>
    <w:rsid w:val="09F7AA90"/>
    <w:rsid w:val="0A051192"/>
    <w:rsid w:val="0A091601"/>
    <w:rsid w:val="0A110145"/>
    <w:rsid w:val="0A1627DF"/>
    <w:rsid w:val="0A314621"/>
    <w:rsid w:val="0A73B1E8"/>
    <w:rsid w:val="0A8124B6"/>
    <w:rsid w:val="0A9284C1"/>
    <w:rsid w:val="0A96E495"/>
    <w:rsid w:val="0A9C5367"/>
    <w:rsid w:val="0AA40E1C"/>
    <w:rsid w:val="0AE6C68F"/>
    <w:rsid w:val="0AF8A7D2"/>
    <w:rsid w:val="0B0CB7CA"/>
    <w:rsid w:val="0B13FB3E"/>
    <w:rsid w:val="0B63E321"/>
    <w:rsid w:val="0B6CE3E6"/>
    <w:rsid w:val="0B7057A0"/>
    <w:rsid w:val="0B787E16"/>
    <w:rsid w:val="0B89DF61"/>
    <w:rsid w:val="0B8B9D2B"/>
    <w:rsid w:val="0B97C1FE"/>
    <w:rsid w:val="0BC6ACD2"/>
    <w:rsid w:val="0BD240BB"/>
    <w:rsid w:val="0BF28FF1"/>
    <w:rsid w:val="0C09B37F"/>
    <w:rsid w:val="0C153348"/>
    <w:rsid w:val="0C1A6330"/>
    <w:rsid w:val="0C2C13F0"/>
    <w:rsid w:val="0C59C378"/>
    <w:rsid w:val="0C5DE410"/>
    <w:rsid w:val="0CF1F810"/>
    <w:rsid w:val="0D11E6CE"/>
    <w:rsid w:val="0D25FBBA"/>
    <w:rsid w:val="0D34EEB4"/>
    <w:rsid w:val="0D69E8C5"/>
    <w:rsid w:val="0D87DAF8"/>
    <w:rsid w:val="0DA6380D"/>
    <w:rsid w:val="0DA8AF75"/>
    <w:rsid w:val="0DE7EE09"/>
    <w:rsid w:val="0E07CA4C"/>
    <w:rsid w:val="0E1323ED"/>
    <w:rsid w:val="0E15011D"/>
    <w:rsid w:val="0E1FE6CE"/>
    <w:rsid w:val="0E21A1EC"/>
    <w:rsid w:val="0E320DC6"/>
    <w:rsid w:val="0E424299"/>
    <w:rsid w:val="0E6B54FC"/>
    <w:rsid w:val="0E733EF1"/>
    <w:rsid w:val="0E9A25E7"/>
    <w:rsid w:val="0EADA8C8"/>
    <w:rsid w:val="0EAE9F5C"/>
    <w:rsid w:val="0EBCEAE1"/>
    <w:rsid w:val="0EC9D793"/>
    <w:rsid w:val="0ECF1CA0"/>
    <w:rsid w:val="0EE31520"/>
    <w:rsid w:val="0EF4D740"/>
    <w:rsid w:val="0F07AB45"/>
    <w:rsid w:val="0F2B395C"/>
    <w:rsid w:val="0F2BC573"/>
    <w:rsid w:val="0F2D63AF"/>
    <w:rsid w:val="0F40FAF1"/>
    <w:rsid w:val="0F421593"/>
    <w:rsid w:val="0F514672"/>
    <w:rsid w:val="0F7B4FDE"/>
    <w:rsid w:val="0F7E88D0"/>
    <w:rsid w:val="0F831679"/>
    <w:rsid w:val="0F9E83FB"/>
    <w:rsid w:val="0FAFBF04"/>
    <w:rsid w:val="0FB5435D"/>
    <w:rsid w:val="0FF080C2"/>
    <w:rsid w:val="0FFD1EE1"/>
    <w:rsid w:val="100081ED"/>
    <w:rsid w:val="10288968"/>
    <w:rsid w:val="104F3BE3"/>
    <w:rsid w:val="1059C31E"/>
    <w:rsid w:val="107233C4"/>
    <w:rsid w:val="1082EDD6"/>
    <w:rsid w:val="10881443"/>
    <w:rsid w:val="10C892BC"/>
    <w:rsid w:val="10CBEEEA"/>
    <w:rsid w:val="10DC557F"/>
    <w:rsid w:val="10E841D1"/>
    <w:rsid w:val="10F3537D"/>
    <w:rsid w:val="117C0C12"/>
    <w:rsid w:val="11BE1B1C"/>
    <w:rsid w:val="11C78A10"/>
    <w:rsid w:val="11C9BC4B"/>
    <w:rsid w:val="12347075"/>
    <w:rsid w:val="1243857F"/>
    <w:rsid w:val="1247EE9B"/>
    <w:rsid w:val="127EF60F"/>
    <w:rsid w:val="12968484"/>
    <w:rsid w:val="12984AEC"/>
    <w:rsid w:val="12A078F6"/>
    <w:rsid w:val="134100BB"/>
    <w:rsid w:val="13532AD1"/>
    <w:rsid w:val="1394FCDA"/>
    <w:rsid w:val="13AA8374"/>
    <w:rsid w:val="13E22033"/>
    <w:rsid w:val="13EB284F"/>
    <w:rsid w:val="14081E5F"/>
    <w:rsid w:val="140D9671"/>
    <w:rsid w:val="140E1A91"/>
    <w:rsid w:val="1419E6FB"/>
    <w:rsid w:val="1430CCE1"/>
    <w:rsid w:val="145464EB"/>
    <w:rsid w:val="145A7DAD"/>
    <w:rsid w:val="14612A81"/>
    <w:rsid w:val="14668A03"/>
    <w:rsid w:val="146F8C23"/>
    <w:rsid w:val="1474202D"/>
    <w:rsid w:val="147C9E11"/>
    <w:rsid w:val="14A840EC"/>
    <w:rsid w:val="14C2D920"/>
    <w:rsid w:val="14E1CBAB"/>
    <w:rsid w:val="150BFA76"/>
    <w:rsid w:val="152E346A"/>
    <w:rsid w:val="1530F3B0"/>
    <w:rsid w:val="15573EF8"/>
    <w:rsid w:val="155BF763"/>
    <w:rsid w:val="156C0392"/>
    <w:rsid w:val="15872309"/>
    <w:rsid w:val="159606F6"/>
    <w:rsid w:val="15BAF231"/>
    <w:rsid w:val="15C099B0"/>
    <w:rsid w:val="15C997A3"/>
    <w:rsid w:val="15F340D5"/>
    <w:rsid w:val="161C6EA6"/>
    <w:rsid w:val="16248FFC"/>
    <w:rsid w:val="16323E35"/>
    <w:rsid w:val="16719640"/>
    <w:rsid w:val="1690C0C0"/>
    <w:rsid w:val="1690C163"/>
    <w:rsid w:val="16AC2473"/>
    <w:rsid w:val="16CFF769"/>
    <w:rsid w:val="16F9726C"/>
    <w:rsid w:val="16FB5447"/>
    <w:rsid w:val="1711F85F"/>
    <w:rsid w:val="17188A39"/>
    <w:rsid w:val="172097F7"/>
    <w:rsid w:val="172F36B0"/>
    <w:rsid w:val="1756AEC6"/>
    <w:rsid w:val="17650262"/>
    <w:rsid w:val="176D932E"/>
    <w:rsid w:val="17918BBC"/>
    <w:rsid w:val="179B3C05"/>
    <w:rsid w:val="179DAD46"/>
    <w:rsid w:val="17A365F6"/>
    <w:rsid w:val="17A72FC9"/>
    <w:rsid w:val="17BC7C11"/>
    <w:rsid w:val="17C3275D"/>
    <w:rsid w:val="17D2D5B7"/>
    <w:rsid w:val="17DDC232"/>
    <w:rsid w:val="17F438C7"/>
    <w:rsid w:val="181CFBAC"/>
    <w:rsid w:val="1822E05F"/>
    <w:rsid w:val="18402022"/>
    <w:rsid w:val="1840A8E5"/>
    <w:rsid w:val="186DB17B"/>
    <w:rsid w:val="18B94D86"/>
    <w:rsid w:val="18D3FE5C"/>
    <w:rsid w:val="18F48664"/>
    <w:rsid w:val="18F8B242"/>
    <w:rsid w:val="1929F8BF"/>
    <w:rsid w:val="193154C3"/>
    <w:rsid w:val="1955FA22"/>
    <w:rsid w:val="1983A313"/>
    <w:rsid w:val="199FBFCD"/>
    <w:rsid w:val="19AF331F"/>
    <w:rsid w:val="19BAE521"/>
    <w:rsid w:val="19D7EE1B"/>
    <w:rsid w:val="19DA4513"/>
    <w:rsid w:val="19EFAB81"/>
    <w:rsid w:val="1A04380D"/>
    <w:rsid w:val="1A04800E"/>
    <w:rsid w:val="1A72104B"/>
    <w:rsid w:val="1A8F54DB"/>
    <w:rsid w:val="1AA71249"/>
    <w:rsid w:val="1AB6C8D6"/>
    <w:rsid w:val="1AB8237D"/>
    <w:rsid w:val="1AE1DD2B"/>
    <w:rsid w:val="1AE82809"/>
    <w:rsid w:val="1AF63981"/>
    <w:rsid w:val="1AFE46B2"/>
    <w:rsid w:val="1B085762"/>
    <w:rsid w:val="1B0968A8"/>
    <w:rsid w:val="1B22B97C"/>
    <w:rsid w:val="1B2B9311"/>
    <w:rsid w:val="1B3A9A60"/>
    <w:rsid w:val="1B43E8AC"/>
    <w:rsid w:val="1B4D3368"/>
    <w:rsid w:val="1B7A39A5"/>
    <w:rsid w:val="1BC9AE7B"/>
    <w:rsid w:val="1BCD2412"/>
    <w:rsid w:val="1C090FB5"/>
    <w:rsid w:val="1C43F52D"/>
    <w:rsid w:val="1C459D91"/>
    <w:rsid w:val="1C4D45C4"/>
    <w:rsid w:val="1C65DDA6"/>
    <w:rsid w:val="1C7331AC"/>
    <w:rsid w:val="1C808BD2"/>
    <w:rsid w:val="1C930118"/>
    <w:rsid w:val="1C930CE8"/>
    <w:rsid w:val="1CA31FAC"/>
    <w:rsid w:val="1CAB31E3"/>
    <w:rsid w:val="1CBA436F"/>
    <w:rsid w:val="1CC538DA"/>
    <w:rsid w:val="1CFB16DF"/>
    <w:rsid w:val="1D031E62"/>
    <w:rsid w:val="1D156E2C"/>
    <w:rsid w:val="1D2A9BE0"/>
    <w:rsid w:val="1D4C455C"/>
    <w:rsid w:val="1D66E8AB"/>
    <w:rsid w:val="1D75F96E"/>
    <w:rsid w:val="1D92A41F"/>
    <w:rsid w:val="1DACF65C"/>
    <w:rsid w:val="1DB40496"/>
    <w:rsid w:val="1DB47B76"/>
    <w:rsid w:val="1DC6FBBC"/>
    <w:rsid w:val="1DDF8CA1"/>
    <w:rsid w:val="1E42D25A"/>
    <w:rsid w:val="1E54B1A2"/>
    <w:rsid w:val="1E71B7A4"/>
    <w:rsid w:val="1E80F729"/>
    <w:rsid w:val="1E950AA2"/>
    <w:rsid w:val="1E9AA5E6"/>
    <w:rsid w:val="1E9F2154"/>
    <w:rsid w:val="1EA26F93"/>
    <w:rsid w:val="1EB60379"/>
    <w:rsid w:val="1ECA3EB1"/>
    <w:rsid w:val="1ED9A30C"/>
    <w:rsid w:val="1EF12CD5"/>
    <w:rsid w:val="1EF7B360"/>
    <w:rsid w:val="1F05DA8B"/>
    <w:rsid w:val="1F09CA9C"/>
    <w:rsid w:val="1F2E185F"/>
    <w:rsid w:val="1F4B72A9"/>
    <w:rsid w:val="1F6B344E"/>
    <w:rsid w:val="1F741056"/>
    <w:rsid w:val="1FA6941C"/>
    <w:rsid w:val="1FD69037"/>
    <w:rsid w:val="1FEF8762"/>
    <w:rsid w:val="1FFF0002"/>
    <w:rsid w:val="2004C03D"/>
    <w:rsid w:val="200BDB24"/>
    <w:rsid w:val="201C158D"/>
    <w:rsid w:val="20314529"/>
    <w:rsid w:val="203A0546"/>
    <w:rsid w:val="2047E25D"/>
    <w:rsid w:val="204E021A"/>
    <w:rsid w:val="205B64B3"/>
    <w:rsid w:val="205D0AD8"/>
    <w:rsid w:val="2068AF2D"/>
    <w:rsid w:val="206B824A"/>
    <w:rsid w:val="207CC97B"/>
    <w:rsid w:val="208FBCC8"/>
    <w:rsid w:val="2093F701"/>
    <w:rsid w:val="20B58242"/>
    <w:rsid w:val="20BF745B"/>
    <w:rsid w:val="20E933C2"/>
    <w:rsid w:val="21228A18"/>
    <w:rsid w:val="2130CED1"/>
    <w:rsid w:val="2142CD9D"/>
    <w:rsid w:val="2195BE38"/>
    <w:rsid w:val="21C82CDD"/>
    <w:rsid w:val="21D8637D"/>
    <w:rsid w:val="21E9BFCE"/>
    <w:rsid w:val="21F00D24"/>
    <w:rsid w:val="22064EED"/>
    <w:rsid w:val="22371B58"/>
    <w:rsid w:val="224A2643"/>
    <w:rsid w:val="2255DCF7"/>
    <w:rsid w:val="227AC5E5"/>
    <w:rsid w:val="22923AB2"/>
    <w:rsid w:val="229F0AD1"/>
    <w:rsid w:val="22BE3262"/>
    <w:rsid w:val="22C3E924"/>
    <w:rsid w:val="22E33C1E"/>
    <w:rsid w:val="22EF0B0E"/>
    <w:rsid w:val="2334CC44"/>
    <w:rsid w:val="23375B61"/>
    <w:rsid w:val="233FAD33"/>
    <w:rsid w:val="23776021"/>
    <w:rsid w:val="238144F1"/>
    <w:rsid w:val="23B4689F"/>
    <w:rsid w:val="23BEC83A"/>
    <w:rsid w:val="23DFF9FD"/>
    <w:rsid w:val="23EE4FC3"/>
    <w:rsid w:val="2424909D"/>
    <w:rsid w:val="242591D7"/>
    <w:rsid w:val="2431224D"/>
    <w:rsid w:val="244C579E"/>
    <w:rsid w:val="2451942A"/>
    <w:rsid w:val="24642595"/>
    <w:rsid w:val="24788524"/>
    <w:rsid w:val="248D4C9A"/>
    <w:rsid w:val="24AA8F3D"/>
    <w:rsid w:val="250014AA"/>
    <w:rsid w:val="251E795C"/>
    <w:rsid w:val="252888EE"/>
    <w:rsid w:val="252D73E7"/>
    <w:rsid w:val="25406609"/>
    <w:rsid w:val="255A0566"/>
    <w:rsid w:val="256943BC"/>
    <w:rsid w:val="2578EBF7"/>
    <w:rsid w:val="25B17E7C"/>
    <w:rsid w:val="25C04CC5"/>
    <w:rsid w:val="25D930DE"/>
    <w:rsid w:val="25DD3785"/>
    <w:rsid w:val="26168BDC"/>
    <w:rsid w:val="261CC5A7"/>
    <w:rsid w:val="2624C5F8"/>
    <w:rsid w:val="262AB420"/>
    <w:rsid w:val="264991B8"/>
    <w:rsid w:val="264D0B2E"/>
    <w:rsid w:val="2675AF6D"/>
    <w:rsid w:val="2677FB93"/>
    <w:rsid w:val="267CBAD1"/>
    <w:rsid w:val="2688C630"/>
    <w:rsid w:val="26950D52"/>
    <w:rsid w:val="269F81FB"/>
    <w:rsid w:val="26C04A50"/>
    <w:rsid w:val="26DC12AA"/>
    <w:rsid w:val="27102458"/>
    <w:rsid w:val="2715191F"/>
    <w:rsid w:val="275492E0"/>
    <w:rsid w:val="2774E772"/>
    <w:rsid w:val="279D0FF5"/>
    <w:rsid w:val="27A2C1F0"/>
    <w:rsid w:val="27DA7113"/>
    <w:rsid w:val="27FC73AA"/>
    <w:rsid w:val="27FD661E"/>
    <w:rsid w:val="28033954"/>
    <w:rsid w:val="2807B089"/>
    <w:rsid w:val="28227715"/>
    <w:rsid w:val="2840FFC5"/>
    <w:rsid w:val="28424A7E"/>
    <w:rsid w:val="286E2580"/>
    <w:rsid w:val="2871DFAD"/>
    <w:rsid w:val="28A1E9BA"/>
    <w:rsid w:val="28A85D1E"/>
    <w:rsid w:val="28D138A7"/>
    <w:rsid w:val="28DD56BA"/>
    <w:rsid w:val="28F5B57E"/>
    <w:rsid w:val="28FD6A84"/>
    <w:rsid w:val="292AB870"/>
    <w:rsid w:val="292CCBDA"/>
    <w:rsid w:val="29530608"/>
    <w:rsid w:val="2967D340"/>
    <w:rsid w:val="298D8B4E"/>
    <w:rsid w:val="2999B64B"/>
    <w:rsid w:val="29B61CB9"/>
    <w:rsid w:val="29C461BB"/>
    <w:rsid w:val="29D9CFB1"/>
    <w:rsid w:val="29E82E89"/>
    <w:rsid w:val="29F467D8"/>
    <w:rsid w:val="29FCE8EF"/>
    <w:rsid w:val="29FDEFFC"/>
    <w:rsid w:val="2A00D1CA"/>
    <w:rsid w:val="2A07F120"/>
    <w:rsid w:val="2A22DFDA"/>
    <w:rsid w:val="2A8B0134"/>
    <w:rsid w:val="2ABD7CAA"/>
    <w:rsid w:val="2AC274D8"/>
    <w:rsid w:val="2AC5CA5E"/>
    <w:rsid w:val="2ACCA595"/>
    <w:rsid w:val="2AD4CE3F"/>
    <w:rsid w:val="2B0F1FD2"/>
    <w:rsid w:val="2B1D7D8F"/>
    <w:rsid w:val="2B40A6F6"/>
    <w:rsid w:val="2B8A9B0F"/>
    <w:rsid w:val="2B9EBECC"/>
    <w:rsid w:val="2BD1C263"/>
    <w:rsid w:val="2BE460A7"/>
    <w:rsid w:val="2BFAC28D"/>
    <w:rsid w:val="2C03FD97"/>
    <w:rsid w:val="2C06A7DB"/>
    <w:rsid w:val="2C15311C"/>
    <w:rsid w:val="2C236B03"/>
    <w:rsid w:val="2C2C7C63"/>
    <w:rsid w:val="2C31E9C7"/>
    <w:rsid w:val="2C4BBE61"/>
    <w:rsid w:val="2C8AC5F0"/>
    <w:rsid w:val="2CA0EC4F"/>
    <w:rsid w:val="2CBE6FC5"/>
    <w:rsid w:val="2CF00CB7"/>
    <w:rsid w:val="2D0BDC9E"/>
    <w:rsid w:val="2D129A39"/>
    <w:rsid w:val="2D14F330"/>
    <w:rsid w:val="2D2B41AE"/>
    <w:rsid w:val="2D435BBB"/>
    <w:rsid w:val="2D4493AF"/>
    <w:rsid w:val="2D6DA63C"/>
    <w:rsid w:val="2D7BA147"/>
    <w:rsid w:val="2D7C71B3"/>
    <w:rsid w:val="2D930F7E"/>
    <w:rsid w:val="2D9E41C2"/>
    <w:rsid w:val="2DBB520F"/>
    <w:rsid w:val="2DE8A243"/>
    <w:rsid w:val="2DF62E1A"/>
    <w:rsid w:val="2E326918"/>
    <w:rsid w:val="2E36840D"/>
    <w:rsid w:val="2E40C75E"/>
    <w:rsid w:val="2E4593D5"/>
    <w:rsid w:val="2E628878"/>
    <w:rsid w:val="2E6353A4"/>
    <w:rsid w:val="2E7164A5"/>
    <w:rsid w:val="2E7B1A5F"/>
    <w:rsid w:val="2E9302E0"/>
    <w:rsid w:val="2E99F418"/>
    <w:rsid w:val="2E9B1DAA"/>
    <w:rsid w:val="2EE5AC15"/>
    <w:rsid w:val="2F1459E7"/>
    <w:rsid w:val="2F2D452C"/>
    <w:rsid w:val="2F60809F"/>
    <w:rsid w:val="2F65BCD2"/>
    <w:rsid w:val="2F74ACC6"/>
    <w:rsid w:val="2F9018EC"/>
    <w:rsid w:val="2FA81BA2"/>
    <w:rsid w:val="2FB44621"/>
    <w:rsid w:val="2FCDCFF8"/>
    <w:rsid w:val="2FE15605"/>
    <w:rsid w:val="3015B3ED"/>
    <w:rsid w:val="30261560"/>
    <w:rsid w:val="3042A346"/>
    <w:rsid w:val="30751BCF"/>
    <w:rsid w:val="30BACF13"/>
    <w:rsid w:val="30C80885"/>
    <w:rsid w:val="30CC1713"/>
    <w:rsid w:val="30CEF8F1"/>
    <w:rsid w:val="30DE4C37"/>
    <w:rsid w:val="30E565E1"/>
    <w:rsid w:val="30F22FEE"/>
    <w:rsid w:val="310EE3AC"/>
    <w:rsid w:val="3120D098"/>
    <w:rsid w:val="31829C04"/>
    <w:rsid w:val="31C62DBC"/>
    <w:rsid w:val="31F40248"/>
    <w:rsid w:val="31F9DAA8"/>
    <w:rsid w:val="320F7494"/>
    <w:rsid w:val="32112E28"/>
    <w:rsid w:val="3220BFE8"/>
    <w:rsid w:val="3242B499"/>
    <w:rsid w:val="327A42F8"/>
    <w:rsid w:val="328FF074"/>
    <w:rsid w:val="3299D41B"/>
    <w:rsid w:val="32AF0EA0"/>
    <w:rsid w:val="32CAE95C"/>
    <w:rsid w:val="32CFB1CC"/>
    <w:rsid w:val="32EAA5B5"/>
    <w:rsid w:val="33040FF4"/>
    <w:rsid w:val="331650E2"/>
    <w:rsid w:val="333F120E"/>
    <w:rsid w:val="3342066B"/>
    <w:rsid w:val="3352426F"/>
    <w:rsid w:val="33613226"/>
    <w:rsid w:val="33726912"/>
    <w:rsid w:val="33B8F783"/>
    <w:rsid w:val="33C6FA36"/>
    <w:rsid w:val="33CFB29B"/>
    <w:rsid w:val="33F6A13B"/>
    <w:rsid w:val="340436C3"/>
    <w:rsid w:val="345585E7"/>
    <w:rsid w:val="345E4984"/>
    <w:rsid w:val="34A3C421"/>
    <w:rsid w:val="34B6EBA0"/>
    <w:rsid w:val="34E56DC1"/>
    <w:rsid w:val="34F6678D"/>
    <w:rsid w:val="34F88DAB"/>
    <w:rsid w:val="350125D4"/>
    <w:rsid w:val="35249EBB"/>
    <w:rsid w:val="35493B1A"/>
    <w:rsid w:val="356C749B"/>
    <w:rsid w:val="356FB5AE"/>
    <w:rsid w:val="3571A7E1"/>
    <w:rsid w:val="35770029"/>
    <w:rsid w:val="3580F6D6"/>
    <w:rsid w:val="3596F69D"/>
    <w:rsid w:val="35985994"/>
    <w:rsid w:val="35E0B8D9"/>
    <w:rsid w:val="35E0E6F0"/>
    <w:rsid w:val="36028A1E"/>
    <w:rsid w:val="361336AF"/>
    <w:rsid w:val="361785B3"/>
    <w:rsid w:val="361C69A7"/>
    <w:rsid w:val="361E87D1"/>
    <w:rsid w:val="362CB7DD"/>
    <w:rsid w:val="364195F2"/>
    <w:rsid w:val="36643757"/>
    <w:rsid w:val="3667CB5C"/>
    <w:rsid w:val="36874F15"/>
    <w:rsid w:val="368B12D1"/>
    <w:rsid w:val="368E23D6"/>
    <w:rsid w:val="36993623"/>
    <w:rsid w:val="36A57C9D"/>
    <w:rsid w:val="36B92331"/>
    <w:rsid w:val="36F8F50A"/>
    <w:rsid w:val="36F93A27"/>
    <w:rsid w:val="370B2019"/>
    <w:rsid w:val="373D0226"/>
    <w:rsid w:val="374C4E1E"/>
    <w:rsid w:val="3753B5DE"/>
    <w:rsid w:val="376E70D7"/>
    <w:rsid w:val="377D80D1"/>
    <w:rsid w:val="378700F3"/>
    <w:rsid w:val="37A87431"/>
    <w:rsid w:val="37B13BEE"/>
    <w:rsid w:val="37B164F0"/>
    <w:rsid w:val="37B36B86"/>
    <w:rsid w:val="37B9F034"/>
    <w:rsid w:val="37C2B4F7"/>
    <w:rsid w:val="37CC2C07"/>
    <w:rsid w:val="3814711E"/>
    <w:rsid w:val="3824B30D"/>
    <w:rsid w:val="382A801C"/>
    <w:rsid w:val="383226DA"/>
    <w:rsid w:val="3838F967"/>
    <w:rsid w:val="383ACB98"/>
    <w:rsid w:val="38606743"/>
    <w:rsid w:val="3863C047"/>
    <w:rsid w:val="388042A3"/>
    <w:rsid w:val="3889C708"/>
    <w:rsid w:val="388A44B1"/>
    <w:rsid w:val="38A5A554"/>
    <w:rsid w:val="38A8547D"/>
    <w:rsid w:val="38AC6080"/>
    <w:rsid w:val="38B8AF29"/>
    <w:rsid w:val="38D5605F"/>
    <w:rsid w:val="38DB5B56"/>
    <w:rsid w:val="38F1FAE4"/>
    <w:rsid w:val="38FD2878"/>
    <w:rsid w:val="391C252B"/>
    <w:rsid w:val="391C5185"/>
    <w:rsid w:val="393405DA"/>
    <w:rsid w:val="3942BC8E"/>
    <w:rsid w:val="39897DD3"/>
    <w:rsid w:val="398DFD0C"/>
    <w:rsid w:val="399C4E72"/>
    <w:rsid w:val="39AB15DD"/>
    <w:rsid w:val="39C16B37"/>
    <w:rsid w:val="39C21238"/>
    <w:rsid w:val="39D3F9D0"/>
    <w:rsid w:val="39E0CF08"/>
    <w:rsid w:val="39E8F2EA"/>
    <w:rsid w:val="3A05C359"/>
    <w:rsid w:val="3A38C86F"/>
    <w:rsid w:val="3A39F179"/>
    <w:rsid w:val="3A650507"/>
    <w:rsid w:val="3A7000AF"/>
    <w:rsid w:val="3A74A2E8"/>
    <w:rsid w:val="3ABD9A78"/>
    <w:rsid w:val="3ACDE7A1"/>
    <w:rsid w:val="3AF10464"/>
    <w:rsid w:val="3B08907D"/>
    <w:rsid w:val="3B0AFA13"/>
    <w:rsid w:val="3B1EE5BF"/>
    <w:rsid w:val="3B26CD5C"/>
    <w:rsid w:val="3B5827F2"/>
    <w:rsid w:val="3B6AAB32"/>
    <w:rsid w:val="3B798D6B"/>
    <w:rsid w:val="3B7FA40E"/>
    <w:rsid w:val="3B8591BB"/>
    <w:rsid w:val="3B8B8CA7"/>
    <w:rsid w:val="3B9172D0"/>
    <w:rsid w:val="3BBEB72B"/>
    <w:rsid w:val="3BCD9DDC"/>
    <w:rsid w:val="3BD452B8"/>
    <w:rsid w:val="3BD74810"/>
    <w:rsid w:val="3C141EA8"/>
    <w:rsid w:val="3C42685B"/>
    <w:rsid w:val="3C59699B"/>
    <w:rsid w:val="3C5CB770"/>
    <w:rsid w:val="3C63C4A9"/>
    <w:rsid w:val="3C710955"/>
    <w:rsid w:val="3C987CAC"/>
    <w:rsid w:val="3CA02CFD"/>
    <w:rsid w:val="3CAF5FB0"/>
    <w:rsid w:val="3CAF98D9"/>
    <w:rsid w:val="3CB59CD3"/>
    <w:rsid w:val="3CB970A4"/>
    <w:rsid w:val="3CBE68C9"/>
    <w:rsid w:val="3CBFFFA3"/>
    <w:rsid w:val="3CF667F6"/>
    <w:rsid w:val="3D136B0D"/>
    <w:rsid w:val="3D1A1FAB"/>
    <w:rsid w:val="3D434EFF"/>
    <w:rsid w:val="3D4C0FB2"/>
    <w:rsid w:val="3D6CBE82"/>
    <w:rsid w:val="3D734A47"/>
    <w:rsid w:val="3D7A7E08"/>
    <w:rsid w:val="3D7FBFC1"/>
    <w:rsid w:val="3D80554E"/>
    <w:rsid w:val="3D843447"/>
    <w:rsid w:val="3DA8957D"/>
    <w:rsid w:val="3DC557D0"/>
    <w:rsid w:val="3DE8F8E5"/>
    <w:rsid w:val="3E05CFE2"/>
    <w:rsid w:val="3E2484B5"/>
    <w:rsid w:val="3E437A5B"/>
    <w:rsid w:val="3E57C548"/>
    <w:rsid w:val="3E6B5868"/>
    <w:rsid w:val="3E7D4B7B"/>
    <w:rsid w:val="3E81097D"/>
    <w:rsid w:val="3EB1A412"/>
    <w:rsid w:val="3ED11CF2"/>
    <w:rsid w:val="3EF49185"/>
    <w:rsid w:val="3F185DA0"/>
    <w:rsid w:val="3F207165"/>
    <w:rsid w:val="3F282AB3"/>
    <w:rsid w:val="3F3D8B1E"/>
    <w:rsid w:val="3F46BE42"/>
    <w:rsid w:val="3F4CE8AB"/>
    <w:rsid w:val="3F550807"/>
    <w:rsid w:val="3F75B738"/>
    <w:rsid w:val="3F9F4472"/>
    <w:rsid w:val="3FA1BAE1"/>
    <w:rsid w:val="3FA5E790"/>
    <w:rsid w:val="3FC5A780"/>
    <w:rsid w:val="3FD74A3F"/>
    <w:rsid w:val="3FE893A3"/>
    <w:rsid w:val="400400F8"/>
    <w:rsid w:val="403CA2E2"/>
    <w:rsid w:val="40483382"/>
    <w:rsid w:val="404DD2CC"/>
    <w:rsid w:val="407AA74F"/>
    <w:rsid w:val="408BFBEE"/>
    <w:rsid w:val="408C8E10"/>
    <w:rsid w:val="40C04F7E"/>
    <w:rsid w:val="40CD07A3"/>
    <w:rsid w:val="40EB9ACC"/>
    <w:rsid w:val="40F3916B"/>
    <w:rsid w:val="40FCB181"/>
    <w:rsid w:val="40FE4EB2"/>
    <w:rsid w:val="412309E2"/>
    <w:rsid w:val="412D61A9"/>
    <w:rsid w:val="41321185"/>
    <w:rsid w:val="413CB042"/>
    <w:rsid w:val="413D02DB"/>
    <w:rsid w:val="41523643"/>
    <w:rsid w:val="4159E9DE"/>
    <w:rsid w:val="41679E76"/>
    <w:rsid w:val="418E0A9D"/>
    <w:rsid w:val="4197F680"/>
    <w:rsid w:val="419A0D6F"/>
    <w:rsid w:val="419E757C"/>
    <w:rsid w:val="41AD07BD"/>
    <w:rsid w:val="41DB59D8"/>
    <w:rsid w:val="41E46E39"/>
    <w:rsid w:val="41EEA722"/>
    <w:rsid w:val="42018021"/>
    <w:rsid w:val="421F7BE6"/>
    <w:rsid w:val="4226D0F9"/>
    <w:rsid w:val="423C61EE"/>
    <w:rsid w:val="4245D724"/>
    <w:rsid w:val="4265215F"/>
    <w:rsid w:val="42962F95"/>
    <w:rsid w:val="42B45CA9"/>
    <w:rsid w:val="42B4AEFF"/>
    <w:rsid w:val="42C05A8F"/>
    <w:rsid w:val="42CC28D4"/>
    <w:rsid w:val="42E6A3CD"/>
    <w:rsid w:val="42E8E513"/>
    <w:rsid w:val="431D7296"/>
    <w:rsid w:val="432DD5D9"/>
    <w:rsid w:val="4330F2A8"/>
    <w:rsid w:val="4348B448"/>
    <w:rsid w:val="4355C384"/>
    <w:rsid w:val="435C51FB"/>
    <w:rsid w:val="4363C895"/>
    <w:rsid w:val="436F135C"/>
    <w:rsid w:val="43765558"/>
    <w:rsid w:val="43BA5BB1"/>
    <w:rsid w:val="43C27302"/>
    <w:rsid w:val="43D1A759"/>
    <w:rsid w:val="43F57945"/>
    <w:rsid w:val="440CB2B7"/>
    <w:rsid w:val="440F0F91"/>
    <w:rsid w:val="4413846C"/>
    <w:rsid w:val="445EC4F8"/>
    <w:rsid w:val="44700A67"/>
    <w:rsid w:val="44877D8A"/>
    <w:rsid w:val="449AD447"/>
    <w:rsid w:val="44C53FAB"/>
    <w:rsid w:val="44DD0812"/>
    <w:rsid w:val="44E484A9"/>
    <w:rsid w:val="450901CF"/>
    <w:rsid w:val="454E7108"/>
    <w:rsid w:val="45691F97"/>
    <w:rsid w:val="45C01CDC"/>
    <w:rsid w:val="45D15426"/>
    <w:rsid w:val="45D1A606"/>
    <w:rsid w:val="45EEB757"/>
    <w:rsid w:val="45FDDF95"/>
    <w:rsid w:val="460BDE8E"/>
    <w:rsid w:val="4645B49C"/>
    <w:rsid w:val="465A366E"/>
    <w:rsid w:val="4671EA4A"/>
    <w:rsid w:val="467AC1CB"/>
    <w:rsid w:val="4699ED5B"/>
    <w:rsid w:val="46A09984"/>
    <w:rsid w:val="46AB7911"/>
    <w:rsid w:val="46F5174F"/>
    <w:rsid w:val="470AE676"/>
    <w:rsid w:val="47107521"/>
    <w:rsid w:val="471A4466"/>
    <w:rsid w:val="473D2F1B"/>
    <w:rsid w:val="476AE3F9"/>
    <w:rsid w:val="4788AD7B"/>
    <w:rsid w:val="47A6AA21"/>
    <w:rsid w:val="47A73505"/>
    <w:rsid w:val="47A9669D"/>
    <w:rsid w:val="47CD7D07"/>
    <w:rsid w:val="47CE895F"/>
    <w:rsid w:val="47D31745"/>
    <w:rsid w:val="47E5E5B3"/>
    <w:rsid w:val="47E93EE9"/>
    <w:rsid w:val="48042195"/>
    <w:rsid w:val="482A1B49"/>
    <w:rsid w:val="48341D68"/>
    <w:rsid w:val="483E474F"/>
    <w:rsid w:val="489DFDD2"/>
    <w:rsid w:val="48D4E9E8"/>
    <w:rsid w:val="49305163"/>
    <w:rsid w:val="493CC39E"/>
    <w:rsid w:val="493EEA5C"/>
    <w:rsid w:val="494C0069"/>
    <w:rsid w:val="49542BB2"/>
    <w:rsid w:val="499F3394"/>
    <w:rsid w:val="49C74F13"/>
    <w:rsid w:val="49C9A1A1"/>
    <w:rsid w:val="49DC4271"/>
    <w:rsid w:val="49DD1406"/>
    <w:rsid w:val="49EB9D5B"/>
    <w:rsid w:val="49FCE71F"/>
    <w:rsid w:val="4A08FF23"/>
    <w:rsid w:val="4A10B61C"/>
    <w:rsid w:val="4A7074C3"/>
    <w:rsid w:val="4A75C9F3"/>
    <w:rsid w:val="4A81000C"/>
    <w:rsid w:val="4AB6AD32"/>
    <w:rsid w:val="4AD5B25B"/>
    <w:rsid w:val="4AF29D83"/>
    <w:rsid w:val="4B758DB4"/>
    <w:rsid w:val="4B7C4B4F"/>
    <w:rsid w:val="4B7E3577"/>
    <w:rsid w:val="4B910535"/>
    <w:rsid w:val="4BD771C5"/>
    <w:rsid w:val="4BE12836"/>
    <w:rsid w:val="4BE15B07"/>
    <w:rsid w:val="4BE78B35"/>
    <w:rsid w:val="4BFA94E3"/>
    <w:rsid w:val="4C186A74"/>
    <w:rsid w:val="4C1DAF35"/>
    <w:rsid w:val="4C4A885D"/>
    <w:rsid w:val="4C5A85FC"/>
    <w:rsid w:val="4C5B4934"/>
    <w:rsid w:val="4C691AEF"/>
    <w:rsid w:val="4CC509E7"/>
    <w:rsid w:val="4CC6CCE8"/>
    <w:rsid w:val="4CE2F6D0"/>
    <w:rsid w:val="4CF72F01"/>
    <w:rsid w:val="4CF78414"/>
    <w:rsid w:val="4D06FF1D"/>
    <w:rsid w:val="4D2A7666"/>
    <w:rsid w:val="4D2B4208"/>
    <w:rsid w:val="4D3D7C1E"/>
    <w:rsid w:val="4D5BD49E"/>
    <w:rsid w:val="4D628A02"/>
    <w:rsid w:val="4D6976F1"/>
    <w:rsid w:val="4D70DE0A"/>
    <w:rsid w:val="4D81668E"/>
    <w:rsid w:val="4DA0CA57"/>
    <w:rsid w:val="4DBC4AB0"/>
    <w:rsid w:val="4DE8543F"/>
    <w:rsid w:val="4E577DFD"/>
    <w:rsid w:val="4E5D34E1"/>
    <w:rsid w:val="4E6625BA"/>
    <w:rsid w:val="4E920343"/>
    <w:rsid w:val="4E9B1A45"/>
    <w:rsid w:val="4E9D8617"/>
    <w:rsid w:val="4EA277C5"/>
    <w:rsid w:val="4EB5874A"/>
    <w:rsid w:val="4EF50AB1"/>
    <w:rsid w:val="4F11F1F9"/>
    <w:rsid w:val="4F1D2630"/>
    <w:rsid w:val="4F226365"/>
    <w:rsid w:val="4F37C139"/>
    <w:rsid w:val="4F3B64C7"/>
    <w:rsid w:val="4F3CE636"/>
    <w:rsid w:val="4F5010E5"/>
    <w:rsid w:val="4F740A82"/>
    <w:rsid w:val="4F7641BB"/>
    <w:rsid w:val="4F80B6FF"/>
    <w:rsid w:val="4F91AED0"/>
    <w:rsid w:val="4FA1D0A5"/>
    <w:rsid w:val="4FAFC3C8"/>
    <w:rsid w:val="4FCE32AA"/>
    <w:rsid w:val="4FEA6B0A"/>
    <w:rsid w:val="4FEDEBB0"/>
    <w:rsid w:val="50120C80"/>
    <w:rsid w:val="50140774"/>
    <w:rsid w:val="50253976"/>
    <w:rsid w:val="502F83E1"/>
    <w:rsid w:val="504DB45A"/>
    <w:rsid w:val="504F3496"/>
    <w:rsid w:val="507B293C"/>
    <w:rsid w:val="507B448E"/>
    <w:rsid w:val="509D2CCC"/>
    <w:rsid w:val="509EB4EA"/>
    <w:rsid w:val="50AC3C94"/>
    <w:rsid w:val="50D41AAA"/>
    <w:rsid w:val="50D73528"/>
    <w:rsid w:val="50D7CC8C"/>
    <w:rsid w:val="50E3011C"/>
    <w:rsid w:val="50EF8B86"/>
    <w:rsid w:val="50F68CDA"/>
    <w:rsid w:val="5140CA1F"/>
    <w:rsid w:val="51AAD048"/>
    <w:rsid w:val="51CD3A72"/>
    <w:rsid w:val="51F06723"/>
    <w:rsid w:val="5208F056"/>
    <w:rsid w:val="520CC57B"/>
    <w:rsid w:val="521E17E4"/>
    <w:rsid w:val="5222C106"/>
    <w:rsid w:val="524ABB85"/>
    <w:rsid w:val="5254EE30"/>
    <w:rsid w:val="527C34CE"/>
    <w:rsid w:val="527D94EC"/>
    <w:rsid w:val="5293B315"/>
    <w:rsid w:val="52A3D9F4"/>
    <w:rsid w:val="52AA32E8"/>
    <w:rsid w:val="52E094AD"/>
    <w:rsid w:val="53051AFA"/>
    <w:rsid w:val="53091B82"/>
    <w:rsid w:val="531BDF58"/>
    <w:rsid w:val="5328FF63"/>
    <w:rsid w:val="5334787D"/>
    <w:rsid w:val="536523C4"/>
    <w:rsid w:val="536E5897"/>
    <w:rsid w:val="538AB733"/>
    <w:rsid w:val="5390ACE3"/>
    <w:rsid w:val="539DD9B3"/>
    <w:rsid w:val="53ACE69D"/>
    <w:rsid w:val="53B0B7C6"/>
    <w:rsid w:val="53B34E50"/>
    <w:rsid w:val="53B52F8D"/>
    <w:rsid w:val="53D53BBC"/>
    <w:rsid w:val="54087345"/>
    <w:rsid w:val="540E6CFF"/>
    <w:rsid w:val="54550400"/>
    <w:rsid w:val="54956149"/>
    <w:rsid w:val="54A5A881"/>
    <w:rsid w:val="54AEE980"/>
    <w:rsid w:val="54C2D45B"/>
    <w:rsid w:val="54C98280"/>
    <w:rsid w:val="54EBE5A8"/>
    <w:rsid w:val="54ECDE6B"/>
    <w:rsid w:val="551BF9B5"/>
    <w:rsid w:val="552259AF"/>
    <w:rsid w:val="555EC108"/>
    <w:rsid w:val="55779575"/>
    <w:rsid w:val="557A8909"/>
    <w:rsid w:val="55875C5B"/>
    <w:rsid w:val="559274D4"/>
    <w:rsid w:val="55B4F2CE"/>
    <w:rsid w:val="55C21DAB"/>
    <w:rsid w:val="55C9DA3D"/>
    <w:rsid w:val="55CAC12C"/>
    <w:rsid w:val="55F658EC"/>
    <w:rsid w:val="56197A19"/>
    <w:rsid w:val="563365BD"/>
    <w:rsid w:val="56BC37F1"/>
    <w:rsid w:val="571159CE"/>
    <w:rsid w:val="571AEA47"/>
    <w:rsid w:val="573674DF"/>
    <w:rsid w:val="5755941F"/>
    <w:rsid w:val="577BBA00"/>
    <w:rsid w:val="5782C660"/>
    <w:rsid w:val="578D7E1C"/>
    <w:rsid w:val="579463F0"/>
    <w:rsid w:val="579769FF"/>
    <w:rsid w:val="57C63EA8"/>
    <w:rsid w:val="57DC7D11"/>
    <w:rsid w:val="57DD1EDB"/>
    <w:rsid w:val="57EC57A5"/>
    <w:rsid w:val="57EF2F5C"/>
    <w:rsid w:val="581659B0"/>
    <w:rsid w:val="581CB9BE"/>
    <w:rsid w:val="5830AB50"/>
    <w:rsid w:val="585B2F80"/>
    <w:rsid w:val="58B8B03A"/>
    <w:rsid w:val="58C6041A"/>
    <w:rsid w:val="58E055D0"/>
    <w:rsid w:val="593D51FA"/>
    <w:rsid w:val="59442C00"/>
    <w:rsid w:val="5946E9DC"/>
    <w:rsid w:val="59A18B9B"/>
    <w:rsid w:val="59C6D5A0"/>
    <w:rsid w:val="59EA1EA6"/>
    <w:rsid w:val="59F42BA8"/>
    <w:rsid w:val="5A2B5C69"/>
    <w:rsid w:val="5A47161C"/>
    <w:rsid w:val="5A8DC113"/>
    <w:rsid w:val="5A9AFF65"/>
    <w:rsid w:val="5AA8B5AA"/>
    <w:rsid w:val="5AADEFBA"/>
    <w:rsid w:val="5ABD87E9"/>
    <w:rsid w:val="5AEBFCD1"/>
    <w:rsid w:val="5AEF7DCC"/>
    <w:rsid w:val="5B2338B6"/>
    <w:rsid w:val="5B26A1C6"/>
    <w:rsid w:val="5B2CAACB"/>
    <w:rsid w:val="5B4388C9"/>
    <w:rsid w:val="5B649CB6"/>
    <w:rsid w:val="5B7A34C5"/>
    <w:rsid w:val="5B80667B"/>
    <w:rsid w:val="5B8639BF"/>
    <w:rsid w:val="5BADA8B9"/>
    <w:rsid w:val="5BC7F47D"/>
    <w:rsid w:val="5BDA83E7"/>
    <w:rsid w:val="5BDD21B6"/>
    <w:rsid w:val="5BE2239E"/>
    <w:rsid w:val="5BF9C60A"/>
    <w:rsid w:val="5C11D0DC"/>
    <w:rsid w:val="5C22A5A4"/>
    <w:rsid w:val="5C286D7E"/>
    <w:rsid w:val="5C3C2DBF"/>
    <w:rsid w:val="5C3E6985"/>
    <w:rsid w:val="5C53312C"/>
    <w:rsid w:val="5C53EF9F"/>
    <w:rsid w:val="5C6EFE6F"/>
    <w:rsid w:val="5C7B4D49"/>
    <w:rsid w:val="5CA4B2C5"/>
    <w:rsid w:val="5CA60D6C"/>
    <w:rsid w:val="5CC3BE28"/>
    <w:rsid w:val="5CC46BD2"/>
    <w:rsid w:val="5CE4B186"/>
    <w:rsid w:val="5CF875F4"/>
    <w:rsid w:val="5D0656CC"/>
    <w:rsid w:val="5D413AFF"/>
    <w:rsid w:val="5D45AA65"/>
    <w:rsid w:val="5D548469"/>
    <w:rsid w:val="5D61C102"/>
    <w:rsid w:val="5D646CB9"/>
    <w:rsid w:val="5D847140"/>
    <w:rsid w:val="5D8D72BE"/>
    <w:rsid w:val="5DAF2EA5"/>
    <w:rsid w:val="5DB7B9A0"/>
    <w:rsid w:val="5DBB6103"/>
    <w:rsid w:val="5DC8F477"/>
    <w:rsid w:val="5DCDA042"/>
    <w:rsid w:val="5DD8F583"/>
    <w:rsid w:val="5DF0F1FF"/>
    <w:rsid w:val="5E0871EB"/>
    <w:rsid w:val="5E160AC2"/>
    <w:rsid w:val="5E1D92A6"/>
    <w:rsid w:val="5E2875C4"/>
    <w:rsid w:val="5E2D81E7"/>
    <w:rsid w:val="5E5B043F"/>
    <w:rsid w:val="5E6269BC"/>
    <w:rsid w:val="5E7F0F6F"/>
    <w:rsid w:val="5E917469"/>
    <w:rsid w:val="5EA1948F"/>
    <w:rsid w:val="5EB6036C"/>
    <w:rsid w:val="5EE2CBF2"/>
    <w:rsid w:val="5F034A57"/>
    <w:rsid w:val="5F365F76"/>
    <w:rsid w:val="5F72ECD7"/>
    <w:rsid w:val="5F8353D9"/>
    <w:rsid w:val="5F9259D2"/>
    <w:rsid w:val="5FB5705A"/>
    <w:rsid w:val="5FC2567B"/>
    <w:rsid w:val="5FCA45D1"/>
    <w:rsid w:val="5FF0DC47"/>
    <w:rsid w:val="5FFA9596"/>
    <w:rsid w:val="600ECEFD"/>
    <w:rsid w:val="604B9BF8"/>
    <w:rsid w:val="606FE842"/>
    <w:rsid w:val="608FA51D"/>
    <w:rsid w:val="609B1FA4"/>
    <w:rsid w:val="60A442E8"/>
    <w:rsid w:val="60CAF28F"/>
    <w:rsid w:val="60CD62FA"/>
    <w:rsid w:val="60E0A7CF"/>
    <w:rsid w:val="611A76AE"/>
    <w:rsid w:val="612B1F57"/>
    <w:rsid w:val="612BCF84"/>
    <w:rsid w:val="613B95C4"/>
    <w:rsid w:val="614176F6"/>
    <w:rsid w:val="614E2712"/>
    <w:rsid w:val="61602EF4"/>
    <w:rsid w:val="61AD6F08"/>
    <w:rsid w:val="61C7F388"/>
    <w:rsid w:val="61DD3FD0"/>
    <w:rsid w:val="61E03390"/>
    <w:rsid w:val="61F0020E"/>
    <w:rsid w:val="62036FE7"/>
    <w:rsid w:val="621CDFC3"/>
    <w:rsid w:val="6235C8C0"/>
    <w:rsid w:val="6248606E"/>
    <w:rsid w:val="629E84C2"/>
    <w:rsid w:val="62AAA1C4"/>
    <w:rsid w:val="62C30B8E"/>
    <w:rsid w:val="63032F18"/>
    <w:rsid w:val="630457BC"/>
    <w:rsid w:val="63285518"/>
    <w:rsid w:val="63495638"/>
    <w:rsid w:val="6354E560"/>
    <w:rsid w:val="6373B833"/>
    <w:rsid w:val="63978CB1"/>
    <w:rsid w:val="63BA6388"/>
    <w:rsid w:val="6433A4D5"/>
    <w:rsid w:val="644C69A8"/>
    <w:rsid w:val="64863F9D"/>
    <w:rsid w:val="64900AAB"/>
    <w:rsid w:val="64C0D23B"/>
    <w:rsid w:val="64EE6675"/>
    <w:rsid w:val="6511CB9E"/>
    <w:rsid w:val="655BDFE1"/>
    <w:rsid w:val="65764721"/>
    <w:rsid w:val="65980179"/>
    <w:rsid w:val="65CF7536"/>
    <w:rsid w:val="65D281F8"/>
    <w:rsid w:val="65D32FC9"/>
    <w:rsid w:val="65EDA157"/>
    <w:rsid w:val="663F6FFE"/>
    <w:rsid w:val="66506B05"/>
    <w:rsid w:val="66638162"/>
    <w:rsid w:val="667BB875"/>
    <w:rsid w:val="668C20AC"/>
    <w:rsid w:val="66917528"/>
    <w:rsid w:val="66A22D15"/>
    <w:rsid w:val="66AFCD24"/>
    <w:rsid w:val="66B8D7F3"/>
    <w:rsid w:val="66BCEBE5"/>
    <w:rsid w:val="66D67AAB"/>
    <w:rsid w:val="6713E280"/>
    <w:rsid w:val="671447CE"/>
    <w:rsid w:val="67277D98"/>
    <w:rsid w:val="6760394C"/>
    <w:rsid w:val="67868494"/>
    <w:rsid w:val="67A7CC4D"/>
    <w:rsid w:val="67C6AA93"/>
    <w:rsid w:val="67C6C6E5"/>
    <w:rsid w:val="67CA4413"/>
    <w:rsid w:val="67D3C0E7"/>
    <w:rsid w:val="6867301D"/>
    <w:rsid w:val="686FE477"/>
    <w:rsid w:val="687640E0"/>
    <w:rsid w:val="687FF3D3"/>
    <w:rsid w:val="68980F27"/>
    <w:rsid w:val="689824E8"/>
    <w:rsid w:val="68BBDE7E"/>
    <w:rsid w:val="6911F094"/>
    <w:rsid w:val="6939AFD0"/>
    <w:rsid w:val="6950A2D5"/>
    <w:rsid w:val="69599181"/>
    <w:rsid w:val="697AAAB0"/>
    <w:rsid w:val="69B44D0C"/>
    <w:rsid w:val="69DAF00F"/>
    <w:rsid w:val="69DD2639"/>
    <w:rsid w:val="6A0EB679"/>
    <w:rsid w:val="6A407E9A"/>
    <w:rsid w:val="6A5481FC"/>
    <w:rsid w:val="6A9A04B0"/>
    <w:rsid w:val="6A9DA0FB"/>
    <w:rsid w:val="6AD2AE45"/>
    <w:rsid w:val="6ADC0BF6"/>
    <w:rsid w:val="6B045F7F"/>
    <w:rsid w:val="6B0AC3F9"/>
    <w:rsid w:val="6B2290CD"/>
    <w:rsid w:val="6B3B96A0"/>
    <w:rsid w:val="6B648861"/>
    <w:rsid w:val="6B7153E8"/>
    <w:rsid w:val="6B8F5EFE"/>
    <w:rsid w:val="6B8F7C9E"/>
    <w:rsid w:val="6BB665A5"/>
    <w:rsid w:val="6BC597C5"/>
    <w:rsid w:val="6BCE2FED"/>
    <w:rsid w:val="6BDD81B9"/>
    <w:rsid w:val="6BE147CE"/>
    <w:rsid w:val="6C1A0DB1"/>
    <w:rsid w:val="6C258E5D"/>
    <w:rsid w:val="6C2AC05D"/>
    <w:rsid w:val="6C32DED4"/>
    <w:rsid w:val="6C4326F3"/>
    <w:rsid w:val="6C44B55D"/>
    <w:rsid w:val="6C5998FA"/>
    <w:rsid w:val="6C7C27DD"/>
    <w:rsid w:val="6C9EAB20"/>
    <w:rsid w:val="6CD98E92"/>
    <w:rsid w:val="6CFEA307"/>
    <w:rsid w:val="6D237695"/>
    <w:rsid w:val="6D3688A9"/>
    <w:rsid w:val="6D5033EB"/>
    <w:rsid w:val="6D690F94"/>
    <w:rsid w:val="6D81C7B7"/>
    <w:rsid w:val="6DF6402A"/>
    <w:rsid w:val="6DFE663E"/>
    <w:rsid w:val="6E69C481"/>
    <w:rsid w:val="6E6AD44D"/>
    <w:rsid w:val="6E7446C8"/>
    <w:rsid w:val="6E8F34D5"/>
    <w:rsid w:val="6E99F896"/>
    <w:rsid w:val="6EA895D6"/>
    <w:rsid w:val="6EAA37AA"/>
    <w:rsid w:val="6EBC1FC8"/>
    <w:rsid w:val="6EC65C88"/>
    <w:rsid w:val="6ED19DFF"/>
    <w:rsid w:val="6EE9C303"/>
    <w:rsid w:val="6F02AA4E"/>
    <w:rsid w:val="6F8B4C0B"/>
    <w:rsid w:val="6FFACDF7"/>
    <w:rsid w:val="7001CE46"/>
    <w:rsid w:val="700E7117"/>
    <w:rsid w:val="70105D7E"/>
    <w:rsid w:val="7018C595"/>
    <w:rsid w:val="702CEC28"/>
    <w:rsid w:val="70421DA5"/>
    <w:rsid w:val="70426DC2"/>
    <w:rsid w:val="707E46B4"/>
    <w:rsid w:val="708AFE9E"/>
    <w:rsid w:val="70B80B71"/>
    <w:rsid w:val="70C9F7E1"/>
    <w:rsid w:val="70E8AF83"/>
    <w:rsid w:val="70E8C931"/>
    <w:rsid w:val="714DF6E1"/>
    <w:rsid w:val="7151A769"/>
    <w:rsid w:val="715A2B6C"/>
    <w:rsid w:val="715A4B89"/>
    <w:rsid w:val="7179CEFF"/>
    <w:rsid w:val="718616A4"/>
    <w:rsid w:val="719FE111"/>
    <w:rsid w:val="71C23A19"/>
    <w:rsid w:val="71C68BBE"/>
    <w:rsid w:val="71CB8865"/>
    <w:rsid w:val="721A43B3"/>
    <w:rsid w:val="72249713"/>
    <w:rsid w:val="7251857C"/>
    <w:rsid w:val="726CDE57"/>
    <w:rsid w:val="727AD5B6"/>
    <w:rsid w:val="7289C487"/>
    <w:rsid w:val="72ADF83E"/>
    <w:rsid w:val="72B9EA0A"/>
    <w:rsid w:val="72BBCBC9"/>
    <w:rsid w:val="72C5FE5B"/>
    <w:rsid w:val="72E8EB5D"/>
    <w:rsid w:val="73252F12"/>
    <w:rsid w:val="7328759D"/>
    <w:rsid w:val="733001C8"/>
    <w:rsid w:val="73333807"/>
    <w:rsid w:val="733CC94A"/>
    <w:rsid w:val="7343BC2C"/>
    <w:rsid w:val="73472ACD"/>
    <w:rsid w:val="735D8EB8"/>
    <w:rsid w:val="7367B6B4"/>
    <w:rsid w:val="7390E12F"/>
    <w:rsid w:val="739D56B6"/>
    <w:rsid w:val="73A76ED5"/>
    <w:rsid w:val="73CE8F14"/>
    <w:rsid w:val="7403F6DB"/>
    <w:rsid w:val="741E498C"/>
    <w:rsid w:val="742E18E0"/>
    <w:rsid w:val="743F21C4"/>
    <w:rsid w:val="7457E8F8"/>
    <w:rsid w:val="748718E7"/>
    <w:rsid w:val="748D7610"/>
    <w:rsid w:val="74C2FB19"/>
    <w:rsid w:val="74D4BF4C"/>
    <w:rsid w:val="74EA248A"/>
    <w:rsid w:val="74F63616"/>
    <w:rsid w:val="74FE97FD"/>
    <w:rsid w:val="750722CC"/>
    <w:rsid w:val="751325A9"/>
    <w:rsid w:val="7529C93C"/>
    <w:rsid w:val="7540F402"/>
    <w:rsid w:val="7546B3BD"/>
    <w:rsid w:val="75481105"/>
    <w:rsid w:val="75676213"/>
    <w:rsid w:val="756A4ABB"/>
    <w:rsid w:val="7580C315"/>
    <w:rsid w:val="759980EC"/>
    <w:rsid w:val="75B4B115"/>
    <w:rsid w:val="75C69AFA"/>
    <w:rsid w:val="75CA8610"/>
    <w:rsid w:val="75FF71C8"/>
    <w:rsid w:val="7602C5A3"/>
    <w:rsid w:val="762CC30A"/>
    <w:rsid w:val="76336C71"/>
    <w:rsid w:val="763CAF9F"/>
    <w:rsid w:val="765F5DDE"/>
    <w:rsid w:val="769593F4"/>
    <w:rsid w:val="76B6563B"/>
    <w:rsid w:val="76B78A6D"/>
    <w:rsid w:val="76CD498E"/>
    <w:rsid w:val="76CEF281"/>
    <w:rsid w:val="76E4EC96"/>
    <w:rsid w:val="76EC8C53"/>
    <w:rsid w:val="76EDFF98"/>
    <w:rsid w:val="77128F8F"/>
    <w:rsid w:val="771CFECC"/>
    <w:rsid w:val="77240346"/>
    <w:rsid w:val="77743909"/>
    <w:rsid w:val="77879BC8"/>
    <w:rsid w:val="779926CD"/>
    <w:rsid w:val="779A6468"/>
    <w:rsid w:val="779DAF21"/>
    <w:rsid w:val="77BD3BA1"/>
    <w:rsid w:val="78047AEE"/>
    <w:rsid w:val="7826E931"/>
    <w:rsid w:val="783C7559"/>
    <w:rsid w:val="78714888"/>
    <w:rsid w:val="78801998"/>
    <w:rsid w:val="789713BC"/>
    <w:rsid w:val="78DAAD63"/>
    <w:rsid w:val="78DD4D1D"/>
    <w:rsid w:val="7948AC58"/>
    <w:rsid w:val="7976298E"/>
    <w:rsid w:val="79A7F306"/>
    <w:rsid w:val="79BE6374"/>
    <w:rsid w:val="79C3F58E"/>
    <w:rsid w:val="79C71F31"/>
    <w:rsid w:val="79D5BD35"/>
    <w:rsid w:val="79D8C3E6"/>
    <w:rsid w:val="79FF774E"/>
    <w:rsid w:val="7A156194"/>
    <w:rsid w:val="7A1BE9F9"/>
    <w:rsid w:val="7A21C1BE"/>
    <w:rsid w:val="7A24D9CA"/>
    <w:rsid w:val="7A36C8A9"/>
    <w:rsid w:val="7A46967D"/>
    <w:rsid w:val="7A54E432"/>
    <w:rsid w:val="7A6DE27F"/>
    <w:rsid w:val="7A6F88C1"/>
    <w:rsid w:val="7A780FFE"/>
    <w:rsid w:val="7A8F3E67"/>
    <w:rsid w:val="7AC8F0E4"/>
    <w:rsid w:val="7AE73D66"/>
    <w:rsid w:val="7AF0F638"/>
    <w:rsid w:val="7B1B6404"/>
    <w:rsid w:val="7B238A7A"/>
    <w:rsid w:val="7B3FB935"/>
    <w:rsid w:val="7B7D5E2E"/>
    <w:rsid w:val="7BC84722"/>
    <w:rsid w:val="7BE2976D"/>
    <w:rsid w:val="7C194A24"/>
    <w:rsid w:val="7C19C4C5"/>
    <w:rsid w:val="7C220717"/>
    <w:rsid w:val="7C307CF2"/>
    <w:rsid w:val="7C3A2C3B"/>
    <w:rsid w:val="7C3BB227"/>
    <w:rsid w:val="7C3C2000"/>
    <w:rsid w:val="7C43F40F"/>
    <w:rsid w:val="7C6483DC"/>
    <w:rsid w:val="7C671392"/>
    <w:rsid w:val="7C7CE077"/>
    <w:rsid w:val="7C8AAF1D"/>
    <w:rsid w:val="7C917DEA"/>
    <w:rsid w:val="7CB600BB"/>
    <w:rsid w:val="7CC838ED"/>
    <w:rsid w:val="7CDE6BF2"/>
    <w:rsid w:val="7CF8A59E"/>
    <w:rsid w:val="7D5414A6"/>
    <w:rsid w:val="7D5C9820"/>
    <w:rsid w:val="7D5CDF3F"/>
    <w:rsid w:val="7D975E85"/>
    <w:rsid w:val="7DF13BE2"/>
    <w:rsid w:val="7E1B1FB2"/>
    <w:rsid w:val="7E2FC256"/>
    <w:rsid w:val="7E4E4A01"/>
    <w:rsid w:val="7E62749D"/>
    <w:rsid w:val="7E67986A"/>
    <w:rsid w:val="7E74D1E4"/>
    <w:rsid w:val="7EA434A7"/>
    <w:rsid w:val="7EA93B75"/>
    <w:rsid w:val="7EAE8FE3"/>
    <w:rsid w:val="7ECEDEFB"/>
    <w:rsid w:val="7ED4F81B"/>
    <w:rsid w:val="7ED7221D"/>
    <w:rsid w:val="7EE115D0"/>
    <w:rsid w:val="7F252273"/>
    <w:rsid w:val="7F2A4658"/>
    <w:rsid w:val="7F4C60EF"/>
    <w:rsid w:val="7F647FF7"/>
    <w:rsid w:val="7F7B406F"/>
    <w:rsid w:val="7F8696E0"/>
    <w:rsid w:val="7FA333E3"/>
    <w:rsid w:val="7FB1CBBE"/>
    <w:rsid w:val="7FB2770E"/>
    <w:rsid w:val="7FEDDAE7"/>
    <w:rsid w:val="7FEE0E52"/>
    <w:rsid w:val="7FF2ED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fillcolor="white" stroke="f" strokecolor="blue">
      <v:fill color="white"/>
      <v:stroke color="blue" on="f"/>
    </o:shapedefaults>
    <o:shapelayout v:ext="edit">
      <o:idmap v:ext="edit" data="2"/>
    </o:shapelayout>
  </w:shapeDefaults>
  <w:decimalSymbol w:val="."/>
  <w:listSeparator w:val=","/>
  <w14:docId w14:val="644D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nePrinter" w:eastAsia="Times New Roman" w:hAnsi="LinePrinter"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TC footer"/>
    <w:qFormat/>
    <w:rsid w:val="00284419"/>
    <w:pPr>
      <w:spacing w:before="80" w:after="80"/>
    </w:pPr>
    <w:rPr>
      <w:rFonts w:ascii="Arial" w:hAnsi="Arial"/>
      <w:lang w:eastAsia="en-US"/>
    </w:rPr>
  </w:style>
  <w:style w:type="paragraph" w:styleId="Heading1">
    <w:name w:val="heading 1"/>
    <w:aliases w:val="Head 1"/>
    <w:basedOn w:val="Normal"/>
    <w:next w:val="BodyCopy"/>
    <w:link w:val="Heading1Char"/>
    <w:uiPriority w:val="9"/>
    <w:qFormat/>
    <w:rsid w:val="00B06C8A"/>
    <w:pPr>
      <w:keepNext/>
      <w:pageBreakBefore/>
      <w:numPr>
        <w:numId w:val="1"/>
      </w:numPr>
      <w:pBdr>
        <w:bottom w:val="single" w:sz="8" w:space="4" w:color="10CFC9" w:themeColor="accent1"/>
      </w:pBdr>
      <w:spacing w:before="0" w:after="360"/>
      <w:outlineLvl w:val="0"/>
    </w:pPr>
    <w:rPr>
      <w:color w:val="000000"/>
      <w:sz w:val="44"/>
      <w:szCs w:val="40"/>
    </w:rPr>
  </w:style>
  <w:style w:type="paragraph" w:styleId="Heading2">
    <w:name w:val="heading 2"/>
    <w:aliases w:val="Head 2"/>
    <w:basedOn w:val="Normal"/>
    <w:next w:val="BodyCopy"/>
    <w:link w:val="Heading2Char"/>
    <w:qFormat/>
    <w:rsid w:val="00313F2D"/>
    <w:pPr>
      <w:keepNext/>
      <w:numPr>
        <w:ilvl w:val="1"/>
        <w:numId w:val="1"/>
      </w:numPr>
      <w:pBdr>
        <w:bottom w:val="single" w:sz="4" w:space="4" w:color="000000"/>
      </w:pBdr>
      <w:spacing w:before="360" w:after="120"/>
      <w:ind w:left="454"/>
      <w:outlineLvl w:val="1"/>
    </w:pPr>
    <w:rPr>
      <w:b/>
      <w:color w:val="000000"/>
      <w:sz w:val="28"/>
      <w:szCs w:val="28"/>
    </w:rPr>
  </w:style>
  <w:style w:type="paragraph" w:styleId="Heading3">
    <w:name w:val="heading 3"/>
    <w:aliases w:val="Head 3"/>
    <w:basedOn w:val="Normal"/>
    <w:next w:val="BodyCopy"/>
    <w:link w:val="Heading3Char"/>
    <w:qFormat/>
    <w:rsid w:val="00962426"/>
    <w:pPr>
      <w:keepNext/>
      <w:numPr>
        <w:ilvl w:val="2"/>
        <w:numId w:val="1"/>
      </w:numPr>
      <w:spacing w:before="240" w:after="120"/>
      <w:ind w:left="720"/>
      <w:outlineLvl w:val="2"/>
    </w:pPr>
    <w:rPr>
      <w:b/>
      <w:color w:val="24272A" w:themeColor="text1"/>
      <w:sz w:val="22"/>
      <w:szCs w:val="24"/>
    </w:rPr>
  </w:style>
  <w:style w:type="paragraph" w:styleId="Heading4">
    <w:name w:val="heading 4"/>
    <w:basedOn w:val="Normal"/>
    <w:next w:val="BodyCopy"/>
    <w:link w:val="Heading4Char"/>
    <w:qFormat/>
    <w:rsid w:val="00CE17F8"/>
    <w:pPr>
      <w:keepNext/>
      <w:numPr>
        <w:ilvl w:val="3"/>
        <w:numId w:val="1"/>
      </w:numPr>
      <w:spacing w:before="240" w:after="120"/>
      <w:outlineLvl w:val="3"/>
    </w:pPr>
    <w:rPr>
      <w:b/>
      <w:color w:val="FFFFFF" w:themeColor="background1"/>
      <w:sz w:val="22"/>
    </w:rPr>
  </w:style>
  <w:style w:type="paragraph" w:styleId="Heading5">
    <w:name w:val="heading 5"/>
    <w:basedOn w:val="Normal"/>
    <w:next w:val="Normal"/>
    <w:link w:val="Heading5Char"/>
    <w:semiHidden/>
    <w:rsid w:val="00CE17F8"/>
    <w:pPr>
      <w:numPr>
        <w:ilvl w:val="4"/>
        <w:numId w:val="1"/>
      </w:numPr>
      <w:outlineLvl w:val="4"/>
    </w:pPr>
    <w:rPr>
      <w:b/>
    </w:rPr>
  </w:style>
  <w:style w:type="paragraph" w:styleId="Heading6">
    <w:name w:val="heading 6"/>
    <w:basedOn w:val="Normal"/>
    <w:next w:val="Normal"/>
    <w:link w:val="Heading6Char"/>
    <w:semiHidden/>
    <w:rsid w:val="00CE17F8"/>
    <w:pPr>
      <w:numPr>
        <w:ilvl w:val="5"/>
        <w:numId w:val="1"/>
      </w:numPr>
      <w:outlineLvl w:val="5"/>
    </w:pPr>
    <w:rPr>
      <w:u w:val="single"/>
    </w:rPr>
  </w:style>
  <w:style w:type="paragraph" w:styleId="Heading7">
    <w:name w:val="heading 7"/>
    <w:basedOn w:val="Normal"/>
    <w:next w:val="Normal"/>
    <w:link w:val="Heading7Char"/>
    <w:semiHidden/>
    <w:rsid w:val="00CE17F8"/>
    <w:pPr>
      <w:numPr>
        <w:ilvl w:val="6"/>
        <w:numId w:val="1"/>
      </w:numPr>
      <w:outlineLvl w:val="6"/>
    </w:pPr>
    <w:rPr>
      <w:i/>
    </w:rPr>
  </w:style>
  <w:style w:type="paragraph" w:styleId="Heading8">
    <w:name w:val="heading 8"/>
    <w:basedOn w:val="Normal"/>
    <w:next w:val="Normal"/>
    <w:link w:val="Heading8Char"/>
    <w:semiHidden/>
    <w:rsid w:val="00CE17F8"/>
    <w:pPr>
      <w:numPr>
        <w:ilvl w:val="7"/>
        <w:numId w:val="1"/>
      </w:numPr>
      <w:outlineLvl w:val="7"/>
    </w:pPr>
    <w:rPr>
      <w:i/>
    </w:rPr>
  </w:style>
  <w:style w:type="paragraph" w:styleId="Heading9">
    <w:name w:val="heading 9"/>
    <w:basedOn w:val="Normal"/>
    <w:next w:val="Normal"/>
    <w:link w:val="Heading9Char"/>
    <w:semiHidden/>
    <w:rsid w:val="00CE17F8"/>
    <w:pPr>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F7943"/>
    <w:pPr>
      <w:tabs>
        <w:tab w:val="left" w:pos="5670"/>
      </w:tabs>
      <w:spacing w:before="0" w:after="0"/>
    </w:pPr>
    <w:rPr>
      <w:sz w:val="16"/>
    </w:rPr>
  </w:style>
  <w:style w:type="character" w:customStyle="1" w:styleId="FooterChar">
    <w:name w:val="Footer Char"/>
    <w:link w:val="Footer"/>
    <w:uiPriority w:val="99"/>
    <w:locked/>
    <w:rsid w:val="00FF7943"/>
    <w:rPr>
      <w:rFonts w:ascii="Arial" w:hAnsi="Arial"/>
      <w:sz w:val="16"/>
      <w:lang w:eastAsia="en-US"/>
    </w:rPr>
  </w:style>
  <w:style w:type="paragraph" w:customStyle="1" w:styleId="QuestionTOC">
    <w:name w:val="Question TOC"/>
    <w:basedOn w:val="TOC1"/>
    <w:qFormat/>
    <w:rsid w:val="00604938"/>
    <w:pPr>
      <w:tabs>
        <w:tab w:val="clear" w:pos="9071"/>
        <w:tab w:val="right" w:leader="dot" w:pos="10206"/>
      </w:tabs>
      <w:spacing w:before="120" w:after="120"/>
      <w:ind w:left="1418" w:hanging="1418"/>
    </w:pPr>
    <w:rPr>
      <w:b w:val="0"/>
    </w:rPr>
  </w:style>
  <w:style w:type="paragraph" w:styleId="TOC3">
    <w:name w:val="toc 3"/>
    <w:basedOn w:val="Normal"/>
    <w:next w:val="Normal"/>
    <w:uiPriority w:val="39"/>
    <w:rsid w:val="004F3BB2"/>
    <w:pPr>
      <w:tabs>
        <w:tab w:val="right" w:pos="9071"/>
        <w:tab w:val="right" w:pos="11340"/>
      </w:tabs>
      <w:ind w:left="1418" w:hanging="709"/>
    </w:pPr>
    <w:rPr>
      <w:noProof/>
    </w:rPr>
  </w:style>
  <w:style w:type="paragraph" w:styleId="TOC2">
    <w:name w:val="toc 2"/>
    <w:basedOn w:val="Normal"/>
    <w:next w:val="Normal"/>
    <w:uiPriority w:val="39"/>
    <w:rsid w:val="00F23C10"/>
    <w:pPr>
      <w:tabs>
        <w:tab w:val="right" w:pos="9072"/>
        <w:tab w:val="right" w:pos="9356"/>
        <w:tab w:val="right" w:pos="10206"/>
      </w:tabs>
      <w:ind w:left="709" w:hanging="425"/>
    </w:pPr>
    <w:rPr>
      <w:noProof/>
    </w:rPr>
  </w:style>
  <w:style w:type="paragraph" w:styleId="TOC1">
    <w:name w:val="toc 1"/>
    <w:basedOn w:val="Normal"/>
    <w:next w:val="Normal"/>
    <w:uiPriority w:val="39"/>
    <w:rsid w:val="004F3BB2"/>
    <w:pPr>
      <w:tabs>
        <w:tab w:val="right" w:leader="dot" w:pos="9071"/>
      </w:tabs>
      <w:ind w:left="284" w:hanging="284"/>
    </w:pPr>
    <w:rPr>
      <w:b/>
      <w:noProof/>
      <w:sz w:val="22"/>
    </w:rPr>
  </w:style>
  <w:style w:type="character" w:styleId="PageNumber">
    <w:name w:val="page number"/>
    <w:basedOn w:val="DefaultParagraphFont"/>
    <w:semiHidden/>
  </w:style>
  <w:style w:type="paragraph" w:styleId="TableofFigures">
    <w:name w:val="table of figures"/>
    <w:basedOn w:val="Normal"/>
    <w:next w:val="Normal"/>
    <w:uiPriority w:val="99"/>
    <w:rsid w:val="008515F3"/>
    <w:pPr>
      <w:keepLines/>
      <w:tabs>
        <w:tab w:val="right" w:pos="9071"/>
      </w:tabs>
      <w:ind w:left="1304" w:right="454" w:hanging="1304"/>
    </w:pPr>
    <w:rPr>
      <w:sz w:val="22"/>
    </w:rPr>
  </w:style>
  <w:style w:type="table" w:customStyle="1" w:styleId="NTC-Questions">
    <w:name w:val="NTC - Questions"/>
    <w:basedOn w:val="TableNormal"/>
    <w:uiPriority w:val="99"/>
    <w:rsid w:val="004829F5"/>
    <w:tblPr>
      <w:tblCellMar>
        <w:left w:w="284" w:type="dxa"/>
        <w:bottom w:w="227" w:type="dxa"/>
        <w:right w:w="284" w:type="dxa"/>
      </w:tblCellMar>
    </w:tblPr>
    <w:tcPr>
      <w:shd w:val="clear" w:color="auto" w:fill="F2F2F2" w:themeFill="background1" w:themeFillShade="F2"/>
    </w:tcPr>
  </w:style>
  <w:style w:type="paragraph" w:customStyle="1" w:styleId="BodyCopy">
    <w:name w:val="Body Copy"/>
    <w:basedOn w:val="Normal"/>
    <w:link w:val="BodyCopyChar"/>
    <w:qFormat/>
    <w:rsid w:val="00D9107C"/>
    <w:pPr>
      <w:spacing w:before="240" w:after="120"/>
    </w:pPr>
    <w:rPr>
      <w:rFonts w:eastAsia="Cambria"/>
      <w:color w:val="000000"/>
      <w:sz w:val="22"/>
      <w:szCs w:val="24"/>
    </w:rPr>
  </w:style>
  <w:style w:type="paragraph" w:customStyle="1" w:styleId="TOCheader">
    <w:name w:val="TOC header"/>
    <w:basedOn w:val="Normal"/>
    <w:next w:val="Normal"/>
    <w:semiHidden/>
    <w:qFormat/>
    <w:rsid w:val="00FD5B74"/>
    <w:pPr>
      <w:keepNext/>
      <w:pageBreakBefore/>
      <w:pBdr>
        <w:bottom w:val="single" w:sz="8" w:space="4" w:color="FF4713"/>
      </w:pBdr>
      <w:spacing w:before="0" w:after="360"/>
      <w:ind w:left="432" w:hanging="432"/>
      <w:outlineLvl w:val="0"/>
    </w:pPr>
    <w:rPr>
      <w:rFonts w:eastAsia="Cambria"/>
      <w:color w:val="000000"/>
      <w:sz w:val="44"/>
      <w:szCs w:val="24"/>
    </w:rPr>
  </w:style>
  <w:style w:type="table" w:customStyle="1" w:styleId="NTC-keypoints">
    <w:name w:val="NTC - keypoints"/>
    <w:basedOn w:val="TableNormal"/>
    <w:uiPriority w:val="99"/>
    <w:rsid w:val="004829F5"/>
    <w:tblPr>
      <w:tblCellMar>
        <w:left w:w="284" w:type="dxa"/>
        <w:bottom w:w="227" w:type="dxa"/>
        <w:right w:w="284" w:type="dxa"/>
      </w:tblCellMar>
    </w:tblPr>
    <w:tcPr>
      <w:shd w:val="clear" w:color="auto" w:fill="DCF5F3"/>
    </w:tcPr>
  </w:style>
  <w:style w:type="paragraph" w:styleId="TOC7">
    <w:name w:val="toc 7"/>
    <w:basedOn w:val="Normal"/>
    <w:next w:val="Normal"/>
    <w:uiPriority w:val="39"/>
    <w:pPr>
      <w:tabs>
        <w:tab w:val="right" w:leader="dot" w:pos="9071"/>
      </w:tabs>
      <w:ind w:left="1560"/>
    </w:pPr>
  </w:style>
  <w:style w:type="paragraph" w:styleId="TOC8">
    <w:name w:val="toc 8"/>
    <w:basedOn w:val="Normal"/>
    <w:next w:val="Normal"/>
    <w:uiPriority w:val="39"/>
    <w:pPr>
      <w:tabs>
        <w:tab w:val="right" w:leader="dot" w:pos="9071"/>
      </w:tabs>
      <w:ind w:left="1820"/>
    </w:pPr>
  </w:style>
  <w:style w:type="paragraph" w:styleId="TOC9">
    <w:name w:val="toc 9"/>
    <w:basedOn w:val="Normal"/>
    <w:next w:val="Normal"/>
    <w:uiPriority w:val="39"/>
    <w:pPr>
      <w:tabs>
        <w:tab w:val="right" w:leader="dot" w:pos="9071"/>
      </w:tabs>
      <w:ind w:left="2080"/>
    </w:pPr>
  </w:style>
  <w:style w:type="character" w:styleId="Hyperlink">
    <w:name w:val="Hyperlink"/>
    <w:uiPriority w:val="99"/>
    <w:rsid w:val="0097712C"/>
    <w:rPr>
      <w:b/>
      <w:color w:val="00000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bletitle">
    <w:name w:val="Table title"/>
    <w:basedOn w:val="Normal"/>
    <w:next w:val="BodyCopy"/>
    <w:qFormat/>
    <w:rsid w:val="006927F9"/>
    <w:pPr>
      <w:keepNext/>
      <w:keepLines/>
      <w:numPr>
        <w:numId w:val="3"/>
      </w:numPr>
      <w:tabs>
        <w:tab w:val="clear" w:pos="9727"/>
        <w:tab w:val="left" w:pos="1021"/>
        <w:tab w:val="num" w:pos="1080"/>
      </w:tabs>
      <w:spacing w:before="240" w:after="120"/>
      <w:ind w:left="1021"/>
    </w:pPr>
    <w:rPr>
      <w:b/>
      <w:sz w:val="22"/>
    </w:rPr>
  </w:style>
  <w:style w:type="paragraph" w:customStyle="1" w:styleId="Figuretitle">
    <w:name w:val="Figure title"/>
    <w:basedOn w:val="Normal"/>
    <w:next w:val="BodyCopy"/>
    <w:uiPriority w:val="3"/>
    <w:qFormat/>
    <w:rsid w:val="00785E5B"/>
    <w:pPr>
      <w:keepNext/>
      <w:keepLines/>
      <w:numPr>
        <w:numId w:val="2"/>
      </w:numPr>
      <w:tabs>
        <w:tab w:val="clear" w:pos="5983"/>
        <w:tab w:val="num" w:pos="1021"/>
      </w:tabs>
      <w:spacing w:before="240" w:after="120"/>
      <w:ind w:left="1021"/>
    </w:pPr>
    <w:rPr>
      <w:b/>
    </w:rPr>
  </w:style>
  <w:style w:type="paragraph" w:customStyle="1" w:styleId="Reporttitle">
    <w:name w:val="Report title"/>
    <w:rsid w:val="00AC66B8"/>
    <w:pPr>
      <w:spacing w:after="60"/>
    </w:pPr>
    <w:rPr>
      <w:rFonts w:ascii="Arial" w:eastAsia="Cambria" w:hAnsi="Arial"/>
      <w:color w:val="FFFFFF"/>
      <w:sz w:val="52"/>
      <w:szCs w:val="24"/>
      <w:lang w:eastAsia="en-US"/>
    </w:rPr>
  </w:style>
  <w:style w:type="paragraph" w:styleId="BalloonText">
    <w:name w:val="Balloon Text"/>
    <w:basedOn w:val="Normal"/>
    <w:link w:val="BalloonTextChar"/>
    <w:semiHidden/>
    <w:rsid w:val="00483188"/>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483188"/>
    <w:rPr>
      <w:rFonts w:ascii="Tahoma" w:hAnsi="Tahoma" w:cs="Tahoma"/>
      <w:sz w:val="16"/>
      <w:szCs w:val="16"/>
      <w:lang w:eastAsia="en-US"/>
    </w:rPr>
  </w:style>
  <w:style w:type="table" w:styleId="LightList">
    <w:name w:val="Light List"/>
    <w:aliases w:val="NTC alternate rows"/>
    <w:rsid w:val="00FA734D"/>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NTCtable">
    <w:name w:val="NTC table"/>
    <w:basedOn w:val="TableNormal"/>
    <w:uiPriority w:val="99"/>
    <w:rsid w:val="00D033A9"/>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styleId="TableGrid">
    <w:name w:val="Table Grid"/>
    <w:basedOn w:val="TableNormal"/>
    <w:uiPriority w:val="39"/>
    <w:rsid w:val="00692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lvl1">
    <w:name w:val="List - bullet lvl 1"/>
    <w:basedOn w:val="BodyCopy"/>
    <w:qFormat/>
    <w:rsid w:val="00F00D8A"/>
    <w:pPr>
      <w:numPr>
        <w:numId w:val="8"/>
      </w:numPr>
      <w:spacing w:before="120"/>
    </w:pPr>
  </w:style>
  <w:style w:type="table" w:styleId="LightList-Accent2">
    <w:name w:val="Light List Accent 2"/>
    <w:basedOn w:val="TableNormal"/>
    <w:uiPriority w:val="61"/>
    <w:rsid w:val="003F2AEA"/>
    <w:tblPr>
      <w:tblStyleRowBandSize w:val="1"/>
      <w:tblStyleColBandSize w:val="1"/>
      <w:tblBorders>
        <w:top w:val="single" w:sz="8" w:space="0" w:color="71DAD6" w:themeColor="accent2"/>
        <w:left w:val="single" w:sz="8" w:space="0" w:color="71DAD6" w:themeColor="accent2"/>
        <w:bottom w:val="single" w:sz="8" w:space="0" w:color="71DAD6" w:themeColor="accent2"/>
        <w:right w:val="single" w:sz="8" w:space="0" w:color="71DAD6" w:themeColor="accent2"/>
      </w:tblBorders>
    </w:tblPr>
    <w:tblStylePr w:type="firstRow">
      <w:pPr>
        <w:spacing w:before="0" w:after="0" w:line="240" w:lineRule="auto"/>
      </w:pPr>
      <w:rPr>
        <w:b/>
        <w:bCs/>
        <w:color w:val="FFFFFF" w:themeColor="background1"/>
      </w:rPr>
      <w:tblPr/>
      <w:tcPr>
        <w:shd w:val="clear" w:color="auto" w:fill="71DAD6" w:themeFill="accent2"/>
      </w:tcPr>
    </w:tblStylePr>
    <w:tblStylePr w:type="lastRow">
      <w:pPr>
        <w:spacing w:before="0" w:after="0" w:line="240" w:lineRule="auto"/>
      </w:pPr>
      <w:rPr>
        <w:b/>
        <w:bCs/>
      </w:rPr>
      <w:tblPr/>
      <w:tcPr>
        <w:tcBorders>
          <w:top w:val="double" w:sz="6" w:space="0" w:color="71DAD6" w:themeColor="accent2"/>
          <w:left w:val="single" w:sz="8" w:space="0" w:color="71DAD6" w:themeColor="accent2"/>
          <w:bottom w:val="single" w:sz="8" w:space="0" w:color="71DAD6" w:themeColor="accent2"/>
          <w:right w:val="single" w:sz="8" w:space="0" w:color="71DAD6" w:themeColor="accent2"/>
        </w:tcBorders>
      </w:tcPr>
    </w:tblStylePr>
    <w:tblStylePr w:type="firstCol">
      <w:rPr>
        <w:b/>
        <w:bCs/>
      </w:rPr>
    </w:tblStylePr>
    <w:tblStylePr w:type="lastCol">
      <w:rPr>
        <w:b/>
        <w:bCs/>
      </w:rPr>
    </w:tblStylePr>
    <w:tblStylePr w:type="band1Vert">
      <w:tblPr/>
      <w:tcPr>
        <w:tcBorders>
          <w:top w:val="single" w:sz="8" w:space="0" w:color="71DAD6" w:themeColor="accent2"/>
          <w:left w:val="single" w:sz="8" w:space="0" w:color="71DAD6" w:themeColor="accent2"/>
          <w:bottom w:val="single" w:sz="8" w:space="0" w:color="71DAD6" w:themeColor="accent2"/>
          <w:right w:val="single" w:sz="8" w:space="0" w:color="71DAD6" w:themeColor="accent2"/>
        </w:tcBorders>
      </w:tcPr>
    </w:tblStylePr>
    <w:tblStylePr w:type="band1Horz">
      <w:tblPr/>
      <w:tcPr>
        <w:tcBorders>
          <w:top w:val="single" w:sz="8" w:space="0" w:color="71DAD6" w:themeColor="accent2"/>
          <w:left w:val="single" w:sz="8" w:space="0" w:color="71DAD6" w:themeColor="accent2"/>
          <w:bottom w:val="single" w:sz="8" w:space="0" w:color="71DAD6" w:themeColor="accent2"/>
          <w:right w:val="single" w:sz="8" w:space="0" w:color="71DAD6" w:themeColor="accent2"/>
        </w:tcBorders>
      </w:tcPr>
    </w:tblStylePr>
  </w:style>
  <w:style w:type="table" w:styleId="LightList-Accent3">
    <w:name w:val="Light List Accent 3"/>
    <w:basedOn w:val="TableNormal"/>
    <w:uiPriority w:val="61"/>
    <w:rsid w:val="003F2AEA"/>
    <w:pPr>
      <w:numPr>
        <w:numId w:val="4"/>
      </w:numPr>
    </w:pPr>
    <w:tblPr>
      <w:tblStyleRowBandSize w:val="1"/>
      <w:tblStyleColBandSize w:val="1"/>
      <w:tblBorders>
        <w:top w:val="single" w:sz="8" w:space="0" w:color="A5E7E3" w:themeColor="accent3"/>
        <w:left w:val="single" w:sz="8" w:space="0" w:color="A5E7E3" w:themeColor="accent3"/>
        <w:bottom w:val="single" w:sz="8" w:space="0" w:color="A5E7E3" w:themeColor="accent3"/>
        <w:right w:val="single" w:sz="8" w:space="0" w:color="A5E7E3" w:themeColor="accent3"/>
      </w:tblBorders>
    </w:tblPr>
    <w:tblStylePr w:type="firstRow">
      <w:rPr>
        <w:b/>
        <w:bCs/>
        <w:color w:val="FFFFFF" w:themeColor="background1"/>
      </w:rPr>
      <w:tblPr/>
      <w:tcPr>
        <w:shd w:val="clear" w:color="auto" w:fill="A5E7E3" w:themeFill="accent3"/>
      </w:tcPr>
    </w:tblStylePr>
    <w:tblStylePr w:type="lastRow">
      <w:rPr>
        <w:b/>
        <w:bCs/>
      </w:rPr>
      <w:tblPr/>
      <w:tcPr>
        <w:tcBorders>
          <w:top w:val="double" w:sz="6" w:space="0" w:color="A5E7E3" w:themeColor="accent3"/>
          <w:left w:val="single" w:sz="8" w:space="0" w:color="A5E7E3" w:themeColor="accent3"/>
          <w:bottom w:val="single" w:sz="8" w:space="0" w:color="A5E7E3" w:themeColor="accent3"/>
          <w:right w:val="single" w:sz="8" w:space="0" w:color="A5E7E3" w:themeColor="accent3"/>
        </w:tcBorders>
      </w:tcPr>
    </w:tblStylePr>
    <w:tblStylePr w:type="firstCol">
      <w:rPr>
        <w:b/>
        <w:bCs/>
      </w:rPr>
    </w:tblStylePr>
    <w:tblStylePr w:type="lastCol">
      <w:rPr>
        <w:b/>
        <w:bCs/>
      </w:rPr>
    </w:tblStylePr>
    <w:tblStylePr w:type="band1Vert">
      <w:tblPr/>
      <w:tcPr>
        <w:tcBorders>
          <w:top w:val="single" w:sz="8" w:space="0" w:color="A5E7E3" w:themeColor="accent3"/>
          <w:left w:val="single" w:sz="8" w:space="0" w:color="A5E7E3" w:themeColor="accent3"/>
          <w:bottom w:val="single" w:sz="8" w:space="0" w:color="A5E7E3" w:themeColor="accent3"/>
          <w:right w:val="single" w:sz="8" w:space="0" w:color="A5E7E3" w:themeColor="accent3"/>
        </w:tcBorders>
      </w:tcPr>
    </w:tblStylePr>
    <w:tblStylePr w:type="band1Horz">
      <w:tblPr/>
      <w:tcPr>
        <w:tcBorders>
          <w:top w:val="single" w:sz="8" w:space="0" w:color="A5E7E3" w:themeColor="accent3"/>
          <w:left w:val="single" w:sz="8" w:space="0" w:color="A5E7E3" w:themeColor="accent3"/>
          <w:bottom w:val="single" w:sz="8" w:space="0" w:color="A5E7E3" w:themeColor="accent3"/>
          <w:right w:val="single" w:sz="8" w:space="0" w:color="A5E7E3" w:themeColor="accent3"/>
        </w:tcBorders>
      </w:tcPr>
    </w:tblStylePr>
  </w:style>
  <w:style w:type="table" w:styleId="PlainTable1">
    <w:name w:val="Plain Table 1"/>
    <w:basedOn w:val="TableNormal"/>
    <w:uiPriority w:val="41"/>
    <w:rsid w:val="006927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927F9"/>
    <w:tblPr>
      <w:tblStyleRowBandSize w:val="1"/>
      <w:tblStyleColBandSize w:val="1"/>
      <w:tblBorders>
        <w:top w:val="single" w:sz="4" w:space="0" w:color="A1A8AF" w:themeColor="text1" w:themeTint="66"/>
        <w:left w:val="single" w:sz="4" w:space="0" w:color="A1A8AF" w:themeColor="text1" w:themeTint="66"/>
        <w:bottom w:val="single" w:sz="4" w:space="0" w:color="A1A8AF" w:themeColor="text1" w:themeTint="66"/>
        <w:right w:val="single" w:sz="4" w:space="0" w:color="A1A8AF" w:themeColor="text1" w:themeTint="66"/>
        <w:insideH w:val="single" w:sz="4" w:space="0" w:color="A1A8AF" w:themeColor="text1" w:themeTint="66"/>
        <w:insideV w:val="single" w:sz="4" w:space="0" w:color="A1A8AF" w:themeColor="text1" w:themeTint="66"/>
      </w:tblBorders>
    </w:tblPr>
    <w:tblStylePr w:type="firstRow">
      <w:rPr>
        <w:b/>
        <w:bCs/>
      </w:rPr>
      <w:tblPr/>
      <w:tcPr>
        <w:tcBorders>
          <w:bottom w:val="single" w:sz="12" w:space="0" w:color="737D86" w:themeColor="text1" w:themeTint="99"/>
        </w:tcBorders>
      </w:tcPr>
    </w:tblStylePr>
    <w:tblStylePr w:type="lastRow">
      <w:rPr>
        <w:b/>
        <w:bCs/>
      </w:rPr>
      <w:tblPr/>
      <w:tcPr>
        <w:tcBorders>
          <w:top w:val="double" w:sz="2" w:space="0" w:color="737D8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927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92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92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92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92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3-box">
    <w:name w:val="Head 3 -  box"/>
    <w:basedOn w:val="BodyCopy"/>
    <w:uiPriority w:val="2"/>
    <w:qFormat/>
    <w:rsid w:val="00533E42"/>
    <w:pPr>
      <w:spacing w:after="80"/>
    </w:pPr>
    <w:rPr>
      <w:b/>
      <w:bCs/>
    </w:rPr>
  </w:style>
  <w:style w:type="paragraph" w:customStyle="1" w:styleId="List-number">
    <w:name w:val="List - number"/>
    <w:basedOn w:val="BodyCopy"/>
    <w:qFormat/>
    <w:rsid w:val="00595FBE"/>
    <w:pPr>
      <w:numPr>
        <w:numId w:val="5"/>
      </w:numPr>
    </w:pPr>
  </w:style>
  <w:style w:type="paragraph" w:styleId="FootnoteText">
    <w:name w:val="footnote text"/>
    <w:basedOn w:val="Normal"/>
    <w:link w:val="FootnoteTextChar"/>
    <w:qFormat/>
    <w:rsid w:val="00AA3EE8"/>
    <w:pPr>
      <w:spacing w:after="0"/>
    </w:pPr>
    <w:rPr>
      <w:sz w:val="18"/>
      <w:szCs w:val="24"/>
    </w:rPr>
  </w:style>
  <w:style w:type="character" w:customStyle="1" w:styleId="FootnoteTextChar">
    <w:name w:val="Footnote Text Char"/>
    <w:basedOn w:val="DefaultParagraphFont"/>
    <w:link w:val="FootnoteText"/>
    <w:rsid w:val="00AA3EE8"/>
    <w:rPr>
      <w:rFonts w:ascii="Arial" w:hAnsi="Arial"/>
      <w:sz w:val="18"/>
      <w:szCs w:val="24"/>
      <w:lang w:eastAsia="en-US"/>
    </w:rPr>
  </w:style>
  <w:style w:type="paragraph" w:customStyle="1" w:styleId="Reportdate">
    <w:name w:val="Report date"/>
    <w:basedOn w:val="Normal"/>
    <w:rsid w:val="00AC66B8"/>
    <w:pPr>
      <w:spacing w:before="60" w:after="0"/>
    </w:pPr>
    <w:rPr>
      <w:rFonts w:eastAsia="Cambria"/>
      <w:color w:val="FFFFFF"/>
      <w:sz w:val="36"/>
      <w:szCs w:val="44"/>
    </w:rPr>
  </w:style>
  <w:style w:type="paragraph" w:styleId="CommentText">
    <w:name w:val="annotation text"/>
    <w:basedOn w:val="Normal"/>
    <w:link w:val="CommentTextChar"/>
    <w:uiPriority w:val="99"/>
    <w:rsid w:val="00DD31D2"/>
    <w:rPr>
      <w:sz w:val="24"/>
      <w:szCs w:val="24"/>
    </w:rPr>
  </w:style>
  <w:style w:type="character" w:customStyle="1" w:styleId="CommentTextChar">
    <w:name w:val="Comment Text Char"/>
    <w:basedOn w:val="DefaultParagraphFont"/>
    <w:link w:val="CommentText"/>
    <w:uiPriority w:val="99"/>
    <w:rsid w:val="00B02856"/>
    <w:rPr>
      <w:rFonts w:ascii="Arial" w:hAnsi="Arial"/>
      <w:sz w:val="24"/>
      <w:szCs w:val="24"/>
      <w:lang w:eastAsia="en-US"/>
    </w:rPr>
  </w:style>
  <w:style w:type="paragraph" w:styleId="CommentSubject">
    <w:name w:val="annotation subject"/>
    <w:basedOn w:val="CommentText"/>
    <w:next w:val="CommentText"/>
    <w:link w:val="CommentSubjectChar"/>
    <w:semiHidden/>
    <w:rsid w:val="00DD31D2"/>
    <w:rPr>
      <w:b/>
      <w:bCs/>
      <w:sz w:val="20"/>
      <w:szCs w:val="20"/>
    </w:rPr>
  </w:style>
  <w:style w:type="character" w:customStyle="1" w:styleId="CommentSubjectChar">
    <w:name w:val="Comment Subject Char"/>
    <w:basedOn w:val="CommentTextChar"/>
    <w:link w:val="CommentSubject"/>
    <w:semiHidden/>
    <w:rsid w:val="00B02856"/>
    <w:rPr>
      <w:rFonts w:ascii="Arial" w:hAnsi="Arial"/>
      <w:b/>
      <w:bCs/>
      <w:sz w:val="24"/>
      <w:szCs w:val="24"/>
      <w:lang w:eastAsia="en-US"/>
    </w:rPr>
  </w:style>
  <w:style w:type="paragraph" w:customStyle="1" w:styleId="Default">
    <w:name w:val="Default"/>
    <w:semiHidden/>
    <w:rsid w:val="00447B80"/>
    <w:pPr>
      <w:widowControl w:val="0"/>
      <w:autoSpaceDE w:val="0"/>
      <w:autoSpaceDN w:val="0"/>
      <w:adjustRightInd w:val="0"/>
    </w:pPr>
    <w:rPr>
      <w:rFonts w:ascii="Calibri" w:hAnsi="Calibri" w:cs="Calibri"/>
      <w:color w:val="000000"/>
      <w:sz w:val="24"/>
      <w:szCs w:val="24"/>
      <w:lang w:val="en-US"/>
    </w:rPr>
  </w:style>
  <w:style w:type="paragraph" w:customStyle="1" w:styleId="List-bulletlvl2">
    <w:name w:val="List - bullet lvl 2"/>
    <w:basedOn w:val="List-bulletlvl1"/>
    <w:qFormat/>
    <w:rsid w:val="009F7E85"/>
    <w:pPr>
      <w:numPr>
        <w:numId w:val="11"/>
      </w:numPr>
    </w:pPr>
  </w:style>
  <w:style w:type="paragraph" w:styleId="ListBullet">
    <w:name w:val="List Bullet"/>
    <w:basedOn w:val="Normal"/>
    <w:semiHidden/>
    <w:qFormat/>
    <w:rsid w:val="0077302A"/>
    <w:pPr>
      <w:numPr>
        <w:numId w:val="7"/>
      </w:numPr>
      <w:spacing w:before="0" w:after="0" w:line="300" w:lineRule="atLeast"/>
    </w:pPr>
    <w:rPr>
      <w:rFonts w:asciiTheme="minorHAnsi" w:eastAsiaTheme="minorHAnsi" w:hAnsiTheme="minorHAnsi" w:cstheme="minorBidi"/>
      <w:sz w:val="24"/>
      <w:szCs w:val="22"/>
    </w:rPr>
  </w:style>
  <w:style w:type="character" w:styleId="CommentReference">
    <w:name w:val="annotation reference"/>
    <w:basedOn w:val="DefaultParagraphFont"/>
    <w:uiPriority w:val="99"/>
    <w:semiHidden/>
    <w:rsid w:val="00E91DEE"/>
    <w:rPr>
      <w:sz w:val="18"/>
      <w:szCs w:val="18"/>
    </w:rPr>
  </w:style>
  <w:style w:type="paragraph" w:styleId="EndnoteText">
    <w:name w:val="endnote text"/>
    <w:basedOn w:val="Normal"/>
    <w:link w:val="EndnoteTextChar"/>
    <w:semiHidden/>
    <w:rsid w:val="0067041B"/>
    <w:pPr>
      <w:spacing w:before="0" w:after="0"/>
    </w:pPr>
    <w:rPr>
      <w:sz w:val="18"/>
      <w:szCs w:val="18"/>
    </w:rPr>
  </w:style>
  <w:style w:type="character" w:customStyle="1" w:styleId="EndnoteTextChar">
    <w:name w:val="Endnote Text Char"/>
    <w:basedOn w:val="DefaultParagraphFont"/>
    <w:link w:val="EndnoteText"/>
    <w:semiHidden/>
    <w:rsid w:val="00B02856"/>
    <w:rPr>
      <w:rFonts w:ascii="Arial" w:hAnsi="Arial"/>
      <w:sz w:val="18"/>
      <w:szCs w:val="18"/>
      <w:lang w:eastAsia="en-US"/>
    </w:rPr>
  </w:style>
  <w:style w:type="character" w:styleId="EndnoteReference">
    <w:name w:val="endnote reference"/>
    <w:basedOn w:val="DefaultParagraphFont"/>
    <w:semiHidden/>
    <w:rsid w:val="0067041B"/>
    <w:rPr>
      <w:vertAlign w:val="superscript"/>
    </w:rPr>
  </w:style>
  <w:style w:type="paragraph" w:customStyle="1" w:styleId="Questionslist">
    <w:name w:val="Questions list"/>
    <w:basedOn w:val="BodyText"/>
    <w:rsid w:val="0007638B"/>
    <w:pPr>
      <w:numPr>
        <w:numId w:val="42"/>
      </w:numPr>
      <w:spacing w:before="240"/>
    </w:pPr>
    <w:rPr>
      <w:sz w:val="22"/>
    </w:rPr>
  </w:style>
  <w:style w:type="table" w:styleId="PlainTable4">
    <w:name w:val="Plain Table 4"/>
    <w:basedOn w:val="TableNormal"/>
    <w:uiPriority w:val="44"/>
    <w:rsid w:val="006927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954700"/>
    <w:pPr>
      <w:spacing w:before="0" w:after="200" w:line="276" w:lineRule="auto"/>
      <w:ind w:left="720"/>
      <w:contextualSpacing/>
    </w:pPr>
    <w:rPr>
      <w:rFonts w:asciiTheme="minorHAnsi" w:eastAsiaTheme="minorHAnsi" w:hAnsiTheme="minorHAnsi" w:cstheme="minorBidi"/>
      <w:sz w:val="22"/>
      <w:szCs w:val="22"/>
    </w:rPr>
  </w:style>
  <w:style w:type="table" w:styleId="PlainTable3">
    <w:name w:val="Plain Table 3"/>
    <w:basedOn w:val="TableNormal"/>
    <w:uiPriority w:val="43"/>
    <w:rsid w:val="006927F9"/>
    <w:tblPr>
      <w:tblStyleRowBandSize w:val="1"/>
      <w:tblStyleColBandSize w:val="1"/>
    </w:tblPr>
    <w:tblStylePr w:type="firstRow">
      <w:rPr>
        <w:b/>
        <w:bCs/>
        <w:caps/>
      </w:rPr>
      <w:tblPr/>
      <w:tcPr>
        <w:tcBorders>
          <w:bottom w:val="single" w:sz="4" w:space="0" w:color="8A92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A92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otnoteReference">
    <w:name w:val="footnote reference"/>
    <w:basedOn w:val="DefaultParagraphFont"/>
    <w:rsid w:val="00320ECC"/>
    <w:rPr>
      <w:sz w:val="18"/>
      <w:vertAlign w:val="superscript"/>
    </w:rPr>
  </w:style>
  <w:style w:type="paragraph" w:customStyle="1" w:styleId="Head1-Appendix">
    <w:name w:val="Head 1 - Appendix"/>
    <w:basedOn w:val="Heading1"/>
    <w:next w:val="BodyCopy"/>
    <w:qFormat/>
    <w:rsid w:val="00A9449A"/>
    <w:pPr>
      <w:numPr>
        <w:numId w:val="63"/>
      </w:numPr>
      <w:ind w:left="0" w:firstLine="0"/>
    </w:pPr>
    <w:rPr>
      <w:color w:val="auto"/>
    </w:rPr>
  </w:style>
  <w:style w:type="character" w:styleId="FollowedHyperlink">
    <w:name w:val="FollowedHyperlink"/>
    <w:basedOn w:val="DefaultParagraphFont"/>
    <w:semiHidden/>
    <w:unhideWhenUsed/>
    <w:rsid w:val="0097712C"/>
    <w:rPr>
      <w:color w:val="919294" w:themeColor="followedHyperlink"/>
      <w:u w:val="single"/>
    </w:rPr>
  </w:style>
  <w:style w:type="numbering" w:customStyle="1" w:styleId="AppendixHeadings">
    <w:name w:val="Appendix Headings"/>
    <w:uiPriority w:val="99"/>
    <w:rsid w:val="007A3968"/>
    <w:pPr>
      <w:numPr>
        <w:numId w:val="17"/>
      </w:numPr>
    </w:pPr>
  </w:style>
  <w:style w:type="paragraph" w:styleId="Quote">
    <w:name w:val="Quote"/>
    <w:basedOn w:val="BodyCopy"/>
    <w:next w:val="BodyCopy"/>
    <w:link w:val="QuoteChar"/>
    <w:uiPriority w:val="29"/>
    <w:qFormat/>
    <w:rsid w:val="00C722D4"/>
    <w:pPr>
      <w:ind w:left="680" w:right="680"/>
      <w:jc w:val="both"/>
    </w:pPr>
    <w:rPr>
      <w:i/>
      <w:iCs/>
      <w:color w:val="24272A" w:themeColor="text1"/>
    </w:rPr>
  </w:style>
  <w:style w:type="character" w:customStyle="1" w:styleId="QuoteChar">
    <w:name w:val="Quote Char"/>
    <w:basedOn w:val="DefaultParagraphFont"/>
    <w:link w:val="Quote"/>
    <w:uiPriority w:val="29"/>
    <w:rsid w:val="00C722D4"/>
    <w:rPr>
      <w:rFonts w:ascii="Arial" w:eastAsia="Cambria" w:hAnsi="Arial"/>
      <w:i/>
      <w:iCs/>
      <w:color w:val="24272A" w:themeColor="text1"/>
      <w:sz w:val="22"/>
      <w:szCs w:val="24"/>
      <w:lang w:eastAsia="en-US"/>
    </w:rPr>
  </w:style>
  <w:style w:type="table" w:customStyle="1" w:styleId="NTC-casestudy">
    <w:name w:val="NTC - case study"/>
    <w:basedOn w:val="TableNormal"/>
    <w:uiPriority w:val="99"/>
    <w:rsid w:val="00D033A9"/>
    <w:tblPr>
      <w:tblBorders>
        <w:top w:val="dotted" w:sz="18" w:space="0" w:color="10CFC9" w:themeColor="accent1"/>
        <w:left w:val="dotted" w:sz="18" w:space="0" w:color="10CFC9" w:themeColor="accent1"/>
        <w:bottom w:val="dotted" w:sz="18" w:space="0" w:color="10CFC9" w:themeColor="accent1"/>
        <w:right w:val="dotted" w:sz="18" w:space="0" w:color="10CFC9" w:themeColor="accent1"/>
      </w:tblBorders>
      <w:tblCellMar>
        <w:left w:w="284" w:type="dxa"/>
        <w:bottom w:w="284" w:type="dxa"/>
        <w:right w:w="284" w:type="dxa"/>
      </w:tblCellMar>
    </w:tblPr>
    <w:tcPr>
      <w:shd w:val="clear" w:color="auto" w:fill="auto"/>
    </w:tcPr>
  </w:style>
  <w:style w:type="table" w:customStyle="1" w:styleId="NTCcovertext">
    <w:name w:val="NTC cover text"/>
    <w:basedOn w:val="TableNormal"/>
    <w:uiPriority w:val="99"/>
    <w:rsid w:val="009F30A6"/>
    <w:rPr>
      <w:rFonts w:ascii="Arial" w:hAnsi="Arial"/>
      <w:color w:val="FFFFFF" w:themeColor="background1"/>
      <w:sz w:val="48"/>
    </w:rPr>
    <w:tblPr/>
    <w:tcPr>
      <w:shd w:val="clear" w:color="auto" w:fill="auto"/>
    </w:tcPr>
  </w:style>
  <w:style w:type="paragraph" w:styleId="NormalWeb">
    <w:name w:val="Normal (Web)"/>
    <w:basedOn w:val="Normal"/>
    <w:uiPriority w:val="99"/>
    <w:semiHidden/>
    <w:unhideWhenUsed/>
    <w:rsid w:val="00316B54"/>
    <w:pPr>
      <w:spacing w:before="100" w:beforeAutospacing="1" w:after="100" w:afterAutospacing="1"/>
    </w:pPr>
    <w:rPr>
      <w:rFonts w:ascii="Times New Roman" w:eastAsiaTheme="minorEastAsia" w:hAnsi="Times New Roman"/>
      <w:sz w:val="24"/>
      <w:szCs w:val="24"/>
      <w:lang w:eastAsia="en-AU"/>
    </w:rPr>
  </w:style>
  <w:style w:type="character" w:customStyle="1" w:styleId="UnresolvedMention">
    <w:name w:val="Unresolved Mention"/>
    <w:basedOn w:val="DefaultParagraphFont"/>
    <w:uiPriority w:val="99"/>
    <w:unhideWhenUsed/>
    <w:rsid w:val="005B5D25"/>
    <w:rPr>
      <w:color w:val="808080"/>
      <w:shd w:val="clear" w:color="auto" w:fill="E6E6E6"/>
    </w:rPr>
  </w:style>
  <w:style w:type="paragraph" w:customStyle="1" w:styleId="Head3-noTOC">
    <w:name w:val="Head 3 - no TOC"/>
    <w:basedOn w:val="BodyCopy"/>
    <w:qFormat/>
    <w:rsid w:val="002A634A"/>
    <w:pPr>
      <w:ind w:left="720" w:hanging="720"/>
    </w:pPr>
    <w:rPr>
      <w:b/>
    </w:rPr>
  </w:style>
  <w:style w:type="paragraph" w:customStyle="1" w:styleId="Boxheading">
    <w:name w:val="Box heading"/>
    <w:basedOn w:val="BodyCopy"/>
    <w:qFormat/>
    <w:rsid w:val="00761E1B"/>
    <w:pPr>
      <w:keepNext/>
      <w:spacing w:before="120" w:after="80"/>
    </w:pPr>
    <w:rPr>
      <w:b/>
      <w:bCs/>
      <w:color w:val="24272A" w:themeColor="text1"/>
    </w:rPr>
  </w:style>
  <w:style w:type="paragraph" w:styleId="Header">
    <w:name w:val="header"/>
    <w:basedOn w:val="Normal"/>
    <w:link w:val="HeaderChar"/>
    <w:uiPriority w:val="99"/>
    <w:unhideWhenUsed/>
    <w:rsid w:val="00FB127E"/>
    <w:pPr>
      <w:tabs>
        <w:tab w:val="center" w:pos="4680"/>
        <w:tab w:val="right" w:pos="9360"/>
      </w:tabs>
      <w:spacing w:before="0" w:after="0"/>
    </w:pPr>
  </w:style>
  <w:style w:type="paragraph" w:styleId="BodyText">
    <w:name w:val="Body Text"/>
    <w:basedOn w:val="Normal"/>
    <w:link w:val="BodyTextChar"/>
    <w:semiHidden/>
    <w:unhideWhenUsed/>
    <w:rsid w:val="00000EB3"/>
    <w:pPr>
      <w:spacing w:after="120"/>
    </w:pPr>
  </w:style>
  <w:style w:type="character" w:customStyle="1" w:styleId="BodyTextChar">
    <w:name w:val="Body Text Char"/>
    <w:basedOn w:val="DefaultParagraphFont"/>
    <w:link w:val="BodyText"/>
    <w:semiHidden/>
    <w:rsid w:val="00000EB3"/>
    <w:rPr>
      <w:rFonts w:ascii="Arial" w:hAnsi="Arial"/>
      <w:lang w:eastAsia="en-US"/>
    </w:rPr>
  </w:style>
  <w:style w:type="character" w:customStyle="1" w:styleId="HeaderChar">
    <w:name w:val="Header Char"/>
    <w:basedOn w:val="DefaultParagraphFont"/>
    <w:link w:val="Header"/>
    <w:uiPriority w:val="99"/>
    <w:rsid w:val="00FB127E"/>
    <w:rPr>
      <w:rFonts w:ascii="Arial" w:hAnsi="Arial"/>
      <w:lang w:eastAsia="en-US"/>
    </w:rPr>
  </w:style>
  <w:style w:type="paragraph" w:styleId="NoSpacing">
    <w:name w:val="No Spacing"/>
    <w:uiPriority w:val="1"/>
    <w:qFormat/>
    <w:rsid w:val="00E726D3"/>
    <w:rPr>
      <w:rFonts w:asciiTheme="minorHAnsi" w:eastAsiaTheme="minorHAnsi" w:hAnsiTheme="minorHAnsi" w:cstheme="minorBidi"/>
      <w:sz w:val="22"/>
      <w:szCs w:val="22"/>
      <w:lang w:eastAsia="en-US"/>
    </w:rPr>
  </w:style>
  <w:style w:type="character" w:customStyle="1" w:styleId="BodyCopyChar">
    <w:name w:val="Body Copy Char"/>
    <w:link w:val="BodyCopy"/>
    <w:rsid w:val="00ED534D"/>
    <w:rPr>
      <w:rFonts w:ascii="Arial" w:eastAsia="Cambria" w:hAnsi="Arial"/>
      <w:color w:val="000000"/>
      <w:sz w:val="22"/>
      <w:szCs w:val="24"/>
      <w:lang w:eastAsia="en-US"/>
    </w:rPr>
  </w:style>
  <w:style w:type="paragraph" w:customStyle="1" w:styleId="Bulletlist">
    <w:name w:val="Bullet list"/>
    <w:basedOn w:val="BodyCopy"/>
    <w:link w:val="BulletlistChar"/>
    <w:uiPriority w:val="2"/>
    <w:qFormat/>
    <w:rsid w:val="00DA7490"/>
    <w:pPr>
      <w:spacing w:before="120"/>
      <w:ind w:left="360" w:hanging="360"/>
    </w:pPr>
    <w:rPr>
      <w:color w:val="auto"/>
    </w:rPr>
  </w:style>
  <w:style w:type="paragraph" w:customStyle="1" w:styleId="NTCHeading3">
    <w:name w:val="NTC Heading 3"/>
    <w:basedOn w:val="Heading2"/>
    <w:qFormat/>
    <w:rsid w:val="003E273E"/>
    <w:pPr>
      <w:keepNext w:val="0"/>
      <w:numPr>
        <w:ilvl w:val="0"/>
        <w:numId w:val="0"/>
      </w:numPr>
      <w:pBdr>
        <w:bottom w:val="none" w:sz="0" w:space="0" w:color="auto"/>
      </w:pBdr>
      <w:spacing w:before="240" w:line="264" w:lineRule="auto"/>
    </w:pPr>
    <w:rPr>
      <w:rFonts w:eastAsia="Arial" w:cs="Arial"/>
      <w:color w:val="auto"/>
      <w:sz w:val="24"/>
      <w:szCs w:val="22"/>
    </w:rPr>
  </w:style>
  <w:style w:type="paragraph" w:customStyle="1" w:styleId="NTCBulletlist">
    <w:name w:val="NTC Bullet list"/>
    <w:basedOn w:val="Normal"/>
    <w:rsid w:val="003E273E"/>
    <w:pPr>
      <w:numPr>
        <w:numId w:val="12"/>
      </w:numPr>
      <w:spacing w:before="20" w:after="40" w:line="264" w:lineRule="auto"/>
    </w:pPr>
    <w:rPr>
      <w:rFonts w:eastAsia="Arial" w:cs="Arial"/>
      <w:sz w:val="22"/>
      <w:szCs w:val="22"/>
    </w:rPr>
  </w:style>
  <w:style w:type="paragraph" w:customStyle="1" w:styleId="Tableheading">
    <w:name w:val="Table heading"/>
    <w:qFormat/>
    <w:rsid w:val="003E273E"/>
    <w:pPr>
      <w:spacing w:before="60"/>
    </w:pPr>
    <w:rPr>
      <w:rFonts w:ascii="Arial" w:eastAsia="Arial" w:hAnsi="Arial" w:cs="Arial"/>
      <w:b/>
      <w:sz w:val="22"/>
      <w:szCs w:val="24"/>
      <w:lang w:eastAsia="en-US"/>
    </w:rPr>
  </w:style>
  <w:style w:type="paragraph" w:customStyle="1" w:styleId="BodyText1">
    <w:name w:val="Body Text1"/>
    <w:basedOn w:val="Normal"/>
    <w:qFormat/>
    <w:rsid w:val="004A7C13"/>
    <w:pPr>
      <w:spacing w:before="0" w:after="200" w:line="260" w:lineRule="exact"/>
    </w:pPr>
    <w:rPr>
      <w:sz w:val="22"/>
      <w:szCs w:val="24"/>
    </w:rPr>
  </w:style>
  <w:style w:type="paragraph" w:customStyle="1" w:styleId="NTCheading1">
    <w:name w:val="NTC heading 1"/>
    <w:basedOn w:val="Heading2"/>
    <w:qFormat/>
    <w:rsid w:val="001F290D"/>
    <w:pPr>
      <w:keepNext w:val="0"/>
      <w:numPr>
        <w:ilvl w:val="0"/>
        <w:numId w:val="0"/>
      </w:numPr>
      <w:pBdr>
        <w:bottom w:val="none" w:sz="0" w:space="0" w:color="auto"/>
      </w:pBdr>
      <w:spacing w:before="0" w:after="0" w:line="264" w:lineRule="auto"/>
    </w:pPr>
    <w:rPr>
      <w:rFonts w:eastAsia="Arial" w:cs="Arial"/>
      <w:color w:val="24312A"/>
      <w:sz w:val="44"/>
      <w:szCs w:val="44"/>
    </w:rPr>
  </w:style>
  <w:style w:type="table" w:customStyle="1" w:styleId="NTCtable1">
    <w:name w:val="NTC table1"/>
    <w:basedOn w:val="TableNormal"/>
    <w:uiPriority w:val="99"/>
    <w:rsid w:val="00D63E3F"/>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TableGrid1">
    <w:name w:val="Table Grid1"/>
    <w:basedOn w:val="TableNormal"/>
    <w:next w:val="TableGrid"/>
    <w:uiPriority w:val="39"/>
    <w:rsid w:val="0017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1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4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D44BE2"/>
    <w:rPr>
      <w:rFonts w:asciiTheme="minorHAnsi" w:eastAsiaTheme="minorHAnsi" w:hAnsiTheme="minorHAnsi" w:cstheme="minorBidi"/>
      <w:sz w:val="22"/>
      <w:szCs w:val="22"/>
      <w:lang w:eastAsia="en-US"/>
    </w:rPr>
  </w:style>
  <w:style w:type="character" w:customStyle="1" w:styleId="Heading3Char">
    <w:name w:val="Heading 3 Char"/>
    <w:aliases w:val="Head 3 Char"/>
    <w:basedOn w:val="DefaultParagraphFont"/>
    <w:link w:val="Heading3"/>
    <w:rsid w:val="00A300D8"/>
    <w:rPr>
      <w:rFonts w:ascii="Arial" w:hAnsi="Arial"/>
      <w:b/>
      <w:color w:val="24272A" w:themeColor="text1"/>
      <w:sz w:val="22"/>
      <w:szCs w:val="24"/>
      <w:lang w:eastAsia="en-US"/>
    </w:rPr>
  </w:style>
  <w:style w:type="paragraph" w:styleId="TOC4">
    <w:name w:val="toc 4"/>
    <w:basedOn w:val="Normal"/>
    <w:next w:val="Normal"/>
    <w:autoRedefine/>
    <w:uiPriority w:val="39"/>
    <w:unhideWhenUsed/>
    <w:rsid w:val="00262AED"/>
    <w:pPr>
      <w:spacing w:before="0"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262AED"/>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262AED"/>
    <w:pPr>
      <w:spacing w:before="0" w:after="100" w:line="259" w:lineRule="auto"/>
      <w:ind w:left="1100"/>
    </w:pPr>
    <w:rPr>
      <w:rFonts w:asciiTheme="minorHAnsi" w:eastAsiaTheme="minorEastAsia" w:hAnsiTheme="minorHAnsi" w:cstheme="minorBidi"/>
      <w:sz w:val="22"/>
      <w:szCs w:val="22"/>
      <w:lang w:eastAsia="en-AU"/>
    </w:rPr>
  </w:style>
  <w:style w:type="table" w:customStyle="1" w:styleId="TableGrid11">
    <w:name w:val="Table Grid11"/>
    <w:basedOn w:val="TableNormal"/>
    <w:next w:val="TableGrid"/>
    <w:uiPriority w:val="59"/>
    <w:rsid w:val="00EB7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E6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3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F62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TCtable2">
    <w:name w:val="NTC table2"/>
    <w:basedOn w:val="TableNormal"/>
    <w:uiPriority w:val="99"/>
    <w:rsid w:val="001E15F9"/>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NTCtable3">
    <w:name w:val="NTC table3"/>
    <w:basedOn w:val="TableNormal"/>
    <w:uiPriority w:val="99"/>
    <w:rsid w:val="00FB3710"/>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NTCtable31">
    <w:name w:val="NTC table31"/>
    <w:basedOn w:val="TableNormal"/>
    <w:uiPriority w:val="99"/>
    <w:rsid w:val="003C2B3A"/>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paragraph" w:styleId="Revision">
    <w:name w:val="Revision"/>
    <w:hidden/>
    <w:uiPriority w:val="99"/>
    <w:semiHidden/>
    <w:rsid w:val="00932C7E"/>
    <w:rPr>
      <w:rFonts w:ascii="Arial" w:hAnsi="Arial"/>
      <w:lang w:eastAsia="en-US"/>
    </w:rPr>
  </w:style>
  <w:style w:type="character" w:customStyle="1" w:styleId="Heading1Char">
    <w:name w:val="Heading 1 Char"/>
    <w:aliases w:val="Head 1 Char"/>
    <w:basedOn w:val="DefaultParagraphFont"/>
    <w:link w:val="Heading1"/>
    <w:uiPriority w:val="9"/>
    <w:rsid w:val="00C11127"/>
    <w:rPr>
      <w:rFonts w:ascii="Arial" w:hAnsi="Arial"/>
      <w:color w:val="000000"/>
      <w:sz w:val="44"/>
      <w:szCs w:val="40"/>
      <w:lang w:eastAsia="en-US"/>
    </w:rPr>
  </w:style>
  <w:style w:type="character" w:customStyle="1" w:styleId="Heading2Char">
    <w:name w:val="Heading 2 Char"/>
    <w:aliases w:val="Head 2 Char"/>
    <w:basedOn w:val="DefaultParagraphFont"/>
    <w:link w:val="Heading2"/>
    <w:rsid w:val="00313F2D"/>
    <w:rPr>
      <w:rFonts w:ascii="Arial" w:hAnsi="Arial"/>
      <w:b/>
      <w:color w:val="000000"/>
      <w:sz w:val="28"/>
      <w:szCs w:val="28"/>
      <w:lang w:eastAsia="en-US"/>
    </w:rPr>
  </w:style>
  <w:style w:type="table" w:customStyle="1" w:styleId="NTCtable4">
    <w:name w:val="NTC table4"/>
    <w:basedOn w:val="TableNormal"/>
    <w:uiPriority w:val="99"/>
    <w:rsid w:val="0064309B"/>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NTCtable5">
    <w:name w:val="NTC table5"/>
    <w:basedOn w:val="TableNormal"/>
    <w:uiPriority w:val="99"/>
    <w:rsid w:val="0064309B"/>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NTCtable6">
    <w:name w:val="NTC table6"/>
    <w:basedOn w:val="TableNormal"/>
    <w:uiPriority w:val="99"/>
    <w:rsid w:val="004A4126"/>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NTCtable7">
    <w:name w:val="NTC table7"/>
    <w:basedOn w:val="TableNormal"/>
    <w:uiPriority w:val="99"/>
    <w:rsid w:val="004A4126"/>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table" w:customStyle="1" w:styleId="NTCtable8">
    <w:name w:val="NTC table8"/>
    <w:basedOn w:val="TableNormal"/>
    <w:uiPriority w:val="99"/>
    <w:rsid w:val="004A4126"/>
    <w:rPr>
      <w:rFonts w:asciiTheme="minorHAnsi" w:eastAsiaTheme="minorHAnsi" w:hAnsiTheme="minorHAnsi" w:cstheme="minorBidi"/>
      <w:sz w:val="22"/>
      <w:szCs w:val="22"/>
      <w:lang w:val="en-US" w:eastAsia="en-US"/>
    </w:rPr>
    <w:tblPr>
      <w:tblBorders>
        <w:bottom w:val="single" w:sz="4" w:space="0" w:color="000000"/>
        <w:insideH w:val="single" w:sz="4" w:space="0" w:color="000000"/>
        <w:insideV w:val="single" w:sz="4" w:space="0" w:color="000000"/>
      </w:tblBorders>
      <w:tblCellMar>
        <w:bottom w:w="57" w:type="dxa"/>
      </w:tblCellMar>
    </w:tblPr>
    <w:tblStylePr w:type="firstRow">
      <w:tblPr/>
      <w:tcPr>
        <w:shd w:val="clear" w:color="auto" w:fill="DCF5F3"/>
      </w:tcPr>
    </w:tblStylePr>
  </w:style>
  <w:style w:type="character" w:customStyle="1" w:styleId="Heading4Char">
    <w:name w:val="Heading 4 Char"/>
    <w:basedOn w:val="DefaultParagraphFont"/>
    <w:link w:val="Heading4"/>
    <w:rsid w:val="006D6D4B"/>
    <w:rPr>
      <w:rFonts w:ascii="Arial" w:hAnsi="Arial"/>
      <w:b/>
      <w:color w:val="FFFFFF" w:themeColor="background1"/>
      <w:sz w:val="22"/>
      <w:lang w:eastAsia="en-US"/>
    </w:rPr>
  </w:style>
  <w:style w:type="character" w:customStyle="1" w:styleId="Heading5Char">
    <w:name w:val="Heading 5 Char"/>
    <w:basedOn w:val="DefaultParagraphFont"/>
    <w:link w:val="Heading5"/>
    <w:semiHidden/>
    <w:rsid w:val="006D6D4B"/>
    <w:rPr>
      <w:rFonts w:ascii="Arial" w:hAnsi="Arial"/>
      <w:b/>
      <w:lang w:eastAsia="en-US"/>
    </w:rPr>
  </w:style>
  <w:style w:type="character" w:customStyle="1" w:styleId="Heading6Char">
    <w:name w:val="Heading 6 Char"/>
    <w:basedOn w:val="DefaultParagraphFont"/>
    <w:link w:val="Heading6"/>
    <w:semiHidden/>
    <w:rsid w:val="006D6D4B"/>
    <w:rPr>
      <w:rFonts w:ascii="Arial" w:hAnsi="Arial"/>
      <w:u w:val="single"/>
      <w:lang w:eastAsia="en-US"/>
    </w:rPr>
  </w:style>
  <w:style w:type="character" w:customStyle="1" w:styleId="Heading7Char">
    <w:name w:val="Heading 7 Char"/>
    <w:basedOn w:val="DefaultParagraphFont"/>
    <w:link w:val="Heading7"/>
    <w:semiHidden/>
    <w:rsid w:val="006D6D4B"/>
    <w:rPr>
      <w:rFonts w:ascii="Arial" w:hAnsi="Arial"/>
      <w:i/>
      <w:lang w:eastAsia="en-US"/>
    </w:rPr>
  </w:style>
  <w:style w:type="character" w:customStyle="1" w:styleId="Heading8Char">
    <w:name w:val="Heading 8 Char"/>
    <w:basedOn w:val="DefaultParagraphFont"/>
    <w:link w:val="Heading8"/>
    <w:semiHidden/>
    <w:rsid w:val="006D6D4B"/>
    <w:rPr>
      <w:rFonts w:ascii="Arial" w:hAnsi="Arial"/>
      <w:i/>
      <w:lang w:eastAsia="en-US"/>
    </w:rPr>
  </w:style>
  <w:style w:type="character" w:customStyle="1" w:styleId="Heading9Char">
    <w:name w:val="Heading 9 Char"/>
    <w:basedOn w:val="DefaultParagraphFont"/>
    <w:link w:val="Heading9"/>
    <w:semiHidden/>
    <w:rsid w:val="006D6D4B"/>
    <w:rPr>
      <w:rFonts w:ascii="Arial" w:hAnsi="Arial"/>
      <w:i/>
      <w:lang w:eastAsia="en-US"/>
    </w:rPr>
  </w:style>
  <w:style w:type="character" w:customStyle="1" w:styleId="DocumentMapChar">
    <w:name w:val="Document Map Char"/>
    <w:basedOn w:val="DefaultParagraphFont"/>
    <w:link w:val="DocumentMap"/>
    <w:semiHidden/>
    <w:rsid w:val="006D6D4B"/>
    <w:rPr>
      <w:rFonts w:ascii="Tahoma" w:hAnsi="Tahoma"/>
      <w:shd w:val="clear" w:color="auto" w:fill="000080"/>
      <w:lang w:eastAsia="en-US"/>
    </w:rPr>
  </w:style>
  <w:style w:type="character" w:styleId="Emphasis">
    <w:name w:val="Emphasis"/>
    <w:basedOn w:val="DefaultParagraphFont"/>
    <w:uiPriority w:val="20"/>
    <w:qFormat/>
    <w:rsid w:val="00500E3E"/>
    <w:rPr>
      <w:i/>
      <w:iCs/>
    </w:rPr>
  </w:style>
  <w:style w:type="table" w:customStyle="1" w:styleId="NTC-keypoints1">
    <w:name w:val="NTC - keypoints1"/>
    <w:basedOn w:val="TableNormal"/>
    <w:uiPriority w:val="99"/>
    <w:rsid w:val="00414ADF"/>
    <w:tblPr>
      <w:tblCellMar>
        <w:left w:w="284" w:type="dxa"/>
        <w:bottom w:w="227" w:type="dxa"/>
        <w:right w:w="284" w:type="dxa"/>
      </w:tblCellMar>
    </w:tblPr>
    <w:tcPr>
      <w:shd w:val="clear" w:color="auto" w:fill="DCF5F3"/>
    </w:tcPr>
  </w:style>
  <w:style w:type="paragraph" w:styleId="Bibliography">
    <w:name w:val="Bibliography"/>
    <w:basedOn w:val="Normal"/>
    <w:next w:val="Normal"/>
    <w:uiPriority w:val="37"/>
    <w:unhideWhenUsed/>
    <w:rsid w:val="006A376A"/>
  </w:style>
  <w:style w:type="table" w:styleId="GridTable5Dark-Accent2">
    <w:name w:val="Grid Table 5 Dark Accent 2"/>
    <w:basedOn w:val="TableNormal"/>
    <w:uiPriority w:val="50"/>
    <w:rsid w:val="006A376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7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DAD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DAD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DAD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DAD6" w:themeFill="accent2"/>
      </w:tcPr>
    </w:tblStylePr>
    <w:tblStylePr w:type="band1Vert">
      <w:tblPr/>
      <w:tcPr>
        <w:shd w:val="clear" w:color="auto" w:fill="C6F0EE" w:themeFill="accent2" w:themeFillTint="66"/>
      </w:tcPr>
    </w:tblStylePr>
    <w:tblStylePr w:type="band1Horz">
      <w:tblPr/>
      <w:tcPr>
        <w:shd w:val="clear" w:color="auto" w:fill="C6F0EE" w:themeFill="accent2" w:themeFillTint="66"/>
      </w:tcPr>
    </w:tblStylePr>
  </w:style>
  <w:style w:type="character" w:customStyle="1" w:styleId="Mention">
    <w:name w:val="Mention"/>
    <w:basedOn w:val="DefaultParagraphFont"/>
    <w:uiPriority w:val="99"/>
    <w:unhideWhenUsed/>
    <w:rsid w:val="00CA7A0F"/>
    <w:rPr>
      <w:color w:val="2B579A"/>
      <w:shd w:val="clear" w:color="auto" w:fill="E1DFDD"/>
    </w:rPr>
  </w:style>
  <w:style w:type="character" w:customStyle="1" w:styleId="BulletlistChar">
    <w:name w:val="Bullet list Char"/>
    <w:basedOn w:val="DefaultParagraphFont"/>
    <w:link w:val="Bulletlist"/>
    <w:uiPriority w:val="2"/>
    <w:locked/>
    <w:rsid w:val="002F5874"/>
    <w:rPr>
      <w:rFonts w:ascii="Arial" w:eastAsia="Cambria" w:hAnsi="Arial"/>
      <w:sz w:val="22"/>
      <w:szCs w:val="24"/>
      <w:lang w:eastAsia="en-US"/>
    </w:rPr>
  </w:style>
  <w:style w:type="numbering" w:customStyle="1" w:styleId="Style1">
    <w:name w:val="Style1"/>
    <w:uiPriority w:val="99"/>
    <w:rsid w:val="002F5874"/>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4831">
      <w:bodyDiv w:val="1"/>
      <w:marLeft w:val="0"/>
      <w:marRight w:val="0"/>
      <w:marTop w:val="0"/>
      <w:marBottom w:val="0"/>
      <w:divBdr>
        <w:top w:val="none" w:sz="0" w:space="0" w:color="auto"/>
        <w:left w:val="none" w:sz="0" w:space="0" w:color="auto"/>
        <w:bottom w:val="none" w:sz="0" w:space="0" w:color="auto"/>
        <w:right w:val="none" w:sz="0" w:space="0" w:color="auto"/>
      </w:divBdr>
    </w:div>
    <w:div w:id="2559679">
      <w:bodyDiv w:val="1"/>
      <w:marLeft w:val="0"/>
      <w:marRight w:val="0"/>
      <w:marTop w:val="0"/>
      <w:marBottom w:val="0"/>
      <w:divBdr>
        <w:top w:val="none" w:sz="0" w:space="0" w:color="auto"/>
        <w:left w:val="none" w:sz="0" w:space="0" w:color="auto"/>
        <w:bottom w:val="none" w:sz="0" w:space="0" w:color="auto"/>
        <w:right w:val="none" w:sz="0" w:space="0" w:color="auto"/>
      </w:divBdr>
    </w:div>
    <w:div w:id="3556499">
      <w:bodyDiv w:val="1"/>
      <w:marLeft w:val="0"/>
      <w:marRight w:val="0"/>
      <w:marTop w:val="0"/>
      <w:marBottom w:val="0"/>
      <w:divBdr>
        <w:top w:val="none" w:sz="0" w:space="0" w:color="auto"/>
        <w:left w:val="none" w:sz="0" w:space="0" w:color="auto"/>
        <w:bottom w:val="none" w:sz="0" w:space="0" w:color="auto"/>
        <w:right w:val="none" w:sz="0" w:space="0" w:color="auto"/>
      </w:divBdr>
    </w:div>
    <w:div w:id="4794521">
      <w:bodyDiv w:val="1"/>
      <w:marLeft w:val="0"/>
      <w:marRight w:val="0"/>
      <w:marTop w:val="0"/>
      <w:marBottom w:val="0"/>
      <w:divBdr>
        <w:top w:val="none" w:sz="0" w:space="0" w:color="auto"/>
        <w:left w:val="none" w:sz="0" w:space="0" w:color="auto"/>
        <w:bottom w:val="none" w:sz="0" w:space="0" w:color="auto"/>
        <w:right w:val="none" w:sz="0" w:space="0" w:color="auto"/>
      </w:divBdr>
    </w:div>
    <w:div w:id="5447130">
      <w:bodyDiv w:val="1"/>
      <w:marLeft w:val="0"/>
      <w:marRight w:val="0"/>
      <w:marTop w:val="0"/>
      <w:marBottom w:val="0"/>
      <w:divBdr>
        <w:top w:val="none" w:sz="0" w:space="0" w:color="auto"/>
        <w:left w:val="none" w:sz="0" w:space="0" w:color="auto"/>
        <w:bottom w:val="none" w:sz="0" w:space="0" w:color="auto"/>
        <w:right w:val="none" w:sz="0" w:space="0" w:color="auto"/>
      </w:divBdr>
    </w:div>
    <w:div w:id="17463569">
      <w:bodyDiv w:val="1"/>
      <w:marLeft w:val="0"/>
      <w:marRight w:val="0"/>
      <w:marTop w:val="0"/>
      <w:marBottom w:val="0"/>
      <w:divBdr>
        <w:top w:val="none" w:sz="0" w:space="0" w:color="auto"/>
        <w:left w:val="none" w:sz="0" w:space="0" w:color="auto"/>
        <w:bottom w:val="none" w:sz="0" w:space="0" w:color="auto"/>
        <w:right w:val="none" w:sz="0" w:space="0" w:color="auto"/>
      </w:divBdr>
    </w:div>
    <w:div w:id="18625753">
      <w:bodyDiv w:val="1"/>
      <w:marLeft w:val="0"/>
      <w:marRight w:val="0"/>
      <w:marTop w:val="0"/>
      <w:marBottom w:val="0"/>
      <w:divBdr>
        <w:top w:val="none" w:sz="0" w:space="0" w:color="auto"/>
        <w:left w:val="none" w:sz="0" w:space="0" w:color="auto"/>
        <w:bottom w:val="none" w:sz="0" w:space="0" w:color="auto"/>
        <w:right w:val="none" w:sz="0" w:space="0" w:color="auto"/>
      </w:divBdr>
    </w:div>
    <w:div w:id="20327707">
      <w:bodyDiv w:val="1"/>
      <w:marLeft w:val="0"/>
      <w:marRight w:val="0"/>
      <w:marTop w:val="0"/>
      <w:marBottom w:val="0"/>
      <w:divBdr>
        <w:top w:val="none" w:sz="0" w:space="0" w:color="auto"/>
        <w:left w:val="none" w:sz="0" w:space="0" w:color="auto"/>
        <w:bottom w:val="none" w:sz="0" w:space="0" w:color="auto"/>
        <w:right w:val="none" w:sz="0" w:space="0" w:color="auto"/>
      </w:divBdr>
    </w:div>
    <w:div w:id="24600896">
      <w:bodyDiv w:val="1"/>
      <w:marLeft w:val="0"/>
      <w:marRight w:val="0"/>
      <w:marTop w:val="0"/>
      <w:marBottom w:val="0"/>
      <w:divBdr>
        <w:top w:val="none" w:sz="0" w:space="0" w:color="auto"/>
        <w:left w:val="none" w:sz="0" w:space="0" w:color="auto"/>
        <w:bottom w:val="none" w:sz="0" w:space="0" w:color="auto"/>
        <w:right w:val="none" w:sz="0" w:space="0" w:color="auto"/>
      </w:divBdr>
    </w:div>
    <w:div w:id="25838646">
      <w:bodyDiv w:val="1"/>
      <w:marLeft w:val="0"/>
      <w:marRight w:val="0"/>
      <w:marTop w:val="0"/>
      <w:marBottom w:val="0"/>
      <w:divBdr>
        <w:top w:val="none" w:sz="0" w:space="0" w:color="auto"/>
        <w:left w:val="none" w:sz="0" w:space="0" w:color="auto"/>
        <w:bottom w:val="none" w:sz="0" w:space="0" w:color="auto"/>
        <w:right w:val="none" w:sz="0" w:space="0" w:color="auto"/>
      </w:divBdr>
    </w:div>
    <w:div w:id="27267999">
      <w:bodyDiv w:val="1"/>
      <w:marLeft w:val="0"/>
      <w:marRight w:val="0"/>
      <w:marTop w:val="0"/>
      <w:marBottom w:val="0"/>
      <w:divBdr>
        <w:top w:val="none" w:sz="0" w:space="0" w:color="auto"/>
        <w:left w:val="none" w:sz="0" w:space="0" w:color="auto"/>
        <w:bottom w:val="none" w:sz="0" w:space="0" w:color="auto"/>
        <w:right w:val="none" w:sz="0" w:space="0" w:color="auto"/>
      </w:divBdr>
    </w:div>
    <w:div w:id="27802892">
      <w:bodyDiv w:val="1"/>
      <w:marLeft w:val="0"/>
      <w:marRight w:val="0"/>
      <w:marTop w:val="0"/>
      <w:marBottom w:val="0"/>
      <w:divBdr>
        <w:top w:val="none" w:sz="0" w:space="0" w:color="auto"/>
        <w:left w:val="none" w:sz="0" w:space="0" w:color="auto"/>
        <w:bottom w:val="none" w:sz="0" w:space="0" w:color="auto"/>
        <w:right w:val="none" w:sz="0" w:space="0" w:color="auto"/>
      </w:divBdr>
    </w:div>
    <w:div w:id="32193126">
      <w:bodyDiv w:val="1"/>
      <w:marLeft w:val="0"/>
      <w:marRight w:val="0"/>
      <w:marTop w:val="0"/>
      <w:marBottom w:val="0"/>
      <w:divBdr>
        <w:top w:val="none" w:sz="0" w:space="0" w:color="auto"/>
        <w:left w:val="none" w:sz="0" w:space="0" w:color="auto"/>
        <w:bottom w:val="none" w:sz="0" w:space="0" w:color="auto"/>
        <w:right w:val="none" w:sz="0" w:space="0" w:color="auto"/>
      </w:divBdr>
    </w:div>
    <w:div w:id="33384927">
      <w:bodyDiv w:val="1"/>
      <w:marLeft w:val="0"/>
      <w:marRight w:val="0"/>
      <w:marTop w:val="0"/>
      <w:marBottom w:val="0"/>
      <w:divBdr>
        <w:top w:val="none" w:sz="0" w:space="0" w:color="auto"/>
        <w:left w:val="none" w:sz="0" w:space="0" w:color="auto"/>
        <w:bottom w:val="none" w:sz="0" w:space="0" w:color="auto"/>
        <w:right w:val="none" w:sz="0" w:space="0" w:color="auto"/>
      </w:divBdr>
    </w:div>
    <w:div w:id="36054123">
      <w:bodyDiv w:val="1"/>
      <w:marLeft w:val="0"/>
      <w:marRight w:val="0"/>
      <w:marTop w:val="0"/>
      <w:marBottom w:val="0"/>
      <w:divBdr>
        <w:top w:val="none" w:sz="0" w:space="0" w:color="auto"/>
        <w:left w:val="none" w:sz="0" w:space="0" w:color="auto"/>
        <w:bottom w:val="none" w:sz="0" w:space="0" w:color="auto"/>
        <w:right w:val="none" w:sz="0" w:space="0" w:color="auto"/>
      </w:divBdr>
    </w:div>
    <w:div w:id="39667491">
      <w:bodyDiv w:val="1"/>
      <w:marLeft w:val="0"/>
      <w:marRight w:val="0"/>
      <w:marTop w:val="0"/>
      <w:marBottom w:val="0"/>
      <w:divBdr>
        <w:top w:val="none" w:sz="0" w:space="0" w:color="auto"/>
        <w:left w:val="none" w:sz="0" w:space="0" w:color="auto"/>
        <w:bottom w:val="none" w:sz="0" w:space="0" w:color="auto"/>
        <w:right w:val="none" w:sz="0" w:space="0" w:color="auto"/>
      </w:divBdr>
    </w:div>
    <w:div w:id="39792780">
      <w:bodyDiv w:val="1"/>
      <w:marLeft w:val="0"/>
      <w:marRight w:val="0"/>
      <w:marTop w:val="0"/>
      <w:marBottom w:val="0"/>
      <w:divBdr>
        <w:top w:val="none" w:sz="0" w:space="0" w:color="auto"/>
        <w:left w:val="none" w:sz="0" w:space="0" w:color="auto"/>
        <w:bottom w:val="none" w:sz="0" w:space="0" w:color="auto"/>
        <w:right w:val="none" w:sz="0" w:space="0" w:color="auto"/>
      </w:divBdr>
    </w:div>
    <w:div w:id="40715491">
      <w:bodyDiv w:val="1"/>
      <w:marLeft w:val="0"/>
      <w:marRight w:val="0"/>
      <w:marTop w:val="0"/>
      <w:marBottom w:val="0"/>
      <w:divBdr>
        <w:top w:val="none" w:sz="0" w:space="0" w:color="auto"/>
        <w:left w:val="none" w:sz="0" w:space="0" w:color="auto"/>
        <w:bottom w:val="none" w:sz="0" w:space="0" w:color="auto"/>
        <w:right w:val="none" w:sz="0" w:space="0" w:color="auto"/>
      </w:divBdr>
    </w:div>
    <w:div w:id="42220297">
      <w:bodyDiv w:val="1"/>
      <w:marLeft w:val="0"/>
      <w:marRight w:val="0"/>
      <w:marTop w:val="0"/>
      <w:marBottom w:val="0"/>
      <w:divBdr>
        <w:top w:val="none" w:sz="0" w:space="0" w:color="auto"/>
        <w:left w:val="none" w:sz="0" w:space="0" w:color="auto"/>
        <w:bottom w:val="none" w:sz="0" w:space="0" w:color="auto"/>
        <w:right w:val="none" w:sz="0" w:space="0" w:color="auto"/>
      </w:divBdr>
    </w:div>
    <w:div w:id="46807361">
      <w:bodyDiv w:val="1"/>
      <w:marLeft w:val="0"/>
      <w:marRight w:val="0"/>
      <w:marTop w:val="0"/>
      <w:marBottom w:val="0"/>
      <w:divBdr>
        <w:top w:val="none" w:sz="0" w:space="0" w:color="auto"/>
        <w:left w:val="none" w:sz="0" w:space="0" w:color="auto"/>
        <w:bottom w:val="none" w:sz="0" w:space="0" w:color="auto"/>
        <w:right w:val="none" w:sz="0" w:space="0" w:color="auto"/>
      </w:divBdr>
    </w:div>
    <w:div w:id="49161296">
      <w:bodyDiv w:val="1"/>
      <w:marLeft w:val="0"/>
      <w:marRight w:val="0"/>
      <w:marTop w:val="0"/>
      <w:marBottom w:val="0"/>
      <w:divBdr>
        <w:top w:val="none" w:sz="0" w:space="0" w:color="auto"/>
        <w:left w:val="none" w:sz="0" w:space="0" w:color="auto"/>
        <w:bottom w:val="none" w:sz="0" w:space="0" w:color="auto"/>
        <w:right w:val="none" w:sz="0" w:space="0" w:color="auto"/>
      </w:divBdr>
    </w:div>
    <w:div w:id="56520355">
      <w:bodyDiv w:val="1"/>
      <w:marLeft w:val="0"/>
      <w:marRight w:val="0"/>
      <w:marTop w:val="0"/>
      <w:marBottom w:val="0"/>
      <w:divBdr>
        <w:top w:val="none" w:sz="0" w:space="0" w:color="auto"/>
        <w:left w:val="none" w:sz="0" w:space="0" w:color="auto"/>
        <w:bottom w:val="none" w:sz="0" w:space="0" w:color="auto"/>
        <w:right w:val="none" w:sz="0" w:space="0" w:color="auto"/>
      </w:divBdr>
    </w:div>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1370697">
      <w:bodyDiv w:val="1"/>
      <w:marLeft w:val="0"/>
      <w:marRight w:val="0"/>
      <w:marTop w:val="0"/>
      <w:marBottom w:val="0"/>
      <w:divBdr>
        <w:top w:val="none" w:sz="0" w:space="0" w:color="auto"/>
        <w:left w:val="none" w:sz="0" w:space="0" w:color="auto"/>
        <w:bottom w:val="none" w:sz="0" w:space="0" w:color="auto"/>
        <w:right w:val="none" w:sz="0" w:space="0" w:color="auto"/>
      </w:divBdr>
    </w:div>
    <w:div w:id="65499701">
      <w:bodyDiv w:val="1"/>
      <w:marLeft w:val="0"/>
      <w:marRight w:val="0"/>
      <w:marTop w:val="0"/>
      <w:marBottom w:val="0"/>
      <w:divBdr>
        <w:top w:val="none" w:sz="0" w:space="0" w:color="auto"/>
        <w:left w:val="none" w:sz="0" w:space="0" w:color="auto"/>
        <w:bottom w:val="none" w:sz="0" w:space="0" w:color="auto"/>
        <w:right w:val="none" w:sz="0" w:space="0" w:color="auto"/>
      </w:divBdr>
    </w:div>
    <w:div w:id="72165312">
      <w:bodyDiv w:val="1"/>
      <w:marLeft w:val="0"/>
      <w:marRight w:val="0"/>
      <w:marTop w:val="0"/>
      <w:marBottom w:val="0"/>
      <w:divBdr>
        <w:top w:val="none" w:sz="0" w:space="0" w:color="auto"/>
        <w:left w:val="none" w:sz="0" w:space="0" w:color="auto"/>
        <w:bottom w:val="none" w:sz="0" w:space="0" w:color="auto"/>
        <w:right w:val="none" w:sz="0" w:space="0" w:color="auto"/>
      </w:divBdr>
    </w:div>
    <w:div w:id="73286023">
      <w:bodyDiv w:val="1"/>
      <w:marLeft w:val="0"/>
      <w:marRight w:val="0"/>
      <w:marTop w:val="0"/>
      <w:marBottom w:val="0"/>
      <w:divBdr>
        <w:top w:val="none" w:sz="0" w:space="0" w:color="auto"/>
        <w:left w:val="none" w:sz="0" w:space="0" w:color="auto"/>
        <w:bottom w:val="none" w:sz="0" w:space="0" w:color="auto"/>
        <w:right w:val="none" w:sz="0" w:space="0" w:color="auto"/>
      </w:divBdr>
    </w:div>
    <w:div w:id="75908644">
      <w:bodyDiv w:val="1"/>
      <w:marLeft w:val="0"/>
      <w:marRight w:val="0"/>
      <w:marTop w:val="0"/>
      <w:marBottom w:val="0"/>
      <w:divBdr>
        <w:top w:val="none" w:sz="0" w:space="0" w:color="auto"/>
        <w:left w:val="none" w:sz="0" w:space="0" w:color="auto"/>
        <w:bottom w:val="none" w:sz="0" w:space="0" w:color="auto"/>
        <w:right w:val="none" w:sz="0" w:space="0" w:color="auto"/>
      </w:divBdr>
    </w:div>
    <w:div w:id="79253876">
      <w:bodyDiv w:val="1"/>
      <w:marLeft w:val="0"/>
      <w:marRight w:val="0"/>
      <w:marTop w:val="0"/>
      <w:marBottom w:val="0"/>
      <w:divBdr>
        <w:top w:val="none" w:sz="0" w:space="0" w:color="auto"/>
        <w:left w:val="none" w:sz="0" w:space="0" w:color="auto"/>
        <w:bottom w:val="none" w:sz="0" w:space="0" w:color="auto"/>
        <w:right w:val="none" w:sz="0" w:space="0" w:color="auto"/>
      </w:divBdr>
    </w:div>
    <w:div w:id="81727875">
      <w:bodyDiv w:val="1"/>
      <w:marLeft w:val="0"/>
      <w:marRight w:val="0"/>
      <w:marTop w:val="0"/>
      <w:marBottom w:val="0"/>
      <w:divBdr>
        <w:top w:val="none" w:sz="0" w:space="0" w:color="auto"/>
        <w:left w:val="none" w:sz="0" w:space="0" w:color="auto"/>
        <w:bottom w:val="none" w:sz="0" w:space="0" w:color="auto"/>
        <w:right w:val="none" w:sz="0" w:space="0" w:color="auto"/>
      </w:divBdr>
    </w:div>
    <w:div w:id="84497806">
      <w:bodyDiv w:val="1"/>
      <w:marLeft w:val="0"/>
      <w:marRight w:val="0"/>
      <w:marTop w:val="0"/>
      <w:marBottom w:val="0"/>
      <w:divBdr>
        <w:top w:val="none" w:sz="0" w:space="0" w:color="auto"/>
        <w:left w:val="none" w:sz="0" w:space="0" w:color="auto"/>
        <w:bottom w:val="none" w:sz="0" w:space="0" w:color="auto"/>
        <w:right w:val="none" w:sz="0" w:space="0" w:color="auto"/>
      </w:divBdr>
    </w:div>
    <w:div w:id="84963812">
      <w:bodyDiv w:val="1"/>
      <w:marLeft w:val="0"/>
      <w:marRight w:val="0"/>
      <w:marTop w:val="0"/>
      <w:marBottom w:val="0"/>
      <w:divBdr>
        <w:top w:val="none" w:sz="0" w:space="0" w:color="auto"/>
        <w:left w:val="none" w:sz="0" w:space="0" w:color="auto"/>
        <w:bottom w:val="none" w:sz="0" w:space="0" w:color="auto"/>
        <w:right w:val="none" w:sz="0" w:space="0" w:color="auto"/>
      </w:divBdr>
      <w:divsChild>
        <w:div w:id="390538417">
          <w:marLeft w:val="274"/>
          <w:marRight w:val="0"/>
          <w:marTop w:val="19"/>
          <w:marBottom w:val="120"/>
          <w:divBdr>
            <w:top w:val="none" w:sz="0" w:space="0" w:color="auto"/>
            <w:left w:val="none" w:sz="0" w:space="0" w:color="auto"/>
            <w:bottom w:val="none" w:sz="0" w:space="0" w:color="auto"/>
            <w:right w:val="none" w:sz="0" w:space="0" w:color="auto"/>
          </w:divBdr>
        </w:div>
        <w:div w:id="677735056">
          <w:marLeft w:val="274"/>
          <w:marRight w:val="0"/>
          <w:marTop w:val="19"/>
          <w:marBottom w:val="120"/>
          <w:divBdr>
            <w:top w:val="none" w:sz="0" w:space="0" w:color="auto"/>
            <w:left w:val="none" w:sz="0" w:space="0" w:color="auto"/>
            <w:bottom w:val="none" w:sz="0" w:space="0" w:color="auto"/>
            <w:right w:val="none" w:sz="0" w:space="0" w:color="auto"/>
          </w:divBdr>
        </w:div>
        <w:div w:id="835652127">
          <w:marLeft w:val="274"/>
          <w:marRight w:val="0"/>
          <w:marTop w:val="19"/>
          <w:marBottom w:val="120"/>
          <w:divBdr>
            <w:top w:val="none" w:sz="0" w:space="0" w:color="auto"/>
            <w:left w:val="none" w:sz="0" w:space="0" w:color="auto"/>
            <w:bottom w:val="none" w:sz="0" w:space="0" w:color="auto"/>
            <w:right w:val="none" w:sz="0" w:space="0" w:color="auto"/>
          </w:divBdr>
        </w:div>
        <w:div w:id="1005211694">
          <w:marLeft w:val="274"/>
          <w:marRight w:val="0"/>
          <w:marTop w:val="19"/>
          <w:marBottom w:val="120"/>
          <w:divBdr>
            <w:top w:val="none" w:sz="0" w:space="0" w:color="auto"/>
            <w:left w:val="none" w:sz="0" w:space="0" w:color="auto"/>
            <w:bottom w:val="none" w:sz="0" w:space="0" w:color="auto"/>
            <w:right w:val="none" w:sz="0" w:space="0" w:color="auto"/>
          </w:divBdr>
        </w:div>
        <w:div w:id="1164660966">
          <w:marLeft w:val="274"/>
          <w:marRight w:val="0"/>
          <w:marTop w:val="19"/>
          <w:marBottom w:val="120"/>
          <w:divBdr>
            <w:top w:val="none" w:sz="0" w:space="0" w:color="auto"/>
            <w:left w:val="none" w:sz="0" w:space="0" w:color="auto"/>
            <w:bottom w:val="none" w:sz="0" w:space="0" w:color="auto"/>
            <w:right w:val="none" w:sz="0" w:space="0" w:color="auto"/>
          </w:divBdr>
        </w:div>
        <w:div w:id="1370031581">
          <w:marLeft w:val="274"/>
          <w:marRight w:val="0"/>
          <w:marTop w:val="19"/>
          <w:marBottom w:val="120"/>
          <w:divBdr>
            <w:top w:val="none" w:sz="0" w:space="0" w:color="auto"/>
            <w:left w:val="none" w:sz="0" w:space="0" w:color="auto"/>
            <w:bottom w:val="none" w:sz="0" w:space="0" w:color="auto"/>
            <w:right w:val="none" w:sz="0" w:space="0" w:color="auto"/>
          </w:divBdr>
        </w:div>
        <w:div w:id="1473865225">
          <w:marLeft w:val="274"/>
          <w:marRight w:val="0"/>
          <w:marTop w:val="19"/>
          <w:marBottom w:val="120"/>
          <w:divBdr>
            <w:top w:val="none" w:sz="0" w:space="0" w:color="auto"/>
            <w:left w:val="none" w:sz="0" w:space="0" w:color="auto"/>
            <w:bottom w:val="none" w:sz="0" w:space="0" w:color="auto"/>
            <w:right w:val="none" w:sz="0" w:space="0" w:color="auto"/>
          </w:divBdr>
        </w:div>
        <w:div w:id="1624729781">
          <w:marLeft w:val="274"/>
          <w:marRight w:val="0"/>
          <w:marTop w:val="19"/>
          <w:marBottom w:val="120"/>
          <w:divBdr>
            <w:top w:val="none" w:sz="0" w:space="0" w:color="auto"/>
            <w:left w:val="none" w:sz="0" w:space="0" w:color="auto"/>
            <w:bottom w:val="none" w:sz="0" w:space="0" w:color="auto"/>
            <w:right w:val="none" w:sz="0" w:space="0" w:color="auto"/>
          </w:divBdr>
        </w:div>
        <w:div w:id="1643996536">
          <w:marLeft w:val="274"/>
          <w:marRight w:val="0"/>
          <w:marTop w:val="19"/>
          <w:marBottom w:val="120"/>
          <w:divBdr>
            <w:top w:val="none" w:sz="0" w:space="0" w:color="auto"/>
            <w:left w:val="none" w:sz="0" w:space="0" w:color="auto"/>
            <w:bottom w:val="none" w:sz="0" w:space="0" w:color="auto"/>
            <w:right w:val="none" w:sz="0" w:space="0" w:color="auto"/>
          </w:divBdr>
        </w:div>
        <w:div w:id="1744597139">
          <w:marLeft w:val="274"/>
          <w:marRight w:val="0"/>
          <w:marTop w:val="19"/>
          <w:marBottom w:val="120"/>
          <w:divBdr>
            <w:top w:val="none" w:sz="0" w:space="0" w:color="auto"/>
            <w:left w:val="none" w:sz="0" w:space="0" w:color="auto"/>
            <w:bottom w:val="none" w:sz="0" w:space="0" w:color="auto"/>
            <w:right w:val="none" w:sz="0" w:space="0" w:color="auto"/>
          </w:divBdr>
        </w:div>
        <w:div w:id="1852063978">
          <w:marLeft w:val="274"/>
          <w:marRight w:val="0"/>
          <w:marTop w:val="19"/>
          <w:marBottom w:val="120"/>
          <w:divBdr>
            <w:top w:val="none" w:sz="0" w:space="0" w:color="auto"/>
            <w:left w:val="none" w:sz="0" w:space="0" w:color="auto"/>
            <w:bottom w:val="none" w:sz="0" w:space="0" w:color="auto"/>
            <w:right w:val="none" w:sz="0" w:space="0" w:color="auto"/>
          </w:divBdr>
        </w:div>
      </w:divsChild>
    </w:div>
    <w:div w:id="84965424">
      <w:bodyDiv w:val="1"/>
      <w:marLeft w:val="0"/>
      <w:marRight w:val="0"/>
      <w:marTop w:val="0"/>
      <w:marBottom w:val="0"/>
      <w:divBdr>
        <w:top w:val="none" w:sz="0" w:space="0" w:color="auto"/>
        <w:left w:val="none" w:sz="0" w:space="0" w:color="auto"/>
        <w:bottom w:val="none" w:sz="0" w:space="0" w:color="auto"/>
        <w:right w:val="none" w:sz="0" w:space="0" w:color="auto"/>
      </w:divBdr>
    </w:div>
    <w:div w:id="86730411">
      <w:bodyDiv w:val="1"/>
      <w:marLeft w:val="0"/>
      <w:marRight w:val="0"/>
      <w:marTop w:val="0"/>
      <w:marBottom w:val="0"/>
      <w:divBdr>
        <w:top w:val="none" w:sz="0" w:space="0" w:color="auto"/>
        <w:left w:val="none" w:sz="0" w:space="0" w:color="auto"/>
        <w:bottom w:val="none" w:sz="0" w:space="0" w:color="auto"/>
        <w:right w:val="none" w:sz="0" w:space="0" w:color="auto"/>
      </w:divBdr>
    </w:div>
    <w:div w:id="88545920">
      <w:bodyDiv w:val="1"/>
      <w:marLeft w:val="0"/>
      <w:marRight w:val="0"/>
      <w:marTop w:val="0"/>
      <w:marBottom w:val="0"/>
      <w:divBdr>
        <w:top w:val="none" w:sz="0" w:space="0" w:color="auto"/>
        <w:left w:val="none" w:sz="0" w:space="0" w:color="auto"/>
        <w:bottom w:val="none" w:sz="0" w:space="0" w:color="auto"/>
        <w:right w:val="none" w:sz="0" w:space="0" w:color="auto"/>
      </w:divBdr>
    </w:div>
    <w:div w:id="89202619">
      <w:bodyDiv w:val="1"/>
      <w:marLeft w:val="0"/>
      <w:marRight w:val="0"/>
      <w:marTop w:val="0"/>
      <w:marBottom w:val="0"/>
      <w:divBdr>
        <w:top w:val="none" w:sz="0" w:space="0" w:color="auto"/>
        <w:left w:val="none" w:sz="0" w:space="0" w:color="auto"/>
        <w:bottom w:val="none" w:sz="0" w:space="0" w:color="auto"/>
        <w:right w:val="none" w:sz="0" w:space="0" w:color="auto"/>
      </w:divBdr>
    </w:div>
    <w:div w:id="99838974">
      <w:bodyDiv w:val="1"/>
      <w:marLeft w:val="0"/>
      <w:marRight w:val="0"/>
      <w:marTop w:val="0"/>
      <w:marBottom w:val="0"/>
      <w:divBdr>
        <w:top w:val="none" w:sz="0" w:space="0" w:color="auto"/>
        <w:left w:val="none" w:sz="0" w:space="0" w:color="auto"/>
        <w:bottom w:val="none" w:sz="0" w:space="0" w:color="auto"/>
        <w:right w:val="none" w:sz="0" w:space="0" w:color="auto"/>
      </w:divBdr>
    </w:div>
    <w:div w:id="101077649">
      <w:bodyDiv w:val="1"/>
      <w:marLeft w:val="0"/>
      <w:marRight w:val="0"/>
      <w:marTop w:val="0"/>
      <w:marBottom w:val="0"/>
      <w:divBdr>
        <w:top w:val="none" w:sz="0" w:space="0" w:color="auto"/>
        <w:left w:val="none" w:sz="0" w:space="0" w:color="auto"/>
        <w:bottom w:val="none" w:sz="0" w:space="0" w:color="auto"/>
        <w:right w:val="none" w:sz="0" w:space="0" w:color="auto"/>
      </w:divBdr>
    </w:div>
    <w:div w:id="101649917">
      <w:bodyDiv w:val="1"/>
      <w:marLeft w:val="0"/>
      <w:marRight w:val="0"/>
      <w:marTop w:val="0"/>
      <w:marBottom w:val="0"/>
      <w:divBdr>
        <w:top w:val="none" w:sz="0" w:space="0" w:color="auto"/>
        <w:left w:val="none" w:sz="0" w:space="0" w:color="auto"/>
        <w:bottom w:val="none" w:sz="0" w:space="0" w:color="auto"/>
        <w:right w:val="none" w:sz="0" w:space="0" w:color="auto"/>
      </w:divBdr>
    </w:div>
    <w:div w:id="106001876">
      <w:bodyDiv w:val="1"/>
      <w:marLeft w:val="0"/>
      <w:marRight w:val="0"/>
      <w:marTop w:val="0"/>
      <w:marBottom w:val="0"/>
      <w:divBdr>
        <w:top w:val="none" w:sz="0" w:space="0" w:color="auto"/>
        <w:left w:val="none" w:sz="0" w:space="0" w:color="auto"/>
        <w:bottom w:val="none" w:sz="0" w:space="0" w:color="auto"/>
        <w:right w:val="none" w:sz="0" w:space="0" w:color="auto"/>
      </w:divBdr>
    </w:div>
    <w:div w:id="111167724">
      <w:bodyDiv w:val="1"/>
      <w:marLeft w:val="0"/>
      <w:marRight w:val="0"/>
      <w:marTop w:val="0"/>
      <w:marBottom w:val="0"/>
      <w:divBdr>
        <w:top w:val="none" w:sz="0" w:space="0" w:color="auto"/>
        <w:left w:val="none" w:sz="0" w:space="0" w:color="auto"/>
        <w:bottom w:val="none" w:sz="0" w:space="0" w:color="auto"/>
        <w:right w:val="none" w:sz="0" w:space="0" w:color="auto"/>
      </w:divBdr>
    </w:div>
    <w:div w:id="112214100">
      <w:bodyDiv w:val="1"/>
      <w:marLeft w:val="0"/>
      <w:marRight w:val="0"/>
      <w:marTop w:val="0"/>
      <w:marBottom w:val="0"/>
      <w:divBdr>
        <w:top w:val="none" w:sz="0" w:space="0" w:color="auto"/>
        <w:left w:val="none" w:sz="0" w:space="0" w:color="auto"/>
        <w:bottom w:val="none" w:sz="0" w:space="0" w:color="auto"/>
        <w:right w:val="none" w:sz="0" w:space="0" w:color="auto"/>
      </w:divBdr>
    </w:div>
    <w:div w:id="113865000">
      <w:bodyDiv w:val="1"/>
      <w:marLeft w:val="0"/>
      <w:marRight w:val="0"/>
      <w:marTop w:val="0"/>
      <w:marBottom w:val="0"/>
      <w:divBdr>
        <w:top w:val="none" w:sz="0" w:space="0" w:color="auto"/>
        <w:left w:val="none" w:sz="0" w:space="0" w:color="auto"/>
        <w:bottom w:val="none" w:sz="0" w:space="0" w:color="auto"/>
        <w:right w:val="none" w:sz="0" w:space="0" w:color="auto"/>
      </w:divBdr>
    </w:div>
    <w:div w:id="115292876">
      <w:bodyDiv w:val="1"/>
      <w:marLeft w:val="0"/>
      <w:marRight w:val="0"/>
      <w:marTop w:val="0"/>
      <w:marBottom w:val="0"/>
      <w:divBdr>
        <w:top w:val="none" w:sz="0" w:space="0" w:color="auto"/>
        <w:left w:val="none" w:sz="0" w:space="0" w:color="auto"/>
        <w:bottom w:val="none" w:sz="0" w:space="0" w:color="auto"/>
        <w:right w:val="none" w:sz="0" w:space="0" w:color="auto"/>
      </w:divBdr>
    </w:div>
    <w:div w:id="116023628">
      <w:bodyDiv w:val="1"/>
      <w:marLeft w:val="0"/>
      <w:marRight w:val="0"/>
      <w:marTop w:val="0"/>
      <w:marBottom w:val="0"/>
      <w:divBdr>
        <w:top w:val="none" w:sz="0" w:space="0" w:color="auto"/>
        <w:left w:val="none" w:sz="0" w:space="0" w:color="auto"/>
        <w:bottom w:val="none" w:sz="0" w:space="0" w:color="auto"/>
        <w:right w:val="none" w:sz="0" w:space="0" w:color="auto"/>
      </w:divBdr>
    </w:div>
    <w:div w:id="118884456">
      <w:bodyDiv w:val="1"/>
      <w:marLeft w:val="0"/>
      <w:marRight w:val="0"/>
      <w:marTop w:val="0"/>
      <w:marBottom w:val="0"/>
      <w:divBdr>
        <w:top w:val="none" w:sz="0" w:space="0" w:color="auto"/>
        <w:left w:val="none" w:sz="0" w:space="0" w:color="auto"/>
        <w:bottom w:val="none" w:sz="0" w:space="0" w:color="auto"/>
        <w:right w:val="none" w:sz="0" w:space="0" w:color="auto"/>
      </w:divBdr>
    </w:div>
    <w:div w:id="118884792">
      <w:bodyDiv w:val="1"/>
      <w:marLeft w:val="0"/>
      <w:marRight w:val="0"/>
      <w:marTop w:val="0"/>
      <w:marBottom w:val="0"/>
      <w:divBdr>
        <w:top w:val="none" w:sz="0" w:space="0" w:color="auto"/>
        <w:left w:val="none" w:sz="0" w:space="0" w:color="auto"/>
        <w:bottom w:val="none" w:sz="0" w:space="0" w:color="auto"/>
        <w:right w:val="none" w:sz="0" w:space="0" w:color="auto"/>
      </w:divBdr>
    </w:div>
    <w:div w:id="123233719">
      <w:bodyDiv w:val="1"/>
      <w:marLeft w:val="0"/>
      <w:marRight w:val="0"/>
      <w:marTop w:val="0"/>
      <w:marBottom w:val="0"/>
      <w:divBdr>
        <w:top w:val="none" w:sz="0" w:space="0" w:color="auto"/>
        <w:left w:val="none" w:sz="0" w:space="0" w:color="auto"/>
        <w:bottom w:val="none" w:sz="0" w:space="0" w:color="auto"/>
        <w:right w:val="none" w:sz="0" w:space="0" w:color="auto"/>
      </w:divBdr>
    </w:div>
    <w:div w:id="125977376">
      <w:bodyDiv w:val="1"/>
      <w:marLeft w:val="0"/>
      <w:marRight w:val="0"/>
      <w:marTop w:val="0"/>
      <w:marBottom w:val="0"/>
      <w:divBdr>
        <w:top w:val="none" w:sz="0" w:space="0" w:color="auto"/>
        <w:left w:val="none" w:sz="0" w:space="0" w:color="auto"/>
        <w:bottom w:val="none" w:sz="0" w:space="0" w:color="auto"/>
        <w:right w:val="none" w:sz="0" w:space="0" w:color="auto"/>
      </w:divBdr>
    </w:div>
    <w:div w:id="129177993">
      <w:bodyDiv w:val="1"/>
      <w:marLeft w:val="0"/>
      <w:marRight w:val="0"/>
      <w:marTop w:val="0"/>
      <w:marBottom w:val="0"/>
      <w:divBdr>
        <w:top w:val="none" w:sz="0" w:space="0" w:color="auto"/>
        <w:left w:val="none" w:sz="0" w:space="0" w:color="auto"/>
        <w:bottom w:val="none" w:sz="0" w:space="0" w:color="auto"/>
        <w:right w:val="none" w:sz="0" w:space="0" w:color="auto"/>
      </w:divBdr>
    </w:div>
    <w:div w:id="131948071">
      <w:bodyDiv w:val="1"/>
      <w:marLeft w:val="0"/>
      <w:marRight w:val="0"/>
      <w:marTop w:val="0"/>
      <w:marBottom w:val="0"/>
      <w:divBdr>
        <w:top w:val="none" w:sz="0" w:space="0" w:color="auto"/>
        <w:left w:val="none" w:sz="0" w:space="0" w:color="auto"/>
        <w:bottom w:val="none" w:sz="0" w:space="0" w:color="auto"/>
        <w:right w:val="none" w:sz="0" w:space="0" w:color="auto"/>
      </w:divBdr>
    </w:div>
    <w:div w:id="132451543">
      <w:bodyDiv w:val="1"/>
      <w:marLeft w:val="0"/>
      <w:marRight w:val="0"/>
      <w:marTop w:val="0"/>
      <w:marBottom w:val="0"/>
      <w:divBdr>
        <w:top w:val="none" w:sz="0" w:space="0" w:color="auto"/>
        <w:left w:val="none" w:sz="0" w:space="0" w:color="auto"/>
        <w:bottom w:val="none" w:sz="0" w:space="0" w:color="auto"/>
        <w:right w:val="none" w:sz="0" w:space="0" w:color="auto"/>
      </w:divBdr>
    </w:div>
    <w:div w:id="137264540">
      <w:bodyDiv w:val="1"/>
      <w:marLeft w:val="0"/>
      <w:marRight w:val="0"/>
      <w:marTop w:val="0"/>
      <w:marBottom w:val="0"/>
      <w:divBdr>
        <w:top w:val="none" w:sz="0" w:space="0" w:color="auto"/>
        <w:left w:val="none" w:sz="0" w:space="0" w:color="auto"/>
        <w:bottom w:val="none" w:sz="0" w:space="0" w:color="auto"/>
        <w:right w:val="none" w:sz="0" w:space="0" w:color="auto"/>
      </w:divBdr>
    </w:div>
    <w:div w:id="143595370">
      <w:bodyDiv w:val="1"/>
      <w:marLeft w:val="0"/>
      <w:marRight w:val="0"/>
      <w:marTop w:val="0"/>
      <w:marBottom w:val="0"/>
      <w:divBdr>
        <w:top w:val="none" w:sz="0" w:space="0" w:color="auto"/>
        <w:left w:val="none" w:sz="0" w:space="0" w:color="auto"/>
        <w:bottom w:val="none" w:sz="0" w:space="0" w:color="auto"/>
        <w:right w:val="none" w:sz="0" w:space="0" w:color="auto"/>
      </w:divBdr>
    </w:div>
    <w:div w:id="148450622">
      <w:bodyDiv w:val="1"/>
      <w:marLeft w:val="0"/>
      <w:marRight w:val="0"/>
      <w:marTop w:val="0"/>
      <w:marBottom w:val="0"/>
      <w:divBdr>
        <w:top w:val="none" w:sz="0" w:space="0" w:color="auto"/>
        <w:left w:val="none" w:sz="0" w:space="0" w:color="auto"/>
        <w:bottom w:val="none" w:sz="0" w:space="0" w:color="auto"/>
        <w:right w:val="none" w:sz="0" w:space="0" w:color="auto"/>
      </w:divBdr>
    </w:div>
    <w:div w:id="150098217">
      <w:bodyDiv w:val="1"/>
      <w:marLeft w:val="0"/>
      <w:marRight w:val="0"/>
      <w:marTop w:val="0"/>
      <w:marBottom w:val="0"/>
      <w:divBdr>
        <w:top w:val="none" w:sz="0" w:space="0" w:color="auto"/>
        <w:left w:val="none" w:sz="0" w:space="0" w:color="auto"/>
        <w:bottom w:val="none" w:sz="0" w:space="0" w:color="auto"/>
        <w:right w:val="none" w:sz="0" w:space="0" w:color="auto"/>
      </w:divBdr>
    </w:div>
    <w:div w:id="151415882">
      <w:bodyDiv w:val="1"/>
      <w:marLeft w:val="0"/>
      <w:marRight w:val="0"/>
      <w:marTop w:val="0"/>
      <w:marBottom w:val="0"/>
      <w:divBdr>
        <w:top w:val="none" w:sz="0" w:space="0" w:color="auto"/>
        <w:left w:val="none" w:sz="0" w:space="0" w:color="auto"/>
        <w:bottom w:val="none" w:sz="0" w:space="0" w:color="auto"/>
        <w:right w:val="none" w:sz="0" w:space="0" w:color="auto"/>
      </w:divBdr>
    </w:div>
    <w:div w:id="153300982">
      <w:bodyDiv w:val="1"/>
      <w:marLeft w:val="0"/>
      <w:marRight w:val="0"/>
      <w:marTop w:val="0"/>
      <w:marBottom w:val="0"/>
      <w:divBdr>
        <w:top w:val="none" w:sz="0" w:space="0" w:color="auto"/>
        <w:left w:val="none" w:sz="0" w:space="0" w:color="auto"/>
        <w:bottom w:val="none" w:sz="0" w:space="0" w:color="auto"/>
        <w:right w:val="none" w:sz="0" w:space="0" w:color="auto"/>
      </w:divBdr>
    </w:div>
    <w:div w:id="153642783">
      <w:bodyDiv w:val="1"/>
      <w:marLeft w:val="0"/>
      <w:marRight w:val="0"/>
      <w:marTop w:val="0"/>
      <w:marBottom w:val="0"/>
      <w:divBdr>
        <w:top w:val="none" w:sz="0" w:space="0" w:color="auto"/>
        <w:left w:val="none" w:sz="0" w:space="0" w:color="auto"/>
        <w:bottom w:val="none" w:sz="0" w:space="0" w:color="auto"/>
        <w:right w:val="none" w:sz="0" w:space="0" w:color="auto"/>
      </w:divBdr>
    </w:div>
    <w:div w:id="156073813">
      <w:bodyDiv w:val="1"/>
      <w:marLeft w:val="0"/>
      <w:marRight w:val="0"/>
      <w:marTop w:val="0"/>
      <w:marBottom w:val="0"/>
      <w:divBdr>
        <w:top w:val="none" w:sz="0" w:space="0" w:color="auto"/>
        <w:left w:val="none" w:sz="0" w:space="0" w:color="auto"/>
        <w:bottom w:val="none" w:sz="0" w:space="0" w:color="auto"/>
        <w:right w:val="none" w:sz="0" w:space="0" w:color="auto"/>
      </w:divBdr>
    </w:div>
    <w:div w:id="156696876">
      <w:bodyDiv w:val="1"/>
      <w:marLeft w:val="0"/>
      <w:marRight w:val="0"/>
      <w:marTop w:val="0"/>
      <w:marBottom w:val="0"/>
      <w:divBdr>
        <w:top w:val="none" w:sz="0" w:space="0" w:color="auto"/>
        <w:left w:val="none" w:sz="0" w:space="0" w:color="auto"/>
        <w:bottom w:val="none" w:sz="0" w:space="0" w:color="auto"/>
        <w:right w:val="none" w:sz="0" w:space="0" w:color="auto"/>
      </w:divBdr>
    </w:div>
    <w:div w:id="158540615">
      <w:bodyDiv w:val="1"/>
      <w:marLeft w:val="0"/>
      <w:marRight w:val="0"/>
      <w:marTop w:val="0"/>
      <w:marBottom w:val="0"/>
      <w:divBdr>
        <w:top w:val="none" w:sz="0" w:space="0" w:color="auto"/>
        <w:left w:val="none" w:sz="0" w:space="0" w:color="auto"/>
        <w:bottom w:val="none" w:sz="0" w:space="0" w:color="auto"/>
        <w:right w:val="none" w:sz="0" w:space="0" w:color="auto"/>
      </w:divBdr>
    </w:div>
    <w:div w:id="160893223">
      <w:bodyDiv w:val="1"/>
      <w:marLeft w:val="0"/>
      <w:marRight w:val="0"/>
      <w:marTop w:val="0"/>
      <w:marBottom w:val="0"/>
      <w:divBdr>
        <w:top w:val="none" w:sz="0" w:space="0" w:color="auto"/>
        <w:left w:val="none" w:sz="0" w:space="0" w:color="auto"/>
        <w:bottom w:val="none" w:sz="0" w:space="0" w:color="auto"/>
        <w:right w:val="none" w:sz="0" w:space="0" w:color="auto"/>
      </w:divBdr>
    </w:div>
    <w:div w:id="162012776">
      <w:bodyDiv w:val="1"/>
      <w:marLeft w:val="0"/>
      <w:marRight w:val="0"/>
      <w:marTop w:val="0"/>
      <w:marBottom w:val="0"/>
      <w:divBdr>
        <w:top w:val="none" w:sz="0" w:space="0" w:color="auto"/>
        <w:left w:val="none" w:sz="0" w:space="0" w:color="auto"/>
        <w:bottom w:val="none" w:sz="0" w:space="0" w:color="auto"/>
        <w:right w:val="none" w:sz="0" w:space="0" w:color="auto"/>
      </w:divBdr>
    </w:div>
    <w:div w:id="167404766">
      <w:bodyDiv w:val="1"/>
      <w:marLeft w:val="0"/>
      <w:marRight w:val="0"/>
      <w:marTop w:val="0"/>
      <w:marBottom w:val="0"/>
      <w:divBdr>
        <w:top w:val="none" w:sz="0" w:space="0" w:color="auto"/>
        <w:left w:val="none" w:sz="0" w:space="0" w:color="auto"/>
        <w:bottom w:val="none" w:sz="0" w:space="0" w:color="auto"/>
        <w:right w:val="none" w:sz="0" w:space="0" w:color="auto"/>
      </w:divBdr>
    </w:div>
    <w:div w:id="171729251">
      <w:bodyDiv w:val="1"/>
      <w:marLeft w:val="0"/>
      <w:marRight w:val="0"/>
      <w:marTop w:val="0"/>
      <w:marBottom w:val="0"/>
      <w:divBdr>
        <w:top w:val="none" w:sz="0" w:space="0" w:color="auto"/>
        <w:left w:val="none" w:sz="0" w:space="0" w:color="auto"/>
        <w:bottom w:val="none" w:sz="0" w:space="0" w:color="auto"/>
        <w:right w:val="none" w:sz="0" w:space="0" w:color="auto"/>
      </w:divBdr>
    </w:div>
    <w:div w:id="173308791">
      <w:bodyDiv w:val="1"/>
      <w:marLeft w:val="0"/>
      <w:marRight w:val="0"/>
      <w:marTop w:val="0"/>
      <w:marBottom w:val="0"/>
      <w:divBdr>
        <w:top w:val="none" w:sz="0" w:space="0" w:color="auto"/>
        <w:left w:val="none" w:sz="0" w:space="0" w:color="auto"/>
        <w:bottom w:val="none" w:sz="0" w:space="0" w:color="auto"/>
        <w:right w:val="none" w:sz="0" w:space="0" w:color="auto"/>
      </w:divBdr>
    </w:div>
    <w:div w:id="176695452">
      <w:bodyDiv w:val="1"/>
      <w:marLeft w:val="0"/>
      <w:marRight w:val="0"/>
      <w:marTop w:val="0"/>
      <w:marBottom w:val="0"/>
      <w:divBdr>
        <w:top w:val="none" w:sz="0" w:space="0" w:color="auto"/>
        <w:left w:val="none" w:sz="0" w:space="0" w:color="auto"/>
        <w:bottom w:val="none" w:sz="0" w:space="0" w:color="auto"/>
        <w:right w:val="none" w:sz="0" w:space="0" w:color="auto"/>
      </w:divBdr>
    </w:div>
    <w:div w:id="178004516">
      <w:bodyDiv w:val="1"/>
      <w:marLeft w:val="0"/>
      <w:marRight w:val="0"/>
      <w:marTop w:val="0"/>
      <w:marBottom w:val="0"/>
      <w:divBdr>
        <w:top w:val="none" w:sz="0" w:space="0" w:color="auto"/>
        <w:left w:val="none" w:sz="0" w:space="0" w:color="auto"/>
        <w:bottom w:val="none" w:sz="0" w:space="0" w:color="auto"/>
        <w:right w:val="none" w:sz="0" w:space="0" w:color="auto"/>
      </w:divBdr>
    </w:div>
    <w:div w:id="179852375">
      <w:bodyDiv w:val="1"/>
      <w:marLeft w:val="0"/>
      <w:marRight w:val="0"/>
      <w:marTop w:val="0"/>
      <w:marBottom w:val="0"/>
      <w:divBdr>
        <w:top w:val="none" w:sz="0" w:space="0" w:color="auto"/>
        <w:left w:val="none" w:sz="0" w:space="0" w:color="auto"/>
        <w:bottom w:val="none" w:sz="0" w:space="0" w:color="auto"/>
        <w:right w:val="none" w:sz="0" w:space="0" w:color="auto"/>
      </w:divBdr>
    </w:div>
    <w:div w:id="193352598">
      <w:bodyDiv w:val="1"/>
      <w:marLeft w:val="0"/>
      <w:marRight w:val="0"/>
      <w:marTop w:val="0"/>
      <w:marBottom w:val="0"/>
      <w:divBdr>
        <w:top w:val="none" w:sz="0" w:space="0" w:color="auto"/>
        <w:left w:val="none" w:sz="0" w:space="0" w:color="auto"/>
        <w:bottom w:val="none" w:sz="0" w:space="0" w:color="auto"/>
        <w:right w:val="none" w:sz="0" w:space="0" w:color="auto"/>
      </w:divBdr>
    </w:div>
    <w:div w:id="195048844">
      <w:bodyDiv w:val="1"/>
      <w:marLeft w:val="0"/>
      <w:marRight w:val="0"/>
      <w:marTop w:val="0"/>
      <w:marBottom w:val="0"/>
      <w:divBdr>
        <w:top w:val="none" w:sz="0" w:space="0" w:color="auto"/>
        <w:left w:val="none" w:sz="0" w:space="0" w:color="auto"/>
        <w:bottom w:val="none" w:sz="0" w:space="0" w:color="auto"/>
        <w:right w:val="none" w:sz="0" w:space="0" w:color="auto"/>
      </w:divBdr>
    </w:div>
    <w:div w:id="196164810">
      <w:bodyDiv w:val="1"/>
      <w:marLeft w:val="0"/>
      <w:marRight w:val="0"/>
      <w:marTop w:val="0"/>
      <w:marBottom w:val="0"/>
      <w:divBdr>
        <w:top w:val="none" w:sz="0" w:space="0" w:color="auto"/>
        <w:left w:val="none" w:sz="0" w:space="0" w:color="auto"/>
        <w:bottom w:val="none" w:sz="0" w:space="0" w:color="auto"/>
        <w:right w:val="none" w:sz="0" w:space="0" w:color="auto"/>
      </w:divBdr>
    </w:div>
    <w:div w:id="212541972">
      <w:bodyDiv w:val="1"/>
      <w:marLeft w:val="0"/>
      <w:marRight w:val="0"/>
      <w:marTop w:val="0"/>
      <w:marBottom w:val="0"/>
      <w:divBdr>
        <w:top w:val="none" w:sz="0" w:space="0" w:color="auto"/>
        <w:left w:val="none" w:sz="0" w:space="0" w:color="auto"/>
        <w:bottom w:val="none" w:sz="0" w:space="0" w:color="auto"/>
        <w:right w:val="none" w:sz="0" w:space="0" w:color="auto"/>
      </w:divBdr>
    </w:div>
    <w:div w:id="215775782">
      <w:bodyDiv w:val="1"/>
      <w:marLeft w:val="0"/>
      <w:marRight w:val="0"/>
      <w:marTop w:val="0"/>
      <w:marBottom w:val="0"/>
      <w:divBdr>
        <w:top w:val="none" w:sz="0" w:space="0" w:color="auto"/>
        <w:left w:val="none" w:sz="0" w:space="0" w:color="auto"/>
        <w:bottom w:val="none" w:sz="0" w:space="0" w:color="auto"/>
        <w:right w:val="none" w:sz="0" w:space="0" w:color="auto"/>
      </w:divBdr>
    </w:div>
    <w:div w:id="216598165">
      <w:bodyDiv w:val="1"/>
      <w:marLeft w:val="0"/>
      <w:marRight w:val="0"/>
      <w:marTop w:val="0"/>
      <w:marBottom w:val="0"/>
      <w:divBdr>
        <w:top w:val="none" w:sz="0" w:space="0" w:color="auto"/>
        <w:left w:val="none" w:sz="0" w:space="0" w:color="auto"/>
        <w:bottom w:val="none" w:sz="0" w:space="0" w:color="auto"/>
        <w:right w:val="none" w:sz="0" w:space="0" w:color="auto"/>
      </w:divBdr>
    </w:div>
    <w:div w:id="218445339">
      <w:bodyDiv w:val="1"/>
      <w:marLeft w:val="0"/>
      <w:marRight w:val="0"/>
      <w:marTop w:val="0"/>
      <w:marBottom w:val="0"/>
      <w:divBdr>
        <w:top w:val="none" w:sz="0" w:space="0" w:color="auto"/>
        <w:left w:val="none" w:sz="0" w:space="0" w:color="auto"/>
        <w:bottom w:val="none" w:sz="0" w:space="0" w:color="auto"/>
        <w:right w:val="none" w:sz="0" w:space="0" w:color="auto"/>
      </w:divBdr>
      <w:divsChild>
        <w:div w:id="246816712">
          <w:marLeft w:val="274"/>
          <w:marRight w:val="0"/>
          <w:marTop w:val="19"/>
          <w:marBottom w:val="120"/>
          <w:divBdr>
            <w:top w:val="none" w:sz="0" w:space="0" w:color="auto"/>
            <w:left w:val="none" w:sz="0" w:space="0" w:color="auto"/>
            <w:bottom w:val="none" w:sz="0" w:space="0" w:color="auto"/>
            <w:right w:val="none" w:sz="0" w:space="0" w:color="auto"/>
          </w:divBdr>
        </w:div>
        <w:div w:id="313993276">
          <w:marLeft w:val="274"/>
          <w:marRight w:val="0"/>
          <w:marTop w:val="19"/>
          <w:marBottom w:val="120"/>
          <w:divBdr>
            <w:top w:val="none" w:sz="0" w:space="0" w:color="auto"/>
            <w:left w:val="none" w:sz="0" w:space="0" w:color="auto"/>
            <w:bottom w:val="none" w:sz="0" w:space="0" w:color="auto"/>
            <w:right w:val="none" w:sz="0" w:space="0" w:color="auto"/>
          </w:divBdr>
        </w:div>
        <w:div w:id="413673311">
          <w:marLeft w:val="274"/>
          <w:marRight w:val="0"/>
          <w:marTop w:val="19"/>
          <w:marBottom w:val="120"/>
          <w:divBdr>
            <w:top w:val="none" w:sz="0" w:space="0" w:color="auto"/>
            <w:left w:val="none" w:sz="0" w:space="0" w:color="auto"/>
            <w:bottom w:val="none" w:sz="0" w:space="0" w:color="auto"/>
            <w:right w:val="none" w:sz="0" w:space="0" w:color="auto"/>
          </w:divBdr>
        </w:div>
        <w:div w:id="722098934">
          <w:marLeft w:val="274"/>
          <w:marRight w:val="0"/>
          <w:marTop w:val="19"/>
          <w:marBottom w:val="120"/>
          <w:divBdr>
            <w:top w:val="none" w:sz="0" w:space="0" w:color="auto"/>
            <w:left w:val="none" w:sz="0" w:space="0" w:color="auto"/>
            <w:bottom w:val="none" w:sz="0" w:space="0" w:color="auto"/>
            <w:right w:val="none" w:sz="0" w:space="0" w:color="auto"/>
          </w:divBdr>
        </w:div>
        <w:div w:id="1050954843">
          <w:marLeft w:val="274"/>
          <w:marRight w:val="0"/>
          <w:marTop w:val="19"/>
          <w:marBottom w:val="120"/>
          <w:divBdr>
            <w:top w:val="none" w:sz="0" w:space="0" w:color="auto"/>
            <w:left w:val="none" w:sz="0" w:space="0" w:color="auto"/>
            <w:bottom w:val="none" w:sz="0" w:space="0" w:color="auto"/>
            <w:right w:val="none" w:sz="0" w:space="0" w:color="auto"/>
          </w:divBdr>
        </w:div>
        <w:div w:id="1197739002">
          <w:marLeft w:val="274"/>
          <w:marRight w:val="0"/>
          <w:marTop w:val="19"/>
          <w:marBottom w:val="120"/>
          <w:divBdr>
            <w:top w:val="none" w:sz="0" w:space="0" w:color="auto"/>
            <w:left w:val="none" w:sz="0" w:space="0" w:color="auto"/>
            <w:bottom w:val="none" w:sz="0" w:space="0" w:color="auto"/>
            <w:right w:val="none" w:sz="0" w:space="0" w:color="auto"/>
          </w:divBdr>
        </w:div>
        <w:div w:id="1214653371">
          <w:marLeft w:val="274"/>
          <w:marRight w:val="0"/>
          <w:marTop w:val="19"/>
          <w:marBottom w:val="120"/>
          <w:divBdr>
            <w:top w:val="none" w:sz="0" w:space="0" w:color="auto"/>
            <w:left w:val="none" w:sz="0" w:space="0" w:color="auto"/>
            <w:bottom w:val="none" w:sz="0" w:space="0" w:color="auto"/>
            <w:right w:val="none" w:sz="0" w:space="0" w:color="auto"/>
          </w:divBdr>
        </w:div>
        <w:div w:id="1309242157">
          <w:marLeft w:val="274"/>
          <w:marRight w:val="0"/>
          <w:marTop w:val="19"/>
          <w:marBottom w:val="120"/>
          <w:divBdr>
            <w:top w:val="none" w:sz="0" w:space="0" w:color="auto"/>
            <w:left w:val="none" w:sz="0" w:space="0" w:color="auto"/>
            <w:bottom w:val="none" w:sz="0" w:space="0" w:color="auto"/>
            <w:right w:val="none" w:sz="0" w:space="0" w:color="auto"/>
          </w:divBdr>
        </w:div>
        <w:div w:id="1316883513">
          <w:marLeft w:val="274"/>
          <w:marRight w:val="0"/>
          <w:marTop w:val="19"/>
          <w:marBottom w:val="120"/>
          <w:divBdr>
            <w:top w:val="none" w:sz="0" w:space="0" w:color="auto"/>
            <w:left w:val="none" w:sz="0" w:space="0" w:color="auto"/>
            <w:bottom w:val="none" w:sz="0" w:space="0" w:color="auto"/>
            <w:right w:val="none" w:sz="0" w:space="0" w:color="auto"/>
          </w:divBdr>
        </w:div>
        <w:div w:id="1832526166">
          <w:marLeft w:val="274"/>
          <w:marRight w:val="0"/>
          <w:marTop w:val="19"/>
          <w:marBottom w:val="120"/>
          <w:divBdr>
            <w:top w:val="none" w:sz="0" w:space="0" w:color="auto"/>
            <w:left w:val="none" w:sz="0" w:space="0" w:color="auto"/>
            <w:bottom w:val="none" w:sz="0" w:space="0" w:color="auto"/>
            <w:right w:val="none" w:sz="0" w:space="0" w:color="auto"/>
          </w:divBdr>
        </w:div>
        <w:div w:id="1865627929">
          <w:marLeft w:val="274"/>
          <w:marRight w:val="0"/>
          <w:marTop w:val="19"/>
          <w:marBottom w:val="120"/>
          <w:divBdr>
            <w:top w:val="none" w:sz="0" w:space="0" w:color="auto"/>
            <w:left w:val="none" w:sz="0" w:space="0" w:color="auto"/>
            <w:bottom w:val="none" w:sz="0" w:space="0" w:color="auto"/>
            <w:right w:val="none" w:sz="0" w:space="0" w:color="auto"/>
          </w:divBdr>
        </w:div>
      </w:divsChild>
    </w:div>
    <w:div w:id="219751398">
      <w:bodyDiv w:val="1"/>
      <w:marLeft w:val="0"/>
      <w:marRight w:val="0"/>
      <w:marTop w:val="0"/>
      <w:marBottom w:val="0"/>
      <w:divBdr>
        <w:top w:val="none" w:sz="0" w:space="0" w:color="auto"/>
        <w:left w:val="none" w:sz="0" w:space="0" w:color="auto"/>
        <w:bottom w:val="none" w:sz="0" w:space="0" w:color="auto"/>
        <w:right w:val="none" w:sz="0" w:space="0" w:color="auto"/>
      </w:divBdr>
    </w:div>
    <w:div w:id="222256591">
      <w:bodyDiv w:val="1"/>
      <w:marLeft w:val="0"/>
      <w:marRight w:val="0"/>
      <w:marTop w:val="0"/>
      <w:marBottom w:val="0"/>
      <w:divBdr>
        <w:top w:val="none" w:sz="0" w:space="0" w:color="auto"/>
        <w:left w:val="none" w:sz="0" w:space="0" w:color="auto"/>
        <w:bottom w:val="none" w:sz="0" w:space="0" w:color="auto"/>
        <w:right w:val="none" w:sz="0" w:space="0" w:color="auto"/>
      </w:divBdr>
    </w:div>
    <w:div w:id="224488881">
      <w:bodyDiv w:val="1"/>
      <w:marLeft w:val="0"/>
      <w:marRight w:val="0"/>
      <w:marTop w:val="0"/>
      <w:marBottom w:val="0"/>
      <w:divBdr>
        <w:top w:val="none" w:sz="0" w:space="0" w:color="auto"/>
        <w:left w:val="none" w:sz="0" w:space="0" w:color="auto"/>
        <w:bottom w:val="none" w:sz="0" w:space="0" w:color="auto"/>
        <w:right w:val="none" w:sz="0" w:space="0" w:color="auto"/>
      </w:divBdr>
    </w:div>
    <w:div w:id="225998488">
      <w:bodyDiv w:val="1"/>
      <w:marLeft w:val="0"/>
      <w:marRight w:val="0"/>
      <w:marTop w:val="0"/>
      <w:marBottom w:val="0"/>
      <w:divBdr>
        <w:top w:val="none" w:sz="0" w:space="0" w:color="auto"/>
        <w:left w:val="none" w:sz="0" w:space="0" w:color="auto"/>
        <w:bottom w:val="none" w:sz="0" w:space="0" w:color="auto"/>
        <w:right w:val="none" w:sz="0" w:space="0" w:color="auto"/>
      </w:divBdr>
    </w:div>
    <w:div w:id="228267739">
      <w:bodyDiv w:val="1"/>
      <w:marLeft w:val="0"/>
      <w:marRight w:val="0"/>
      <w:marTop w:val="0"/>
      <w:marBottom w:val="0"/>
      <w:divBdr>
        <w:top w:val="none" w:sz="0" w:space="0" w:color="auto"/>
        <w:left w:val="none" w:sz="0" w:space="0" w:color="auto"/>
        <w:bottom w:val="none" w:sz="0" w:space="0" w:color="auto"/>
        <w:right w:val="none" w:sz="0" w:space="0" w:color="auto"/>
      </w:divBdr>
    </w:div>
    <w:div w:id="233781534">
      <w:bodyDiv w:val="1"/>
      <w:marLeft w:val="0"/>
      <w:marRight w:val="0"/>
      <w:marTop w:val="0"/>
      <w:marBottom w:val="0"/>
      <w:divBdr>
        <w:top w:val="none" w:sz="0" w:space="0" w:color="auto"/>
        <w:left w:val="none" w:sz="0" w:space="0" w:color="auto"/>
        <w:bottom w:val="none" w:sz="0" w:space="0" w:color="auto"/>
        <w:right w:val="none" w:sz="0" w:space="0" w:color="auto"/>
      </w:divBdr>
    </w:div>
    <w:div w:id="241376634">
      <w:bodyDiv w:val="1"/>
      <w:marLeft w:val="0"/>
      <w:marRight w:val="0"/>
      <w:marTop w:val="0"/>
      <w:marBottom w:val="0"/>
      <w:divBdr>
        <w:top w:val="none" w:sz="0" w:space="0" w:color="auto"/>
        <w:left w:val="none" w:sz="0" w:space="0" w:color="auto"/>
        <w:bottom w:val="none" w:sz="0" w:space="0" w:color="auto"/>
        <w:right w:val="none" w:sz="0" w:space="0" w:color="auto"/>
      </w:divBdr>
    </w:div>
    <w:div w:id="249852733">
      <w:bodyDiv w:val="1"/>
      <w:marLeft w:val="0"/>
      <w:marRight w:val="0"/>
      <w:marTop w:val="0"/>
      <w:marBottom w:val="0"/>
      <w:divBdr>
        <w:top w:val="none" w:sz="0" w:space="0" w:color="auto"/>
        <w:left w:val="none" w:sz="0" w:space="0" w:color="auto"/>
        <w:bottom w:val="none" w:sz="0" w:space="0" w:color="auto"/>
        <w:right w:val="none" w:sz="0" w:space="0" w:color="auto"/>
      </w:divBdr>
    </w:div>
    <w:div w:id="259266354">
      <w:bodyDiv w:val="1"/>
      <w:marLeft w:val="0"/>
      <w:marRight w:val="0"/>
      <w:marTop w:val="0"/>
      <w:marBottom w:val="0"/>
      <w:divBdr>
        <w:top w:val="none" w:sz="0" w:space="0" w:color="auto"/>
        <w:left w:val="none" w:sz="0" w:space="0" w:color="auto"/>
        <w:bottom w:val="none" w:sz="0" w:space="0" w:color="auto"/>
        <w:right w:val="none" w:sz="0" w:space="0" w:color="auto"/>
      </w:divBdr>
    </w:div>
    <w:div w:id="259873800">
      <w:bodyDiv w:val="1"/>
      <w:marLeft w:val="0"/>
      <w:marRight w:val="0"/>
      <w:marTop w:val="0"/>
      <w:marBottom w:val="0"/>
      <w:divBdr>
        <w:top w:val="none" w:sz="0" w:space="0" w:color="auto"/>
        <w:left w:val="none" w:sz="0" w:space="0" w:color="auto"/>
        <w:bottom w:val="none" w:sz="0" w:space="0" w:color="auto"/>
        <w:right w:val="none" w:sz="0" w:space="0" w:color="auto"/>
      </w:divBdr>
    </w:div>
    <w:div w:id="270866656">
      <w:bodyDiv w:val="1"/>
      <w:marLeft w:val="0"/>
      <w:marRight w:val="0"/>
      <w:marTop w:val="0"/>
      <w:marBottom w:val="0"/>
      <w:divBdr>
        <w:top w:val="none" w:sz="0" w:space="0" w:color="auto"/>
        <w:left w:val="none" w:sz="0" w:space="0" w:color="auto"/>
        <w:bottom w:val="none" w:sz="0" w:space="0" w:color="auto"/>
        <w:right w:val="none" w:sz="0" w:space="0" w:color="auto"/>
      </w:divBdr>
    </w:div>
    <w:div w:id="271327763">
      <w:bodyDiv w:val="1"/>
      <w:marLeft w:val="0"/>
      <w:marRight w:val="0"/>
      <w:marTop w:val="0"/>
      <w:marBottom w:val="0"/>
      <w:divBdr>
        <w:top w:val="none" w:sz="0" w:space="0" w:color="auto"/>
        <w:left w:val="none" w:sz="0" w:space="0" w:color="auto"/>
        <w:bottom w:val="none" w:sz="0" w:space="0" w:color="auto"/>
        <w:right w:val="none" w:sz="0" w:space="0" w:color="auto"/>
      </w:divBdr>
    </w:div>
    <w:div w:id="277689447">
      <w:bodyDiv w:val="1"/>
      <w:marLeft w:val="0"/>
      <w:marRight w:val="0"/>
      <w:marTop w:val="0"/>
      <w:marBottom w:val="0"/>
      <w:divBdr>
        <w:top w:val="none" w:sz="0" w:space="0" w:color="auto"/>
        <w:left w:val="none" w:sz="0" w:space="0" w:color="auto"/>
        <w:bottom w:val="none" w:sz="0" w:space="0" w:color="auto"/>
        <w:right w:val="none" w:sz="0" w:space="0" w:color="auto"/>
      </w:divBdr>
    </w:div>
    <w:div w:id="288096582">
      <w:bodyDiv w:val="1"/>
      <w:marLeft w:val="0"/>
      <w:marRight w:val="0"/>
      <w:marTop w:val="0"/>
      <w:marBottom w:val="0"/>
      <w:divBdr>
        <w:top w:val="none" w:sz="0" w:space="0" w:color="auto"/>
        <w:left w:val="none" w:sz="0" w:space="0" w:color="auto"/>
        <w:bottom w:val="none" w:sz="0" w:space="0" w:color="auto"/>
        <w:right w:val="none" w:sz="0" w:space="0" w:color="auto"/>
      </w:divBdr>
    </w:div>
    <w:div w:id="297803807">
      <w:bodyDiv w:val="1"/>
      <w:marLeft w:val="0"/>
      <w:marRight w:val="0"/>
      <w:marTop w:val="0"/>
      <w:marBottom w:val="0"/>
      <w:divBdr>
        <w:top w:val="none" w:sz="0" w:space="0" w:color="auto"/>
        <w:left w:val="none" w:sz="0" w:space="0" w:color="auto"/>
        <w:bottom w:val="none" w:sz="0" w:space="0" w:color="auto"/>
        <w:right w:val="none" w:sz="0" w:space="0" w:color="auto"/>
      </w:divBdr>
    </w:div>
    <w:div w:id="301424367">
      <w:bodyDiv w:val="1"/>
      <w:marLeft w:val="0"/>
      <w:marRight w:val="0"/>
      <w:marTop w:val="0"/>
      <w:marBottom w:val="0"/>
      <w:divBdr>
        <w:top w:val="none" w:sz="0" w:space="0" w:color="auto"/>
        <w:left w:val="none" w:sz="0" w:space="0" w:color="auto"/>
        <w:bottom w:val="none" w:sz="0" w:space="0" w:color="auto"/>
        <w:right w:val="none" w:sz="0" w:space="0" w:color="auto"/>
      </w:divBdr>
    </w:div>
    <w:div w:id="307101986">
      <w:bodyDiv w:val="1"/>
      <w:marLeft w:val="0"/>
      <w:marRight w:val="0"/>
      <w:marTop w:val="0"/>
      <w:marBottom w:val="0"/>
      <w:divBdr>
        <w:top w:val="none" w:sz="0" w:space="0" w:color="auto"/>
        <w:left w:val="none" w:sz="0" w:space="0" w:color="auto"/>
        <w:bottom w:val="none" w:sz="0" w:space="0" w:color="auto"/>
        <w:right w:val="none" w:sz="0" w:space="0" w:color="auto"/>
      </w:divBdr>
    </w:div>
    <w:div w:id="308944392">
      <w:bodyDiv w:val="1"/>
      <w:marLeft w:val="0"/>
      <w:marRight w:val="0"/>
      <w:marTop w:val="0"/>
      <w:marBottom w:val="0"/>
      <w:divBdr>
        <w:top w:val="none" w:sz="0" w:space="0" w:color="auto"/>
        <w:left w:val="none" w:sz="0" w:space="0" w:color="auto"/>
        <w:bottom w:val="none" w:sz="0" w:space="0" w:color="auto"/>
        <w:right w:val="none" w:sz="0" w:space="0" w:color="auto"/>
      </w:divBdr>
    </w:div>
    <w:div w:id="310519795">
      <w:bodyDiv w:val="1"/>
      <w:marLeft w:val="0"/>
      <w:marRight w:val="0"/>
      <w:marTop w:val="0"/>
      <w:marBottom w:val="0"/>
      <w:divBdr>
        <w:top w:val="none" w:sz="0" w:space="0" w:color="auto"/>
        <w:left w:val="none" w:sz="0" w:space="0" w:color="auto"/>
        <w:bottom w:val="none" w:sz="0" w:space="0" w:color="auto"/>
        <w:right w:val="none" w:sz="0" w:space="0" w:color="auto"/>
      </w:divBdr>
    </w:div>
    <w:div w:id="312225967">
      <w:bodyDiv w:val="1"/>
      <w:marLeft w:val="0"/>
      <w:marRight w:val="0"/>
      <w:marTop w:val="0"/>
      <w:marBottom w:val="0"/>
      <w:divBdr>
        <w:top w:val="none" w:sz="0" w:space="0" w:color="auto"/>
        <w:left w:val="none" w:sz="0" w:space="0" w:color="auto"/>
        <w:bottom w:val="none" w:sz="0" w:space="0" w:color="auto"/>
        <w:right w:val="none" w:sz="0" w:space="0" w:color="auto"/>
      </w:divBdr>
    </w:div>
    <w:div w:id="319314603">
      <w:bodyDiv w:val="1"/>
      <w:marLeft w:val="0"/>
      <w:marRight w:val="0"/>
      <w:marTop w:val="0"/>
      <w:marBottom w:val="0"/>
      <w:divBdr>
        <w:top w:val="none" w:sz="0" w:space="0" w:color="auto"/>
        <w:left w:val="none" w:sz="0" w:space="0" w:color="auto"/>
        <w:bottom w:val="none" w:sz="0" w:space="0" w:color="auto"/>
        <w:right w:val="none" w:sz="0" w:space="0" w:color="auto"/>
      </w:divBdr>
    </w:div>
    <w:div w:id="323970153">
      <w:bodyDiv w:val="1"/>
      <w:marLeft w:val="0"/>
      <w:marRight w:val="0"/>
      <w:marTop w:val="0"/>
      <w:marBottom w:val="0"/>
      <w:divBdr>
        <w:top w:val="none" w:sz="0" w:space="0" w:color="auto"/>
        <w:left w:val="none" w:sz="0" w:space="0" w:color="auto"/>
        <w:bottom w:val="none" w:sz="0" w:space="0" w:color="auto"/>
        <w:right w:val="none" w:sz="0" w:space="0" w:color="auto"/>
      </w:divBdr>
    </w:div>
    <w:div w:id="324627328">
      <w:bodyDiv w:val="1"/>
      <w:marLeft w:val="0"/>
      <w:marRight w:val="0"/>
      <w:marTop w:val="0"/>
      <w:marBottom w:val="0"/>
      <w:divBdr>
        <w:top w:val="none" w:sz="0" w:space="0" w:color="auto"/>
        <w:left w:val="none" w:sz="0" w:space="0" w:color="auto"/>
        <w:bottom w:val="none" w:sz="0" w:space="0" w:color="auto"/>
        <w:right w:val="none" w:sz="0" w:space="0" w:color="auto"/>
      </w:divBdr>
    </w:div>
    <w:div w:id="327634040">
      <w:bodyDiv w:val="1"/>
      <w:marLeft w:val="0"/>
      <w:marRight w:val="0"/>
      <w:marTop w:val="0"/>
      <w:marBottom w:val="0"/>
      <w:divBdr>
        <w:top w:val="none" w:sz="0" w:space="0" w:color="auto"/>
        <w:left w:val="none" w:sz="0" w:space="0" w:color="auto"/>
        <w:bottom w:val="none" w:sz="0" w:space="0" w:color="auto"/>
        <w:right w:val="none" w:sz="0" w:space="0" w:color="auto"/>
      </w:divBdr>
    </w:div>
    <w:div w:id="345911459">
      <w:bodyDiv w:val="1"/>
      <w:marLeft w:val="0"/>
      <w:marRight w:val="0"/>
      <w:marTop w:val="0"/>
      <w:marBottom w:val="0"/>
      <w:divBdr>
        <w:top w:val="none" w:sz="0" w:space="0" w:color="auto"/>
        <w:left w:val="none" w:sz="0" w:space="0" w:color="auto"/>
        <w:bottom w:val="none" w:sz="0" w:space="0" w:color="auto"/>
        <w:right w:val="none" w:sz="0" w:space="0" w:color="auto"/>
      </w:divBdr>
    </w:div>
    <w:div w:id="353730515">
      <w:bodyDiv w:val="1"/>
      <w:marLeft w:val="0"/>
      <w:marRight w:val="0"/>
      <w:marTop w:val="0"/>
      <w:marBottom w:val="0"/>
      <w:divBdr>
        <w:top w:val="none" w:sz="0" w:space="0" w:color="auto"/>
        <w:left w:val="none" w:sz="0" w:space="0" w:color="auto"/>
        <w:bottom w:val="none" w:sz="0" w:space="0" w:color="auto"/>
        <w:right w:val="none" w:sz="0" w:space="0" w:color="auto"/>
      </w:divBdr>
    </w:div>
    <w:div w:id="353848388">
      <w:bodyDiv w:val="1"/>
      <w:marLeft w:val="0"/>
      <w:marRight w:val="0"/>
      <w:marTop w:val="0"/>
      <w:marBottom w:val="0"/>
      <w:divBdr>
        <w:top w:val="none" w:sz="0" w:space="0" w:color="auto"/>
        <w:left w:val="none" w:sz="0" w:space="0" w:color="auto"/>
        <w:bottom w:val="none" w:sz="0" w:space="0" w:color="auto"/>
        <w:right w:val="none" w:sz="0" w:space="0" w:color="auto"/>
      </w:divBdr>
    </w:div>
    <w:div w:id="354313377">
      <w:bodyDiv w:val="1"/>
      <w:marLeft w:val="0"/>
      <w:marRight w:val="0"/>
      <w:marTop w:val="0"/>
      <w:marBottom w:val="0"/>
      <w:divBdr>
        <w:top w:val="none" w:sz="0" w:space="0" w:color="auto"/>
        <w:left w:val="none" w:sz="0" w:space="0" w:color="auto"/>
        <w:bottom w:val="none" w:sz="0" w:space="0" w:color="auto"/>
        <w:right w:val="none" w:sz="0" w:space="0" w:color="auto"/>
      </w:divBdr>
    </w:div>
    <w:div w:id="354697291">
      <w:bodyDiv w:val="1"/>
      <w:marLeft w:val="0"/>
      <w:marRight w:val="0"/>
      <w:marTop w:val="0"/>
      <w:marBottom w:val="0"/>
      <w:divBdr>
        <w:top w:val="none" w:sz="0" w:space="0" w:color="auto"/>
        <w:left w:val="none" w:sz="0" w:space="0" w:color="auto"/>
        <w:bottom w:val="none" w:sz="0" w:space="0" w:color="auto"/>
        <w:right w:val="none" w:sz="0" w:space="0" w:color="auto"/>
      </w:divBdr>
    </w:div>
    <w:div w:id="360402492">
      <w:bodyDiv w:val="1"/>
      <w:marLeft w:val="0"/>
      <w:marRight w:val="0"/>
      <w:marTop w:val="0"/>
      <w:marBottom w:val="0"/>
      <w:divBdr>
        <w:top w:val="none" w:sz="0" w:space="0" w:color="auto"/>
        <w:left w:val="none" w:sz="0" w:space="0" w:color="auto"/>
        <w:bottom w:val="none" w:sz="0" w:space="0" w:color="auto"/>
        <w:right w:val="none" w:sz="0" w:space="0" w:color="auto"/>
      </w:divBdr>
    </w:div>
    <w:div w:id="370343972">
      <w:bodyDiv w:val="1"/>
      <w:marLeft w:val="0"/>
      <w:marRight w:val="0"/>
      <w:marTop w:val="0"/>
      <w:marBottom w:val="0"/>
      <w:divBdr>
        <w:top w:val="none" w:sz="0" w:space="0" w:color="auto"/>
        <w:left w:val="none" w:sz="0" w:space="0" w:color="auto"/>
        <w:bottom w:val="none" w:sz="0" w:space="0" w:color="auto"/>
        <w:right w:val="none" w:sz="0" w:space="0" w:color="auto"/>
      </w:divBdr>
    </w:div>
    <w:div w:id="381753044">
      <w:bodyDiv w:val="1"/>
      <w:marLeft w:val="0"/>
      <w:marRight w:val="0"/>
      <w:marTop w:val="0"/>
      <w:marBottom w:val="0"/>
      <w:divBdr>
        <w:top w:val="none" w:sz="0" w:space="0" w:color="auto"/>
        <w:left w:val="none" w:sz="0" w:space="0" w:color="auto"/>
        <w:bottom w:val="none" w:sz="0" w:space="0" w:color="auto"/>
        <w:right w:val="none" w:sz="0" w:space="0" w:color="auto"/>
      </w:divBdr>
    </w:div>
    <w:div w:id="381755488">
      <w:bodyDiv w:val="1"/>
      <w:marLeft w:val="0"/>
      <w:marRight w:val="0"/>
      <w:marTop w:val="0"/>
      <w:marBottom w:val="0"/>
      <w:divBdr>
        <w:top w:val="none" w:sz="0" w:space="0" w:color="auto"/>
        <w:left w:val="none" w:sz="0" w:space="0" w:color="auto"/>
        <w:bottom w:val="none" w:sz="0" w:space="0" w:color="auto"/>
        <w:right w:val="none" w:sz="0" w:space="0" w:color="auto"/>
      </w:divBdr>
    </w:div>
    <w:div w:id="384984132">
      <w:bodyDiv w:val="1"/>
      <w:marLeft w:val="0"/>
      <w:marRight w:val="0"/>
      <w:marTop w:val="0"/>
      <w:marBottom w:val="0"/>
      <w:divBdr>
        <w:top w:val="none" w:sz="0" w:space="0" w:color="auto"/>
        <w:left w:val="none" w:sz="0" w:space="0" w:color="auto"/>
        <w:bottom w:val="none" w:sz="0" w:space="0" w:color="auto"/>
        <w:right w:val="none" w:sz="0" w:space="0" w:color="auto"/>
      </w:divBdr>
    </w:div>
    <w:div w:id="387340555">
      <w:bodyDiv w:val="1"/>
      <w:marLeft w:val="0"/>
      <w:marRight w:val="0"/>
      <w:marTop w:val="0"/>
      <w:marBottom w:val="0"/>
      <w:divBdr>
        <w:top w:val="none" w:sz="0" w:space="0" w:color="auto"/>
        <w:left w:val="none" w:sz="0" w:space="0" w:color="auto"/>
        <w:bottom w:val="none" w:sz="0" w:space="0" w:color="auto"/>
        <w:right w:val="none" w:sz="0" w:space="0" w:color="auto"/>
      </w:divBdr>
    </w:div>
    <w:div w:id="388455540">
      <w:bodyDiv w:val="1"/>
      <w:marLeft w:val="0"/>
      <w:marRight w:val="0"/>
      <w:marTop w:val="0"/>
      <w:marBottom w:val="0"/>
      <w:divBdr>
        <w:top w:val="none" w:sz="0" w:space="0" w:color="auto"/>
        <w:left w:val="none" w:sz="0" w:space="0" w:color="auto"/>
        <w:bottom w:val="none" w:sz="0" w:space="0" w:color="auto"/>
        <w:right w:val="none" w:sz="0" w:space="0" w:color="auto"/>
      </w:divBdr>
    </w:div>
    <w:div w:id="388656276">
      <w:bodyDiv w:val="1"/>
      <w:marLeft w:val="0"/>
      <w:marRight w:val="0"/>
      <w:marTop w:val="0"/>
      <w:marBottom w:val="0"/>
      <w:divBdr>
        <w:top w:val="none" w:sz="0" w:space="0" w:color="auto"/>
        <w:left w:val="none" w:sz="0" w:space="0" w:color="auto"/>
        <w:bottom w:val="none" w:sz="0" w:space="0" w:color="auto"/>
        <w:right w:val="none" w:sz="0" w:space="0" w:color="auto"/>
      </w:divBdr>
    </w:div>
    <w:div w:id="396171018">
      <w:bodyDiv w:val="1"/>
      <w:marLeft w:val="0"/>
      <w:marRight w:val="0"/>
      <w:marTop w:val="0"/>
      <w:marBottom w:val="0"/>
      <w:divBdr>
        <w:top w:val="none" w:sz="0" w:space="0" w:color="auto"/>
        <w:left w:val="none" w:sz="0" w:space="0" w:color="auto"/>
        <w:bottom w:val="none" w:sz="0" w:space="0" w:color="auto"/>
        <w:right w:val="none" w:sz="0" w:space="0" w:color="auto"/>
      </w:divBdr>
    </w:div>
    <w:div w:id="396369208">
      <w:bodyDiv w:val="1"/>
      <w:marLeft w:val="0"/>
      <w:marRight w:val="0"/>
      <w:marTop w:val="0"/>
      <w:marBottom w:val="0"/>
      <w:divBdr>
        <w:top w:val="none" w:sz="0" w:space="0" w:color="auto"/>
        <w:left w:val="none" w:sz="0" w:space="0" w:color="auto"/>
        <w:bottom w:val="none" w:sz="0" w:space="0" w:color="auto"/>
        <w:right w:val="none" w:sz="0" w:space="0" w:color="auto"/>
      </w:divBdr>
    </w:div>
    <w:div w:id="396821517">
      <w:bodyDiv w:val="1"/>
      <w:marLeft w:val="0"/>
      <w:marRight w:val="0"/>
      <w:marTop w:val="0"/>
      <w:marBottom w:val="0"/>
      <w:divBdr>
        <w:top w:val="none" w:sz="0" w:space="0" w:color="auto"/>
        <w:left w:val="none" w:sz="0" w:space="0" w:color="auto"/>
        <w:bottom w:val="none" w:sz="0" w:space="0" w:color="auto"/>
        <w:right w:val="none" w:sz="0" w:space="0" w:color="auto"/>
      </w:divBdr>
    </w:div>
    <w:div w:id="399179994">
      <w:bodyDiv w:val="1"/>
      <w:marLeft w:val="0"/>
      <w:marRight w:val="0"/>
      <w:marTop w:val="0"/>
      <w:marBottom w:val="0"/>
      <w:divBdr>
        <w:top w:val="none" w:sz="0" w:space="0" w:color="auto"/>
        <w:left w:val="none" w:sz="0" w:space="0" w:color="auto"/>
        <w:bottom w:val="none" w:sz="0" w:space="0" w:color="auto"/>
        <w:right w:val="none" w:sz="0" w:space="0" w:color="auto"/>
      </w:divBdr>
    </w:div>
    <w:div w:id="399403004">
      <w:bodyDiv w:val="1"/>
      <w:marLeft w:val="0"/>
      <w:marRight w:val="0"/>
      <w:marTop w:val="0"/>
      <w:marBottom w:val="0"/>
      <w:divBdr>
        <w:top w:val="none" w:sz="0" w:space="0" w:color="auto"/>
        <w:left w:val="none" w:sz="0" w:space="0" w:color="auto"/>
        <w:bottom w:val="none" w:sz="0" w:space="0" w:color="auto"/>
        <w:right w:val="none" w:sz="0" w:space="0" w:color="auto"/>
      </w:divBdr>
    </w:div>
    <w:div w:id="413167277">
      <w:bodyDiv w:val="1"/>
      <w:marLeft w:val="0"/>
      <w:marRight w:val="0"/>
      <w:marTop w:val="0"/>
      <w:marBottom w:val="0"/>
      <w:divBdr>
        <w:top w:val="none" w:sz="0" w:space="0" w:color="auto"/>
        <w:left w:val="none" w:sz="0" w:space="0" w:color="auto"/>
        <w:bottom w:val="none" w:sz="0" w:space="0" w:color="auto"/>
        <w:right w:val="none" w:sz="0" w:space="0" w:color="auto"/>
      </w:divBdr>
    </w:div>
    <w:div w:id="421149885">
      <w:bodyDiv w:val="1"/>
      <w:marLeft w:val="0"/>
      <w:marRight w:val="0"/>
      <w:marTop w:val="0"/>
      <w:marBottom w:val="0"/>
      <w:divBdr>
        <w:top w:val="none" w:sz="0" w:space="0" w:color="auto"/>
        <w:left w:val="none" w:sz="0" w:space="0" w:color="auto"/>
        <w:bottom w:val="none" w:sz="0" w:space="0" w:color="auto"/>
        <w:right w:val="none" w:sz="0" w:space="0" w:color="auto"/>
      </w:divBdr>
    </w:div>
    <w:div w:id="423888473">
      <w:bodyDiv w:val="1"/>
      <w:marLeft w:val="0"/>
      <w:marRight w:val="0"/>
      <w:marTop w:val="0"/>
      <w:marBottom w:val="0"/>
      <w:divBdr>
        <w:top w:val="none" w:sz="0" w:space="0" w:color="auto"/>
        <w:left w:val="none" w:sz="0" w:space="0" w:color="auto"/>
        <w:bottom w:val="none" w:sz="0" w:space="0" w:color="auto"/>
        <w:right w:val="none" w:sz="0" w:space="0" w:color="auto"/>
      </w:divBdr>
    </w:div>
    <w:div w:id="424158726">
      <w:bodyDiv w:val="1"/>
      <w:marLeft w:val="0"/>
      <w:marRight w:val="0"/>
      <w:marTop w:val="0"/>
      <w:marBottom w:val="0"/>
      <w:divBdr>
        <w:top w:val="none" w:sz="0" w:space="0" w:color="auto"/>
        <w:left w:val="none" w:sz="0" w:space="0" w:color="auto"/>
        <w:bottom w:val="none" w:sz="0" w:space="0" w:color="auto"/>
        <w:right w:val="none" w:sz="0" w:space="0" w:color="auto"/>
      </w:divBdr>
    </w:div>
    <w:div w:id="424570978">
      <w:bodyDiv w:val="1"/>
      <w:marLeft w:val="0"/>
      <w:marRight w:val="0"/>
      <w:marTop w:val="0"/>
      <w:marBottom w:val="0"/>
      <w:divBdr>
        <w:top w:val="none" w:sz="0" w:space="0" w:color="auto"/>
        <w:left w:val="none" w:sz="0" w:space="0" w:color="auto"/>
        <w:bottom w:val="none" w:sz="0" w:space="0" w:color="auto"/>
        <w:right w:val="none" w:sz="0" w:space="0" w:color="auto"/>
      </w:divBdr>
    </w:div>
    <w:div w:id="434329911">
      <w:bodyDiv w:val="1"/>
      <w:marLeft w:val="0"/>
      <w:marRight w:val="0"/>
      <w:marTop w:val="0"/>
      <w:marBottom w:val="0"/>
      <w:divBdr>
        <w:top w:val="none" w:sz="0" w:space="0" w:color="auto"/>
        <w:left w:val="none" w:sz="0" w:space="0" w:color="auto"/>
        <w:bottom w:val="none" w:sz="0" w:space="0" w:color="auto"/>
        <w:right w:val="none" w:sz="0" w:space="0" w:color="auto"/>
      </w:divBdr>
    </w:div>
    <w:div w:id="437600020">
      <w:bodyDiv w:val="1"/>
      <w:marLeft w:val="0"/>
      <w:marRight w:val="0"/>
      <w:marTop w:val="0"/>
      <w:marBottom w:val="0"/>
      <w:divBdr>
        <w:top w:val="none" w:sz="0" w:space="0" w:color="auto"/>
        <w:left w:val="none" w:sz="0" w:space="0" w:color="auto"/>
        <w:bottom w:val="none" w:sz="0" w:space="0" w:color="auto"/>
        <w:right w:val="none" w:sz="0" w:space="0" w:color="auto"/>
      </w:divBdr>
    </w:div>
    <w:div w:id="438069779">
      <w:bodyDiv w:val="1"/>
      <w:marLeft w:val="0"/>
      <w:marRight w:val="0"/>
      <w:marTop w:val="0"/>
      <w:marBottom w:val="0"/>
      <w:divBdr>
        <w:top w:val="none" w:sz="0" w:space="0" w:color="auto"/>
        <w:left w:val="none" w:sz="0" w:space="0" w:color="auto"/>
        <w:bottom w:val="none" w:sz="0" w:space="0" w:color="auto"/>
        <w:right w:val="none" w:sz="0" w:space="0" w:color="auto"/>
      </w:divBdr>
      <w:divsChild>
        <w:div w:id="58138529">
          <w:marLeft w:val="547"/>
          <w:marRight w:val="0"/>
          <w:marTop w:val="200"/>
          <w:marBottom w:val="200"/>
          <w:divBdr>
            <w:top w:val="none" w:sz="0" w:space="0" w:color="auto"/>
            <w:left w:val="none" w:sz="0" w:space="0" w:color="auto"/>
            <w:bottom w:val="none" w:sz="0" w:space="0" w:color="auto"/>
            <w:right w:val="none" w:sz="0" w:space="0" w:color="auto"/>
          </w:divBdr>
        </w:div>
        <w:div w:id="882324650">
          <w:marLeft w:val="547"/>
          <w:marRight w:val="0"/>
          <w:marTop w:val="200"/>
          <w:marBottom w:val="200"/>
          <w:divBdr>
            <w:top w:val="none" w:sz="0" w:space="0" w:color="auto"/>
            <w:left w:val="none" w:sz="0" w:space="0" w:color="auto"/>
            <w:bottom w:val="none" w:sz="0" w:space="0" w:color="auto"/>
            <w:right w:val="none" w:sz="0" w:space="0" w:color="auto"/>
          </w:divBdr>
        </w:div>
        <w:div w:id="1450516688">
          <w:marLeft w:val="547"/>
          <w:marRight w:val="0"/>
          <w:marTop w:val="200"/>
          <w:marBottom w:val="200"/>
          <w:divBdr>
            <w:top w:val="none" w:sz="0" w:space="0" w:color="auto"/>
            <w:left w:val="none" w:sz="0" w:space="0" w:color="auto"/>
            <w:bottom w:val="none" w:sz="0" w:space="0" w:color="auto"/>
            <w:right w:val="none" w:sz="0" w:space="0" w:color="auto"/>
          </w:divBdr>
        </w:div>
        <w:div w:id="1978073899">
          <w:marLeft w:val="547"/>
          <w:marRight w:val="0"/>
          <w:marTop w:val="200"/>
          <w:marBottom w:val="200"/>
          <w:divBdr>
            <w:top w:val="none" w:sz="0" w:space="0" w:color="auto"/>
            <w:left w:val="none" w:sz="0" w:space="0" w:color="auto"/>
            <w:bottom w:val="none" w:sz="0" w:space="0" w:color="auto"/>
            <w:right w:val="none" w:sz="0" w:space="0" w:color="auto"/>
          </w:divBdr>
        </w:div>
      </w:divsChild>
    </w:div>
    <w:div w:id="459610155">
      <w:bodyDiv w:val="1"/>
      <w:marLeft w:val="0"/>
      <w:marRight w:val="0"/>
      <w:marTop w:val="0"/>
      <w:marBottom w:val="0"/>
      <w:divBdr>
        <w:top w:val="none" w:sz="0" w:space="0" w:color="auto"/>
        <w:left w:val="none" w:sz="0" w:space="0" w:color="auto"/>
        <w:bottom w:val="none" w:sz="0" w:space="0" w:color="auto"/>
        <w:right w:val="none" w:sz="0" w:space="0" w:color="auto"/>
      </w:divBdr>
    </w:div>
    <w:div w:id="460347140">
      <w:bodyDiv w:val="1"/>
      <w:marLeft w:val="0"/>
      <w:marRight w:val="0"/>
      <w:marTop w:val="0"/>
      <w:marBottom w:val="0"/>
      <w:divBdr>
        <w:top w:val="none" w:sz="0" w:space="0" w:color="auto"/>
        <w:left w:val="none" w:sz="0" w:space="0" w:color="auto"/>
        <w:bottom w:val="none" w:sz="0" w:space="0" w:color="auto"/>
        <w:right w:val="none" w:sz="0" w:space="0" w:color="auto"/>
      </w:divBdr>
    </w:div>
    <w:div w:id="464856864">
      <w:bodyDiv w:val="1"/>
      <w:marLeft w:val="0"/>
      <w:marRight w:val="0"/>
      <w:marTop w:val="0"/>
      <w:marBottom w:val="0"/>
      <w:divBdr>
        <w:top w:val="none" w:sz="0" w:space="0" w:color="auto"/>
        <w:left w:val="none" w:sz="0" w:space="0" w:color="auto"/>
        <w:bottom w:val="none" w:sz="0" w:space="0" w:color="auto"/>
        <w:right w:val="none" w:sz="0" w:space="0" w:color="auto"/>
      </w:divBdr>
    </w:div>
    <w:div w:id="465582568">
      <w:bodyDiv w:val="1"/>
      <w:marLeft w:val="0"/>
      <w:marRight w:val="0"/>
      <w:marTop w:val="0"/>
      <w:marBottom w:val="0"/>
      <w:divBdr>
        <w:top w:val="none" w:sz="0" w:space="0" w:color="auto"/>
        <w:left w:val="none" w:sz="0" w:space="0" w:color="auto"/>
        <w:bottom w:val="none" w:sz="0" w:space="0" w:color="auto"/>
        <w:right w:val="none" w:sz="0" w:space="0" w:color="auto"/>
      </w:divBdr>
    </w:div>
    <w:div w:id="466363276">
      <w:bodyDiv w:val="1"/>
      <w:marLeft w:val="0"/>
      <w:marRight w:val="0"/>
      <w:marTop w:val="0"/>
      <w:marBottom w:val="0"/>
      <w:divBdr>
        <w:top w:val="none" w:sz="0" w:space="0" w:color="auto"/>
        <w:left w:val="none" w:sz="0" w:space="0" w:color="auto"/>
        <w:bottom w:val="none" w:sz="0" w:space="0" w:color="auto"/>
        <w:right w:val="none" w:sz="0" w:space="0" w:color="auto"/>
      </w:divBdr>
    </w:div>
    <w:div w:id="469369441">
      <w:bodyDiv w:val="1"/>
      <w:marLeft w:val="0"/>
      <w:marRight w:val="0"/>
      <w:marTop w:val="0"/>
      <w:marBottom w:val="0"/>
      <w:divBdr>
        <w:top w:val="none" w:sz="0" w:space="0" w:color="auto"/>
        <w:left w:val="none" w:sz="0" w:space="0" w:color="auto"/>
        <w:bottom w:val="none" w:sz="0" w:space="0" w:color="auto"/>
        <w:right w:val="none" w:sz="0" w:space="0" w:color="auto"/>
      </w:divBdr>
    </w:div>
    <w:div w:id="473568375">
      <w:bodyDiv w:val="1"/>
      <w:marLeft w:val="0"/>
      <w:marRight w:val="0"/>
      <w:marTop w:val="0"/>
      <w:marBottom w:val="0"/>
      <w:divBdr>
        <w:top w:val="none" w:sz="0" w:space="0" w:color="auto"/>
        <w:left w:val="none" w:sz="0" w:space="0" w:color="auto"/>
        <w:bottom w:val="none" w:sz="0" w:space="0" w:color="auto"/>
        <w:right w:val="none" w:sz="0" w:space="0" w:color="auto"/>
      </w:divBdr>
    </w:div>
    <w:div w:id="475494610">
      <w:bodyDiv w:val="1"/>
      <w:marLeft w:val="0"/>
      <w:marRight w:val="0"/>
      <w:marTop w:val="0"/>
      <w:marBottom w:val="0"/>
      <w:divBdr>
        <w:top w:val="none" w:sz="0" w:space="0" w:color="auto"/>
        <w:left w:val="none" w:sz="0" w:space="0" w:color="auto"/>
        <w:bottom w:val="none" w:sz="0" w:space="0" w:color="auto"/>
        <w:right w:val="none" w:sz="0" w:space="0" w:color="auto"/>
      </w:divBdr>
    </w:div>
    <w:div w:id="476730785">
      <w:bodyDiv w:val="1"/>
      <w:marLeft w:val="0"/>
      <w:marRight w:val="0"/>
      <w:marTop w:val="0"/>
      <w:marBottom w:val="0"/>
      <w:divBdr>
        <w:top w:val="none" w:sz="0" w:space="0" w:color="auto"/>
        <w:left w:val="none" w:sz="0" w:space="0" w:color="auto"/>
        <w:bottom w:val="none" w:sz="0" w:space="0" w:color="auto"/>
        <w:right w:val="none" w:sz="0" w:space="0" w:color="auto"/>
      </w:divBdr>
    </w:div>
    <w:div w:id="479999905">
      <w:bodyDiv w:val="1"/>
      <w:marLeft w:val="0"/>
      <w:marRight w:val="0"/>
      <w:marTop w:val="0"/>
      <w:marBottom w:val="0"/>
      <w:divBdr>
        <w:top w:val="none" w:sz="0" w:space="0" w:color="auto"/>
        <w:left w:val="none" w:sz="0" w:space="0" w:color="auto"/>
        <w:bottom w:val="none" w:sz="0" w:space="0" w:color="auto"/>
        <w:right w:val="none" w:sz="0" w:space="0" w:color="auto"/>
      </w:divBdr>
    </w:div>
    <w:div w:id="482476972">
      <w:bodyDiv w:val="1"/>
      <w:marLeft w:val="0"/>
      <w:marRight w:val="0"/>
      <w:marTop w:val="0"/>
      <w:marBottom w:val="0"/>
      <w:divBdr>
        <w:top w:val="none" w:sz="0" w:space="0" w:color="auto"/>
        <w:left w:val="none" w:sz="0" w:space="0" w:color="auto"/>
        <w:bottom w:val="none" w:sz="0" w:space="0" w:color="auto"/>
        <w:right w:val="none" w:sz="0" w:space="0" w:color="auto"/>
      </w:divBdr>
    </w:div>
    <w:div w:id="483476865">
      <w:bodyDiv w:val="1"/>
      <w:marLeft w:val="0"/>
      <w:marRight w:val="0"/>
      <w:marTop w:val="0"/>
      <w:marBottom w:val="0"/>
      <w:divBdr>
        <w:top w:val="none" w:sz="0" w:space="0" w:color="auto"/>
        <w:left w:val="none" w:sz="0" w:space="0" w:color="auto"/>
        <w:bottom w:val="none" w:sz="0" w:space="0" w:color="auto"/>
        <w:right w:val="none" w:sz="0" w:space="0" w:color="auto"/>
      </w:divBdr>
    </w:div>
    <w:div w:id="485165259">
      <w:bodyDiv w:val="1"/>
      <w:marLeft w:val="0"/>
      <w:marRight w:val="0"/>
      <w:marTop w:val="0"/>
      <w:marBottom w:val="0"/>
      <w:divBdr>
        <w:top w:val="none" w:sz="0" w:space="0" w:color="auto"/>
        <w:left w:val="none" w:sz="0" w:space="0" w:color="auto"/>
        <w:bottom w:val="none" w:sz="0" w:space="0" w:color="auto"/>
        <w:right w:val="none" w:sz="0" w:space="0" w:color="auto"/>
      </w:divBdr>
    </w:div>
    <w:div w:id="494802099">
      <w:bodyDiv w:val="1"/>
      <w:marLeft w:val="0"/>
      <w:marRight w:val="0"/>
      <w:marTop w:val="0"/>
      <w:marBottom w:val="0"/>
      <w:divBdr>
        <w:top w:val="none" w:sz="0" w:space="0" w:color="auto"/>
        <w:left w:val="none" w:sz="0" w:space="0" w:color="auto"/>
        <w:bottom w:val="none" w:sz="0" w:space="0" w:color="auto"/>
        <w:right w:val="none" w:sz="0" w:space="0" w:color="auto"/>
      </w:divBdr>
    </w:div>
    <w:div w:id="495460819">
      <w:bodyDiv w:val="1"/>
      <w:marLeft w:val="0"/>
      <w:marRight w:val="0"/>
      <w:marTop w:val="0"/>
      <w:marBottom w:val="0"/>
      <w:divBdr>
        <w:top w:val="none" w:sz="0" w:space="0" w:color="auto"/>
        <w:left w:val="none" w:sz="0" w:space="0" w:color="auto"/>
        <w:bottom w:val="none" w:sz="0" w:space="0" w:color="auto"/>
        <w:right w:val="none" w:sz="0" w:space="0" w:color="auto"/>
      </w:divBdr>
    </w:div>
    <w:div w:id="500775540">
      <w:bodyDiv w:val="1"/>
      <w:marLeft w:val="0"/>
      <w:marRight w:val="0"/>
      <w:marTop w:val="0"/>
      <w:marBottom w:val="0"/>
      <w:divBdr>
        <w:top w:val="none" w:sz="0" w:space="0" w:color="auto"/>
        <w:left w:val="none" w:sz="0" w:space="0" w:color="auto"/>
        <w:bottom w:val="none" w:sz="0" w:space="0" w:color="auto"/>
        <w:right w:val="none" w:sz="0" w:space="0" w:color="auto"/>
      </w:divBdr>
    </w:div>
    <w:div w:id="505243302">
      <w:bodyDiv w:val="1"/>
      <w:marLeft w:val="0"/>
      <w:marRight w:val="0"/>
      <w:marTop w:val="0"/>
      <w:marBottom w:val="0"/>
      <w:divBdr>
        <w:top w:val="none" w:sz="0" w:space="0" w:color="auto"/>
        <w:left w:val="none" w:sz="0" w:space="0" w:color="auto"/>
        <w:bottom w:val="none" w:sz="0" w:space="0" w:color="auto"/>
        <w:right w:val="none" w:sz="0" w:space="0" w:color="auto"/>
      </w:divBdr>
    </w:div>
    <w:div w:id="505553820">
      <w:bodyDiv w:val="1"/>
      <w:marLeft w:val="0"/>
      <w:marRight w:val="0"/>
      <w:marTop w:val="0"/>
      <w:marBottom w:val="0"/>
      <w:divBdr>
        <w:top w:val="none" w:sz="0" w:space="0" w:color="auto"/>
        <w:left w:val="none" w:sz="0" w:space="0" w:color="auto"/>
        <w:bottom w:val="none" w:sz="0" w:space="0" w:color="auto"/>
        <w:right w:val="none" w:sz="0" w:space="0" w:color="auto"/>
      </w:divBdr>
    </w:div>
    <w:div w:id="508910956">
      <w:bodyDiv w:val="1"/>
      <w:marLeft w:val="0"/>
      <w:marRight w:val="0"/>
      <w:marTop w:val="0"/>
      <w:marBottom w:val="0"/>
      <w:divBdr>
        <w:top w:val="none" w:sz="0" w:space="0" w:color="auto"/>
        <w:left w:val="none" w:sz="0" w:space="0" w:color="auto"/>
        <w:bottom w:val="none" w:sz="0" w:space="0" w:color="auto"/>
        <w:right w:val="none" w:sz="0" w:space="0" w:color="auto"/>
      </w:divBdr>
    </w:div>
    <w:div w:id="509682829">
      <w:bodyDiv w:val="1"/>
      <w:marLeft w:val="0"/>
      <w:marRight w:val="0"/>
      <w:marTop w:val="0"/>
      <w:marBottom w:val="0"/>
      <w:divBdr>
        <w:top w:val="none" w:sz="0" w:space="0" w:color="auto"/>
        <w:left w:val="none" w:sz="0" w:space="0" w:color="auto"/>
        <w:bottom w:val="none" w:sz="0" w:space="0" w:color="auto"/>
        <w:right w:val="none" w:sz="0" w:space="0" w:color="auto"/>
      </w:divBdr>
    </w:div>
    <w:div w:id="510223253">
      <w:bodyDiv w:val="1"/>
      <w:marLeft w:val="0"/>
      <w:marRight w:val="0"/>
      <w:marTop w:val="0"/>
      <w:marBottom w:val="0"/>
      <w:divBdr>
        <w:top w:val="none" w:sz="0" w:space="0" w:color="auto"/>
        <w:left w:val="none" w:sz="0" w:space="0" w:color="auto"/>
        <w:bottom w:val="none" w:sz="0" w:space="0" w:color="auto"/>
        <w:right w:val="none" w:sz="0" w:space="0" w:color="auto"/>
      </w:divBdr>
    </w:div>
    <w:div w:id="510995327">
      <w:bodyDiv w:val="1"/>
      <w:marLeft w:val="0"/>
      <w:marRight w:val="0"/>
      <w:marTop w:val="0"/>
      <w:marBottom w:val="0"/>
      <w:divBdr>
        <w:top w:val="none" w:sz="0" w:space="0" w:color="auto"/>
        <w:left w:val="none" w:sz="0" w:space="0" w:color="auto"/>
        <w:bottom w:val="none" w:sz="0" w:space="0" w:color="auto"/>
        <w:right w:val="none" w:sz="0" w:space="0" w:color="auto"/>
      </w:divBdr>
    </w:div>
    <w:div w:id="512501829">
      <w:bodyDiv w:val="1"/>
      <w:marLeft w:val="0"/>
      <w:marRight w:val="0"/>
      <w:marTop w:val="0"/>
      <w:marBottom w:val="0"/>
      <w:divBdr>
        <w:top w:val="none" w:sz="0" w:space="0" w:color="auto"/>
        <w:left w:val="none" w:sz="0" w:space="0" w:color="auto"/>
        <w:bottom w:val="none" w:sz="0" w:space="0" w:color="auto"/>
        <w:right w:val="none" w:sz="0" w:space="0" w:color="auto"/>
      </w:divBdr>
    </w:div>
    <w:div w:id="519247623">
      <w:bodyDiv w:val="1"/>
      <w:marLeft w:val="0"/>
      <w:marRight w:val="0"/>
      <w:marTop w:val="0"/>
      <w:marBottom w:val="0"/>
      <w:divBdr>
        <w:top w:val="none" w:sz="0" w:space="0" w:color="auto"/>
        <w:left w:val="none" w:sz="0" w:space="0" w:color="auto"/>
        <w:bottom w:val="none" w:sz="0" w:space="0" w:color="auto"/>
        <w:right w:val="none" w:sz="0" w:space="0" w:color="auto"/>
      </w:divBdr>
    </w:div>
    <w:div w:id="525291772">
      <w:bodyDiv w:val="1"/>
      <w:marLeft w:val="0"/>
      <w:marRight w:val="0"/>
      <w:marTop w:val="0"/>
      <w:marBottom w:val="0"/>
      <w:divBdr>
        <w:top w:val="none" w:sz="0" w:space="0" w:color="auto"/>
        <w:left w:val="none" w:sz="0" w:space="0" w:color="auto"/>
        <w:bottom w:val="none" w:sz="0" w:space="0" w:color="auto"/>
        <w:right w:val="none" w:sz="0" w:space="0" w:color="auto"/>
      </w:divBdr>
    </w:div>
    <w:div w:id="533660847">
      <w:bodyDiv w:val="1"/>
      <w:marLeft w:val="0"/>
      <w:marRight w:val="0"/>
      <w:marTop w:val="0"/>
      <w:marBottom w:val="0"/>
      <w:divBdr>
        <w:top w:val="none" w:sz="0" w:space="0" w:color="auto"/>
        <w:left w:val="none" w:sz="0" w:space="0" w:color="auto"/>
        <w:bottom w:val="none" w:sz="0" w:space="0" w:color="auto"/>
        <w:right w:val="none" w:sz="0" w:space="0" w:color="auto"/>
      </w:divBdr>
    </w:div>
    <w:div w:id="543951748">
      <w:bodyDiv w:val="1"/>
      <w:marLeft w:val="0"/>
      <w:marRight w:val="0"/>
      <w:marTop w:val="0"/>
      <w:marBottom w:val="0"/>
      <w:divBdr>
        <w:top w:val="none" w:sz="0" w:space="0" w:color="auto"/>
        <w:left w:val="none" w:sz="0" w:space="0" w:color="auto"/>
        <w:bottom w:val="none" w:sz="0" w:space="0" w:color="auto"/>
        <w:right w:val="none" w:sz="0" w:space="0" w:color="auto"/>
      </w:divBdr>
    </w:div>
    <w:div w:id="560287125">
      <w:bodyDiv w:val="1"/>
      <w:marLeft w:val="0"/>
      <w:marRight w:val="0"/>
      <w:marTop w:val="0"/>
      <w:marBottom w:val="0"/>
      <w:divBdr>
        <w:top w:val="none" w:sz="0" w:space="0" w:color="auto"/>
        <w:left w:val="none" w:sz="0" w:space="0" w:color="auto"/>
        <w:bottom w:val="none" w:sz="0" w:space="0" w:color="auto"/>
        <w:right w:val="none" w:sz="0" w:space="0" w:color="auto"/>
      </w:divBdr>
    </w:div>
    <w:div w:id="565529845">
      <w:bodyDiv w:val="1"/>
      <w:marLeft w:val="0"/>
      <w:marRight w:val="0"/>
      <w:marTop w:val="0"/>
      <w:marBottom w:val="0"/>
      <w:divBdr>
        <w:top w:val="none" w:sz="0" w:space="0" w:color="auto"/>
        <w:left w:val="none" w:sz="0" w:space="0" w:color="auto"/>
        <w:bottom w:val="none" w:sz="0" w:space="0" w:color="auto"/>
        <w:right w:val="none" w:sz="0" w:space="0" w:color="auto"/>
      </w:divBdr>
    </w:div>
    <w:div w:id="566842751">
      <w:bodyDiv w:val="1"/>
      <w:marLeft w:val="0"/>
      <w:marRight w:val="0"/>
      <w:marTop w:val="0"/>
      <w:marBottom w:val="0"/>
      <w:divBdr>
        <w:top w:val="none" w:sz="0" w:space="0" w:color="auto"/>
        <w:left w:val="none" w:sz="0" w:space="0" w:color="auto"/>
        <w:bottom w:val="none" w:sz="0" w:space="0" w:color="auto"/>
        <w:right w:val="none" w:sz="0" w:space="0" w:color="auto"/>
      </w:divBdr>
    </w:div>
    <w:div w:id="573391302">
      <w:bodyDiv w:val="1"/>
      <w:marLeft w:val="0"/>
      <w:marRight w:val="0"/>
      <w:marTop w:val="0"/>
      <w:marBottom w:val="0"/>
      <w:divBdr>
        <w:top w:val="none" w:sz="0" w:space="0" w:color="auto"/>
        <w:left w:val="none" w:sz="0" w:space="0" w:color="auto"/>
        <w:bottom w:val="none" w:sz="0" w:space="0" w:color="auto"/>
        <w:right w:val="none" w:sz="0" w:space="0" w:color="auto"/>
      </w:divBdr>
    </w:div>
    <w:div w:id="580942817">
      <w:bodyDiv w:val="1"/>
      <w:marLeft w:val="0"/>
      <w:marRight w:val="0"/>
      <w:marTop w:val="0"/>
      <w:marBottom w:val="0"/>
      <w:divBdr>
        <w:top w:val="none" w:sz="0" w:space="0" w:color="auto"/>
        <w:left w:val="none" w:sz="0" w:space="0" w:color="auto"/>
        <w:bottom w:val="none" w:sz="0" w:space="0" w:color="auto"/>
        <w:right w:val="none" w:sz="0" w:space="0" w:color="auto"/>
      </w:divBdr>
    </w:div>
    <w:div w:id="585844190">
      <w:bodyDiv w:val="1"/>
      <w:marLeft w:val="0"/>
      <w:marRight w:val="0"/>
      <w:marTop w:val="0"/>
      <w:marBottom w:val="0"/>
      <w:divBdr>
        <w:top w:val="none" w:sz="0" w:space="0" w:color="auto"/>
        <w:left w:val="none" w:sz="0" w:space="0" w:color="auto"/>
        <w:bottom w:val="none" w:sz="0" w:space="0" w:color="auto"/>
        <w:right w:val="none" w:sz="0" w:space="0" w:color="auto"/>
      </w:divBdr>
    </w:div>
    <w:div w:id="591940785">
      <w:bodyDiv w:val="1"/>
      <w:marLeft w:val="0"/>
      <w:marRight w:val="0"/>
      <w:marTop w:val="0"/>
      <w:marBottom w:val="0"/>
      <w:divBdr>
        <w:top w:val="none" w:sz="0" w:space="0" w:color="auto"/>
        <w:left w:val="none" w:sz="0" w:space="0" w:color="auto"/>
        <w:bottom w:val="none" w:sz="0" w:space="0" w:color="auto"/>
        <w:right w:val="none" w:sz="0" w:space="0" w:color="auto"/>
      </w:divBdr>
    </w:div>
    <w:div w:id="592056891">
      <w:bodyDiv w:val="1"/>
      <w:marLeft w:val="0"/>
      <w:marRight w:val="0"/>
      <w:marTop w:val="0"/>
      <w:marBottom w:val="0"/>
      <w:divBdr>
        <w:top w:val="none" w:sz="0" w:space="0" w:color="auto"/>
        <w:left w:val="none" w:sz="0" w:space="0" w:color="auto"/>
        <w:bottom w:val="none" w:sz="0" w:space="0" w:color="auto"/>
        <w:right w:val="none" w:sz="0" w:space="0" w:color="auto"/>
      </w:divBdr>
    </w:div>
    <w:div w:id="594677707">
      <w:bodyDiv w:val="1"/>
      <w:marLeft w:val="0"/>
      <w:marRight w:val="0"/>
      <w:marTop w:val="0"/>
      <w:marBottom w:val="0"/>
      <w:divBdr>
        <w:top w:val="none" w:sz="0" w:space="0" w:color="auto"/>
        <w:left w:val="none" w:sz="0" w:space="0" w:color="auto"/>
        <w:bottom w:val="none" w:sz="0" w:space="0" w:color="auto"/>
        <w:right w:val="none" w:sz="0" w:space="0" w:color="auto"/>
      </w:divBdr>
    </w:div>
    <w:div w:id="596403678">
      <w:bodyDiv w:val="1"/>
      <w:marLeft w:val="0"/>
      <w:marRight w:val="0"/>
      <w:marTop w:val="0"/>
      <w:marBottom w:val="0"/>
      <w:divBdr>
        <w:top w:val="none" w:sz="0" w:space="0" w:color="auto"/>
        <w:left w:val="none" w:sz="0" w:space="0" w:color="auto"/>
        <w:bottom w:val="none" w:sz="0" w:space="0" w:color="auto"/>
        <w:right w:val="none" w:sz="0" w:space="0" w:color="auto"/>
      </w:divBdr>
    </w:div>
    <w:div w:id="604465182">
      <w:bodyDiv w:val="1"/>
      <w:marLeft w:val="0"/>
      <w:marRight w:val="0"/>
      <w:marTop w:val="0"/>
      <w:marBottom w:val="0"/>
      <w:divBdr>
        <w:top w:val="none" w:sz="0" w:space="0" w:color="auto"/>
        <w:left w:val="none" w:sz="0" w:space="0" w:color="auto"/>
        <w:bottom w:val="none" w:sz="0" w:space="0" w:color="auto"/>
        <w:right w:val="none" w:sz="0" w:space="0" w:color="auto"/>
      </w:divBdr>
    </w:div>
    <w:div w:id="604728576">
      <w:bodyDiv w:val="1"/>
      <w:marLeft w:val="0"/>
      <w:marRight w:val="0"/>
      <w:marTop w:val="0"/>
      <w:marBottom w:val="0"/>
      <w:divBdr>
        <w:top w:val="none" w:sz="0" w:space="0" w:color="auto"/>
        <w:left w:val="none" w:sz="0" w:space="0" w:color="auto"/>
        <w:bottom w:val="none" w:sz="0" w:space="0" w:color="auto"/>
        <w:right w:val="none" w:sz="0" w:space="0" w:color="auto"/>
      </w:divBdr>
    </w:div>
    <w:div w:id="606043086">
      <w:bodyDiv w:val="1"/>
      <w:marLeft w:val="0"/>
      <w:marRight w:val="0"/>
      <w:marTop w:val="0"/>
      <w:marBottom w:val="0"/>
      <w:divBdr>
        <w:top w:val="none" w:sz="0" w:space="0" w:color="auto"/>
        <w:left w:val="none" w:sz="0" w:space="0" w:color="auto"/>
        <w:bottom w:val="none" w:sz="0" w:space="0" w:color="auto"/>
        <w:right w:val="none" w:sz="0" w:space="0" w:color="auto"/>
      </w:divBdr>
    </w:div>
    <w:div w:id="607660709">
      <w:bodyDiv w:val="1"/>
      <w:marLeft w:val="0"/>
      <w:marRight w:val="0"/>
      <w:marTop w:val="0"/>
      <w:marBottom w:val="0"/>
      <w:divBdr>
        <w:top w:val="none" w:sz="0" w:space="0" w:color="auto"/>
        <w:left w:val="none" w:sz="0" w:space="0" w:color="auto"/>
        <w:bottom w:val="none" w:sz="0" w:space="0" w:color="auto"/>
        <w:right w:val="none" w:sz="0" w:space="0" w:color="auto"/>
      </w:divBdr>
    </w:div>
    <w:div w:id="608127477">
      <w:bodyDiv w:val="1"/>
      <w:marLeft w:val="0"/>
      <w:marRight w:val="0"/>
      <w:marTop w:val="0"/>
      <w:marBottom w:val="0"/>
      <w:divBdr>
        <w:top w:val="none" w:sz="0" w:space="0" w:color="auto"/>
        <w:left w:val="none" w:sz="0" w:space="0" w:color="auto"/>
        <w:bottom w:val="none" w:sz="0" w:space="0" w:color="auto"/>
        <w:right w:val="none" w:sz="0" w:space="0" w:color="auto"/>
      </w:divBdr>
    </w:div>
    <w:div w:id="618799740">
      <w:bodyDiv w:val="1"/>
      <w:marLeft w:val="0"/>
      <w:marRight w:val="0"/>
      <w:marTop w:val="0"/>
      <w:marBottom w:val="0"/>
      <w:divBdr>
        <w:top w:val="none" w:sz="0" w:space="0" w:color="auto"/>
        <w:left w:val="none" w:sz="0" w:space="0" w:color="auto"/>
        <w:bottom w:val="none" w:sz="0" w:space="0" w:color="auto"/>
        <w:right w:val="none" w:sz="0" w:space="0" w:color="auto"/>
      </w:divBdr>
    </w:div>
    <w:div w:id="621425835">
      <w:bodyDiv w:val="1"/>
      <w:marLeft w:val="0"/>
      <w:marRight w:val="0"/>
      <w:marTop w:val="0"/>
      <w:marBottom w:val="0"/>
      <w:divBdr>
        <w:top w:val="none" w:sz="0" w:space="0" w:color="auto"/>
        <w:left w:val="none" w:sz="0" w:space="0" w:color="auto"/>
        <w:bottom w:val="none" w:sz="0" w:space="0" w:color="auto"/>
        <w:right w:val="none" w:sz="0" w:space="0" w:color="auto"/>
      </w:divBdr>
    </w:div>
    <w:div w:id="628587700">
      <w:bodyDiv w:val="1"/>
      <w:marLeft w:val="0"/>
      <w:marRight w:val="0"/>
      <w:marTop w:val="0"/>
      <w:marBottom w:val="0"/>
      <w:divBdr>
        <w:top w:val="none" w:sz="0" w:space="0" w:color="auto"/>
        <w:left w:val="none" w:sz="0" w:space="0" w:color="auto"/>
        <w:bottom w:val="none" w:sz="0" w:space="0" w:color="auto"/>
        <w:right w:val="none" w:sz="0" w:space="0" w:color="auto"/>
      </w:divBdr>
    </w:div>
    <w:div w:id="629096875">
      <w:bodyDiv w:val="1"/>
      <w:marLeft w:val="0"/>
      <w:marRight w:val="0"/>
      <w:marTop w:val="0"/>
      <w:marBottom w:val="0"/>
      <w:divBdr>
        <w:top w:val="none" w:sz="0" w:space="0" w:color="auto"/>
        <w:left w:val="none" w:sz="0" w:space="0" w:color="auto"/>
        <w:bottom w:val="none" w:sz="0" w:space="0" w:color="auto"/>
        <w:right w:val="none" w:sz="0" w:space="0" w:color="auto"/>
      </w:divBdr>
    </w:div>
    <w:div w:id="647630023">
      <w:bodyDiv w:val="1"/>
      <w:marLeft w:val="0"/>
      <w:marRight w:val="0"/>
      <w:marTop w:val="0"/>
      <w:marBottom w:val="0"/>
      <w:divBdr>
        <w:top w:val="none" w:sz="0" w:space="0" w:color="auto"/>
        <w:left w:val="none" w:sz="0" w:space="0" w:color="auto"/>
        <w:bottom w:val="none" w:sz="0" w:space="0" w:color="auto"/>
        <w:right w:val="none" w:sz="0" w:space="0" w:color="auto"/>
      </w:divBdr>
    </w:div>
    <w:div w:id="652832514">
      <w:bodyDiv w:val="1"/>
      <w:marLeft w:val="0"/>
      <w:marRight w:val="0"/>
      <w:marTop w:val="0"/>
      <w:marBottom w:val="0"/>
      <w:divBdr>
        <w:top w:val="none" w:sz="0" w:space="0" w:color="auto"/>
        <w:left w:val="none" w:sz="0" w:space="0" w:color="auto"/>
        <w:bottom w:val="none" w:sz="0" w:space="0" w:color="auto"/>
        <w:right w:val="none" w:sz="0" w:space="0" w:color="auto"/>
      </w:divBdr>
      <w:divsChild>
        <w:div w:id="1056318120">
          <w:marLeft w:val="1627"/>
          <w:marRight w:val="0"/>
          <w:marTop w:val="100"/>
          <w:marBottom w:val="0"/>
          <w:divBdr>
            <w:top w:val="none" w:sz="0" w:space="0" w:color="auto"/>
            <w:left w:val="none" w:sz="0" w:space="0" w:color="auto"/>
            <w:bottom w:val="none" w:sz="0" w:space="0" w:color="auto"/>
            <w:right w:val="none" w:sz="0" w:space="0" w:color="auto"/>
          </w:divBdr>
        </w:div>
        <w:div w:id="1189835015">
          <w:marLeft w:val="1627"/>
          <w:marRight w:val="0"/>
          <w:marTop w:val="100"/>
          <w:marBottom w:val="0"/>
          <w:divBdr>
            <w:top w:val="none" w:sz="0" w:space="0" w:color="auto"/>
            <w:left w:val="none" w:sz="0" w:space="0" w:color="auto"/>
            <w:bottom w:val="none" w:sz="0" w:space="0" w:color="auto"/>
            <w:right w:val="none" w:sz="0" w:space="0" w:color="auto"/>
          </w:divBdr>
        </w:div>
        <w:div w:id="2004041913">
          <w:marLeft w:val="547"/>
          <w:marRight w:val="0"/>
          <w:marTop w:val="200"/>
          <w:marBottom w:val="0"/>
          <w:divBdr>
            <w:top w:val="none" w:sz="0" w:space="0" w:color="auto"/>
            <w:left w:val="none" w:sz="0" w:space="0" w:color="auto"/>
            <w:bottom w:val="none" w:sz="0" w:space="0" w:color="auto"/>
            <w:right w:val="none" w:sz="0" w:space="0" w:color="auto"/>
          </w:divBdr>
        </w:div>
        <w:div w:id="2115589216">
          <w:marLeft w:val="1627"/>
          <w:marRight w:val="0"/>
          <w:marTop w:val="100"/>
          <w:marBottom w:val="0"/>
          <w:divBdr>
            <w:top w:val="none" w:sz="0" w:space="0" w:color="auto"/>
            <w:left w:val="none" w:sz="0" w:space="0" w:color="auto"/>
            <w:bottom w:val="none" w:sz="0" w:space="0" w:color="auto"/>
            <w:right w:val="none" w:sz="0" w:space="0" w:color="auto"/>
          </w:divBdr>
        </w:div>
      </w:divsChild>
    </w:div>
    <w:div w:id="653875030">
      <w:bodyDiv w:val="1"/>
      <w:marLeft w:val="0"/>
      <w:marRight w:val="0"/>
      <w:marTop w:val="0"/>
      <w:marBottom w:val="0"/>
      <w:divBdr>
        <w:top w:val="none" w:sz="0" w:space="0" w:color="auto"/>
        <w:left w:val="none" w:sz="0" w:space="0" w:color="auto"/>
        <w:bottom w:val="none" w:sz="0" w:space="0" w:color="auto"/>
        <w:right w:val="none" w:sz="0" w:space="0" w:color="auto"/>
      </w:divBdr>
    </w:div>
    <w:div w:id="656959798">
      <w:bodyDiv w:val="1"/>
      <w:marLeft w:val="0"/>
      <w:marRight w:val="0"/>
      <w:marTop w:val="0"/>
      <w:marBottom w:val="0"/>
      <w:divBdr>
        <w:top w:val="none" w:sz="0" w:space="0" w:color="auto"/>
        <w:left w:val="none" w:sz="0" w:space="0" w:color="auto"/>
        <w:bottom w:val="none" w:sz="0" w:space="0" w:color="auto"/>
        <w:right w:val="none" w:sz="0" w:space="0" w:color="auto"/>
      </w:divBdr>
    </w:div>
    <w:div w:id="668992971">
      <w:bodyDiv w:val="1"/>
      <w:marLeft w:val="0"/>
      <w:marRight w:val="0"/>
      <w:marTop w:val="0"/>
      <w:marBottom w:val="0"/>
      <w:divBdr>
        <w:top w:val="none" w:sz="0" w:space="0" w:color="auto"/>
        <w:left w:val="none" w:sz="0" w:space="0" w:color="auto"/>
        <w:bottom w:val="none" w:sz="0" w:space="0" w:color="auto"/>
        <w:right w:val="none" w:sz="0" w:space="0" w:color="auto"/>
      </w:divBdr>
    </w:div>
    <w:div w:id="669135037">
      <w:bodyDiv w:val="1"/>
      <w:marLeft w:val="0"/>
      <w:marRight w:val="0"/>
      <w:marTop w:val="0"/>
      <w:marBottom w:val="0"/>
      <w:divBdr>
        <w:top w:val="none" w:sz="0" w:space="0" w:color="auto"/>
        <w:left w:val="none" w:sz="0" w:space="0" w:color="auto"/>
        <w:bottom w:val="none" w:sz="0" w:space="0" w:color="auto"/>
        <w:right w:val="none" w:sz="0" w:space="0" w:color="auto"/>
      </w:divBdr>
    </w:div>
    <w:div w:id="669142530">
      <w:bodyDiv w:val="1"/>
      <w:marLeft w:val="0"/>
      <w:marRight w:val="0"/>
      <w:marTop w:val="0"/>
      <w:marBottom w:val="0"/>
      <w:divBdr>
        <w:top w:val="none" w:sz="0" w:space="0" w:color="auto"/>
        <w:left w:val="none" w:sz="0" w:space="0" w:color="auto"/>
        <w:bottom w:val="none" w:sz="0" w:space="0" w:color="auto"/>
        <w:right w:val="none" w:sz="0" w:space="0" w:color="auto"/>
      </w:divBdr>
    </w:div>
    <w:div w:id="672604983">
      <w:bodyDiv w:val="1"/>
      <w:marLeft w:val="0"/>
      <w:marRight w:val="0"/>
      <w:marTop w:val="0"/>
      <w:marBottom w:val="0"/>
      <w:divBdr>
        <w:top w:val="none" w:sz="0" w:space="0" w:color="auto"/>
        <w:left w:val="none" w:sz="0" w:space="0" w:color="auto"/>
        <w:bottom w:val="none" w:sz="0" w:space="0" w:color="auto"/>
        <w:right w:val="none" w:sz="0" w:space="0" w:color="auto"/>
      </w:divBdr>
    </w:div>
    <w:div w:id="677460872">
      <w:bodyDiv w:val="1"/>
      <w:marLeft w:val="0"/>
      <w:marRight w:val="0"/>
      <w:marTop w:val="0"/>
      <w:marBottom w:val="0"/>
      <w:divBdr>
        <w:top w:val="none" w:sz="0" w:space="0" w:color="auto"/>
        <w:left w:val="none" w:sz="0" w:space="0" w:color="auto"/>
        <w:bottom w:val="none" w:sz="0" w:space="0" w:color="auto"/>
        <w:right w:val="none" w:sz="0" w:space="0" w:color="auto"/>
      </w:divBdr>
    </w:div>
    <w:div w:id="678897075">
      <w:bodyDiv w:val="1"/>
      <w:marLeft w:val="0"/>
      <w:marRight w:val="0"/>
      <w:marTop w:val="0"/>
      <w:marBottom w:val="0"/>
      <w:divBdr>
        <w:top w:val="none" w:sz="0" w:space="0" w:color="auto"/>
        <w:left w:val="none" w:sz="0" w:space="0" w:color="auto"/>
        <w:bottom w:val="none" w:sz="0" w:space="0" w:color="auto"/>
        <w:right w:val="none" w:sz="0" w:space="0" w:color="auto"/>
      </w:divBdr>
    </w:div>
    <w:div w:id="679814566">
      <w:bodyDiv w:val="1"/>
      <w:marLeft w:val="0"/>
      <w:marRight w:val="0"/>
      <w:marTop w:val="0"/>
      <w:marBottom w:val="0"/>
      <w:divBdr>
        <w:top w:val="none" w:sz="0" w:space="0" w:color="auto"/>
        <w:left w:val="none" w:sz="0" w:space="0" w:color="auto"/>
        <w:bottom w:val="none" w:sz="0" w:space="0" w:color="auto"/>
        <w:right w:val="none" w:sz="0" w:space="0" w:color="auto"/>
      </w:divBdr>
    </w:div>
    <w:div w:id="683170224">
      <w:bodyDiv w:val="1"/>
      <w:marLeft w:val="0"/>
      <w:marRight w:val="0"/>
      <w:marTop w:val="0"/>
      <w:marBottom w:val="0"/>
      <w:divBdr>
        <w:top w:val="none" w:sz="0" w:space="0" w:color="auto"/>
        <w:left w:val="none" w:sz="0" w:space="0" w:color="auto"/>
        <w:bottom w:val="none" w:sz="0" w:space="0" w:color="auto"/>
        <w:right w:val="none" w:sz="0" w:space="0" w:color="auto"/>
      </w:divBdr>
    </w:div>
    <w:div w:id="684402600">
      <w:bodyDiv w:val="1"/>
      <w:marLeft w:val="0"/>
      <w:marRight w:val="0"/>
      <w:marTop w:val="0"/>
      <w:marBottom w:val="0"/>
      <w:divBdr>
        <w:top w:val="none" w:sz="0" w:space="0" w:color="auto"/>
        <w:left w:val="none" w:sz="0" w:space="0" w:color="auto"/>
        <w:bottom w:val="none" w:sz="0" w:space="0" w:color="auto"/>
        <w:right w:val="none" w:sz="0" w:space="0" w:color="auto"/>
      </w:divBdr>
    </w:div>
    <w:div w:id="684483691">
      <w:bodyDiv w:val="1"/>
      <w:marLeft w:val="0"/>
      <w:marRight w:val="0"/>
      <w:marTop w:val="0"/>
      <w:marBottom w:val="0"/>
      <w:divBdr>
        <w:top w:val="none" w:sz="0" w:space="0" w:color="auto"/>
        <w:left w:val="none" w:sz="0" w:space="0" w:color="auto"/>
        <w:bottom w:val="none" w:sz="0" w:space="0" w:color="auto"/>
        <w:right w:val="none" w:sz="0" w:space="0" w:color="auto"/>
      </w:divBdr>
    </w:div>
    <w:div w:id="685254447">
      <w:bodyDiv w:val="1"/>
      <w:marLeft w:val="0"/>
      <w:marRight w:val="0"/>
      <w:marTop w:val="0"/>
      <w:marBottom w:val="0"/>
      <w:divBdr>
        <w:top w:val="none" w:sz="0" w:space="0" w:color="auto"/>
        <w:left w:val="none" w:sz="0" w:space="0" w:color="auto"/>
        <w:bottom w:val="none" w:sz="0" w:space="0" w:color="auto"/>
        <w:right w:val="none" w:sz="0" w:space="0" w:color="auto"/>
      </w:divBdr>
    </w:div>
    <w:div w:id="688796978">
      <w:bodyDiv w:val="1"/>
      <w:marLeft w:val="0"/>
      <w:marRight w:val="0"/>
      <w:marTop w:val="0"/>
      <w:marBottom w:val="0"/>
      <w:divBdr>
        <w:top w:val="none" w:sz="0" w:space="0" w:color="auto"/>
        <w:left w:val="none" w:sz="0" w:space="0" w:color="auto"/>
        <w:bottom w:val="none" w:sz="0" w:space="0" w:color="auto"/>
        <w:right w:val="none" w:sz="0" w:space="0" w:color="auto"/>
      </w:divBdr>
    </w:div>
    <w:div w:id="692223321">
      <w:bodyDiv w:val="1"/>
      <w:marLeft w:val="0"/>
      <w:marRight w:val="0"/>
      <w:marTop w:val="0"/>
      <w:marBottom w:val="0"/>
      <w:divBdr>
        <w:top w:val="none" w:sz="0" w:space="0" w:color="auto"/>
        <w:left w:val="none" w:sz="0" w:space="0" w:color="auto"/>
        <w:bottom w:val="none" w:sz="0" w:space="0" w:color="auto"/>
        <w:right w:val="none" w:sz="0" w:space="0" w:color="auto"/>
      </w:divBdr>
    </w:div>
    <w:div w:id="692803663">
      <w:bodyDiv w:val="1"/>
      <w:marLeft w:val="0"/>
      <w:marRight w:val="0"/>
      <w:marTop w:val="0"/>
      <w:marBottom w:val="0"/>
      <w:divBdr>
        <w:top w:val="none" w:sz="0" w:space="0" w:color="auto"/>
        <w:left w:val="none" w:sz="0" w:space="0" w:color="auto"/>
        <w:bottom w:val="none" w:sz="0" w:space="0" w:color="auto"/>
        <w:right w:val="none" w:sz="0" w:space="0" w:color="auto"/>
      </w:divBdr>
    </w:div>
    <w:div w:id="694579107">
      <w:bodyDiv w:val="1"/>
      <w:marLeft w:val="0"/>
      <w:marRight w:val="0"/>
      <w:marTop w:val="0"/>
      <w:marBottom w:val="0"/>
      <w:divBdr>
        <w:top w:val="none" w:sz="0" w:space="0" w:color="auto"/>
        <w:left w:val="none" w:sz="0" w:space="0" w:color="auto"/>
        <w:bottom w:val="none" w:sz="0" w:space="0" w:color="auto"/>
        <w:right w:val="none" w:sz="0" w:space="0" w:color="auto"/>
      </w:divBdr>
    </w:div>
    <w:div w:id="695272644">
      <w:bodyDiv w:val="1"/>
      <w:marLeft w:val="0"/>
      <w:marRight w:val="0"/>
      <w:marTop w:val="0"/>
      <w:marBottom w:val="0"/>
      <w:divBdr>
        <w:top w:val="none" w:sz="0" w:space="0" w:color="auto"/>
        <w:left w:val="none" w:sz="0" w:space="0" w:color="auto"/>
        <w:bottom w:val="none" w:sz="0" w:space="0" w:color="auto"/>
        <w:right w:val="none" w:sz="0" w:space="0" w:color="auto"/>
      </w:divBdr>
    </w:div>
    <w:div w:id="699360598">
      <w:bodyDiv w:val="1"/>
      <w:marLeft w:val="0"/>
      <w:marRight w:val="0"/>
      <w:marTop w:val="0"/>
      <w:marBottom w:val="0"/>
      <w:divBdr>
        <w:top w:val="none" w:sz="0" w:space="0" w:color="auto"/>
        <w:left w:val="none" w:sz="0" w:space="0" w:color="auto"/>
        <w:bottom w:val="none" w:sz="0" w:space="0" w:color="auto"/>
        <w:right w:val="none" w:sz="0" w:space="0" w:color="auto"/>
      </w:divBdr>
    </w:div>
    <w:div w:id="702705502">
      <w:bodyDiv w:val="1"/>
      <w:marLeft w:val="0"/>
      <w:marRight w:val="0"/>
      <w:marTop w:val="0"/>
      <w:marBottom w:val="0"/>
      <w:divBdr>
        <w:top w:val="none" w:sz="0" w:space="0" w:color="auto"/>
        <w:left w:val="none" w:sz="0" w:space="0" w:color="auto"/>
        <w:bottom w:val="none" w:sz="0" w:space="0" w:color="auto"/>
        <w:right w:val="none" w:sz="0" w:space="0" w:color="auto"/>
      </w:divBdr>
    </w:div>
    <w:div w:id="707335997">
      <w:bodyDiv w:val="1"/>
      <w:marLeft w:val="0"/>
      <w:marRight w:val="0"/>
      <w:marTop w:val="0"/>
      <w:marBottom w:val="0"/>
      <w:divBdr>
        <w:top w:val="none" w:sz="0" w:space="0" w:color="auto"/>
        <w:left w:val="none" w:sz="0" w:space="0" w:color="auto"/>
        <w:bottom w:val="none" w:sz="0" w:space="0" w:color="auto"/>
        <w:right w:val="none" w:sz="0" w:space="0" w:color="auto"/>
      </w:divBdr>
    </w:div>
    <w:div w:id="719749045">
      <w:bodyDiv w:val="1"/>
      <w:marLeft w:val="0"/>
      <w:marRight w:val="0"/>
      <w:marTop w:val="0"/>
      <w:marBottom w:val="0"/>
      <w:divBdr>
        <w:top w:val="none" w:sz="0" w:space="0" w:color="auto"/>
        <w:left w:val="none" w:sz="0" w:space="0" w:color="auto"/>
        <w:bottom w:val="none" w:sz="0" w:space="0" w:color="auto"/>
        <w:right w:val="none" w:sz="0" w:space="0" w:color="auto"/>
      </w:divBdr>
    </w:div>
    <w:div w:id="720786602">
      <w:bodyDiv w:val="1"/>
      <w:marLeft w:val="0"/>
      <w:marRight w:val="0"/>
      <w:marTop w:val="0"/>
      <w:marBottom w:val="0"/>
      <w:divBdr>
        <w:top w:val="none" w:sz="0" w:space="0" w:color="auto"/>
        <w:left w:val="none" w:sz="0" w:space="0" w:color="auto"/>
        <w:bottom w:val="none" w:sz="0" w:space="0" w:color="auto"/>
        <w:right w:val="none" w:sz="0" w:space="0" w:color="auto"/>
      </w:divBdr>
    </w:div>
    <w:div w:id="722022718">
      <w:bodyDiv w:val="1"/>
      <w:marLeft w:val="0"/>
      <w:marRight w:val="0"/>
      <w:marTop w:val="0"/>
      <w:marBottom w:val="0"/>
      <w:divBdr>
        <w:top w:val="none" w:sz="0" w:space="0" w:color="auto"/>
        <w:left w:val="none" w:sz="0" w:space="0" w:color="auto"/>
        <w:bottom w:val="none" w:sz="0" w:space="0" w:color="auto"/>
        <w:right w:val="none" w:sz="0" w:space="0" w:color="auto"/>
      </w:divBdr>
    </w:div>
    <w:div w:id="722365770">
      <w:bodyDiv w:val="1"/>
      <w:marLeft w:val="0"/>
      <w:marRight w:val="0"/>
      <w:marTop w:val="0"/>
      <w:marBottom w:val="0"/>
      <w:divBdr>
        <w:top w:val="none" w:sz="0" w:space="0" w:color="auto"/>
        <w:left w:val="none" w:sz="0" w:space="0" w:color="auto"/>
        <w:bottom w:val="none" w:sz="0" w:space="0" w:color="auto"/>
        <w:right w:val="none" w:sz="0" w:space="0" w:color="auto"/>
      </w:divBdr>
    </w:div>
    <w:div w:id="723597788">
      <w:bodyDiv w:val="1"/>
      <w:marLeft w:val="0"/>
      <w:marRight w:val="0"/>
      <w:marTop w:val="0"/>
      <w:marBottom w:val="0"/>
      <w:divBdr>
        <w:top w:val="none" w:sz="0" w:space="0" w:color="auto"/>
        <w:left w:val="none" w:sz="0" w:space="0" w:color="auto"/>
        <w:bottom w:val="none" w:sz="0" w:space="0" w:color="auto"/>
        <w:right w:val="none" w:sz="0" w:space="0" w:color="auto"/>
      </w:divBdr>
    </w:div>
    <w:div w:id="725639047">
      <w:bodyDiv w:val="1"/>
      <w:marLeft w:val="0"/>
      <w:marRight w:val="0"/>
      <w:marTop w:val="0"/>
      <w:marBottom w:val="0"/>
      <w:divBdr>
        <w:top w:val="none" w:sz="0" w:space="0" w:color="auto"/>
        <w:left w:val="none" w:sz="0" w:space="0" w:color="auto"/>
        <w:bottom w:val="none" w:sz="0" w:space="0" w:color="auto"/>
        <w:right w:val="none" w:sz="0" w:space="0" w:color="auto"/>
      </w:divBdr>
    </w:div>
    <w:div w:id="729575704">
      <w:bodyDiv w:val="1"/>
      <w:marLeft w:val="0"/>
      <w:marRight w:val="0"/>
      <w:marTop w:val="0"/>
      <w:marBottom w:val="0"/>
      <w:divBdr>
        <w:top w:val="none" w:sz="0" w:space="0" w:color="auto"/>
        <w:left w:val="none" w:sz="0" w:space="0" w:color="auto"/>
        <w:bottom w:val="none" w:sz="0" w:space="0" w:color="auto"/>
        <w:right w:val="none" w:sz="0" w:space="0" w:color="auto"/>
      </w:divBdr>
    </w:div>
    <w:div w:id="730078976">
      <w:bodyDiv w:val="1"/>
      <w:marLeft w:val="0"/>
      <w:marRight w:val="0"/>
      <w:marTop w:val="0"/>
      <w:marBottom w:val="0"/>
      <w:divBdr>
        <w:top w:val="none" w:sz="0" w:space="0" w:color="auto"/>
        <w:left w:val="none" w:sz="0" w:space="0" w:color="auto"/>
        <w:bottom w:val="none" w:sz="0" w:space="0" w:color="auto"/>
        <w:right w:val="none" w:sz="0" w:space="0" w:color="auto"/>
      </w:divBdr>
    </w:div>
    <w:div w:id="733699334">
      <w:bodyDiv w:val="1"/>
      <w:marLeft w:val="0"/>
      <w:marRight w:val="0"/>
      <w:marTop w:val="0"/>
      <w:marBottom w:val="0"/>
      <w:divBdr>
        <w:top w:val="none" w:sz="0" w:space="0" w:color="auto"/>
        <w:left w:val="none" w:sz="0" w:space="0" w:color="auto"/>
        <w:bottom w:val="none" w:sz="0" w:space="0" w:color="auto"/>
        <w:right w:val="none" w:sz="0" w:space="0" w:color="auto"/>
      </w:divBdr>
    </w:div>
    <w:div w:id="735861214">
      <w:bodyDiv w:val="1"/>
      <w:marLeft w:val="0"/>
      <w:marRight w:val="0"/>
      <w:marTop w:val="0"/>
      <w:marBottom w:val="0"/>
      <w:divBdr>
        <w:top w:val="none" w:sz="0" w:space="0" w:color="auto"/>
        <w:left w:val="none" w:sz="0" w:space="0" w:color="auto"/>
        <w:bottom w:val="none" w:sz="0" w:space="0" w:color="auto"/>
        <w:right w:val="none" w:sz="0" w:space="0" w:color="auto"/>
      </w:divBdr>
      <w:divsChild>
        <w:div w:id="841235051">
          <w:marLeft w:val="0"/>
          <w:marRight w:val="0"/>
          <w:marTop w:val="0"/>
          <w:marBottom w:val="0"/>
          <w:divBdr>
            <w:top w:val="none" w:sz="0" w:space="0" w:color="auto"/>
            <w:left w:val="none" w:sz="0" w:space="0" w:color="auto"/>
            <w:bottom w:val="none" w:sz="0" w:space="0" w:color="auto"/>
            <w:right w:val="none" w:sz="0" w:space="0" w:color="auto"/>
          </w:divBdr>
        </w:div>
      </w:divsChild>
    </w:div>
    <w:div w:id="738096121">
      <w:bodyDiv w:val="1"/>
      <w:marLeft w:val="0"/>
      <w:marRight w:val="0"/>
      <w:marTop w:val="0"/>
      <w:marBottom w:val="0"/>
      <w:divBdr>
        <w:top w:val="none" w:sz="0" w:space="0" w:color="auto"/>
        <w:left w:val="none" w:sz="0" w:space="0" w:color="auto"/>
        <w:bottom w:val="none" w:sz="0" w:space="0" w:color="auto"/>
        <w:right w:val="none" w:sz="0" w:space="0" w:color="auto"/>
      </w:divBdr>
    </w:div>
    <w:div w:id="740559857">
      <w:bodyDiv w:val="1"/>
      <w:marLeft w:val="0"/>
      <w:marRight w:val="0"/>
      <w:marTop w:val="0"/>
      <w:marBottom w:val="0"/>
      <w:divBdr>
        <w:top w:val="none" w:sz="0" w:space="0" w:color="auto"/>
        <w:left w:val="none" w:sz="0" w:space="0" w:color="auto"/>
        <w:bottom w:val="none" w:sz="0" w:space="0" w:color="auto"/>
        <w:right w:val="none" w:sz="0" w:space="0" w:color="auto"/>
      </w:divBdr>
    </w:div>
    <w:div w:id="743379370">
      <w:bodyDiv w:val="1"/>
      <w:marLeft w:val="0"/>
      <w:marRight w:val="0"/>
      <w:marTop w:val="0"/>
      <w:marBottom w:val="0"/>
      <w:divBdr>
        <w:top w:val="none" w:sz="0" w:space="0" w:color="auto"/>
        <w:left w:val="none" w:sz="0" w:space="0" w:color="auto"/>
        <w:bottom w:val="none" w:sz="0" w:space="0" w:color="auto"/>
        <w:right w:val="none" w:sz="0" w:space="0" w:color="auto"/>
      </w:divBdr>
    </w:div>
    <w:div w:id="743643246">
      <w:bodyDiv w:val="1"/>
      <w:marLeft w:val="0"/>
      <w:marRight w:val="0"/>
      <w:marTop w:val="0"/>
      <w:marBottom w:val="0"/>
      <w:divBdr>
        <w:top w:val="none" w:sz="0" w:space="0" w:color="auto"/>
        <w:left w:val="none" w:sz="0" w:space="0" w:color="auto"/>
        <w:bottom w:val="none" w:sz="0" w:space="0" w:color="auto"/>
        <w:right w:val="none" w:sz="0" w:space="0" w:color="auto"/>
      </w:divBdr>
    </w:div>
    <w:div w:id="744375138">
      <w:bodyDiv w:val="1"/>
      <w:marLeft w:val="0"/>
      <w:marRight w:val="0"/>
      <w:marTop w:val="0"/>
      <w:marBottom w:val="0"/>
      <w:divBdr>
        <w:top w:val="none" w:sz="0" w:space="0" w:color="auto"/>
        <w:left w:val="none" w:sz="0" w:space="0" w:color="auto"/>
        <w:bottom w:val="none" w:sz="0" w:space="0" w:color="auto"/>
        <w:right w:val="none" w:sz="0" w:space="0" w:color="auto"/>
      </w:divBdr>
    </w:div>
    <w:div w:id="750734258">
      <w:bodyDiv w:val="1"/>
      <w:marLeft w:val="0"/>
      <w:marRight w:val="0"/>
      <w:marTop w:val="0"/>
      <w:marBottom w:val="0"/>
      <w:divBdr>
        <w:top w:val="none" w:sz="0" w:space="0" w:color="auto"/>
        <w:left w:val="none" w:sz="0" w:space="0" w:color="auto"/>
        <w:bottom w:val="none" w:sz="0" w:space="0" w:color="auto"/>
        <w:right w:val="none" w:sz="0" w:space="0" w:color="auto"/>
      </w:divBdr>
    </w:div>
    <w:div w:id="751777480">
      <w:bodyDiv w:val="1"/>
      <w:marLeft w:val="0"/>
      <w:marRight w:val="0"/>
      <w:marTop w:val="0"/>
      <w:marBottom w:val="0"/>
      <w:divBdr>
        <w:top w:val="none" w:sz="0" w:space="0" w:color="auto"/>
        <w:left w:val="none" w:sz="0" w:space="0" w:color="auto"/>
        <w:bottom w:val="none" w:sz="0" w:space="0" w:color="auto"/>
        <w:right w:val="none" w:sz="0" w:space="0" w:color="auto"/>
      </w:divBdr>
    </w:div>
    <w:div w:id="753816082">
      <w:bodyDiv w:val="1"/>
      <w:marLeft w:val="0"/>
      <w:marRight w:val="0"/>
      <w:marTop w:val="0"/>
      <w:marBottom w:val="0"/>
      <w:divBdr>
        <w:top w:val="none" w:sz="0" w:space="0" w:color="auto"/>
        <w:left w:val="none" w:sz="0" w:space="0" w:color="auto"/>
        <w:bottom w:val="none" w:sz="0" w:space="0" w:color="auto"/>
        <w:right w:val="none" w:sz="0" w:space="0" w:color="auto"/>
      </w:divBdr>
    </w:div>
    <w:div w:id="756487241">
      <w:bodyDiv w:val="1"/>
      <w:marLeft w:val="0"/>
      <w:marRight w:val="0"/>
      <w:marTop w:val="0"/>
      <w:marBottom w:val="0"/>
      <w:divBdr>
        <w:top w:val="none" w:sz="0" w:space="0" w:color="auto"/>
        <w:left w:val="none" w:sz="0" w:space="0" w:color="auto"/>
        <w:bottom w:val="none" w:sz="0" w:space="0" w:color="auto"/>
        <w:right w:val="none" w:sz="0" w:space="0" w:color="auto"/>
      </w:divBdr>
    </w:div>
    <w:div w:id="758329785">
      <w:bodyDiv w:val="1"/>
      <w:marLeft w:val="0"/>
      <w:marRight w:val="0"/>
      <w:marTop w:val="0"/>
      <w:marBottom w:val="0"/>
      <w:divBdr>
        <w:top w:val="none" w:sz="0" w:space="0" w:color="auto"/>
        <w:left w:val="none" w:sz="0" w:space="0" w:color="auto"/>
        <w:bottom w:val="none" w:sz="0" w:space="0" w:color="auto"/>
        <w:right w:val="none" w:sz="0" w:space="0" w:color="auto"/>
      </w:divBdr>
    </w:div>
    <w:div w:id="761530031">
      <w:bodyDiv w:val="1"/>
      <w:marLeft w:val="0"/>
      <w:marRight w:val="0"/>
      <w:marTop w:val="0"/>
      <w:marBottom w:val="0"/>
      <w:divBdr>
        <w:top w:val="none" w:sz="0" w:space="0" w:color="auto"/>
        <w:left w:val="none" w:sz="0" w:space="0" w:color="auto"/>
        <w:bottom w:val="none" w:sz="0" w:space="0" w:color="auto"/>
        <w:right w:val="none" w:sz="0" w:space="0" w:color="auto"/>
      </w:divBdr>
    </w:div>
    <w:div w:id="771631029">
      <w:bodyDiv w:val="1"/>
      <w:marLeft w:val="0"/>
      <w:marRight w:val="0"/>
      <w:marTop w:val="0"/>
      <w:marBottom w:val="0"/>
      <w:divBdr>
        <w:top w:val="none" w:sz="0" w:space="0" w:color="auto"/>
        <w:left w:val="none" w:sz="0" w:space="0" w:color="auto"/>
        <w:bottom w:val="none" w:sz="0" w:space="0" w:color="auto"/>
        <w:right w:val="none" w:sz="0" w:space="0" w:color="auto"/>
      </w:divBdr>
    </w:div>
    <w:div w:id="776363654">
      <w:bodyDiv w:val="1"/>
      <w:marLeft w:val="0"/>
      <w:marRight w:val="0"/>
      <w:marTop w:val="0"/>
      <w:marBottom w:val="0"/>
      <w:divBdr>
        <w:top w:val="none" w:sz="0" w:space="0" w:color="auto"/>
        <w:left w:val="none" w:sz="0" w:space="0" w:color="auto"/>
        <w:bottom w:val="none" w:sz="0" w:space="0" w:color="auto"/>
        <w:right w:val="none" w:sz="0" w:space="0" w:color="auto"/>
      </w:divBdr>
    </w:div>
    <w:div w:id="776603285">
      <w:bodyDiv w:val="1"/>
      <w:marLeft w:val="0"/>
      <w:marRight w:val="0"/>
      <w:marTop w:val="0"/>
      <w:marBottom w:val="0"/>
      <w:divBdr>
        <w:top w:val="none" w:sz="0" w:space="0" w:color="auto"/>
        <w:left w:val="none" w:sz="0" w:space="0" w:color="auto"/>
        <w:bottom w:val="none" w:sz="0" w:space="0" w:color="auto"/>
        <w:right w:val="none" w:sz="0" w:space="0" w:color="auto"/>
      </w:divBdr>
    </w:div>
    <w:div w:id="777140707">
      <w:bodyDiv w:val="1"/>
      <w:marLeft w:val="0"/>
      <w:marRight w:val="0"/>
      <w:marTop w:val="0"/>
      <w:marBottom w:val="0"/>
      <w:divBdr>
        <w:top w:val="none" w:sz="0" w:space="0" w:color="auto"/>
        <w:left w:val="none" w:sz="0" w:space="0" w:color="auto"/>
        <w:bottom w:val="none" w:sz="0" w:space="0" w:color="auto"/>
        <w:right w:val="none" w:sz="0" w:space="0" w:color="auto"/>
      </w:divBdr>
    </w:div>
    <w:div w:id="785780680">
      <w:bodyDiv w:val="1"/>
      <w:marLeft w:val="0"/>
      <w:marRight w:val="0"/>
      <w:marTop w:val="0"/>
      <w:marBottom w:val="0"/>
      <w:divBdr>
        <w:top w:val="none" w:sz="0" w:space="0" w:color="auto"/>
        <w:left w:val="none" w:sz="0" w:space="0" w:color="auto"/>
        <w:bottom w:val="none" w:sz="0" w:space="0" w:color="auto"/>
        <w:right w:val="none" w:sz="0" w:space="0" w:color="auto"/>
      </w:divBdr>
    </w:div>
    <w:div w:id="790976650">
      <w:bodyDiv w:val="1"/>
      <w:marLeft w:val="0"/>
      <w:marRight w:val="0"/>
      <w:marTop w:val="0"/>
      <w:marBottom w:val="0"/>
      <w:divBdr>
        <w:top w:val="none" w:sz="0" w:space="0" w:color="auto"/>
        <w:left w:val="none" w:sz="0" w:space="0" w:color="auto"/>
        <w:bottom w:val="none" w:sz="0" w:space="0" w:color="auto"/>
        <w:right w:val="none" w:sz="0" w:space="0" w:color="auto"/>
      </w:divBdr>
    </w:div>
    <w:div w:id="791484121">
      <w:bodyDiv w:val="1"/>
      <w:marLeft w:val="0"/>
      <w:marRight w:val="0"/>
      <w:marTop w:val="0"/>
      <w:marBottom w:val="0"/>
      <w:divBdr>
        <w:top w:val="none" w:sz="0" w:space="0" w:color="auto"/>
        <w:left w:val="none" w:sz="0" w:space="0" w:color="auto"/>
        <w:bottom w:val="none" w:sz="0" w:space="0" w:color="auto"/>
        <w:right w:val="none" w:sz="0" w:space="0" w:color="auto"/>
      </w:divBdr>
    </w:div>
    <w:div w:id="799223757">
      <w:bodyDiv w:val="1"/>
      <w:marLeft w:val="0"/>
      <w:marRight w:val="0"/>
      <w:marTop w:val="0"/>
      <w:marBottom w:val="0"/>
      <w:divBdr>
        <w:top w:val="none" w:sz="0" w:space="0" w:color="auto"/>
        <w:left w:val="none" w:sz="0" w:space="0" w:color="auto"/>
        <w:bottom w:val="none" w:sz="0" w:space="0" w:color="auto"/>
        <w:right w:val="none" w:sz="0" w:space="0" w:color="auto"/>
      </w:divBdr>
    </w:div>
    <w:div w:id="802230617">
      <w:bodyDiv w:val="1"/>
      <w:marLeft w:val="0"/>
      <w:marRight w:val="0"/>
      <w:marTop w:val="0"/>
      <w:marBottom w:val="0"/>
      <w:divBdr>
        <w:top w:val="none" w:sz="0" w:space="0" w:color="auto"/>
        <w:left w:val="none" w:sz="0" w:space="0" w:color="auto"/>
        <w:bottom w:val="none" w:sz="0" w:space="0" w:color="auto"/>
        <w:right w:val="none" w:sz="0" w:space="0" w:color="auto"/>
      </w:divBdr>
    </w:div>
    <w:div w:id="806434075">
      <w:bodyDiv w:val="1"/>
      <w:marLeft w:val="0"/>
      <w:marRight w:val="0"/>
      <w:marTop w:val="0"/>
      <w:marBottom w:val="0"/>
      <w:divBdr>
        <w:top w:val="none" w:sz="0" w:space="0" w:color="auto"/>
        <w:left w:val="none" w:sz="0" w:space="0" w:color="auto"/>
        <w:bottom w:val="none" w:sz="0" w:space="0" w:color="auto"/>
        <w:right w:val="none" w:sz="0" w:space="0" w:color="auto"/>
      </w:divBdr>
    </w:div>
    <w:div w:id="811364348">
      <w:bodyDiv w:val="1"/>
      <w:marLeft w:val="0"/>
      <w:marRight w:val="0"/>
      <w:marTop w:val="0"/>
      <w:marBottom w:val="0"/>
      <w:divBdr>
        <w:top w:val="none" w:sz="0" w:space="0" w:color="auto"/>
        <w:left w:val="none" w:sz="0" w:space="0" w:color="auto"/>
        <w:bottom w:val="none" w:sz="0" w:space="0" w:color="auto"/>
        <w:right w:val="none" w:sz="0" w:space="0" w:color="auto"/>
      </w:divBdr>
    </w:div>
    <w:div w:id="817573248">
      <w:bodyDiv w:val="1"/>
      <w:marLeft w:val="0"/>
      <w:marRight w:val="0"/>
      <w:marTop w:val="0"/>
      <w:marBottom w:val="0"/>
      <w:divBdr>
        <w:top w:val="none" w:sz="0" w:space="0" w:color="auto"/>
        <w:left w:val="none" w:sz="0" w:space="0" w:color="auto"/>
        <w:bottom w:val="none" w:sz="0" w:space="0" w:color="auto"/>
        <w:right w:val="none" w:sz="0" w:space="0" w:color="auto"/>
      </w:divBdr>
    </w:div>
    <w:div w:id="827482332">
      <w:bodyDiv w:val="1"/>
      <w:marLeft w:val="0"/>
      <w:marRight w:val="0"/>
      <w:marTop w:val="0"/>
      <w:marBottom w:val="0"/>
      <w:divBdr>
        <w:top w:val="none" w:sz="0" w:space="0" w:color="auto"/>
        <w:left w:val="none" w:sz="0" w:space="0" w:color="auto"/>
        <w:bottom w:val="none" w:sz="0" w:space="0" w:color="auto"/>
        <w:right w:val="none" w:sz="0" w:space="0" w:color="auto"/>
      </w:divBdr>
    </w:div>
    <w:div w:id="828056013">
      <w:bodyDiv w:val="1"/>
      <w:marLeft w:val="0"/>
      <w:marRight w:val="0"/>
      <w:marTop w:val="0"/>
      <w:marBottom w:val="0"/>
      <w:divBdr>
        <w:top w:val="none" w:sz="0" w:space="0" w:color="auto"/>
        <w:left w:val="none" w:sz="0" w:space="0" w:color="auto"/>
        <w:bottom w:val="none" w:sz="0" w:space="0" w:color="auto"/>
        <w:right w:val="none" w:sz="0" w:space="0" w:color="auto"/>
      </w:divBdr>
    </w:div>
    <w:div w:id="828518334">
      <w:bodyDiv w:val="1"/>
      <w:marLeft w:val="0"/>
      <w:marRight w:val="0"/>
      <w:marTop w:val="0"/>
      <w:marBottom w:val="0"/>
      <w:divBdr>
        <w:top w:val="none" w:sz="0" w:space="0" w:color="auto"/>
        <w:left w:val="none" w:sz="0" w:space="0" w:color="auto"/>
        <w:bottom w:val="none" w:sz="0" w:space="0" w:color="auto"/>
        <w:right w:val="none" w:sz="0" w:space="0" w:color="auto"/>
      </w:divBdr>
      <w:divsChild>
        <w:div w:id="840387080">
          <w:marLeft w:val="0"/>
          <w:marRight w:val="0"/>
          <w:marTop w:val="0"/>
          <w:marBottom w:val="0"/>
          <w:divBdr>
            <w:top w:val="none" w:sz="0" w:space="0" w:color="auto"/>
            <w:left w:val="none" w:sz="0" w:space="0" w:color="auto"/>
            <w:bottom w:val="none" w:sz="0" w:space="0" w:color="auto"/>
            <w:right w:val="none" w:sz="0" w:space="0" w:color="auto"/>
          </w:divBdr>
          <w:divsChild>
            <w:div w:id="7371294">
              <w:marLeft w:val="0"/>
              <w:marRight w:val="0"/>
              <w:marTop w:val="0"/>
              <w:marBottom w:val="0"/>
              <w:divBdr>
                <w:top w:val="none" w:sz="0" w:space="0" w:color="auto"/>
                <w:left w:val="none" w:sz="0" w:space="0" w:color="auto"/>
                <w:bottom w:val="none" w:sz="0" w:space="0" w:color="auto"/>
                <w:right w:val="none" w:sz="0" w:space="0" w:color="auto"/>
              </w:divBdr>
            </w:div>
            <w:div w:id="19246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20549">
      <w:bodyDiv w:val="1"/>
      <w:marLeft w:val="0"/>
      <w:marRight w:val="0"/>
      <w:marTop w:val="0"/>
      <w:marBottom w:val="0"/>
      <w:divBdr>
        <w:top w:val="none" w:sz="0" w:space="0" w:color="auto"/>
        <w:left w:val="none" w:sz="0" w:space="0" w:color="auto"/>
        <w:bottom w:val="none" w:sz="0" w:space="0" w:color="auto"/>
        <w:right w:val="none" w:sz="0" w:space="0" w:color="auto"/>
      </w:divBdr>
    </w:div>
    <w:div w:id="839588393">
      <w:bodyDiv w:val="1"/>
      <w:marLeft w:val="0"/>
      <w:marRight w:val="0"/>
      <w:marTop w:val="0"/>
      <w:marBottom w:val="0"/>
      <w:divBdr>
        <w:top w:val="none" w:sz="0" w:space="0" w:color="auto"/>
        <w:left w:val="none" w:sz="0" w:space="0" w:color="auto"/>
        <w:bottom w:val="none" w:sz="0" w:space="0" w:color="auto"/>
        <w:right w:val="none" w:sz="0" w:space="0" w:color="auto"/>
      </w:divBdr>
    </w:div>
    <w:div w:id="848564455">
      <w:bodyDiv w:val="1"/>
      <w:marLeft w:val="0"/>
      <w:marRight w:val="0"/>
      <w:marTop w:val="0"/>
      <w:marBottom w:val="0"/>
      <w:divBdr>
        <w:top w:val="none" w:sz="0" w:space="0" w:color="auto"/>
        <w:left w:val="none" w:sz="0" w:space="0" w:color="auto"/>
        <w:bottom w:val="none" w:sz="0" w:space="0" w:color="auto"/>
        <w:right w:val="none" w:sz="0" w:space="0" w:color="auto"/>
      </w:divBdr>
    </w:div>
    <w:div w:id="855464843">
      <w:bodyDiv w:val="1"/>
      <w:marLeft w:val="0"/>
      <w:marRight w:val="0"/>
      <w:marTop w:val="0"/>
      <w:marBottom w:val="0"/>
      <w:divBdr>
        <w:top w:val="none" w:sz="0" w:space="0" w:color="auto"/>
        <w:left w:val="none" w:sz="0" w:space="0" w:color="auto"/>
        <w:bottom w:val="none" w:sz="0" w:space="0" w:color="auto"/>
        <w:right w:val="none" w:sz="0" w:space="0" w:color="auto"/>
      </w:divBdr>
    </w:div>
    <w:div w:id="856847708">
      <w:bodyDiv w:val="1"/>
      <w:marLeft w:val="0"/>
      <w:marRight w:val="0"/>
      <w:marTop w:val="0"/>
      <w:marBottom w:val="0"/>
      <w:divBdr>
        <w:top w:val="none" w:sz="0" w:space="0" w:color="auto"/>
        <w:left w:val="none" w:sz="0" w:space="0" w:color="auto"/>
        <w:bottom w:val="none" w:sz="0" w:space="0" w:color="auto"/>
        <w:right w:val="none" w:sz="0" w:space="0" w:color="auto"/>
      </w:divBdr>
    </w:div>
    <w:div w:id="856885907">
      <w:bodyDiv w:val="1"/>
      <w:marLeft w:val="0"/>
      <w:marRight w:val="0"/>
      <w:marTop w:val="0"/>
      <w:marBottom w:val="0"/>
      <w:divBdr>
        <w:top w:val="none" w:sz="0" w:space="0" w:color="auto"/>
        <w:left w:val="none" w:sz="0" w:space="0" w:color="auto"/>
        <w:bottom w:val="none" w:sz="0" w:space="0" w:color="auto"/>
        <w:right w:val="none" w:sz="0" w:space="0" w:color="auto"/>
      </w:divBdr>
    </w:div>
    <w:div w:id="857815466">
      <w:bodyDiv w:val="1"/>
      <w:marLeft w:val="0"/>
      <w:marRight w:val="0"/>
      <w:marTop w:val="0"/>
      <w:marBottom w:val="0"/>
      <w:divBdr>
        <w:top w:val="none" w:sz="0" w:space="0" w:color="auto"/>
        <w:left w:val="none" w:sz="0" w:space="0" w:color="auto"/>
        <w:bottom w:val="none" w:sz="0" w:space="0" w:color="auto"/>
        <w:right w:val="none" w:sz="0" w:space="0" w:color="auto"/>
      </w:divBdr>
    </w:div>
    <w:div w:id="859659272">
      <w:bodyDiv w:val="1"/>
      <w:marLeft w:val="0"/>
      <w:marRight w:val="0"/>
      <w:marTop w:val="0"/>
      <w:marBottom w:val="0"/>
      <w:divBdr>
        <w:top w:val="none" w:sz="0" w:space="0" w:color="auto"/>
        <w:left w:val="none" w:sz="0" w:space="0" w:color="auto"/>
        <w:bottom w:val="none" w:sz="0" w:space="0" w:color="auto"/>
        <w:right w:val="none" w:sz="0" w:space="0" w:color="auto"/>
      </w:divBdr>
    </w:div>
    <w:div w:id="862210500">
      <w:bodyDiv w:val="1"/>
      <w:marLeft w:val="0"/>
      <w:marRight w:val="0"/>
      <w:marTop w:val="0"/>
      <w:marBottom w:val="0"/>
      <w:divBdr>
        <w:top w:val="none" w:sz="0" w:space="0" w:color="auto"/>
        <w:left w:val="none" w:sz="0" w:space="0" w:color="auto"/>
        <w:bottom w:val="none" w:sz="0" w:space="0" w:color="auto"/>
        <w:right w:val="none" w:sz="0" w:space="0" w:color="auto"/>
      </w:divBdr>
    </w:div>
    <w:div w:id="864487088">
      <w:bodyDiv w:val="1"/>
      <w:marLeft w:val="0"/>
      <w:marRight w:val="0"/>
      <w:marTop w:val="0"/>
      <w:marBottom w:val="0"/>
      <w:divBdr>
        <w:top w:val="none" w:sz="0" w:space="0" w:color="auto"/>
        <w:left w:val="none" w:sz="0" w:space="0" w:color="auto"/>
        <w:bottom w:val="none" w:sz="0" w:space="0" w:color="auto"/>
        <w:right w:val="none" w:sz="0" w:space="0" w:color="auto"/>
      </w:divBdr>
    </w:div>
    <w:div w:id="865827335">
      <w:bodyDiv w:val="1"/>
      <w:marLeft w:val="0"/>
      <w:marRight w:val="0"/>
      <w:marTop w:val="0"/>
      <w:marBottom w:val="0"/>
      <w:divBdr>
        <w:top w:val="none" w:sz="0" w:space="0" w:color="auto"/>
        <w:left w:val="none" w:sz="0" w:space="0" w:color="auto"/>
        <w:bottom w:val="none" w:sz="0" w:space="0" w:color="auto"/>
        <w:right w:val="none" w:sz="0" w:space="0" w:color="auto"/>
      </w:divBdr>
    </w:div>
    <w:div w:id="866329528">
      <w:bodyDiv w:val="1"/>
      <w:marLeft w:val="0"/>
      <w:marRight w:val="0"/>
      <w:marTop w:val="0"/>
      <w:marBottom w:val="0"/>
      <w:divBdr>
        <w:top w:val="none" w:sz="0" w:space="0" w:color="auto"/>
        <w:left w:val="none" w:sz="0" w:space="0" w:color="auto"/>
        <w:bottom w:val="none" w:sz="0" w:space="0" w:color="auto"/>
        <w:right w:val="none" w:sz="0" w:space="0" w:color="auto"/>
      </w:divBdr>
    </w:div>
    <w:div w:id="871460337">
      <w:bodyDiv w:val="1"/>
      <w:marLeft w:val="0"/>
      <w:marRight w:val="0"/>
      <w:marTop w:val="0"/>
      <w:marBottom w:val="0"/>
      <w:divBdr>
        <w:top w:val="none" w:sz="0" w:space="0" w:color="auto"/>
        <w:left w:val="none" w:sz="0" w:space="0" w:color="auto"/>
        <w:bottom w:val="none" w:sz="0" w:space="0" w:color="auto"/>
        <w:right w:val="none" w:sz="0" w:space="0" w:color="auto"/>
      </w:divBdr>
    </w:div>
    <w:div w:id="872613190">
      <w:bodyDiv w:val="1"/>
      <w:marLeft w:val="0"/>
      <w:marRight w:val="0"/>
      <w:marTop w:val="0"/>
      <w:marBottom w:val="0"/>
      <w:divBdr>
        <w:top w:val="none" w:sz="0" w:space="0" w:color="auto"/>
        <w:left w:val="none" w:sz="0" w:space="0" w:color="auto"/>
        <w:bottom w:val="none" w:sz="0" w:space="0" w:color="auto"/>
        <w:right w:val="none" w:sz="0" w:space="0" w:color="auto"/>
      </w:divBdr>
    </w:div>
    <w:div w:id="873810963">
      <w:bodyDiv w:val="1"/>
      <w:marLeft w:val="0"/>
      <w:marRight w:val="0"/>
      <w:marTop w:val="0"/>
      <w:marBottom w:val="0"/>
      <w:divBdr>
        <w:top w:val="none" w:sz="0" w:space="0" w:color="auto"/>
        <w:left w:val="none" w:sz="0" w:space="0" w:color="auto"/>
        <w:bottom w:val="none" w:sz="0" w:space="0" w:color="auto"/>
        <w:right w:val="none" w:sz="0" w:space="0" w:color="auto"/>
      </w:divBdr>
    </w:div>
    <w:div w:id="879367527">
      <w:bodyDiv w:val="1"/>
      <w:marLeft w:val="0"/>
      <w:marRight w:val="0"/>
      <w:marTop w:val="0"/>
      <w:marBottom w:val="0"/>
      <w:divBdr>
        <w:top w:val="none" w:sz="0" w:space="0" w:color="auto"/>
        <w:left w:val="none" w:sz="0" w:space="0" w:color="auto"/>
        <w:bottom w:val="none" w:sz="0" w:space="0" w:color="auto"/>
        <w:right w:val="none" w:sz="0" w:space="0" w:color="auto"/>
      </w:divBdr>
    </w:div>
    <w:div w:id="879786549">
      <w:bodyDiv w:val="1"/>
      <w:marLeft w:val="0"/>
      <w:marRight w:val="0"/>
      <w:marTop w:val="0"/>
      <w:marBottom w:val="0"/>
      <w:divBdr>
        <w:top w:val="none" w:sz="0" w:space="0" w:color="auto"/>
        <w:left w:val="none" w:sz="0" w:space="0" w:color="auto"/>
        <w:bottom w:val="none" w:sz="0" w:space="0" w:color="auto"/>
        <w:right w:val="none" w:sz="0" w:space="0" w:color="auto"/>
      </w:divBdr>
    </w:div>
    <w:div w:id="904603194">
      <w:bodyDiv w:val="1"/>
      <w:marLeft w:val="0"/>
      <w:marRight w:val="0"/>
      <w:marTop w:val="0"/>
      <w:marBottom w:val="0"/>
      <w:divBdr>
        <w:top w:val="none" w:sz="0" w:space="0" w:color="auto"/>
        <w:left w:val="none" w:sz="0" w:space="0" w:color="auto"/>
        <w:bottom w:val="none" w:sz="0" w:space="0" w:color="auto"/>
        <w:right w:val="none" w:sz="0" w:space="0" w:color="auto"/>
      </w:divBdr>
    </w:div>
    <w:div w:id="908729177">
      <w:bodyDiv w:val="1"/>
      <w:marLeft w:val="0"/>
      <w:marRight w:val="0"/>
      <w:marTop w:val="0"/>
      <w:marBottom w:val="0"/>
      <w:divBdr>
        <w:top w:val="none" w:sz="0" w:space="0" w:color="auto"/>
        <w:left w:val="none" w:sz="0" w:space="0" w:color="auto"/>
        <w:bottom w:val="none" w:sz="0" w:space="0" w:color="auto"/>
        <w:right w:val="none" w:sz="0" w:space="0" w:color="auto"/>
      </w:divBdr>
    </w:div>
    <w:div w:id="914512768">
      <w:bodyDiv w:val="1"/>
      <w:marLeft w:val="0"/>
      <w:marRight w:val="0"/>
      <w:marTop w:val="0"/>
      <w:marBottom w:val="0"/>
      <w:divBdr>
        <w:top w:val="none" w:sz="0" w:space="0" w:color="auto"/>
        <w:left w:val="none" w:sz="0" w:space="0" w:color="auto"/>
        <w:bottom w:val="none" w:sz="0" w:space="0" w:color="auto"/>
        <w:right w:val="none" w:sz="0" w:space="0" w:color="auto"/>
      </w:divBdr>
    </w:div>
    <w:div w:id="915477355">
      <w:bodyDiv w:val="1"/>
      <w:marLeft w:val="0"/>
      <w:marRight w:val="0"/>
      <w:marTop w:val="0"/>
      <w:marBottom w:val="0"/>
      <w:divBdr>
        <w:top w:val="none" w:sz="0" w:space="0" w:color="auto"/>
        <w:left w:val="none" w:sz="0" w:space="0" w:color="auto"/>
        <w:bottom w:val="none" w:sz="0" w:space="0" w:color="auto"/>
        <w:right w:val="none" w:sz="0" w:space="0" w:color="auto"/>
      </w:divBdr>
    </w:div>
    <w:div w:id="919145013">
      <w:bodyDiv w:val="1"/>
      <w:marLeft w:val="0"/>
      <w:marRight w:val="0"/>
      <w:marTop w:val="0"/>
      <w:marBottom w:val="0"/>
      <w:divBdr>
        <w:top w:val="none" w:sz="0" w:space="0" w:color="auto"/>
        <w:left w:val="none" w:sz="0" w:space="0" w:color="auto"/>
        <w:bottom w:val="none" w:sz="0" w:space="0" w:color="auto"/>
        <w:right w:val="none" w:sz="0" w:space="0" w:color="auto"/>
      </w:divBdr>
    </w:div>
    <w:div w:id="924732202">
      <w:bodyDiv w:val="1"/>
      <w:marLeft w:val="0"/>
      <w:marRight w:val="0"/>
      <w:marTop w:val="0"/>
      <w:marBottom w:val="0"/>
      <w:divBdr>
        <w:top w:val="none" w:sz="0" w:space="0" w:color="auto"/>
        <w:left w:val="none" w:sz="0" w:space="0" w:color="auto"/>
        <w:bottom w:val="none" w:sz="0" w:space="0" w:color="auto"/>
        <w:right w:val="none" w:sz="0" w:space="0" w:color="auto"/>
      </w:divBdr>
    </w:div>
    <w:div w:id="926615451">
      <w:bodyDiv w:val="1"/>
      <w:marLeft w:val="0"/>
      <w:marRight w:val="0"/>
      <w:marTop w:val="0"/>
      <w:marBottom w:val="0"/>
      <w:divBdr>
        <w:top w:val="none" w:sz="0" w:space="0" w:color="auto"/>
        <w:left w:val="none" w:sz="0" w:space="0" w:color="auto"/>
        <w:bottom w:val="none" w:sz="0" w:space="0" w:color="auto"/>
        <w:right w:val="none" w:sz="0" w:space="0" w:color="auto"/>
      </w:divBdr>
    </w:div>
    <w:div w:id="929004909">
      <w:bodyDiv w:val="1"/>
      <w:marLeft w:val="0"/>
      <w:marRight w:val="0"/>
      <w:marTop w:val="0"/>
      <w:marBottom w:val="0"/>
      <w:divBdr>
        <w:top w:val="none" w:sz="0" w:space="0" w:color="auto"/>
        <w:left w:val="none" w:sz="0" w:space="0" w:color="auto"/>
        <w:bottom w:val="none" w:sz="0" w:space="0" w:color="auto"/>
        <w:right w:val="none" w:sz="0" w:space="0" w:color="auto"/>
      </w:divBdr>
    </w:div>
    <w:div w:id="930628630">
      <w:bodyDiv w:val="1"/>
      <w:marLeft w:val="0"/>
      <w:marRight w:val="0"/>
      <w:marTop w:val="0"/>
      <w:marBottom w:val="0"/>
      <w:divBdr>
        <w:top w:val="none" w:sz="0" w:space="0" w:color="auto"/>
        <w:left w:val="none" w:sz="0" w:space="0" w:color="auto"/>
        <w:bottom w:val="none" w:sz="0" w:space="0" w:color="auto"/>
        <w:right w:val="none" w:sz="0" w:space="0" w:color="auto"/>
      </w:divBdr>
    </w:div>
    <w:div w:id="934903759">
      <w:bodyDiv w:val="1"/>
      <w:marLeft w:val="0"/>
      <w:marRight w:val="0"/>
      <w:marTop w:val="0"/>
      <w:marBottom w:val="0"/>
      <w:divBdr>
        <w:top w:val="none" w:sz="0" w:space="0" w:color="auto"/>
        <w:left w:val="none" w:sz="0" w:space="0" w:color="auto"/>
        <w:bottom w:val="none" w:sz="0" w:space="0" w:color="auto"/>
        <w:right w:val="none" w:sz="0" w:space="0" w:color="auto"/>
      </w:divBdr>
    </w:div>
    <w:div w:id="946696502">
      <w:bodyDiv w:val="1"/>
      <w:marLeft w:val="0"/>
      <w:marRight w:val="0"/>
      <w:marTop w:val="0"/>
      <w:marBottom w:val="0"/>
      <w:divBdr>
        <w:top w:val="none" w:sz="0" w:space="0" w:color="auto"/>
        <w:left w:val="none" w:sz="0" w:space="0" w:color="auto"/>
        <w:bottom w:val="none" w:sz="0" w:space="0" w:color="auto"/>
        <w:right w:val="none" w:sz="0" w:space="0" w:color="auto"/>
      </w:divBdr>
    </w:div>
    <w:div w:id="950087509">
      <w:bodyDiv w:val="1"/>
      <w:marLeft w:val="0"/>
      <w:marRight w:val="0"/>
      <w:marTop w:val="0"/>
      <w:marBottom w:val="0"/>
      <w:divBdr>
        <w:top w:val="none" w:sz="0" w:space="0" w:color="auto"/>
        <w:left w:val="none" w:sz="0" w:space="0" w:color="auto"/>
        <w:bottom w:val="none" w:sz="0" w:space="0" w:color="auto"/>
        <w:right w:val="none" w:sz="0" w:space="0" w:color="auto"/>
      </w:divBdr>
    </w:div>
    <w:div w:id="954286137">
      <w:bodyDiv w:val="1"/>
      <w:marLeft w:val="0"/>
      <w:marRight w:val="0"/>
      <w:marTop w:val="0"/>
      <w:marBottom w:val="0"/>
      <w:divBdr>
        <w:top w:val="none" w:sz="0" w:space="0" w:color="auto"/>
        <w:left w:val="none" w:sz="0" w:space="0" w:color="auto"/>
        <w:bottom w:val="none" w:sz="0" w:space="0" w:color="auto"/>
        <w:right w:val="none" w:sz="0" w:space="0" w:color="auto"/>
      </w:divBdr>
    </w:div>
    <w:div w:id="968052942">
      <w:bodyDiv w:val="1"/>
      <w:marLeft w:val="0"/>
      <w:marRight w:val="0"/>
      <w:marTop w:val="0"/>
      <w:marBottom w:val="0"/>
      <w:divBdr>
        <w:top w:val="none" w:sz="0" w:space="0" w:color="auto"/>
        <w:left w:val="none" w:sz="0" w:space="0" w:color="auto"/>
        <w:bottom w:val="none" w:sz="0" w:space="0" w:color="auto"/>
        <w:right w:val="none" w:sz="0" w:space="0" w:color="auto"/>
      </w:divBdr>
    </w:div>
    <w:div w:id="969281048">
      <w:bodyDiv w:val="1"/>
      <w:marLeft w:val="0"/>
      <w:marRight w:val="0"/>
      <w:marTop w:val="0"/>
      <w:marBottom w:val="0"/>
      <w:divBdr>
        <w:top w:val="none" w:sz="0" w:space="0" w:color="auto"/>
        <w:left w:val="none" w:sz="0" w:space="0" w:color="auto"/>
        <w:bottom w:val="none" w:sz="0" w:space="0" w:color="auto"/>
        <w:right w:val="none" w:sz="0" w:space="0" w:color="auto"/>
      </w:divBdr>
    </w:div>
    <w:div w:id="973294676">
      <w:bodyDiv w:val="1"/>
      <w:marLeft w:val="0"/>
      <w:marRight w:val="0"/>
      <w:marTop w:val="0"/>
      <w:marBottom w:val="0"/>
      <w:divBdr>
        <w:top w:val="none" w:sz="0" w:space="0" w:color="auto"/>
        <w:left w:val="none" w:sz="0" w:space="0" w:color="auto"/>
        <w:bottom w:val="none" w:sz="0" w:space="0" w:color="auto"/>
        <w:right w:val="none" w:sz="0" w:space="0" w:color="auto"/>
      </w:divBdr>
    </w:div>
    <w:div w:id="980695192">
      <w:bodyDiv w:val="1"/>
      <w:marLeft w:val="0"/>
      <w:marRight w:val="0"/>
      <w:marTop w:val="0"/>
      <w:marBottom w:val="0"/>
      <w:divBdr>
        <w:top w:val="none" w:sz="0" w:space="0" w:color="auto"/>
        <w:left w:val="none" w:sz="0" w:space="0" w:color="auto"/>
        <w:bottom w:val="none" w:sz="0" w:space="0" w:color="auto"/>
        <w:right w:val="none" w:sz="0" w:space="0" w:color="auto"/>
      </w:divBdr>
    </w:div>
    <w:div w:id="982274400">
      <w:bodyDiv w:val="1"/>
      <w:marLeft w:val="0"/>
      <w:marRight w:val="0"/>
      <w:marTop w:val="0"/>
      <w:marBottom w:val="0"/>
      <w:divBdr>
        <w:top w:val="none" w:sz="0" w:space="0" w:color="auto"/>
        <w:left w:val="none" w:sz="0" w:space="0" w:color="auto"/>
        <w:bottom w:val="none" w:sz="0" w:space="0" w:color="auto"/>
        <w:right w:val="none" w:sz="0" w:space="0" w:color="auto"/>
      </w:divBdr>
    </w:div>
    <w:div w:id="990871293">
      <w:bodyDiv w:val="1"/>
      <w:marLeft w:val="0"/>
      <w:marRight w:val="0"/>
      <w:marTop w:val="0"/>
      <w:marBottom w:val="0"/>
      <w:divBdr>
        <w:top w:val="none" w:sz="0" w:space="0" w:color="auto"/>
        <w:left w:val="none" w:sz="0" w:space="0" w:color="auto"/>
        <w:bottom w:val="none" w:sz="0" w:space="0" w:color="auto"/>
        <w:right w:val="none" w:sz="0" w:space="0" w:color="auto"/>
      </w:divBdr>
    </w:div>
    <w:div w:id="992637946">
      <w:bodyDiv w:val="1"/>
      <w:marLeft w:val="0"/>
      <w:marRight w:val="0"/>
      <w:marTop w:val="0"/>
      <w:marBottom w:val="0"/>
      <w:divBdr>
        <w:top w:val="none" w:sz="0" w:space="0" w:color="auto"/>
        <w:left w:val="none" w:sz="0" w:space="0" w:color="auto"/>
        <w:bottom w:val="none" w:sz="0" w:space="0" w:color="auto"/>
        <w:right w:val="none" w:sz="0" w:space="0" w:color="auto"/>
      </w:divBdr>
    </w:div>
    <w:div w:id="992954383">
      <w:bodyDiv w:val="1"/>
      <w:marLeft w:val="0"/>
      <w:marRight w:val="0"/>
      <w:marTop w:val="0"/>
      <w:marBottom w:val="0"/>
      <w:divBdr>
        <w:top w:val="none" w:sz="0" w:space="0" w:color="auto"/>
        <w:left w:val="none" w:sz="0" w:space="0" w:color="auto"/>
        <w:bottom w:val="none" w:sz="0" w:space="0" w:color="auto"/>
        <w:right w:val="none" w:sz="0" w:space="0" w:color="auto"/>
      </w:divBdr>
    </w:div>
    <w:div w:id="994339574">
      <w:bodyDiv w:val="1"/>
      <w:marLeft w:val="0"/>
      <w:marRight w:val="0"/>
      <w:marTop w:val="0"/>
      <w:marBottom w:val="0"/>
      <w:divBdr>
        <w:top w:val="none" w:sz="0" w:space="0" w:color="auto"/>
        <w:left w:val="none" w:sz="0" w:space="0" w:color="auto"/>
        <w:bottom w:val="none" w:sz="0" w:space="0" w:color="auto"/>
        <w:right w:val="none" w:sz="0" w:space="0" w:color="auto"/>
      </w:divBdr>
    </w:div>
    <w:div w:id="997684367">
      <w:bodyDiv w:val="1"/>
      <w:marLeft w:val="0"/>
      <w:marRight w:val="0"/>
      <w:marTop w:val="0"/>
      <w:marBottom w:val="0"/>
      <w:divBdr>
        <w:top w:val="none" w:sz="0" w:space="0" w:color="auto"/>
        <w:left w:val="none" w:sz="0" w:space="0" w:color="auto"/>
        <w:bottom w:val="none" w:sz="0" w:space="0" w:color="auto"/>
        <w:right w:val="none" w:sz="0" w:space="0" w:color="auto"/>
      </w:divBdr>
    </w:div>
    <w:div w:id="1006830668">
      <w:bodyDiv w:val="1"/>
      <w:marLeft w:val="0"/>
      <w:marRight w:val="0"/>
      <w:marTop w:val="0"/>
      <w:marBottom w:val="0"/>
      <w:divBdr>
        <w:top w:val="none" w:sz="0" w:space="0" w:color="auto"/>
        <w:left w:val="none" w:sz="0" w:space="0" w:color="auto"/>
        <w:bottom w:val="none" w:sz="0" w:space="0" w:color="auto"/>
        <w:right w:val="none" w:sz="0" w:space="0" w:color="auto"/>
      </w:divBdr>
    </w:div>
    <w:div w:id="1009409802">
      <w:bodyDiv w:val="1"/>
      <w:marLeft w:val="0"/>
      <w:marRight w:val="0"/>
      <w:marTop w:val="0"/>
      <w:marBottom w:val="0"/>
      <w:divBdr>
        <w:top w:val="none" w:sz="0" w:space="0" w:color="auto"/>
        <w:left w:val="none" w:sz="0" w:space="0" w:color="auto"/>
        <w:bottom w:val="none" w:sz="0" w:space="0" w:color="auto"/>
        <w:right w:val="none" w:sz="0" w:space="0" w:color="auto"/>
      </w:divBdr>
    </w:div>
    <w:div w:id="1010914911">
      <w:bodyDiv w:val="1"/>
      <w:marLeft w:val="0"/>
      <w:marRight w:val="0"/>
      <w:marTop w:val="0"/>
      <w:marBottom w:val="0"/>
      <w:divBdr>
        <w:top w:val="none" w:sz="0" w:space="0" w:color="auto"/>
        <w:left w:val="none" w:sz="0" w:space="0" w:color="auto"/>
        <w:bottom w:val="none" w:sz="0" w:space="0" w:color="auto"/>
        <w:right w:val="none" w:sz="0" w:space="0" w:color="auto"/>
      </w:divBdr>
    </w:div>
    <w:div w:id="1011184552">
      <w:bodyDiv w:val="1"/>
      <w:marLeft w:val="0"/>
      <w:marRight w:val="0"/>
      <w:marTop w:val="0"/>
      <w:marBottom w:val="0"/>
      <w:divBdr>
        <w:top w:val="none" w:sz="0" w:space="0" w:color="auto"/>
        <w:left w:val="none" w:sz="0" w:space="0" w:color="auto"/>
        <w:bottom w:val="none" w:sz="0" w:space="0" w:color="auto"/>
        <w:right w:val="none" w:sz="0" w:space="0" w:color="auto"/>
      </w:divBdr>
    </w:div>
    <w:div w:id="1012301323">
      <w:bodyDiv w:val="1"/>
      <w:marLeft w:val="0"/>
      <w:marRight w:val="0"/>
      <w:marTop w:val="0"/>
      <w:marBottom w:val="0"/>
      <w:divBdr>
        <w:top w:val="none" w:sz="0" w:space="0" w:color="auto"/>
        <w:left w:val="none" w:sz="0" w:space="0" w:color="auto"/>
        <w:bottom w:val="none" w:sz="0" w:space="0" w:color="auto"/>
        <w:right w:val="none" w:sz="0" w:space="0" w:color="auto"/>
      </w:divBdr>
    </w:div>
    <w:div w:id="1013261155">
      <w:bodyDiv w:val="1"/>
      <w:marLeft w:val="0"/>
      <w:marRight w:val="0"/>
      <w:marTop w:val="0"/>
      <w:marBottom w:val="0"/>
      <w:divBdr>
        <w:top w:val="none" w:sz="0" w:space="0" w:color="auto"/>
        <w:left w:val="none" w:sz="0" w:space="0" w:color="auto"/>
        <w:bottom w:val="none" w:sz="0" w:space="0" w:color="auto"/>
        <w:right w:val="none" w:sz="0" w:space="0" w:color="auto"/>
      </w:divBdr>
    </w:div>
    <w:div w:id="1016736697">
      <w:bodyDiv w:val="1"/>
      <w:marLeft w:val="0"/>
      <w:marRight w:val="0"/>
      <w:marTop w:val="0"/>
      <w:marBottom w:val="0"/>
      <w:divBdr>
        <w:top w:val="none" w:sz="0" w:space="0" w:color="auto"/>
        <w:left w:val="none" w:sz="0" w:space="0" w:color="auto"/>
        <w:bottom w:val="none" w:sz="0" w:space="0" w:color="auto"/>
        <w:right w:val="none" w:sz="0" w:space="0" w:color="auto"/>
      </w:divBdr>
    </w:div>
    <w:div w:id="1017006551">
      <w:bodyDiv w:val="1"/>
      <w:marLeft w:val="0"/>
      <w:marRight w:val="0"/>
      <w:marTop w:val="0"/>
      <w:marBottom w:val="0"/>
      <w:divBdr>
        <w:top w:val="none" w:sz="0" w:space="0" w:color="auto"/>
        <w:left w:val="none" w:sz="0" w:space="0" w:color="auto"/>
        <w:bottom w:val="none" w:sz="0" w:space="0" w:color="auto"/>
        <w:right w:val="none" w:sz="0" w:space="0" w:color="auto"/>
      </w:divBdr>
    </w:div>
    <w:div w:id="1024480341">
      <w:bodyDiv w:val="1"/>
      <w:marLeft w:val="0"/>
      <w:marRight w:val="0"/>
      <w:marTop w:val="0"/>
      <w:marBottom w:val="0"/>
      <w:divBdr>
        <w:top w:val="none" w:sz="0" w:space="0" w:color="auto"/>
        <w:left w:val="none" w:sz="0" w:space="0" w:color="auto"/>
        <w:bottom w:val="none" w:sz="0" w:space="0" w:color="auto"/>
        <w:right w:val="none" w:sz="0" w:space="0" w:color="auto"/>
      </w:divBdr>
    </w:div>
    <w:div w:id="1025861205">
      <w:bodyDiv w:val="1"/>
      <w:marLeft w:val="0"/>
      <w:marRight w:val="0"/>
      <w:marTop w:val="0"/>
      <w:marBottom w:val="0"/>
      <w:divBdr>
        <w:top w:val="none" w:sz="0" w:space="0" w:color="auto"/>
        <w:left w:val="none" w:sz="0" w:space="0" w:color="auto"/>
        <w:bottom w:val="none" w:sz="0" w:space="0" w:color="auto"/>
        <w:right w:val="none" w:sz="0" w:space="0" w:color="auto"/>
      </w:divBdr>
    </w:div>
    <w:div w:id="1033925018">
      <w:bodyDiv w:val="1"/>
      <w:marLeft w:val="0"/>
      <w:marRight w:val="0"/>
      <w:marTop w:val="0"/>
      <w:marBottom w:val="0"/>
      <w:divBdr>
        <w:top w:val="none" w:sz="0" w:space="0" w:color="auto"/>
        <w:left w:val="none" w:sz="0" w:space="0" w:color="auto"/>
        <w:bottom w:val="none" w:sz="0" w:space="0" w:color="auto"/>
        <w:right w:val="none" w:sz="0" w:space="0" w:color="auto"/>
      </w:divBdr>
    </w:div>
    <w:div w:id="1034963327">
      <w:bodyDiv w:val="1"/>
      <w:marLeft w:val="0"/>
      <w:marRight w:val="0"/>
      <w:marTop w:val="0"/>
      <w:marBottom w:val="0"/>
      <w:divBdr>
        <w:top w:val="none" w:sz="0" w:space="0" w:color="auto"/>
        <w:left w:val="none" w:sz="0" w:space="0" w:color="auto"/>
        <w:bottom w:val="none" w:sz="0" w:space="0" w:color="auto"/>
        <w:right w:val="none" w:sz="0" w:space="0" w:color="auto"/>
      </w:divBdr>
    </w:div>
    <w:div w:id="1039549568">
      <w:bodyDiv w:val="1"/>
      <w:marLeft w:val="0"/>
      <w:marRight w:val="0"/>
      <w:marTop w:val="0"/>
      <w:marBottom w:val="0"/>
      <w:divBdr>
        <w:top w:val="none" w:sz="0" w:space="0" w:color="auto"/>
        <w:left w:val="none" w:sz="0" w:space="0" w:color="auto"/>
        <w:bottom w:val="none" w:sz="0" w:space="0" w:color="auto"/>
        <w:right w:val="none" w:sz="0" w:space="0" w:color="auto"/>
      </w:divBdr>
    </w:div>
    <w:div w:id="1045984808">
      <w:bodyDiv w:val="1"/>
      <w:marLeft w:val="0"/>
      <w:marRight w:val="0"/>
      <w:marTop w:val="0"/>
      <w:marBottom w:val="0"/>
      <w:divBdr>
        <w:top w:val="none" w:sz="0" w:space="0" w:color="auto"/>
        <w:left w:val="none" w:sz="0" w:space="0" w:color="auto"/>
        <w:bottom w:val="none" w:sz="0" w:space="0" w:color="auto"/>
        <w:right w:val="none" w:sz="0" w:space="0" w:color="auto"/>
      </w:divBdr>
    </w:div>
    <w:div w:id="1055590291">
      <w:bodyDiv w:val="1"/>
      <w:marLeft w:val="0"/>
      <w:marRight w:val="0"/>
      <w:marTop w:val="0"/>
      <w:marBottom w:val="0"/>
      <w:divBdr>
        <w:top w:val="none" w:sz="0" w:space="0" w:color="auto"/>
        <w:left w:val="none" w:sz="0" w:space="0" w:color="auto"/>
        <w:bottom w:val="none" w:sz="0" w:space="0" w:color="auto"/>
        <w:right w:val="none" w:sz="0" w:space="0" w:color="auto"/>
      </w:divBdr>
    </w:div>
    <w:div w:id="1056049063">
      <w:bodyDiv w:val="1"/>
      <w:marLeft w:val="0"/>
      <w:marRight w:val="0"/>
      <w:marTop w:val="0"/>
      <w:marBottom w:val="0"/>
      <w:divBdr>
        <w:top w:val="none" w:sz="0" w:space="0" w:color="auto"/>
        <w:left w:val="none" w:sz="0" w:space="0" w:color="auto"/>
        <w:bottom w:val="none" w:sz="0" w:space="0" w:color="auto"/>
        <w:right w:val="none" w:sz="0" w:space="0" w:color="auto"/>
      </w:divBdr>
    </w:div>
    <w:div w:id="1056323188">
      <w:bodyDiv w:val="1"/>
      <w:marLeft w:val="0"/>
      <w:marRight w:val="0"/>
      <w:marTop w:val="0"/>
      <w:marBottom w:val="0"/>
      <w:divBdr>
        <w:top w:val="none" w:sz="0" w:space="0" w:color="auto"/>
        <w:left w:val="none" w:sz="0" w:space="0" w:color="auto"/>
        <w:bottom w:val="none" w:sz="0" w:space="0" w:color="auto"/>
        <w:right w:val="none" w:sz="0" w:space="0" w:color="auto"/>
      </w:divBdr>
    </w:div>
    <w:div w:id="1060635790">
      <w:bodyDiv w:val="1"/>
      <w:marLeft w:val="0"/>
      <w:marRight w:val="0"/>
      <w:marTop w:val="0"/>
      <w:marBottom w:val="0"/>
      <w:divBdr>
        <w:top w:val="none" w:sz="0" w:space="0" w:color="auto"/>
        <w:left w:val="none" w:sz="0" w:space="0" w:color="auto"/>
        <w:bottom w:val="none" w:sz="0" w:space="0" w:color="auto"/>
        <w:right w:val="none" w:sz="0" w:space="0" w:color="auto"/>
      </w:divBdr>
    </w:div>
    <w:div w:id="1063024680">
      <w:bodyDiv w:val="1"/>
      <w:marLeft w:val="0"/>
      <w:marRight w:val="0"/>
      <w:marTop w:val="0"/>
      <w:marBottom w:val="0"/>
      <w:divBdr>
        <w:top w:val="none" w:sz="0" w:space="0" w:color="auto"/>
        <w:left w:val="none" w:sz="0" w:space="0" w:color="auto"/>
        <w:bottom w:val="none" w:sz="0" w:space="0" w:color="auto"/>
        <w:right w:val="none" w:sz="0" w:space="0" w:color="auto"/>
      </w:divBdr>
    </w:div>
    <w:div w:id="1068378252">
      <w:bodyDiv w:val="1"/>
      <w:marLeft w:val="0"/>
      <w:marRight w:val="0"/>
      <w:marTop w:val="0"/>
      <w:marBottom w:val="0"/>
      <w:divBdr>
        <w:top w:val="none" w:sz="0" w:space="0" w:color="auto"/>
        <w:left w:val="none" w:sz="0" w:space="0" w:color="auto"/>
        <w:bottom w:val="none" w:sz="0" w:space="0" w:color="auto"/>
        <w:right w:val="none" w:sz="0" w:space="0" w:color="auto"/>
      </w:divBdr>
    </w:div>
    <w:div w:id="1069690174">
      <w:bodyDiv w:val="1"/>
      <w:marLeft w:val="0"/>
      <w:marRight w:val="0"/>
      <w:marTop w:val="0"/>
      <w:marBottom w:val="0"/>
      <w:divBdr>
        <w:top w:val="none" w:sz="0" w:space="0" w:color="auto"/>
        <w:left w:val="none" w:sz="0" w:space="0" w:color="auto"/>
        <w:bottom w:val="none" w:sz="0" w:space="0" w:color="auto"/>
        <w:right w:val="none" w:sz="0" w:space="0" w:color="auto"/>
      </w:divBdr>
    </w:div>
    <w:div w:id="1069963118">
      <w:bodyDiv w:val="1"/>
      <w:marLeft w:val="0"/>
      <w:marRight w:val="0"/>
      <w:marTop w:val="0"/>
      <w:marBottom w:val="0"/>
      <w:divBdr>
        <w:top w:val="none" w:sz="0" w:space="0" w:color="auto"/>
        <w:left w:val="none" w:sz="0" w:space="0" w:color="auto"/>
        <w:bottom w:val="none" w:sz="0" w:space="0" w:color="auto"/>
        <w:right w:val="none" w:sz="0" w:space="0" w:color="auto"/>
      </w:divBdr>
    </w:div>
    <w:div w:id="1081099500">
      <w:bodyDiv w:val="1"/>
      <w:marLeft w:val="0"/>
      <w:marRight w:val="0"/>
      <w:marTop w:val="0"/>
      <w:marBottom w:val="0"/>
      <w:divBdr>
        <w:top w:val="none" w:sz="0" w:space="0" w:color="auto"/>
        <w:left w:val="none" w:sz="0" w:space="0" w:color="auto"/>
        <w:bottom w:val="none" w:sz="0" w:space="0" w:color="auto"/>
        <w:right w:val="none" w:sz="0" w:space="0" w:color="auto"/>
      </w:divBdr>
    </w:div>
    <w:div w:id="1082410353">
      <w:bodyDiv w:val="1"/>
      <w:marLeft w:val="0"/>
      <w:marRight w:val="0"/>
      <w:marTop w:val="0"/>
      <w:marBottom w:val="0"/>
      <w:divBdr>
        <w:top w:val="none" w:sz="0" w:space="0" w:color="auto"/>
        <w:left w:val="none" w:sz="0" w:space="0" w:color="auto"/>
        <w:bottom w:val="none" w:sz="0" w:space="0" w:color="auto"/>
        <w:right w:val="none" w:sz="0" w:space="0" w:color="auto"/>
      </w:divBdr>
    </w:div>
    <w:div w:id="1088162196">
      <w:bodyDiv w:val="1"/>
      <w:marLeft w:val="0"/>
      <w:marRight w:val="0"/>
      <w:marTop w:val="0"/>
      <w:marBottom w:val="0"/>
      <w:divBdr>
        <w:top w:val="none" w:sz="0" w:space="0" w:color="auto"/>
        <w:left w:val="none" w:sz="0" w:space="0" w:color="auto"/>
        <w:bottom w:val="none" w:sz="0" w:space="0" w:color="auto"/>
        <w:right w:val="none" w:sz="0" w:space="0" w:color="auto"/>
      </w:divBdr>
    </w:div>
    <w:div w:id="1093665546">
      <w:bodyDiv w:val="1"/>
      <w:marLeft w:val="0"/>
      <w:marRight w:val="0"/>
      <w:marTop w:val="0"/>
      <w:marBottom w:val="0"/>
      <w:divBdr>
        <w:top w:val="none" w:sz="0" w:space="0" w:color="auto"/>
        <w:left w:val="none" w:sz="0" w:space="0" w:color="auto"/>
        <w:bottom w:val="none" w:sz="0" w:space="0" w:color="auto"/>
        <w:right w:val="none" w:sz="0" w:space="0" w:color="auto"/>
      </w:divBdr>
    </w:div>
    <w:div w:id="1097336002">
      <w:bodyDiv w:val="1"/>
      <w:marLeft w:val="0"/>
      <w:marRight w:val="0"/>
      <w:marTop w:val="0"/>
      <w:marBottom w:val="0"/>
      <w:divBdr>
        <w:top w:val="none" w:sz="0" w:space="0" w:color="auto"/>
        <w:left w:val="none" w:sz="0" w:space="0" w:color="auto"/>
        <w:bottom w:val="none" w:sz="0" w:space="0" w:color="auto"/>
        <w:right w:val="none" w:sz="0" w:space="0" w:color="auto"/>
      </w:divBdr>
    </w:div>
    <w:div w:id="1108768267">
      <w:bodyDiv w:val="1"/>
      <w:marLeft w:val="0"/>
      <w:marRight w:val="0"/>
      <w:marTop w:val="0"/>
      <w:marBottom w:val="0"/>
      <w:divBdr>
        <w:top w:val="none" w:sz="0" w:space="0" w:color="auto"/>
        <w:left w:val="none" w:sz="0" w:space="0" w:color="auto"/>
        <w:bottom w:val="none" w:sz="0" w:space="0" w:color="auto"/>
        <w:right w:val="none" w:sz="0" w:space="0" w:color="auto"/>
      </w:divBdr>
    </w:div>
    <w:div w:id="1111127942">
      <w:bodyDiv w:val="1"/>
      <w:marLeft w:val="0"/>
      <w:marRight w:val="0"/>
      <w:marTop w:val="0"/>
      <w:marBottom w:val="0"/>
      <w:divBdr>
        <w:top w:val="none" w:sz="0" w:space="0" w:color="auto"/>
        <w:left w:val="none" w:sz="0" w:space="0" w:color="auto"/>
        <w:bottom w:val="none" w:sz="0" w:space="0" w:color="auto"/>
        <w:right w:val="none" w:sz="0" w:space="0" w:color="auto"/>
      </w:divBdr>
    </w:div>
    <w:div w:id="1113137173">
      <w:bodyDiv w:val="1"/>
      <w:marLeft w:val="0"/>
      <w:marRight w:val="0"/>
      <w:marTop w:val="0"/>
      <w:marBottom w:val="0"/>
      <w:divBdr>
        <w:top w:val="none" w:sz="0" w:space="0" w:color="auto"/>
        <w:left w:val="none" w:sz="0" w:space="0" w:color="auto"/>
        <w:bottom w:val="none" w:sz="0" w:space="0" w:color="auto"/>
        <w:right w:val="none" w:sz="0" w:space="0" w:color="auto"/>
      </w:divBdr>
    </w:div>
    <w:div w:id="1121070223">
      <w:bodyDiv w:val="1"/>
      <w:marLeft w:val="0"/>
      <w:marRight w:val="0"/>
      <w:marTop w:val="0"/>
      <w:marBottom w:val="0"/>
      <w:divBdr>
        <w:top w:val="none" w:sz="0" w:space="0" w:color="auto"/>
        <w:left w:val="none" w:sz="0" w:space="0" w:color="auto"/>
        <w:bottom w:val="none" w:sz="0" w:space="0" w:color="auto"/>
        <w:right w:val="none" w:sz="0" w:space="0" w:color="auto"/>
      </w:divBdr>
    </w:div>
    <w:div w:id="1126974432">
      <w:bodyDiv w:val="1"/>
      <w:marLeft w:val="0"/>
      <w:marRight w:val="0"/>
      <w:marTop w:val="0"/>
      <w:marBottom w:val="0"/>
      <w:divBdr>
        <w:top w:val="none" w:sz="0" w:space="0" w:color="auto"/>
        <w:left w:val="none" w:sz="0" w:space="0" w:color="auto"/>
        <w:bottom w:val="none" w:sz="0" w:space="0" w:color="auto"/>
        <w:right w:val="none" w:sz="0" w:space="0" w:color="auto"/>
      </w:divBdr>
    </w:div>
    <w:div w:id="1127623035">
      <w:bodyDiv w:val="1"/>
      <w:marLeft w:val="0"/>
      <w:marRight w:val="0"/>
      <w:marTop w:val="0"/>
      <w:marBottom w:val="0"/>
      <w:divBdr>
        <w:top w:val="none" w:sz="0" w:space="0" w:color="auto"/>
        <w:left w:val="none" w:sz="0" w:space="0" w:color="auto"/>
        <w:bottom w:val="none" w:sz="0" w:space="0" w:color="auto"/>
        <w:right w:val="none" w:sz="0" w:space="0" w:color="auto"/>
      </w:divBdr>
    </w:div>
    <w:div w:id="1134104555">
      <w:bodyDiv w:val="1"/>
      <w:marLeft w:val="0"/>
      <w:marRight w:val="0"/>
      <w:marTop w:val="0"/>
      <w:marBottom w:val="0"/>
      <w:divBdr>
        <w:top w:val="none" w:sz="0" w:space="0" w:color="auto"/>
        <w:left w:val="none" w:sz="0" w:space="0" w:color="auto"/>
        <w:bottom w:val="none" w:sz="0" w:space="0" w:color="auto"/>
        <w:right w:val="none" w:sz="0" w:space="0" w:color="auto"/>
      </w:divBdr>
    </w:div>
    <w:div w:id="1136069867">
      <w:bodyDiv w:val="1"/>
      <w:marLeft w:val="0"/>
      <w:marRight w:val="0"/>
      <w:marTop w:val="0"/>
      <w:marBottom w:val="0"/>
      <w:divBdr>
        <w:top w:val="none" w:sz="0" w:space="0" w:color="auto"/>
        <w:left w:val="none" w:sz="0" w:space="0" w:color="auto"/>
        <w:bottom w:val="none" w:sz="0" w:space="0" w:color="auto"/>
        <w:right w:val="none" w:sz="0" w:space="0" w:color="auto"/>
      </w:divBdr>
    </w:div>
    <w:div w:id="1142427501">
      <w:bodyDiv w:val="1"/>
      <w:marLeft w:val="0"/>
      <w:marRight w:val="0"/>
      <w:marTop w:val="0"/>
      <w:marBottom w:val="0"/>
      <w:divBdr>
        <w:top w:val="none" w:sz="0" w:space="0" w:color="auto"/>
        <w:left w:val="none" w:sz="0" w:space="0" w:color="auto"/>
        <w:bottom w:val="none" w:sz="0" w:space="0" w:color="auto"/>
        <w:right w:val="none" w:sz="0" w:space="0" w:color="auto"/>
      </w:divBdr>
    </w:div>
    <w:div w:id="1144591185">
      <w:bodyDiv w:val="1"/>
      <w:marLeft w:val="0"/>
      <w:marRight w:val="0"/>
      <w:marTop w:val="0"/>
      <w:marBottom w:val="0"/>
      <w:divBdr>
        <w:top w:val="none" w:sz="0" w:space="0" w:color="auto"/>
        <w:left w:val="none" w:sz="0" w:space="0" w:color="auto"/>
        <w:bottom w:val="none" w:sz="0" w:space="0" w:color="auto"/>
        <w:right w:val="none" w:sz="0" w:space="0" w:color="auto"/>
      </w:divBdr>
    </w:div>
    <w:div w:id="1148017712">
      <w:bodyDiv w:val="1"/>
      <w:marLeft w:val="0"/>
      <w:marRight w:val="0"/>
      <w:marTop w:val="0"/>
      <w:marBottom w:val="0"/>
      <w:divBdr>
        <w:top w:val="none" w:sz="0" w:space="0" w:color="auto"/>
        <w:left w:val="none" w:sz="0" w:space="0" w:color="auto"/>
        <w:bottom w:val="none" w:sz="0" w:space="0" w:color="auto"/>
        <w:right w:val="none" w:sz="0" w:space="0" w:color="auto"/>
      </w:divBdr>
    </w:div>
    <w:div w:id="1150950179">
      <w:bodyDiv w:val="1"/>
      <w:marLeft w:val="0"/>
      <w:marRight w:val="0"/>
      <w:marTop w:val="0"/>
      <w:marBottom w:val="0"/>
      <w:divBdr>
        <w:top w:val="none" w:sz="0" w:space="0" w:color="auto"/>
        <w:left w:val="none" w:sz="0" w:space="0" w:color="auto"/>
        <w:bottom w:val="none" w:sz="0" w:space="0" w:color="auto"/>
        <w:right w:val="none" w:sz="0" w:space="0" w:color="auto"/>
      </w:divBdr>
    </w:div>
    <w:div w:id="1151367377">
      <w:bodyDiv w:val="1"/>
      <w:marLeft w:val="0"/>
      <w:marRight w:val="0"/>
      <w:marTop w:val="0"/>
      <w:marBottom w:val="0"/>
      <w:divBdr>
        <w:top w:val="none" w:sz="0" w:space="0" w:color="auto"/>
        <w:left w:val="none" w:sz="0" w:space="0" w:color="auto"/>
        <w:bottom w:val="none" w:sz="0" w:space="0" w:color="auto"/>
        <w:right w:val="none" w:sz="0" w:space="0" w:color="auto"/>
      </w:divBdr>
    </w:div>
    <w:div w:id="1156603414">
      <w:bodyDiv w:val="1"/>
      <w:marLeft w:val="0"/>
      <w:marRight w:val="0"/>
      <w:marTop w:val="0"/>
      <w:marBottom w:val="0"/>
      <w:divBdr>
        <w:top w:val="none" w:sz="0" w:space="0" w:color="auto"/>
        <w:left w:val="none" w:sz="0" w:space="0" w:color="auto"/>
        <w:bottom w:val="none" w:sz="0" w:space="0" w:color="auto"/>
        <w:right w:val="none" w:sz="0" w:space="0" w:color="auto"/>
      </w:divBdr>
    </w:div>
    <w:div w:id="1163161568">
      <w:bodyDiv w:val="1"/>
      <w:marLeft w:val="0"/>
      <w:marRight w:val="0"/>
      <w:marTop w:val="0"/>
      <w:marBottom w:val="0"/>
      <w:divBdr>
        <w:top w:val="none" w:sz="0" w:space="0" w:color="auto"/>
        <w:left w:val="none" w:sz="0" w:space="0" w:color="auto"/>
        <w:bottom w:val="none" w:sz="0" w:space="0" w:color="auto"/>
        <w:right w:val="none" w:sz="0" w:space="0" w:color="auto"/>
      </w:divBdr>
    </w:div>
    <w:div w:id="1167206347">
      <w:bodyDiv w:val="1"/>
      <w:marLeft w:val="0"/>
      <w:marRight w:val="0"/>
      <w:marTop w:val="0"/>
      <w:marBottom w:val="0"/>
      <w:divBdr>
        <w:top w:val="none" w:sz="0" w:space="0" w:color="auto"/>
        <w:left w:val="none" w:sz="0" w:space="0" w:color="auto"/>
        <w:bottom w:val="none" w:sz="0" w:space="0" w:color="auto"/>
        <w:right w:val="none" w:sz="0" w:space="0" w:color="auto"/>
      </w:divBdr>
    </w:div>
    <w:div w:id="1167987205">
      <w:bodyDiv w:val="1"/>
      <w:marLeft w:val="0"/>
      <w:marRight w:val="0"/>
      <w:marTop w:val="0"/>
      <w:marBottom w:val="0"/>
      <w:divBdr>
        <w:top w:val="none" w:sz="0" w:space="0" w:color="auto"/>
        <w:left w:val="none" w:sz="0" w:space="0" w:color="auto"/>
        <w:bottom w:val="none" w:sz="0" w:space="0" w:color="auto"/>
        <w:right w:val="none" w:sz="0" w:space="0" w:color="auto"/>
      </w:divBdr>
    </w:div>
    <w:div w:id="1171532169">
      <w:bodyDiv w:val="1"/>
      <w:marLeft w:val="0"/>
      <w:marRight w:val="0"/>
      <w:marTop w:val="0"/>
      <w:marBottom w:val="0"/>
      <w:divBdr>
        <w:top w:val="none" w:sz="0" w:space="0" w:color="auto"/>
        <w:left w:val="none" w:sz="0" w:space="0" w:color="auto"/>
        <w:bottom w:val="none" w:sz="0" w:space="0" w:color="auto"/>
        <w:right w:val="none" w:sz="0" w:space="0" w:color="auto"/>
      </w:divBdr>
    </w:div>
    <w:div w:id="1172259593">
      <w:bodyDiv w:val="1"/>
      <w:marLeft w:val="0"/>
      <w:marRight w:val="0"/>
      <w:marTop w:val="0"/>
      <w:marBottom w:val="0"/>
      <w:divBdr>
        <w:top w:val="none" w:sz="0" w:space="0" w:color="auto"/>
        <w:left w:val="none" w:sz="0" w:space="0" w:color="auto"/>
        <w:bottom w:val="none" w:sz="0" w:space="0" w:color="auto"/>
        <w:right w:val="none" w:sz="0" w:space="0" w:color="auto"/>
      </w:divBdr>
    </w:div>
    <w:div w:id="1172261778">
      <w:bodyDiv w:val="1"/>
      <w:marLeft w:val="0"/>
      <w:marRight w:val="0"/>
      <w:marTop w:val="0"/>
      <w:marBottom w:val="0"/>
      <w:divBdr>
        <w:top w:val="none" w:sz="0" w:space="0" w:color="auto"/>
        <w:left w:val="none" w:sz="0" w:space="0" w:color="auto"/>
        <w:bottom w:val="none" w:sz="0" w:space="0" w:color="auto"/>
        <w:right w:val="none" w:sz="0" w:space="0" w:color="auto"/>
      </w:divBdr>
    </w:div>
    <w:div w:id="1173647873">
      <w:bodyDiv w:val="1"/>
      <w:marLeft w:val="0"/>
      <w:marRight w:val="0"/>
      <w:marTop w:val="0"/>
      <w:marBottom w:val="0"/>
      <w:divBdr>
        <w:top w:val="none" w:sz="0" w:space="0" w:color="auto"/>
        <w:left w:val="none" w:sz="0" w:space="0" w:color="auto"/>
        <w:bottom w:val="none" w:sz="0" w:space="0" w:color="auto"/>
        <w:right w:val="none" w:sz="0" w:space="0" w:color="auto"/>
      </w:divBdr>
    </w:div>
    <w:div w:id="1181966690">
      <w:bodyDiv w:val="1"/>
      <w:marLeft w:val="0"/>
      <w:marRight w:val="0"/>
      <w:marTop w:val="0"/>
      <w:marBottom w:val="0"/>
      <w:divBdr>
        <w:top w:val="none" w:sz="0" w:space="0" w:color="auto"/>
        <w:left w:val="none" w:sz="0" w:space="0" w:color="auto"/>
        <w:bottom w:val="none" w:sz="0" w:space="0" w:color="auto"/>
        <w:right w:val="none" w:sz="0" w:space="0" w:color="auto"/>
      </w:divBdr>
    </w:div>
    <w:div w:id="1187792684">
      <w:bodyDiv w:val="1"/>
      <w:marLeft w:val="0"/>
      <w:marRight w:val="0"/>
      <w:marTop w:val="0"/>
      <w:marBottom w:val="0"/>
      <w:divBdr>
        <w:top w:val="none" w:sz="0" w:space="0" w:color="auto"/>
        <w:left w:val="none" w:sz="0" w:space="0" w:color="auto"/>
        <w:bottom w:val="none" w:sz="0" w:space="0" w:color="auto"/>
        <w:right w:val="none" w:sz="0" w:space="0" w:color="auto"/>
      </w:divBdr>
    </w:div>
    <w:div w:id="1188249894">
      <w:bodyDiv w:val="1"/>
      <w:marLeft w:val="0"/>
      <w:marRight w:val="0"/>
      <w:marTop w:val="0"/>
      <w:marBottom w:val="0"/>
      <w:divBdr>
        <w:top w:val="none" w:sz="0" w:space="0" w:color="auto"/>
        <w:left w:val="none" w:sz="0" w:space="0" w:color="auto"/>
        <w:bottom w:val="none" w:sz="0" w:space="0" w:color="auto"/>
        <w:right w:val="none" w:sz="0" w:space="0" w:color="auto"/>
      </w:divBdr>
    </w:div>
    <w:div w:id="1191144570">
      <w:bodyDiv w:val="1"/>
      <w:marLeft w:val="0"/>
      <w:marRight w:val="0"/>
      <w:marTop w:val="0"/>
      <w:marBottom w:val="0"/>
      <w:divBdr>
        <w:top w:val="none" w:sz="0" w:space="0" w:color="auto"/>
        <w:left w:val="none" w:sz="0" w:space="0" w:color="auto"/>
        <w:bottom w:val="none" w:sz="0" w:space="0" w:color="auto"/>
        <w:right w:val="none" w:sz="0" w:space="0" w:color="auto"/>
      </w:divBdr>
    </w:div>
    <w:div w:id="1201090728">
      <w:bodyDiv w:val="1"/>
      <w:marLeft w:val="0"/>
      <w:marRight w:val="0"/>
      <w:marTop w:val="0"/>
      <w:marBottom w:val="0"/>
      <w:divBdr>
        <w:top w:val="none" w:sz="0" w:space="0" w:color="auto"/>
        <w:left w:val="none" w:sz="0" w:space="0" w:color="auto"/>
        <w:bottom w:val="none" w:sz="0" w:space="0" w:color="auto"/>
        <w:right w:val="none" w:sz="0" w:space="0" w:color="auto"/>
      </w:divBdr>
    </w:div>
    <w:div w:id="1201551588">
      <w:bodyDiv w:val="1"/>
      <w:marLeft w:val="0"/>
      <w:marRight w:val="0"/>
      <w:marTop w:val="0"/>
      <w:marBottom w:val="0"/>
      <w:divBdr>
        <w:top w:val="none" w:sz="0" w:space="0" w:color="auto"/>
        <w:left w:val="none" w:sz="0" w:space="0" w:color="auto"/>
        <w:bottom w:val="none" w:sz="0" w:space="0" w:color="auto"/>
        <w:right w:val="none" w:sz="0" w:space="0" w:color="auto"/>
      </w:divBdr>
    </w:div>
    <w:div w:id="1203398848">
      <w:bodyDiv w:val="1"/>
      <w:marLeft w:val="0"/>
      <w:marRight w:val="0"/>
      <w:marTop w:val="0"/>
      <w:marBottom w:val="0"/>
      <w:divBdr>
        <w:top w:val="none" w:sz="0" w:space="0" w:color="auto"/>
        <w:left w:val="none" w:sz="0" w:space="0" w:color="auto"/>
        <w:bottom w:val="none" w:sz="0" w:space="0" w:color="auto"/>
        <w:right w:val="none" w:sz="0" w:space="0" w:color="auto"/>
      </w:divBdr>
    </w:div>
    <w:div w:id="1205676102">
      <w:bodyDiv w:val="1"/>
      <w:marLeft w:val="0"/>
      <w:marRight w:val="0"/>
      <w:marTop w:val="0"/>
      <w:marBottom w:val="0"/>
      <w:divBdr>
        <w:top w:val="none" w:sz="0" w:space="0" w:color="auto"/>
        <w:left w:val="none" w:sz="0" w:space="0" w:color="auto"/>
        <w:bottom w:val="none" w:sz="0" w:space="0" w:color="auto"/>
        <w:right w:val="none" w:sz="0" w:space="0" w:color="auto"/>
      </w:divBdr>
    </w:div>
    <w:div w:id="1206067591">
      <w:bodyDiv w:val="1"/>
      <w:marLeft w:val="0"/>
      <w:marRight w:val="0"/>
      <w:marTop w:val="0"/>
      <w:marBottom w:val="0"/>
      <w:divBdr>
        <w:top w:val="none" w:sz="0" w:space="0" w:color="auto"/>
        <w:left w:val="none" w:sz="0" w:space="0" w:color="auto"/>
        <w:bottom w:val="none" w:sz="0" w:space="0" w:color="auto"/>
        <w:right w:val="none" w:sz="0" w:space="0" w:color="auto"/>
      </w:divBdr>
    </w:div>
    <w:div w:id="1210650228">
      <w:bodyDiv w:val="1"/>
      <w:marLeft w:val="0"/>
      <w:marRight w:val="0"/>
      <w:marTop w:val="0"/>
      <w:marBottom w:val="0"/>
      <w:divBdr>
        <w:top w:val="none" w:sz="0" w:space="0" w:color="auto"/>
        <w:left w:val="none" w:sz="0" w:space="0" w:color="auto"/>
        <w:bottom w:val="none" w:sz="0" w:space="0" w:color="auto"/>
        <w:right w:val="none" w:sz="0" w:space="0" w:color="auto"/>
      </w:divBdr>
    </w:div>
    <w:div w:id="1213224473">
      <w:bodyDiv w:val="1"/>
      <w:marLeft w:val="0"/>
      <w:marRight w:val="0"/>
      <w:marTop w:val="0"/>
      <w:marBottom w:val="0"/>
      <w:divBdr>
        <w:top w:val="none" w:sz="0" w:space="0" w:color="auto"/>
        <w:left w:val="none" w:sz="0" w:space="0" w:color="auto"/>
        <w:bottom w:val="none" w:sz="0" w:space="0" w:color="auto"/>
        <w:right w:val="none" w:sz="0" w:space="0" w:color="auto"/>
      </w:divBdr>
    </w:div>
    <w:div w:id="1224290360">
      <w:bodyDiv w:val="1"/>
      <w:marLeft w:val="0"/>
      <w:marRight w:val="0"/>
      <w:marTop w:val="0"/>
      <w:marBottom w:val="0"/>
      <w:divBdr>
        <w:top w:val="none" w:sz="0" w:space="0" w:color="auto"/>
        <w:left w:val="none" w:sz="0" w:space="0" w:color="auto"/>
        <w:bottom w:val="none" w:sz="0" w:space="0" w:color="auto"/>
        <w:right w:val="none" w:sz="0" w:space="0" w:color="auto"/>
      </w:divBdr>
    </w:div>
    <w:div w:id="1231454004">
      <w:bodyDiv w:val="1"/>
      <w:marLeft w:val="0"/>
      <w:marRight w:val="0"/>
      <w:marTop w:val="0"/>
      <w:marBottom w:val="0"/>
      <w:divBdr>
        <w:top w:val="none" w:sz="0" w:space="0" w:color="auto"/>
        <w:left w:val="none" w:sz="0" w:space="0" w:color="auto"/>
        <w:bottom w:val="none" w:sz="0" w:space="0" w:color="auto"/>
        <w:right w:val="none" w:sz="0" w:space="0" w:color="auto"/>
      </w:divBdr>
    </w:div>
    <w:div w:id="1233084649">
      <w:bodyDiv w:val="1"/>
      <w:marLeft w:val="0"/>
      <w:marRight w:val="0"/>
      <w:marTop w:val="0"/>
      <w:marBottom w:val="0"/>
      <w:divBdr>
        <w:top w:val="none" w:sz="0" w:space="0" w:color="auto"/>
        <w:left w:val="none" w:sz="0" w:space="0" w:color="auto"/>
        <w:bottom w:val="none" w:sz="0" w:space="0" w:color="auto"/>
        <w:right w:val="none" w:sz="0" w:space="0" w:color="auto"/>
      </w:divBdr>
    </w:div>
    <w:div w:id="1237322536">
      <w:bodyDiv w:val="1"/>
      <w:marLeft w:val="0"/>
      <w:marRight w:val="0"/>
      <w:marTop w:val="0"/>
      <w:marBottom w:val="0"/>
      <w:divBdr>
        <w:top w:val="none" w:sz="0" w:space="0" w:color="auto"/>
        <w:left w:val="none" w:sz="0" w:space="0" w:color="auto"/>
        <w:bottom w:val="none" w:sz="0" w:space="0" w:color="auto"/>
        <w:right w:val="none" w:sz="0" w:space="0" w:color="auto"/>
      </w:divBdr>
      <w:divsChild>
        <w:div w:id="112138963">
          <w:marLeft w:val="274"/>
          <w:marRight w:val="0"/>
          <w:marTop w:val="19"/>
          <w:marBottom w:val="120"/>
          <w:divBdr>
            <w:top w:val="none" w:sz="0" w:space="0" w:color="auto"/>
            <w:left w:val="none" w:sz="0" w:space="0" w:color="auto"/>
            <w:bottom w:val="none" w:sz="0" w:space="0" w:color="auto"/>
            <w:right w:val="none" w:sz="0" w:space="0" w:color="auto"/>
          </w:divBdr>
        </w:div>
        <w:div w:id="223882683">
          <w:marLeft w:val="274"/>
          <w:marRight w:val="0"/>
          <w:marTop w:val="19"/>
          <w:marBottom w:val="120"/>
          <w:divBdr>
            <w:top w:val="none" w:sz="0" w:space="0" w:color="auto"/>
            <w:left w:val="none" w:sz="0" w:space="0" w:color="auto"/>
            <w:bottom w:val="none" w:sz="0" w:space="0" w:color="auto"/>
            <w:right w:val="none" w:sz="0" w:space="0" w:color="auto"/>
          </w:divBdr>
        </w:div>
        <w:div w:id="240219472">
          <w:marLeft w:val="274"/>
          <w:marRight w:val="0"/>
          <w:marTop w:val="19"/>
          <w:marBottom w:val="120"/>
          <w:divBdr>
            <w:top w:val="none" w:sz="0" w:space="0" w:color="auto"/>
            <w:left w:val="none" w:sz="0" w:space="0" w:color="auto"/>
            <w:bottom w:val="none" w:sz="0" w:space="0" w:color="auto"/>
            <w:right w:val="none" w:sz="0" w:space="0" w:color="auto"/>
          </w:divBdr>
        </w:div>
        <w:div w:id="878277730">
          <w:marLeft w:val="274"/>
          <w:marRight w:val="0"/>
          <w:marTop w:val="19"/>
          <w:marBottom w:val="120"/>
          <w:divBdr>
            <w:top w:val="none" w:sz="0" w:space="0" w:color="auto"/>
            <w:left w:val="none" w:sz="0" w:space="0" w:color="auto"/>
            <w:bottom w:val="none" w:sz="0" w:space="0" w:color="auto"/>
            <w:right w:val="none" w:sz="0" w:space="0" w:color="auto"/>
          </w:divBdr>
        </w:div>
        <w:div w:id="950086698">
          <w:marLeft w:val="274"/>
          <w:marRight w:val="0"/>
          <w:marTop w:val="19"/>
          <w:marBottom w:val="120"/>
          <w:divBdr>
            <w:top w:val="none" w:sz="0" w:space="0" w:color="auto"/>
            <w:left w:val="none" w:sz="0" w:space="0" w:color="auto"/>
            <w:bottom w:val="none" w:sz="0" w:space="0" w:color="auto"/>
            <w:right w:val="none" w:sz="0" w:space="0" w:color="auto"/>
          </w:divBdr>
        </w:div>
        <w:div w:id="1230462913">
          <w:marLeft w:val="274"/>
          <w:marRight w:val="0"/>
          <w:marTop w:val="19"/>
          <w:marBottom w:val="120"/>
          <w:divBdr>
            <w:top w:val="none" w:sz="0" w:space="0" w:color="auto"/>
            <w:left w:val="none" w:sz="0" w:space="0" w:color="auto"/>
            <w:bottom w:val="none" w:sz="0" w:space="0" w:color="auto"/>
            <w:right w:val="none" w:sz="0" w:space="0" w:color="auto"/>
          </w:divBdr>
        </w:div>
        <w:div w:id="1363435562">
          <w:marLeft w:val="274"/>
          <w:marRight w:val="0"/>
          <w:marTop w:val="19"/>
          <w:marBottom w:val="120"/>
          <w:divBdr>
            <w:top w:val="none" w:sz="0" w:space="0" w:color="auto"/>
            <w:left w:val="none" w:sz="0" w:space="0" w:color="auto"/>
            <w:bottom w:val="none" w:sz="0" w:space="0" w:color="auto"/>
            <w:right w:val="none" w:sz="0" w:space="0" w:color="auto"/>
          </w:divBdr>
        </w:div>
        <w:div w:id="1413965426">
          <w:marLeft w:val="274"/>
          <w:marRight w:val="0"/>
          <w:marTop w:val="19"/>
          <w:marBottom w:val="120"/>
          <w:divBdr>
            <w:top w:val="none" w:sz="0" w:space="0" w:color="auto"/>
            <w:left w:val="none" w:sz="0" w:space="0" w:color="auto"/>
            <w:bottom w:val="none" w:sz="0" w:space="0" w:color="auto"/>
            <w:right w:val="none" w:sz="0" w:space="0" w:color="auto"/>
          </w:divBdr>
        </w:div>
        <w:div w:id="1601328565">
          <w:marLeft w:val="274"/>
          <w:marRight w:val="0"/>
          <w:marTop w:val="19"/>
          <w:marBottom w:val="120"/>
          <w:divBdr>
            <w:top w:val="none" w:sz="0" w:space="0" w:color="auto"/>
            <w:left w:val="none" w:sz="0" w:space="0" w:color="auto"/>
            <w:bottom w:val="none" w:sz="0" w:space="0" w:color="auto"/>
            <w:right w:val="none" w:sz="0" w:space="0" w:color="auto"/>
          </w:divBdr>
        </w:div>
        <w:div w:id="1932665400">
          <w:marLeft w:val="274"/>
          <w:marRight w:val="0"/>
          <w:marTop w:val="19"/>
          <w:marBottom w:val="120"/>
          <w:divBdr>
            <w:top w:val="none" w:sz="0" w:space="0" w:color="auto"/>
            <w:left w:val="none" w:sz="0" w:space="0" w:color="auto"/>
            <w:bottom w:val="none" w:sz="0" w:space="0" w:color="auto"/>
            <w:right w:val="none" w:sz="0" w:space="0" w:color="auto"/>
          </w:divBdr>
        </w:div>
        <w:div w:id="2062434507">
          <w:marLeft w:val="274"/>
          <w:marRight w:val="0"/>
          <w:marTop w:val="19"/>
          <w:marBottom w:val="120"/>
          <w:divBdr>
            <w:top w:val="none" w:sz="0" w:space="0" w:color="auto"/>
            <w:left w:val="none" w:sz="0" w:space="0" w:color="auto"/>
            <w:bottom w:val="none" w:sz="0" w:space="0" w:color="auto"/>
            <w:right w:val="none" w:sz="0" w:space="0" w:color="auto"/>
          </w:divBdr>
        </w:div>
      </w:divsChild>
    </w:div>
    <w:div w:id="1237664701">
      <w:bodyDiv w:val="1"/>
      <w:marLeft w:val="0"/>
      <w:marRight w:val="0"/>
      <w:marTop w:val="0"/>
      <w:marBottom w:val="0"/>
      <w:divBdr>
        <w:top w:val="none" w:sz="0" w:space="0" w:color="auto"/>
        <w:left w:val="none" w:sz="0" w:space="0" w:color="auto"/>
        <w:bottom w:val="none" w:sz="0" w:space="0" w:color="auto"/>
        <w:right w:val="none" w:sz="0" w:space="0" w:color="auto"/>
      </w:divBdr>
    </w:div>
    <w:div w:id="1237977922">
      <w:bodyDiv w:val="1"/>
      <w:marLeft w:val="0"/>
      <w:marRight w:val="0"/>
      <w:marTop w:val="0"/>
      <w:marBottom w:val="0"/>
      <w:divBdr>
        <w:top w:val="none" w:sz="0" w:space="0" w:color="auto"/>
        <w:left w:val="none" w:sz="0" w:space="0" w:color="auto"/>
        <w:bottom w:val="none" w:sz="0" w:space="0" w:color="auto"/>
        <w:right w:val="none" w:sz="0" w:space="0" w:color="auto"/>
      </w:divBdr>
    </w:div>
    <w:div w:id="1238125338">
      <w:bodyDiv w:val="1"/>
      <w:marLeft w:val="0"/>
      <w:marRight w:val="0"/>
      <w:marTop w:val="0"/>
      <w:marBottom w:val="0"/>
      <w:divBdr>
        <w:top w:val="none" w:sz="0" w:space="0" w:color="auto"/>
        <w:left w:val="none" w:sz="0" w:space="0" w:color="auto"/>
        <w:bottom w:val="none" w:sz="0" w:space="0" w:color="auto"/>
        <w:right w:val="none" w:sz="0" w:space="0" w:color="auto"/>
      </w:divBdr>
    </w:div>
    <w:div w:id="1241674484">
      <w:bodyDiv w:val="1"/>
      <w:marLeft w:val="0"/>
      <w:marRight w:val="0"/>
      <w:marTop w:val="0"/>
      <w:marBottom w:val="0"/>
      <w:divBdr>
        <w:top w:val="none" w:sz="0" w:space="0" w:color="auto"/>
        <w:left w:val="none" w:sz="0" w:space="0" w:color="auto"/>
        <w:bottom w:val="none" w:sz="0" w:space="0" w:color="auto"/>
        <w:right w:val="none" w:sz="0" w:space="0" w:color="auto"/>
      </w:divBdr>
    </w:div>
    <w:div w:id="1249000944">
      <w:bodyDiv w:val="1"/>
      <w:marLeft w:val="0"/>
      <w:marRight w:val="0"/>
      <w:marTop w:val="0"/>
      <w:marBottom w:val="0"/>
      <w:divBdr>
        <w:top w:val="none" w:sz="0" w:space="0" w:color="auto"/>
        <w:left w:val="none" w:sz="0" w:space="0" w:color="auto"/>
        <w:bottom w:val="none" w:sz="0" w:space="0" w:color="auto"/>
        <w:right w:val="none" w:sz="0" w:space="0" w:color="auto"/>
      </w:divBdr>
    </w:div>
    <w:div w:id="1251739850">
      <w:bodyDiv w:val="1"/>
      <w:marLeft w:val="0"/>
      <w:marRight w:val="0"/>
      <w:marTop w:val="0"/>
      <w:marBottom w:val="0"/>
      <w:divBdr>
        <w:top w:val="none" w:sz="0" w:space="0" w:color="auto"/>
        <w:left w:val="none" w:sz="0" w:space="0" w:color="auto"/>
        <w:bottom w:val="none" w:sz="0" w:space="0" w:color="auto"/>
        <w:right w:val="none" w:sz="0" w:space="0" w:color="auto"/>
      </w:divBdr>
    </w:div>
    <w:div w:id="1254129229">
      <w:bodyDiv w:val="1"/>
      <w:marLeft w:val="0"/>
      <w:marRight w:val="0"/>
      <w:marTop w:val="0"/>
      <w:marBottom w:val="0"/>
      <w:divBdr>
        <w:top w:val="none" w:sz="0" w:space="0" w:color="auto"/>
        <w:left w:val="none" w:sz="0" w:space="0" w:color="auto"/>
        <w:bottom w:val="none" w:sz="0" w:space="0" w:color="auto"/>
        <w:right w:val="none" w:sz="0" w:space="0" w:color="auto"/>
      </w:divBdr>
    </w:div>
    <w:div w:id="1255702449">
      <w:bodyDiv w:val="1"/>
      <w:marLeft w:val="0"/>
      <w:marRight w:val="0"/>
      <w:marTop w:val="0"/>
      <w:marBottom w:val="0"/>
      <w:divBdr>
        <w:top w:val="none" w:sz="0" w:space="0" w:color="auto"/>
        <w:left w:val="none" w:sz="0" w:space="0" w:color="auto"/>
        <w:bottom w:val="none" w:sz="0" w:space="0" w:color="auto"/>
        <w:right w:val="none" w:sz="0" w:space="0" w:color="auto"/>
      </w:divBdr>
    </w:div>
    <w:div w:id="1259823926">
      <w:bodyDiv w:val="1"/>
      <w:marLeft w:val="0"/>
      <w:marRight w:val="0"/>
      <w:marTop w:val="0"/>
      <w:marBottom w:val="0"/>
      <w:divBdr>
        <w:top w:val="none" w:sz="0" w:space="0" w:color="auto"/>
        <w:left w:val="none" w:sz="0" w:space="0" w:color="auto"/>
        <w:bottom w:val="none" w:sz="0" w:space="0" w:color="auto"/>
        <w:right w:val="none" w:sz="0" w:space="0" w:color="auto"/>
      </w:divBdr>
    </w:div>
    <w:div w:id="1261915224">
      <w:bodyDiv w:val="1"/>
      <w:marLeft w:val="0"/>
      <w:marRight w:val="0"/>
      <w:marTop w:val="0"/>
      <w:marBottom w:val="0"/>
      <w:divBdr>
        <w:top w:val="none" w:sz="0" w:space="0" w:color="auto"/>
        <w:left w:val="none" w:sz="0" w:space="0" w:color="auto"/>
        <w:bottom w:val="none" w:sz="0" w:space="0" w:color="auto"/>
        <w:right w:val="none" w:sz="0" w:space="0" w:color="auto"/>
      </w:divBdr>
    </w:div>
    <w:div w:id="1262102841">
      <w:bodyDiv w:val="1"/>
      <w:marLeft w:val="0"/>
      <w:marRight w:val="0"/>
      <w:marTop w:val="0"/>
      <w:marBottom w:val="0"/>
      <w:divBdr>
        <w:top w:val="none" w:sz="0" w:space="0" w:color="auto"/>
        <w:left w:val="none" w:sz="0" w:space="0" w:color="auto"/>
        <w:bottom w:val="none" w:sz="0" w:space="0" w:color="auto"/>
        <w:right w:val="none" w:sz="0" w:space="0" w:color="auto"/>
      </w:divBdr>
    </w:div>
    <w:div w:id="1267881112">
      <w:bodyDiv w:val="1"/>
      <w:marLeft w:val="0"/>
      <w:marRight w:val="0"/>
      <w:marTop w:val="0"/>
      <w:marBottom w:val="0"/>
      <w:divBdr>
        <w:top w:val="none" w:sz="0" w:space="0" w:color="auto"/>
        <w:left w:val="none" w:sz="0" w:space="0" w:color="auto"/>
        <w:bottom w:val="none" w:sz="0" w:space="0" w:color="auto"/>
        <w:right w:val="none" w:sz="0" w:space="0" w:color="auto"/>
      </w:divBdr>
    </w:div>
    <w:div w:id="1269656211">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
    <w:div w:id="1274554886">
      <w:bodyDiv w:val="1"/>
      <w:marLeft w:val="0"/>
      <w:marRight w:val="0"/>
      <w:marTop w:val="0"/>
      <w:marBottom w:val="0"/>
      <w:divBdr>
        <w:top w:val="none" w:sz="0" w:space="0" w:color="auto"/>
        <w:left w:val="none" w:sz="0" w:space="0" w:color="auto"/>
        <w:bottom w:val="none" w:sz="0" w:space="0" w:color="auto"/>
        <w:right w:val="none" w:sz="0" w:space="0" w:color="auto"/>
      </w:divBdr>
    </w:div>
    <w:div w:id="1275669482">
      <w:bodyDiv w:val="1"/>
      <w:marLeft w:val="0"/>
      <w:marRight w:val="0"/>
      <w:marTop w:val="0"/>
      <w:marBottom w:val="0"/>
      <w:divBdr>
        <w:top w:val="none" w:sz="0" w:space="0" w:color="auto"/>
        <w:left w:val="none" w:sz="0" w:space="0" w:color="auto"/>
        <w:bottom w:val="none" w:sz="0" w:space="0" w:color="auto"/>
        <w:right w:val="none" w:sz="0" w:space="0" w:color="auto"/>
      </w:divBdr>
    </w:div>
    <w:div w:id="1282153310">
      <w:bodyDiv w:val="1"/>
      <w:marLeft w:val="0"/>
      <w:marRight w:val="0"/>
      <w:marTop w:val="0"/>
      <w:marBottom w:val="0"/>
      <w:divBdr>
        <w:top w:val="none" w:sz="0" w:space="0" w:color="auto"/>
        <w:left w:val="none" w:sz="0" w:space="0" w:color="auto"/>
        <w:bottom w:val="none" w:sz="0" w:space="0" w:color="auto"/>
        <w:right w:val="none" w:sz="0" w:space="0" w:color="auto"/>
      </w:divBdr>
    </w:div>
    <w:div w:id="1283802291">
      <w:bodyDiv w:val="1"/>
      <w:marLeft w:val="0"/>
      <w:marRight w:val="0"/>
      <w:marTop w:val="0"/>
      <w:marBottom w:val="0"/>
      <w:divBdr>
        <w:top w:val="none" w:sz="0" w:space="0" w:color="auto"/>
        <w:left w:val="none" w:sz="0" w:space="0" w:color="auto"/>
        <w:bottom w:val="none" w:sz="0" w:space="0" w:color="auto"/>
        <w:right w:val="none" w:sz="0" w:space="0" w:color="auto"/>
      </w:divBdr>
      <w:divsChild>
        <w:div w:id="22023301">
          <w:marLeft w:val="0"/>
          <w:marRight w:val="0"/>
          <w:marTop w:val="0"/>
          <w:marBottom w:val="0"/>
          <w:divBdr>
            <w:top w:val="none" w:sz="0" w:space="0" w:color="auto"/>
            <w:left w:val="none" w:sz="0" w:space="0" w:color="auto"/>
            <w:bottom w:val="none" w:sz="0" w:space="0" w:color="auto"/>
            <w:right w:val="none" w:sz="0" w:space="0" w:color="auto"/>
          </w:divBdr>
        </w:div>
      </w:divsChild>
    </w:div>
    <w:div w:id="1286230756">
      <w:bodyDiv w:val="1"/>
      <w:marLeft w:val="0"/>
      <w:marRight w:val="0"/>
      <w:marTop w:val="0"/>
      <w:marBottom w:val="0"/>
      <w:divBdr>
        <w:top w:val="none" w:sz="0" w:space="0" w:color="auto"/>
        <w:left w:val="none" w:sz="0" w:space="0" w:color="auto"/>
        <w:bottom w:val="none" w:sz="0" w:space="0" w:color="auto"/>
        <w:right w:val="none" w:sz="0" w:space="0" w:color="auto"/>
      </w:divBdr>
    </w:div>
    <w:div w:id="1287010459">
      <w:bodyDiv w:val="1"/>
      <w:marLeft w:val="0"/>
      <w:marRight w:val="0"/>
      <w:marTop w:val="0"/>
      <w:marBottom w:val="0"/>
      <w:divBdr>
        <w:top w:val="none" w:sz="0" w:space="0" w:color="auto"/>
        <w:left w:val="none" w:sz="0" w:space="0" w:color="auto"/>
        <w:bottom w:val="none" w:sz="0" w:space="0" w:color="auto"/>
        <w:right w:val="none" w:sz="0" w:space="0" w:color="auto"/>
      </w:divBdr>
    </w:div>
    <w:div w:id="1295988345">
      <w:bodyDiv w:val="1"/>
      <w:marLeft w:val="0"/>
      <w:marRight w:val="0"/>
      <w:marTop w:val="0"/>
      <w:marBottom w:val="0"/>
      <w:divBdr>
        <w:top w:val="none" w:sz="0" w:space="0" w:color="auto"/>
        <w:left w:val="none" w:sz="0" w:space="0" w:color="auto"/>
        <w:bottom w:val="none" w:sz="0" w:space="0" w:color="auto"/>
        <w:right w:val="none" w:sz="0" w:space="0" w:color="auto"/>
      </w:divBdr>
    </w:div>
    <w:div w:id="1301838601">
      <w:bodyDiv w:val="1"/>
      <w:marLeft w:val="0"/>
      <w:marRight w:val="0"/>
      <w:marTop w:val="0"/>
      <w:marBottom w:val="0"/>
      <w:divBdr>
        <w:top w:val="none" w:sz="0" w:space="0" w:color="auto"/>
        <w:left w:val="none" w:sz="0" w:space="0" w:color="auto"/>
        <w:bottom w:val="none" w:sz="0" w:space="0" w:color="auto"/>
        <w:right w:val="none" w:sz="0" w:space="0" w:color="auto"/>
      </w:divBdr>
    </w:div>
    <w:div w:id="1302492852">
      <w:bodyDiv w:val="1"/>
      <w:marLeft w:val="0"/>
      <w:marRight w:val="0"/>
      <w:marTop w:val="0"/>
      <w:marBottom w:val="0"/>
      <w:divBdr>
        <w:top w:val="none" w:sz="0" w:space="0" w:color="auto"/>
        <w:left w:val="none" w:sz="0" w:space="0" w:color="auto"/>
        <w:bottom w:val="none" w:sz="0" w:space="0" w:color="auto"/>
        <w:right w:val="none" w:sz="0" w:space="0" w:color="auto"/>
      </w:divBdr>
    </w:div>
    <w:div w:id="1308389218">
      <w:bodyDiv w:val="1"/>
      <w:marLeft w:val="0"/>
      <w:marRight w:val="0"/>
      <w:marTop w:val="0"/>
      <w:marBottom w:val="0"/>
      <w:divBdr>
        <w:top w:val="none" w:sz="0" w:space="0" w:color="auto"/>
        <w:left w:val="none" w:sz="0" w:space="0" w:color="auto"/>
        <w:bottom w:val="none" w:sz="0" w:space="0" w:color="auto"/>
        <w:right w:val="none" w:sz="0" w:space="0" w:color="auto"/>
      </w:divBdr>
    </w:div>
    <w:div w:id="1310014572">
      <w:bodyDiv w:val="1"/>
      <w:marLeft w:val="0"/>
      <w:marRight w:val="0"/>
      <w:marTop w:val="0"/>
      <w:marBottom w:val="0"/>
      <w:divBdr>
        <w:top w:val="none" w:sz="0" w:space="0" w:color="auto"/>
        <w:left w:val="none" w:sz="0" w:space="0" w:color="auto"/>
        <w:bottom w:val="none" w:sz="0" w:space="0" w:color="auto"/>
        <w:right w:val="none" w:sz="0" w:space="0" w:color="auto"/>
      </w:divBdr>
    </w:div>
    <w:div w:id="1311590874">
      <w:bodyDiv w:val="1"/>
      <w:marLeft w:val="0"/>
      <w:marRight w:val="0"/>
      <w:marTop w:val="0"/>
      <w:marBottom w:val="0"/>
      <w:divBdr>
        <w:top w:val="none" w:sz="0" w:space="0" w:color="auto"/>
        <w:left w:val="none" w:sz="0" w:space="0" w:color="auto"/>
        <w:bottom w:val="none" w:sz="0" w:space="0" w:color="auto"/>
        <w:right w:val="none" w:sz="0" w:space="0" w:color="auto"/>
      </w:divBdr>
    </w:div>
    <w:div w:id="1317564128">
      <w:bodyDiv w:val="1"/>
      <w:marLeft w:val="0"/>
      <w:marRight w:val="0"/>
      <w:marTop w:val="0"/>
      <w:marBottom w:val="0"/>
      <w:divBdr>
        <w:top w:val="none" w:sz="0" w:space="0" w:color="auto"/>
        <w:left w:val="none" w:sz="0" w:space="0" w:color="auto"/>
        <w:bottom w:val="none" w:sz="0" w:space="0" w:color="auto"/>
        <w:right w:val="none" w:sz="0" w:space="0" w:color="auto"/>
      </w:divBdr>
    </w:div>
    <w:div w:id="1319110141">
      <w:bodyDiv w:val="1"/>
      <w:marLeft w:val="0"/>
      <w:marRight w:val="0"/>
      <w:marTop w:val="0"/>
      <w:marBottom w:val="0"/>
      <w:divBdr>
        <w:top w:val="none" w:sz="0" w:space="0" w:color="auto"/>
        <w:left w:val="none" w:sz="0" w:space="0" w:color="auto"/>
        <w:bottom w:val="none" w:sz="0" w:space="0" w:color="auto"/>
        <w:right w:val="none" w:sz="0" w:space="0" w:color="auto"/>
      </w:divBdr>
    </w:div>
    <w:div w:id="1320425007">
      <w:bodyDiv w:val="1"/>
      <w:marLeft w:val="0"/>
      <w:marRight w:val="0"/>
      <w:marTop w:val="0"/>
      <w:marBottom w:val="0"/>
      <w:divBdr>
        <w:top w:val="none" w:sz="0" w:space="0" w:color="auto"/>
        <w:left w:val="none" w:sz="0" w:space="0" w:color="auto"/>
        <w:bottom w:val="none" w:sz="0" w:space="0" w:color="auto"/>
        <w:right w:val="none" w:sz="0" w:space="0" w:color="auto"/>
      </w:divBdr>
    </w:div>
    <w:div w:id="1323116750">
      <w:bodyDiv w:val="1"/>
      <w:marLeft w:val="0"/>
      <w:marRight w:val="0"/>
      <w:marTop w:val="0"/>
      <w:marBottom w:val="0"/>
      <w:divBdr>
        <w:top w:val="none" w:sz="0" w:space="0" w:color="auto"/>
        <w:left w:val="none" w:sz="0" w:space="0" w:color="auto"/>
        <w:bottom w:val="none" w:sz="0" w:space="0" w:color="auto"/>
        <w:right w:val="none" w:sz="0" w:space="0" w:color="auto"/>
      </w:divBdr>
    </w:div>
    <w:div w:id="1325233787">
      <w:bodyDiv w:val="1"/>
      <w:marLeft w:val="0"/>
      <w:marRight w:val="0"/>
      <w:marTop w:val="0"/>
      <w:marBottom w:val="0"/>
      <w:divBdr>
        <w:top w:val="none" w:sz="0" w:space="0" w:color="auto"/>
        <w:left w:val="none" w:sz="0" w:space="0" w:color="auto"/>
        <w:bottom w:val="none" w:sz="0" w:space="0" w:color="auto"/>
        <w:right w:val="none" w:sz="0" w:space="0" w:color="auto"/>
      </w:divBdr>
    </w:div>
    <w:div w:id="1325862444">
      <w:bodyDiv w:val="1"/>
      <w:marLeft w:val="0"/>
      <w:marRight w:val="0"/>
      <w:marTop w:val="0"/>
      <w:marBottom w:val="0"/>
      <w:divBdr>
        <w:top w:val="none" w:sz="0" w:space="0" w:color="auto"/>
        <w:left w:val="none" w:sz="0" w:space="0" w:color="auto"/>
        <w:bottom w:val="none" w:sz="0" w:space="0" w:color="auto"/>
        <w:right w:val="none" w:sz="0" w:space="0" w:color="auto"/>
      </w:divBdr>
    </w:div>
    <w:div w:id="1326973923">
      <w:bodyDiv w:val="1"/>
      <w:marLeft w:val="0"/>
      <w:marRight w:val="0"/>
      <w:marTop w:val="0"/>
      <w:marBottom w:val="0"/>
      <w:divBdr>
        <w:top w:val="none" w:sz="0" w:space="0" w:color="auto"/>
        <w:left w:val="none" w:sz="0" w:space="0" w:color="auto"/>
        <w:bottom w:val="none" w:sz="0" w:space="0" w:color="auto"/>
        <w:right w:val="none" w:sz="0" w:space="0" w:color="auto"/>
      </w:divBdr>
    </w:div>
    <w:div w:id="1328434560">
      <w:bodyDiv w:val="1"/>
      <w:marLeft w:val="0"/>
      <w:marRight w:val="0"/>
      <w:marTop w:val="0"/>
      <w:marBottom w:val="0"/>
      <w:divBdr>
        <w:top w:val="none" w:sz="0" w:space="0" w:color="auto"/>
        <w:left w:val="none" w:sz="0" w:space="0" w:color="auto"/>
        <w:bottom w:val="none" w:sz="0" w:space="0" w:color="auto"/>
        <w:right w:val="none" w:sz="0" w:space="0" w:color="auto"/>
      </w:divBdr>
    </w:div>
    <w:div w:id="1329940780">
      <w:bodyDiv w:val="1"/>
      <w:marLeft w:val="0"/>
      <w:marRight w:val="0"/>
      <w:marTop w:val="0"/>
      <w:marBottom w:val="0"/>
      <w:divBdr>
        <w:top w:val="none" w:sz="0" w:space="0" w:color="auto"/>
        <w:left w:val="none" w:sz="0" w:space="0" w:color="auto"/>
        <w:bottom w:val="none" w:sz="0" w:space="0" w:color="auto"/>
        <w:right w:val="none" w:sz="0" w:space="0" w:color="auto"/>
      </w:divBdr>
    </w:div>
    <w:div w:id="1331718919">
      <w:bodyDiv w:val="1"/>
      <w:marLeft w:val="0"/>
      <w:marRight w:val="0"/>
      <w:marTop w:val="0"/>
      <w:marBottom w:val="0"/>
      <w:divBdr>
        <w:top w:val="none" w:sz="0" w:space="0" w:color="auto"/>
        <w:left w:val="none" w:sz="0" w:space="0" w:color="auto"/>
        <w:bottom w:val="none" w:sz="0" w:space="0" w:color="auto"/>
        <w:right w:val="none" w:sz="0" w:space="0" w:color="auto"/>
      </w:divBdr>
    </w:div>
    <w:div w:id="1335916903">
      <w:bodyDiv w:val="1"/>
      <w:marLeft w:val="0"/>
      <w:marRight w:val="0"/>
      <w:marTop w:val="0"/>
      <w:marBottom w:val="0"/>
      <w:divBdr>
        <w:top w:val="none" w:sz="0" w:space="0" w:color="auto"/>
        <w:left w:val="none" w:sz="0" w:space="0" w:color="auto"/>
        <w:bottom w:val="none" w:sz="0" w:space="0" w:color="auto"/>
        <w:right w:val="none" w:sz="0" w:space="0" w:color="auto"/>
      </w:divBdr>
    </w:div>
    <w:div w:id="1344699688">
      <w:bodyDiv w:val="1"/>
      <w:marLeft w:val="0"/>
      <w:marRight w:val="0"/>
      <w:marTop w:val="0"/>
      <w:marBottom w:val="0"/>
      <w:divBdr>
        <w:top w:val="none" w:sz="0" w:space="0" w:color="auto"/>
        <w:left w:val="none" w:sz="0" w:space="0" w:color="auto"/>
        <w:bottom w:val="none" w:sz="0" w:space="0" w:color="auto"/>
        <w:right w:val="none" w:sz="0" w:space="0" w:color="auto"/>
      </w:divBdr>
    </w:div>
    <w:div w:id="1345283442">
      <w:bodyDiv w:val="1"/>
      <w:marLeft w:val="0"/>
      <w:marRight w:val="0"/>
      <w:marTop w:val="0"/>
      <w:marBottom w:val="0"/>
      <w:divBdr>
        <w:top w:val="none" w:sz="0" w:space="0" w:color="auto"/>
        <w:left w:val="none" w:sz="0" w:space="0" w:color="auto"/>
        <w:bottom w:val="none" w:sz="0" w:space="0" w:color="auto"/>
        <w:right w:val="none" w:sz="0" w:space="0" w:color="auto"/>
      </w:divBdr>
    </w:div>
    <w:div w:id="1349020166">
      <w:bodyDiv w:val="1"/>
      <w:marLeft w:val="0"/>
      <w:marRight w:val="0"/>
      <w:marTop w:val="0"/>
      <w:marBottom w:val="0"/>
      <w:divBdr>
        <w:top w:val="none" w:sz="0" w:space="0" w:color="auto"/>
        <w:left w:val="none" w:sz="0" w:space="0" w:color="auto"/>
        <w:bottom w:val="none" w:sz="0" w:space="0" w:color="auto"/>
        <w:right w:val="none" w:sz="0" w:space="0" w:color="auto"/>
      </w:divBdr>
    </w:div>
    <w:div w:id="1350717407">
      <w:bodyDiv w:val="1"/>
      <w:marLeft w:val="0"/>
      <w:marRight w:val="0"/>
      <w:marTop w:val="0"/>
      <w:marBottom w:val="0"/>
      <w:divBdr>
        <w:top w:val="none" w:sz="0" w:space="0" w:color="auto"/>
        <w:left w:val="none" w:sz="0" w:space="0" w:color="auto"/>
        <w:bottom w:val="none" w:sz="0" w:space="0" w:color="auto"/>
        <w:right w:val="none" w:sz="0" w:space="0" w:color="auto"/>
      </w:divBdr>
    </w:div>
    <w:div w:id="1351443933">
      <w:bodyDiv w:val="1"/>
      <w:marLeft w:val="0"/>
      <w:marRight w:val="0"/>
      <w:marTop w:val="0"/>
      <w:marBottom w:val="0"/>
      <w:divBdr>
        <w:top w:val="none" w:sz="0" w:space="0" w:color="auto"/>
        <w:left w:val="none" w:sz="0" w:space="0" w:color="auto"/>
        <w:bottom w:val="none" w:sz="0" w:space="0" w:color="auto"/>
        <w:right w:val="none" w:sz="0" w:space="0" w:color="auto"/>
      </w:divBdr>
    </w:div>
    <w:div w:id="1353149658">
      <w:bodyDiv w:val="1"/>
      <w:marLeft w:val="0"/>
      <w:marRight w:val="0"/>
      <w:marTop w:val="0"/>
      <w:marBottom w:val="0"/>
      <w:divBdr>
        <w:top w:val="none" w:sz="0" w:space="0" w:color="auto"/>
        <w:left w:val="none" w:sz="0" w:space="0" w:color="auto"/>
        <w:bottom w:val="none" w:sz="0" w:space="0" w:color="auto"/>
        <w:right w:val="none" w:sz="0" w:space="0" w:color="auto"/>
      </w:divBdr>
    </w:div>
    <w:div w:id="1357652500">
      <w:bodyDiv w:val="1"/>
      <w:marLeft w:val="0"/>
      <w:marRight w:val="0"/>
      <w:marTop w:val="0"/>
      <w:marBottom w:val="0"/>
      <w:divBdr>
        <w:top w:val="none" w:sz="0" w:space="0" w:color="auto"/>
        <w:left w:val="none" w:sz="0" w:space="0" w:color="auto"/>
        <w:bottom w:val="none" w:sz="0" w:space="0" w:color="auto"/>
        <w:right w:val="none" w:sz="0" w:space="0" w:color="auto"/>
      </w:divBdr>
    </w:div>
    <w:div w:id="1359235873">
      <w:bodyDiv w:val="1"/>
      <w:marLeft w:val="0"/>
      <w:marRight w:val="0"/>
      <w:marTop w:val="0"/>
      <w:marBottom w:val="0"/>
      <w:divBdr>
        <w:top w:val="none" w:sz="0" w:space="0" w:color="auto"/>
        <w:left w:val="none" w:sz="0" w:space="0" w:color="auto"/>
        <w:bottom w:val="none" w:sz="0" w:space="0" w:color="auto"/>
        <w:right w:val="none" w:sz="0" w:space="0" w:color="auto"/>
      </w:divBdr>
    </w:div>
    <w:div w:id="1360354605">
      <w:bodyDiv w:val="1"/>
      <w:marLeft w:val="0"/>
      <w:marRight w:val="0"/>
      <w:marTop w:val="0"/>
      <w:marBottom w:val="0"/>
      <w:divBdr>
        <w:top w:val="none" w:sz="0" w:space="0" w:color="auto"/>
        <w:left w:val="none" w:sz="0" w:space="0" w:color="auto"/>
        <w:bottom w:val="none" w:sz="0" w:space="0" w:color="auto"/>
        <w:right w:val="none" w:sz="0" w:space="0" w:color="auto"/>
      </w:divBdr>
    </w:div>
    <w:div w:id="1366560231">
      <w:bodyDiv w:val="1"/>
      <w:marLeft w:val="0"/>
      <w:marRight w:val="0"/>
      <w:marTop w:val="0"/>
      <w:marBottom w:val="0"/>
      <w:divBdr>
        <w:top w:val="none" w:sz="0" w:space="0" w:color="auto"/>
        <w:left w:val="none" w:sz="0" w:space="0" w:color="auto"/>
        <w:bottom w:val="none" w:sz="0" w:space="0" w:color="auto"/>
        <w:right w:val="none" w:sz="0" w:space="0" w:color="auto"/>
      </w:divBdr>
    </w:div>
    <w:div w:id="1371883043">
      <w:bodyDiv w:val="1"/>
      <w:marLeft w:val="0"/>
      <w:marRight w:val="0"/>
      <w:marTop w:val="0"/>
      <w:marBottom w:val="0"/>
      <w:divBdr>
        <w:top w:val="none" w:sz="0" w:space="0" w:color="auto"/>
        <w:left w:val="none" w:sz="0" w:space="0" w:color="auto"/>
        <w:bottom w:val="none" w:sz="0" w:space="0" w:color="auto"/>
        <w:right w:val="none" w:sz="0" w:space="0" w:color="auto"/>
      </w:divBdr>
    </w:div>
    <w:div w:id="1382361304">
      <w:bodyDiv w:val="1"/>
      <w:marLeft w:val="0"/>
      <w:marRight w:val="0"/>
      <w:marTop w:val="0"/>
      <w:marBottom w:val="0"/>
      <w:divBdr>
        <w:top w:val="none" w:sz="0" w:space="0" w:color="auto"/>
        <w:left w:val="none" w:sz="0" w:space="0" w:color="auto"/>
        <w:bottom w:val="none" w:sz="0" w:space="0" w:color="auto"/>
        <w:right w:val="none" w:sz="0" w:space="0" w:color="auto"/>
      </w:divBdr>
    </w:div>
    <w:div w:id="1384792318">
      <w:bodyDiv w:val="1"/>
      <w:marLeft w:val="0"/>
      <w:marRight w:val="0"/>
      <w:marTop w:val="0"/>
      <w:marBottom w:val="0"/>
      <w:divBdr>
        <w:top w:val="none" w:sz="0" w:space="0" w:color="auto"/>
        <w:left w:val="none" w:sz="0" w:space="0" w:color="auto"/>
        <w:bottom w:val="none" w:sz="0" w:space="0" w:color="auto"/>
        <w:right w:val="none" w:sz="0" w:space="0" w:color="auto"/>
      </w:divBdr>
    </w:div>
    <w:div w:id="1389694162">
      <w:bodyDiv w:val="1"/>
      <w:marLeft w:val="0"/>
      <w:marRight w:val="0"/>
      <w:marTop w:val="0"/>
      <w:marBottom w:val="0"/>
      <w:divBdr>
        <w:top w:val="none" w:sz="0" w:space="0" w:color="auto"/>
        <w:left w:val="none" w:sz="0" w:space="0" w:color="auto"/>
        <w:bottom w:val="none" w:sz="0" w:space="0" w:color="auto"/>
        <w:right w:val="none" w:sz="0" w:space="0" w:color="auto"/>
      </w:divBdr>
    </w:div>
    <w:div w:id="1390110481">
      <w:bodyDiv w:val="1"/>
      <w:marLeft w:val="0"/>
      <w:marRight w:val="0"/>
      <w:marTop w:val="0"/>
      <w:marBottom w:val="0"/>
      <w:divBdr>
        <w:top w:val="none" w:sz="0" w:space="0" w:color="auto"/>
        <w:left w:val="none" w:sz="0" w:space="0" w:color="auto"/>
        <w:bottom w:val="none" w:sz="0" w:space="0" w:color="auto"/>
        <w:right w:val="none" w:sz="0" w:space="0" w:color="auto"/>
      </w:divBdr>
    </w:div>
    <w:div w:id="1393501347">
      <w:bodyDiv w:val="1"/>
      <w:marLeft w:val="0"/>
      <w:marRight w:val="0"/>
      <w:marTop w:val="0"/>
      <w:marBottom w:val="0"/>
      <w:divBdr>
        <w:top w:val="none" w:sz="0" w:space="0" w:color="auto"/>
        <w:left w:val="none" w:sz="0" w:space="0" w:color="auto"/>
        <w:bottom w:val="none" w:sz="0" w:space="0" w:color="auto"/>
        <w:right w:val="none" w:sz="0" w:space="0" w:color="auto"/>
      </w:divBdr>
    </w:div>
    <w:div w:id="1394229952">
      <w:bodyDiv w:val="1"/>
      <w:marLeft w:val="0"/>
      <w:marRight w:val="0"/>
      <w:marTop w:val="0"/>
      <w:marBottom w:val="0"/>
      <w:divBdr>
        <w:top w:val="none" w:sz="0" w:space="0" w:color="auto"/>
        <w:left w:val="none" w:sz="0" w:space="0" w:color="auto"/>
        <w:bottom w:val="none" w:sz="0" w:space="0" w:color="auto"/>
        <w:right w:val="none" w:sz="0" w:space="0" w:color="auto"/>
      </w:divBdr>
    </w:div>
    <w:div w:id="1394739443">
      <w:bodyDiv w:val="1"/>
      <w:marLeft w:val="0"/>
      <w:marRight w:val="0"/>
      <w:marTop w:val="0"/>
      <w:marBottom w:val="0"/>
      <w:divBdr>
        <w:top w:val="none" w:sz="0" w:space="0" w:color="auto"/>
        <w:left w:val="none" w:sz="0" w:space="0" w:color="auto"/>
        <w:bottom w:val="none" w:sz="0" w:space="0" w:color="auto"/>
        <w:right w:val="none" w:sz="0" w:space="0" w:color="auto"/>
      </w:divBdr>
    </w:div>
    <w:div w:id="1401173379">
      <w:bodyDiv w:val="1"/>
      <w:marLeft w:val="0"/>
      <w:marRight w:val="0"/>
      <w:marTop w:val="0"/>
      <w:marBottom w:val="0"/>
      <w:divBdr>
        <w:top w:val="none" w:sz="0" w:space="0" w:color="auto"/>
        <w:left w:val="none" w:sz="0" w:space="0" w:color="auto"/>
        <w:bottom w:val="none" w:sz="0" w:space="0" w:color="auto"/>
        <w:right w:val="none" w:sz="0" w:space="0" w:color="auto"/>
      </w:divBdr>
    </w:div>
    <w:div w:id="1401975030">
      <w:bodyDiv w:val="1"/>
      <w:marLeft w:val="0"/>
      <w:marRight w:val="0"/>
      <w:marTop w:val="0"/>
      <w:marBottom w:val="0"/>
      <w:divBdr>
        <w:top w:val="none" w:sz="0" w:space="0" w:color="auto"/>
        <w:left w:val="none" w:sz="0" w:space="0" w:color="auto"/>
        <w:bottom w:val="none" w:sz="0" w:space="0" w:color="auto"/>
        <w:right w:val="none" w:sz="0" w:space="0" w:color="auto"/>
      </w:divBdr>
    </w:div>
    <w:div w:id="1404376986">
      <w:bodyDiv w:val="1"/>
      <w:marLeft w:val="0"/>
      <w:marRight w:val="0"/>
      <w:marTop w:val="0"/>
      <w:marBottom w:val="0"/>
      <w:divBdr>
        <w:top w:val="none" w:sz="0" w:space="0" w:color="auto"/>
        <w:left w:val="none" w:sz="0" w:space="0" w:color="auto"/>
        <w:bottom w:val="none" w:sz="0" w:space="0" w:color="auto"/>
        <w:right w:val="none" w:sz="0" w:space="0" w:color="auto"/>
      </w:divBdr>
    </w:div>
    <w:div w:id="1409767589">
      <w:bodyDiv w:val="1"/>
      <w:marLeft w:val="0"/>
      <w:marRight w:val="0"/>
      <w:marTop w:val="0"/>
      <w:marBottom w:val="0"/>
      <w:divBdr>
        <w:top w:val="none" w:sz="0" w:space="0" w:color="auto"/>
        <w:left w:val="none" w:sz="0" w:space="0" w:color="auto"/>
        <w:bottom w:val="none" w:sz="0" w:space="0" w:color="auto"/>
        <w:right w:val="none" w:sz="0" w:space="0" w:color="auto"/>
      </w:divBdr>
      <w:divsChild>
        <w:div w:id="1481582413">
          <w:marLeft w:val="547"/>
          <w:marRight w:val="0"/>
          <w:marTop w:val="0"/>
          <w:marBottom w:val="0"/>
          <w:divBdr>
            <w:top w:val="none" w:sz="0" w:space="0" w:color="auto"/>
            <w:left w:val="none" w:sz="0" w:space="0" w:color="auto"/>
            <w:bottom w:val="none" w:sz="0" w:space="0" w:color="auto"/>
            <w:right w:val="none" w:sz="0" w:space="0" w:color="auto"/>
          </w:divBdr>
        </w:div>
      </w:divsChild>
    </w:div>
    <w:div w:id="1423405988">
      <w:bodyDiv w:val="1"/>
      <w:marLeft w:val="0"/>
      <w:marRight w:val="0"/>
      <w:marTop w:val="0"/>
      <w:marBottom w:val="0"/>
      <w:divBdr>
        <w:top w:val="none" w:sz="0" w:space="0" w:color="auto"/>
        <w:left w:val="none" w:sz="0" w:space="0" w:color="auto"/>
        <w:bottom w:val="none" w:sz="0" w:space="0" w:color="auto"/>
        <w:right w:val="none" w:sz="0" w:space="0" w:color="auto"/>
      </w:divBdr>
    </w:div>
    <w:div w:id="1425303676">
      <w:bodyDiv w:val="1"/>
      <w:marLeft w:val="0"/>
      <w:marRight w:val="0"/>
      <w:marTop w:val="0"/>
      <w:marBottom w:val="0"/>
      <w:divBdr>
        <w:top w:val="none" w:sz="0" w:space="0" w:color="auto"/>
        <w:left w:val="none" w:sz="0" w:space="0" w:color="auto"/>
        <w:bottom w:val="none" w:sz="0" w:space="0" w:color="auto"/>
        <w:right w:val="none" w:sz="0" w:space="0" w:color="auto"/>
      </w:divBdr>
    </w:div>
    <w:div w:id="1427380547">
      <w:bodyDiv w:val="1"/>
      <w:marLeft w:val="0"/>
      <w:marRight w:val="0"/>
      <w:marTop w:val="0"/>
      <w:marBottom w:val="0"/>
      <w:divBdr>
        <w:top w:val="none" w:sz="0" w:space="0" w:color="auto"/>
        <w:left w:val="none" w:sz="0" w:space="0" w:color="auto"/>
        <w:bottom w:val="none" w:sz="0" w:space="0" w:color="auto"/>
        <w:right w:val="none" w:sz="0" w:space="0" w:color="auto"/>
      </w:divBdr>
    </w:div>
    <w:div w:id="1427992965">
      <w:bodyDiv w:val="1"/>
      <w:marLeft w:val="0"/>
      <w:marRight w:val="0"/>
      <w:marTop w:val="0"/>
      <w:marBottom w:val="0"/>
      <w:divBdr>
        <w:top w:val="none" w:sz="0" w:space="0" w:color="auto"/>
        <w:left w:val="none" w:sz="0" w:space="0" w:color="auto"/>
        <w:bottom w:val="none" w:sz="0" w:space="0" w:color="auto"/>
        <w:right w:val="none" w:sz="0" w:space="0" w:color="auto"/>
      </w:divBdr>
    </w:div>
    <w:div w:id="1433041598">
      <w:bodyDiv w:val="1"/>
      <w:marLeft w:val="0"/>
      <w:marRight w:val="0"/>
      <w:marTop w:val="0"/>
      <w:marBottom w:val="0"/>
      <w:divBdr>
        <w:top w:val="none" w:sz="0" w:space="0" w:color="auto"/>
        <w:left w:val="none" w:sz="0" w:space="0" w:color="auto"/>
        <w:bottom w:val="none" w:sz="0" w:space="0" w:color="auto"/>
        <w:right w:val="none" w:sz="0" w:space="0" w:color="auto"/>
      </w:divBdr>
      <w:divsChild>
        <w:div w:id="111168855">
          <w:marLeft w:val="274"/>
          <w:marRight w:val="0"/>
          <w:marTop w:val="19"/>
          <w:marBottom w:val="120"/>
          <w:divBdr>
            <w:top w:val="none" w:sz="0" w:space="0" w:color="auto"/>
            <w:left w:val="none" w:sz="0" w:space="0" w:color="auto"/>
            <w:bottom w:val="none" w:sz="0" w:space="0" w:color="auto"/>
            <w:right w:val="none" w:sz="0" w:space="0" w:color="auto"/>
          </w:divBdr>
        </w:div>
        <w:div w:id="376322224">
          <w:marLeft w:val="274"/>
          <w:marRight w:val="0"/>
          <w:marTop w:val="19"/>
          <w:marBottom w:val="120"/>
          <w:divBdr>
            <w:top w:val="none" w:sz="0" w:space="0" w:color="auto"/>
            <w:left w:val="none" w:sz="0" w:space="0" w:color="auto"/>
            <w:bottom w:val="none" w:sz="0" w:space="0" w:color="auto"/>
            <w:right w:val="none" w:sz="0" w:space="0" w:color="auto"/>
          </w:divBdr>
        </w:div>
        <w:div w:id="534468310">
          <w:marLeft w:val="274"/>
          <w:marRight w:val="0"/>
          <w:marTop w:val="19"/>
          <w:marBottom w:val="120"/>
          <w:divBdr>
            <w:top w:val="none" w:sz="0" w:space="0" w:color="auto"/>
            <w:left w:val="none" w:sz="0" w:space="0" w:color="auto"/>
            <w:bottom w:val="none" w:sz="0" w:space="0" w:color="auto"/>
            <w:right w:val="none" w:sz="0" w:space="0" w:color="auto"/>
          </w:divBdr>
        </w:div>
        <w:div w:id="1074162515">
          <w:marLeft w:val="274"/>
          <w:marRight w:val="0"/>
          <w:marTop w:val="19"/>
          <w:marBottom w:val="120"/>
          <w:divBdr>
            <w:top w:val="none" w:sz="0" w:space="0" w:color="auto"/>
            <w:left w:val="none" w:sz="0" w:space="0" w:color="auto"/>
            <w:bottom w:val="none" w:sz="0" w:space="0" w:color="auto"/>
            <w:right w:val="none" w:sz="0" w:space="0" w:color="auto"/>
          </w:divBdr>
        </w:div>
        <w:div w:id="1172989202">
          <w:marLeft w:val="274"/>
          <w:marRight w:val="0"/>
          <w:marTop w:val="19"/>
          <w:marBottom w:val="120"/>
          <w:divBdr>
            <w:top w:val="none" w:sz="0" w:space="0" w:color="auto"/>
            <w:left w:val="none" w:sz="0" w:space="0" w:color="auto"/>
            <w:bottom w:val="none" w:sz="0" w:space="0" w:color="auto"/>
            <w:right w:val="none" w:sz="0" w:space="0" w:color="auto"/>
          </w:divBdr>
        </w:div>
        <w:div w:id="1346320114">
          <w:marLeft w:val="274"/>
          <w:marRight w:val="0"/>
          <w:marTop w:val="19"/>
          <w:marBottom w:val="120"/>
          <w:divBdr>
            <w:top w:val="none" w:sz="0" w:space="0" w:color="auto"/>
            <w:left w:val="none" w:sz="0" w:space="0" w:color="auto"/>
            <w:bottom w:val="none" w:sz="0" w:space="0" w:color="auto"/>
            <w:right w:val="none" w:sz="0" w:space="0" w:color="auto"/>
          </w:divBdr>
        </w:div>
        <w:div w:id="1369650067">
          <w:marLeft w:val="274"/>
          <w:marRight w:val="0"/>
          <w:marTop w:val="19"/>
          <w:marBottom w:val="120"/>
          <w:divBdr>
            <w:top w:val="none" w:sz="0" w:space="0" w:color="auto"/>
            <w:left w:val="none" w:sz="0" w:space="0" w:color="auto"/>
            <w:bottom w:val="none" w:sz="0" w:space="0" w:color="auto"/>
            <w:right w:val="none" w:sz="0" w:space="0" w:color="auto"/>
          </w:divBdr>
        </w:div>
        <w:div w:id="1439258643">
          <w:marLeft w:val="274"/>
          <w:marRight w:val="0"/>
          <w:marTop w:val="19"/>
          <w:marBottom w:val="120"/>
          <w:divBdr>
            <w:top w:val="none" w:sz="0" w:space="0" w:color="auto"/>
            <w:left w:val="none" w:sz="0" w:space="0" w:color="auto"/>
            <w:bottom w:val="none" w:sz="0" w:space="0" w:color="auto"/>
            <w:right w:val="none" w:sz="0" w:space="0" w:color="auto"/>
          </w:divBdr>
        </w:div>
        <w:div w:id="1445732938">
          <w:marLeft w:val="274"/>
          <w:marRight w:val="0"/>
          <w:marTop w:val="19"/>
          <w:marBottom w:val="120"/>
          <w:divBdr>
            <w:top w:val="none" w:sz="0" w:space="0" w:color="auto"/>
            <w:left w:val="none" w:sz="0" w:space="0" w:color="auto"/>
            <w:bottom w:val="none" w:sz="0" w:space="0" w:color="auto"/>
            <w:right w:val="none" w:sz="0" w:space="0" w:color="auto"/>
          </w:divBdr>
        </w:div>
        <w:div w:id="1477257141">
          <w:marLeft w:val="274"/>
          <w:marRight w:val="0"/>
          <w:marTop w:val="19"/>
          <w:marBottom w:val="120"/>
          <w:divBdr>
            <w:top w:val="none" w:sz="0" w:space="0" w:color="auto"/>
            <w:left w:val="none" w:sz="0" w:space="0" w:color="auto"/>
            <w:bottom w:val="none" w:sz="0" w:space="0" w:color="auto"/>
            <w:right w:val="none" w:sz="0" w:space="0" w:color="auto"/>
          </w:divBdr>
        </w:div>
        <w:div w:id="2121336250">
          <w:marLeft w:val="274"/>
          <w:marRight w:val="0"/>
          <w:marTop w:val="19"/>
          <w:marBottom w:val="120"/>
          <w:divBdr>
            <w:top w:val="none" w:sz="0" w:space="0" w:color="auto"/>
            <w:left w:val="none" w:sz="0" w:space="0" w:color="auto"/>
            <w:bottom w:val="none" w:sz="0" w:space="0" w:color="auto"/>
            <w:right w:val="none" w:sz="0" w:space="0" w:color="auto"/>
          </w:divBdr>
        </w:div>
      </w:divsChild>
    </w:div>
    <w:div w:id="1436361462">
      <w:bodyDiv w:val="1"/>
      <w:marLeft w:val="0"/>
      <w:marRight w:val="0"/>
      <w:marTop w:val="0"/>
      <w:marBottom w:val="0"/>
      <w:divBdr>
        <w:top w:val="none" w:sz="0" w:space="0" w:color="auto"/>
        <w:left w:val="none" w:sz="0" w:space="0" w:color="auto"/>
        <w:bottom w:val="none" w:sz="0" w:space="0" w:color="auto"/>
        <w:right w:val="none" w:sz="0" w:space="0" w:color="auto"/>
      </w:divBdr>
    </w:div>
    <w:div w:id="1436365049">
      <w:bodyDiv w:val="1"/>
      <w:marLeft w:val="0"/>
      <w:marRight w:val="0"/>
      <w:marTop w:val="0"/>
      <w:marBottom w:val="0"/>
      <w:divBdr>
        <w:top w:val="none" w:sz="0" w:space="0" w:color="auto"/>
        <w:left w:val="none" w:sz="0" w:space="0" w:color="auto"/>
        <w:bottom w:val="none" w:sz="0" w:space="0" w:color="auto"/>
        <w:right w:val="none" w:sz="0" w:space="0" w:color="auto"/>
      </w:divBdr>
    </w:div>
    <w:div w:id="1437403543">
      <w:bodyDiv w:val="1"/>
      <w:marLeft w:val="0"/>
      <w:marRight w:val="0"/>
      <w:marTop w:val="0"/>
      <w:marBottom w:val="0"/>
      <w:divBdr>
        <w:top w:val="none" w:sz="0" w:space="0" w:color="auto"/>
        <w:left w:val="none" w:sz="0" w:space="0" w:color="auto"/>
        <w:bottom w:val="none" w:sz="0" w:space="0" w:color="auto"/>
        <w:right w:val="none" w:sz="0" w:space="0" w:color="auto"/>
      </w:divBdr>
    </w:div>
    <w:div w:id="1439061996">
      <w:bodyDiv w:val="1"/>
      <w:marLeft w:val="0"/>
      <w:marRight w:val="0"/>
      <w:marTop w:val="0"/>
      <w:marBottom w:val="0"/>
      <w:divBdr>
        <w:top w:val="none" w:sz="0" w:space="0" w:color="auto"/>
        <w:left w:val="none" w:sz="0" w:space="0" w:color="auto"/>
        <w:bottom w:val="none" w:sz="0" w:space="0" w:color="auto"/>
        <w:right w:val="none" w:sz="0" w:space="0" w:color="auto"/>
      </w:divBdr>
    </w:div>
    <w:div w:id="1443111243">
      <w:bodyDiv w:val="1"/>
      <w:marLeft w:val="0"/>
      <w:marRight w:val="0"/>
      <w:marTop w:val="0"/>
      <w:marBottom w:val="0"/>
      <w:divBdr>
        <w:top w:val="none" w:sz="0" w:space="0" w:color="auto"/>
        <w:left w:val="none" w:sz="0" w:space="0" w:color="auto"/>
        <w:bottom w:val="none" w:sz="0" w:space="0" w:color="auto"/>
        <w:right w:val="none" w:sz="0" w:space="0" w:color="auto"/>
      </w:divBdr>
    </w:div>
    <w:div w:id="1443184757">
      <w:bodyDiv w:val="1"/>
      <w:marLeft w:val="0"/>
      <w:marRight w:val="0"/>
      <w:marTop w:val="0"/>
      <w:marBottom w:val="0"/>
      <w:divBdr>
        <w:top w:val="none" w:sz="0" w:space="0" w:color="auto"/>
        <w:left w:val="none" w:sz="0" w:space="0" w:color="auto"/>
        <w:bottom w:val="none" w:sz="0" w:space="0" w:color="auto"/>
        <w:right w:val="none" w:sz="0" w:space="0" w:color="auto"/>
      </w:divBdr>
    </w:div>
    <w:div w:id="1444223396">
      <w:bodyDiv w:val="1"/>
      <w:marLeft w:val="0"/>
      <w:marRight w:val="0"/>
      <w:marTop w:val="0"/>
      <w:marBottom w:val="0"/>
      <w:divBdr>
        <w:top w:val="none" w:sz="0" w:space="0" w:color="auto"/>
        <w:left w:val="none" w:sz="0" w:space="0" w:color="auto"/>
        <w:bottom w:val="none" w:sz="0" w:space="0" w:color="auto"/>
        <w:right w:val="none" w:sz="0" w:space="0" w:color="auto"/>
      </w:divBdr>
    </w:div>
    <w:div w:id="1447117986">
      <w:bodyDiv w:val="1"/>
      <w:marLeft w:val="0"/>
      <w:marRight w:val="0"/>
      <w:marTop w:val="0"/>
      <w:marBottom w:val="0"/>
      <w:divBdr>
        <w:top w:val="none" w:sz="0" w:space="0" w:color="auto"/>
        <w:left w:val="none" w:sz="0" w:space="0" w:color="auto"/>
        <w:bottom w:val="none" w:sz="0" w:space="0" w:color="auto"/>
        <w:right w:val="none" w:sz="0" w:space="0" w:color="auto"/>
      </w:divBdr>
    </w:div>
    <w:div w:id="1447654239">
      <w:bodyDiv w:val="1"/>
      <w:marLeft w:val="0"/>
      <w:marRight w:val="0"/>
      <w:marTop w:val="0"/>
      <w:marBottom w:val="0"/>
      <w:divBdr>
        <w:top w:val="none" w:sz="0" w:space="0" w:color="auto"/>
        <w:left w:val="none" w:sz="0" w:space="0" w:color="auto"/>
        <w:bottom w:val="none" w:sz="0" w:space="0" w:color="auto"/>
        <w:right w:val="none" w:sz="0" w:space="0" w:color="auto"/>
      </w:divBdr>
    </w:div>
    <w:div w:id="1449859605">
      <w:bodyDiv w:val="1"/>
      <w:marLeft w:val="0"/>
      <w:marRight w:val="0"/>
      <w:marTop w:val="0"/>
      <w:marBottom w:val="0"/>
      <w:divBdr>
        <w:top w:val="none" w:sz="0" w:space="0" w:color="auto"/>
        <w:left w:val="none" w:sz="0" w:space="0" w:color="auto"/>
        <w:bottom w:val="none" w:sz="0" w:space="0" w:color="auto"/>
        <w:right w:val="none" w:sz="0" w:space="0" w:color="auto"/>
      </w:divBdr>
    </w:div>
    <w:div w:id="1451508048">
      <w:bodyDiv w:val="1"/>
      <w:marLeft w:val="0"/>
      <w:marRight w:val="0"/>
      <w:marTop w:val="0"/>
      <w:marBottom w:val="0"/>
      <w:divBdr>
        <w:top w:val="none" w:sz="0" w:space="0" w:color="auto"/>
        <w:left w:val="none" w:sz="0" w:space="0" w:color="auto"/>
        <w:bottom w:val="none" w:sz="0" w:space="0" w:color="auto"/>
        <w:right w:val="none" w:sz="0" w:space="0" w:color="auto"/>
      </w:divBdr>
    </w:div>
    <w:div w:id="1453014660">
      <w:bodyDiv w:val="1"/>
      <w:marLeft w:val="0"/>
      <w:marRight w:val="0"/>
      <w:marTop w:val="0"/>
      <w:marBottom w:val="0"/>
      <w:divBdr>
        <w:top w:val="none" w:sz="0" w:space="0" w:color="auto"/>
        <w:left w:val="none" w:sz="0" w:space="0" w:color="auto"/>
        <w:bottom w:val="none" w:sz="0" w:space="0" w:color="auto"/>
        <w:right w:val="none" w:sz="0" w:space="0" w:color="auto"/>
      </w:divBdr>
    </w:div>
    <w:div w:id="1456095611">
      <w:bodyDiv w:val="1"/>
      <w:marLeft w:val="0"/>
      <w:marRight w:val="0"/>
      <w:marTop w:val="0"/>
      <w:marBottom w:val="0"/>
      <w:divBdr>
        <w:top w:val="none" w:sz="0" w:space="0" w:color="auto"/>
        <w:left w:val="none" w:sz="0" w:space="0" w:color="auto"/>
        <w:bottom w:val="none" w:sz="0" w:space="0" w:color="auto"/>
        <w:right w:val="none" w:sz="0" w:space="0" w:color="auto"/>
      </w:divBdr>
    </w:div>
    <w:div w:id="1463771864">
      <w:bodyDiv w:val="1"/>
      <w:marLeft w:val="0"/>
      <w:marRight w:val="0"/>
      <w:marTop w:val="0"/>
      <w:marBottom w:val="0"/>
      <w:divBdr>
        <w:top w:val="none" w:sz="0" w:space="0" w:color="auto"/>
        <w:left w:val="none" w:sz="0" w:space="0" w:color="auto"/>
        <w:bottom w:val="none" w:sz="0" w:space="0" w:color="auto"/>
        <w:right w:val="none" w:sz="0" w:space="0" w:color="auto"/>
      </w:divBdr>
    </w:div>
    <w:div w:id="1464884710">
      <w:bodyDiv w:val="1"/>
      <w:marLeft w:val="0"/>
      <w:marRight w:val="0"/>
      <w:marTop w:val="0"/>
      <w:marBottom w:val="0"/>
      <w:divBdr>
        <w:top w:val="none" w:sz="0" w:space="0" w:color="auto"/>
        <w:left w:val="none" w:sz="0" w:space="0" w:color="auto"/>
        <w:bottom w:val="none" w:sz="0" w:space="0" w:color="auto"/>
        <w:right w:val="none" w:sz="0" w:space="0" w:color="auto"/>
      </w:divBdr>
    </w:div>
    <w:div w:id="1465081099">
      <w:bodyDiv w:val="1"/>
      <w:marLeft w:val="0"/>
      <w:marRight w:val="0"/>
      <w:marTop w:val="0"/>
      <w:marBottom w:val="0"/>
      <w:divBdr>
        <w:top w:val="none" w:sz="0" w:space="0" w:color="auto"/>
        <w:left w:val="none" w:sz="0" w:space="0" w:color="auto"/>
        <w:bottom w:val="none" w:sz="0" w:space="0" w:color="auto"/>
        <w:right w:val="none" w:sz="0" w:space="0" w:color="auto"/>
      </w:divBdr>
    </w:div>
    <w:div w:id="1470005116">
      <w:bodyDiv w:val="1"/>
      <w:marLeft w:val="0"/>
      <w:marRight w:val="0"/>
      <w:marTop w:val="0"/>
      <w:marBottom w:val="0"/>
      <w:divBdr>
        <w:top w:val="none" w:sz="0" w:space="0" w:color="auto"/>
        <w:left w:val="none" w:sz="0" w:space="0" w:color="auto"/>
        <w:bottom w:val="none" w:sz="0" w:space="0" w:color="auto"/>
        <w:right w:val="none" w:sz="0" w:space="0" w:color="auto"/>
      </w:divBdr>
    </w:div>
    <w:div w:id="1473711463">
      <w:bodyDiv w:val="1"/>
      <w:marLeft w:val="0"/>
      <w:marRight w:val="0"/>
      <w:marTop w:val="0"/>
      <w:marBottom w:val="0"/>
      <w:divBdr>
        <w:top w:val="none" w:sz="0" w:space="0" w:color="auto"/>
        <w:left w:val="none" w:sz="0" w:space="0" w:color="auto"/>
        <w:bottom w:val="none" w:sz="0" w:space="0" w:color="auto"/>
        <w:right w:val="none" w:sz="0" w:space="0" w:color="auto"/>
      </w:divBdr>
    </w:div>
    <w:div w:id="1476878188">
      <w:bodyDiv w:val="1"/>
      <w:marLeft w:val="0"/>
      <w:marRight w:val="0"/>
      <w:marTop w:val="0"/>
      <w:marBottom w:val="0"/>
      <w:divBdr>
        <w:top w:val="none" w:sz="0" w:space="0" w:color="auto"/>
        <w:left w:val="none" w:sz="0" w:space="0" w:color="auto"/>
        <w:bottom w:val="none" w:sz="0" w:space="0" w:color="auto"/>
        <w:right w:val="none" w:sz="0" w:space="0" w:color="auto"/>
      </w:divBdr>
    </w:div>
    <w:div w:id="1478105156">
      <w:bodyDiv w:val="1"/>
      <w:marLeft w:val="0"/>
      <w:marRight w:val="0"/>
      <w:marTop w:val="0"/>
      <w:marBottom w:val="0"/>
      <w:divBdr>
        <w:top w:val="none" w:sz="0" w:space="0" w:color="auto"/>
        <w:left w:val="none" w:sz="0" w:space="0" w:color="auto"/>
        <w:bottom w:val="none" w:sz="0" w:space="0" w:color="auto"/>
        <w:right w:val="none" w:sz="0" w:space="0" w:color="auto"/>
      </w:divBdr>
    </w:div>
    <w:div w:id="1482573580">
      <w:bodyDiv w:val="1"/>
      <w:marLeft w:val="0"/>
      <w:marRight w:val="0"/>
      <w:marTop w:val="0"/>
      <w:marBottom w:val="0"/>
      <w:divBdr>
        <w:top w:val="none" w:sz="0" w:space="0" w:color="auto"/>
        <w:left w:val="none" w:sz="0" w:space="0" w:color="auto"/>
        <w:bottom w:val="none" w:sz="0" w:space="0" w:color="auto"/>
        <w:right w:val="none" w:sz="0" w:space="0" w:color="auto"/>
      </w:divBdr>
    </w:div>
    <w:div w:id="1487622139">
      <w:bodyDiv w:val="1"/>
      <w:marLeft w:val="0"/>
      <w:marRight w:val="0"/>
      <w:marTop w:val="0"/>
      <w:marBottom w:val="0"/>
      <w:divBdr>
        <w:top w:val="none" w:sz="0" w:space="0" w:color="auto"/>
        <w:left w:val="none" w:sz="0" w:space="0" w:color="auto"/>
        <w:bottom w:val="none" w:sz="0" w:space="0" w:color="auto"/>
        <w:right w:val="none" w:sz="0" w:space="0" w:color="auto"/>
      </w:divBdr>
    </w:div>
    <w:div w:id="1494183241">
      <w:bodyDiv w:val="1"/>
      <w:marLeft w:val="0"/>
      <w:marRight w:val="0"/>
      <w:marTop w:val="0"/>
      <w:marBottom w:val="0"/>
      <w:divBdr>
        <w:top w:val="none" w:sz="0" w:space="0" w:color="auto"/>
        <w:left w:val="none" w:sz="0" w:space="0" w:color="auto"/>
        <w:bottom w:val="none" w:sz="0" w:space="0" w:color="auto"/>
        <w:right w:val="none" w:sz="0" w:space="0" w:color="auto"/>
      </w:divBdr>
    </w:div>
    <w:div w:id="1505972314">
      <w:bodyDiv w:val="1"/>
      <w:marLeft w:val="0"/>
      <w:marRight w:val="0"/>
      <w:marTop w:val="0"/>
      <w:marBottom w:val="0"/>
      <w:divBdr>
        <w:top w:val="none" w:sz="0" w:space="0" w:color="auto"/>
        <w:left w:val="none" w:sz="0" w:space="0" w:color="auto"/>
        <w:bottom w:val="none" w:sz="0" w:space="0" w:color="auto"/>
        <w:right w:val="none" w:sz="0" w:space="0" w:color="auto"/>
      </w:divBdr>
    </w:div>
    <w:div w:id="1509441175">
      <w:bodyDiv w:val="1"/>
      <w:marLeft w:val="0"/>
      <w:marRight w:val="0"/>
      <w:marTop w:val="0"/>
      <w:marBottom w:val="0"/>
      <w:divBdr>
        <w:top w:val="none" w:sz="0" w:space="0" w:color="auto"/>
        <w:left w:val="none" w:sz="0" w:space="0" w:color="auto"/>
        <w:bottom w:val="none" w:sz="0" w:space="0" w:color="auto"/>
        <w:right w:val="none" w:sz="0" w:space="0" w:color="auto"/>
      </w:divBdr>
    </w:div>
    <w:div w:id="1520385247">
      <w:bodyDiv w:val="1"/>
      <w:marLeft w:val="0"/>
      <w:marRight w:val="0"/>
      <w:marTop w:val="0"/>
      <w:marBottom w:val="0"/>
      <w:divBdr>
        <w:top w:val="none" w:sz="0" w:space="0" w:color="auto"/>
        <w:left w:val="none" w:sz="0" w:space="0" w:color="auto"/>
        <w:bottom w:val="none" w:sz="0" w:space="0" w:color="auto"/>
        <w:right w:val="none" w:sz="0" w:space="0" w:color="auto"/>
      </w:divBdr>
    </w:div>
    <w:div w:id="1523593504">
      <w:bodyDiv w:val="1"/>
      <w:marLeft w:val="0"/>
      <w:marRight w:val="0"/>
      <w:marTop w:val="0"/>
      <w:marBottom w:val="0"/>
      <w:divBdr>
        <w:top w:val="none" w:sz="0" w:space="0" w:color="auto"/>
        <w:left w:val="none" w:sz="0" w:space="0" w:color="auto"/>
        <w:bottom w:val="none" w:sz="0" w:space="0" w:color="auto"/>
        <w:right w:val="none" w:sz="0" w:space="0" w:color="auto"/>
      </w:divBdr>
    </w:div>
    <w:div w:id="1532768892">
      <w:bodyDiv w:val="1"/>
      <w:marLeft w:val="0"/>
      <w:marRight w:val="0"/>
      <w:marTop w:val="0"/>
      <w:marBottom w:val="0"/>
      <w:divBdr>
        <w:top w:val="none" w:sz="0" w:space="0" w:color="auto"/>
        <w:left w:val="none" w:sz="0" w:space="0" w:color="auto"/>
        <w:bottom w:val="none" w:sz="0" w:space="0" w:color="auto"/>
        <w:right w:val="none" w:sz="0" w:space="0" w:color="auto"/>
      </w:divBdr>
    </w:div>
    <w:div w:id="1538858044">
      <w:bodyDiv w:val="1"/>
      <w:marLeft w:val="0"/>
      <w:marRight w:val="0"/>
      <w:marTop w:val="0"/>
      <w:marBottom w:val="0"/>
      <w:divBdr>
        <w:top w:val="none" w:sz="0" w:space="0" w:color="auto"/>
        <w:left w:val="none" w:sz="0" w:space="0" w:color="auto"/>
        <w:bottom w:val="none" w:sz="0" w:space="0" w:color="auto"/>
        <w:right w:val="none" w:sz="0" w:space="0" w:color="auto"/>
      </w:divBdr>
    </w:div>
    <w:div w:id="1540432287">
      <w:bodyDiv w:val="1"/>
      <w:marLeft w:val="0"/>
      <w:marRight w:val="0"/>
      <w:marTop w:val="0"/>
      <w:marBottom w:val="0"/>
      <w:divBdr>
        <w:top w:val="none" w:sz="0" w:space="0" w:color="auto"/>
        <w:left w:val="none" w:sz="0" w:space="0" w:color="auto"/>
        <w:bottom w:val="none" w:sz="0" w:space="0" w:color="auto"/>
        <w:right w:val="none" w:sz="0" w:space="0" w:color="auto"/>
      </w:divBdr>
    </w:div>
    <w:div w:id="1542941772">
      <w:bodyDiv w:val="1"/>
      <w:marLeft w:val="0"/>
      <w:marRight w:val="0"/>
      <w:marTop w:val="0"/>
      <w:marBottom w:val="0"/>
      <w:divBdr>
        <w:top w:val="none" w:sz="0" w:space="0" w:color="auto"/>
        <w:left w:val="none" w:sz="0" w:space="0" w:color="auto"/>
        <w:bottom w:val="none" w:sz="0" w:space="0" w:color="auto"/>
        <w:right w:val="none" w:sz="0" w:space="0" w:color="auto"/>
      </w:divBdr>
    </w:div>
    <w:div w:id="1550412986">
      <w:bodyDiv w:val="1"/>
      <w:marLeft w:val="0"/>
      <w:marRight w:val="0"/>
      <w:marTop w:val="0"/>
      <w:marBottom w:val="0"/>
      <w:divBdr>
        <w:top w:val="none" w:sz="0" w:space="0" w:color="auto"/>
        <w:left w:val="none" w:sz="0" w:space="0" w:color="auto"/>
        <w:bottom w:val="none" w:sz="0" w:space="0" w:color="auto"/>
        <w:right w:val="none" w:sz="0" w:space="0" w:color="auto"/>
      </w:divBdr>
    </w:div>
    <w:div w:id="1550460061">
      <w:bodyDiv w:val="1"/>
      <w:marLeft w:val="0"/>
      <w:marRight w:val="0"/>
      <w:marTop w:val="0"/>
      <w:marBottom w:val="0"/>
      <w:divBdr>
        <w:top w:val="none" w:sz="0" w:space="0" w:color="auto"/>
        <w:left w:val="none" w:sz="0" w:space="0" w:color="auto"/>
        <w:bottom w:val="none" w:sz="0" w:space="0" w:color="auto"/>
        <w:right w:val="none" w:sz="0" w:space="0" w:color="auto"/>
      </w:divBdr>
    </w:div>
    <w:div w:id="1551068755">
      <w:bodyDiv w:val="1"/>
      <w:marLeft w:val="0"/>
      <w:marRight w:val="0"/>
      <w:marTop w:val="0"/>
      <w:marBottom w:val="0"/>
      <w:divBdr>
        <w:top w:val="none" w:sz="0" w:space="0" w:color="auto"/>
        <w:left w:val="none" w:sz="0" w:space="0" w:color="auto"/>
        <w:bottom w:val="none" w:sz="0" w:space="0" w:color="auto"/>
        <w:right w:val="none" w:sz="0" w:space="0" w:color="auto"/>
      </w:divBdr>
    </w:div>
    <w:div w:id="1551501309">
      <w:bodyDiv w:val="1"/>
      <w:marLeft w:val="0"/>
      <w:marRight w:val="0"/>
      <w:marTop w:val="0"/>
      <w:marBottom w:val="0"/>
      <w:divBdr>
        <w:top w:val="none" w:sz="0" w:space="0" w:color="auto"/>
        <w:left w:val="none" w:sz="0" w:space="0" w:color="auto"/>
        <w:bottom w:val="none" w:sz="0" w:space="0" w:color="auto"/>
        <w:right w:val="none" w:sz="0" w:space="0" w:color="auto"/>
      </w:divBdr>
    </w:div>
    <w:div w:id="1558279013">
      <w:bodyDiv w:val="1"/>
      <w:marLeft w:val="0"/>
      <w:marRight w:val="0"/>
      <w:marTop w:val="0"/>
      <w:marBottom w:val="0"/>
      <w:divBdr>
        <w:top w:val="none" w:sz="0" w:space="0" w:color="auto"/>
        <w:left w:val="none" w:sz="0" w:space="0" w:color="auto"/>
        <w:bottom w:val="none" w:sz="0" w:space="0" w:color="auto"/>
        <w:right w:val="none" w:sz="0" w:space="0" w:color="auto"/>
      </w:divBdr>
    </w:div>
    <w:div w:id="1561287234">
      <w:bodyDiv w:val="1"/>
      <w:marLeft w:val="0"/>
      <w:marRight w:val="0"/>
      <w:marTop w:val="0"/>
      <w:marBottom w:val="0"/>
      <w:divBdr>
        <w:top w:val="none" w:sz="0" w:space="0" w:color="auto"/>
        <w:left w:val="none" w:sz="0" w:space="0" w:color="auto"/>
        <w:bottom w:val="none" w:sz="0" w:space="0" w:color="auto"/>
        <w:right w:val="none" w:sz="0" w:space="0" w:color="auto"/>
      </w:divBdr>
    </w:div>
    <w:div w:id="1562137907">
      <w:bodyDiv w:val="1"/>
      <w:marLeft w:val="0"/>
      <w:marRight w:val="0"/>
      <w:marTop w:val="0"/>
      <w:marBottom w:val="0"/>
      <w:divBdr>
        <w:top w:val="none" w:sz="0" w:space="0" w:color="auto"/>
        <w:left w:val="none" w:sz="0" w:space="0" w:color="auto"/>
        <w:bottom w:val="none" w:sz="0" w:space="0" w:color="auto"/>
        <w:right w:val="none" w:sz="0" w:space="0" w:color="auto"/>
      </w:divBdr>
    </w:div>
    <w:div w:id="1584993431">
      <w:bodyDiv w:val="1"/>
      <w:marLeft w:val="0"/>
      <w:marRight w:val="0"/>
      <w:marTop w:val="0"/>
      <w:marBottom w:val="0"/>
      <w:divBdr>
        <w:top w:val="none" w:sz="0" w:space="0" w:color="auto"/>
        <w:left w:val="none" w:sz="0" w:space="0" w:color="auto"/>
        <w:bottom w:val="none" w:sz="0" w:space="0" w:color="auto"/>
        <w:right w:val="none" w:sz="0" w:space="0" w:color="auto"/>
      </w:divBdr>
    </w:div>
    <w:div w:id="1587498605">
      <w:bodyDiv w:val="1"/>
      <w:marLeft w:val="0"/>
      <w:marRight w:val="0"/>
      <w:marTop w:val="0"/>
      <w:marBottom w:val="0"/>
      <w:divBdr>
        <w:top w:val="none" w:sz="0" w:space="0" w:color="auto"/>
        <w:left w:val="none" w:sz="0" w:space="0" w:color="auto"/>
        <w:bottom w:val="none" w:sz="0" w:space="0" w:color="auto"/>
        <w:right w:val="none" w:sz="0" w:space="0" w:color="auto"/>
      </w:divBdr>
    </w:div>
    <w:div w:id="1589539447">
      <w:bodyDiv w:val="1"/>
      <w:marLeft w:val="0"/>
      <w:marRight w:val="0"/>
      <w:marTop w:val="0"/>
      <w:marBottom w:val="0"/>
      <w:divBdr>
        <w:top w:val="none" w:sz="0" w:space="0" w:color="auto"/>
        <w:left w:val="none" w:sz="0" w:space="0" w:color="auto"/>
        <w:bottom w:val="none" w:sz="0" w:space="0" w:color="auto"/>
        <w:right w:val="none" w:sz="0" w:space="0" w:color="auto"/>
      </w:divBdr>
    </w:div>
    <w:div w:id="1593010357">
      <w:bodyDiv w:val="1"/>
      <w:marLeft w:val="0"/>
      <w:marRight w:val="0"/>
      <w:marTop w:val="0"/>
      <w:marBottom w:val="0"/>
      <w:divBdr>
        <w:top w:val="none" w:sz="0" w:space="0" w:color="auto"/>
        <w:left w:val="none" w:sz="0" w:space="0" w:color="auto"/>
        <w:bottom w:val="none" w:sz="0" w:space="0" w:color="auto"/>
        <w:right w:val="none" w:sz="0" w:space="0" w:color="auto"/>
      </w:divBdr>
    </w:div>
    <w:div w:id="1593976805">
      <w:bodyDiv w:val="1"/>
      <w:marLeft w:val="0"/>
      <w:marRight w:val="0"/>
      <w:marTop w:val="0"/>
      <w:marBottom w:val="0"/>
      <w:divBdr>
        <w:top w:val="none" w:sz="0" w:space="0" w:color="auto"/>
        <w:left w:val="none" w:sz="0" w:space="0" w:color="auto"/>
        <w:bottom w:val="none" w:sz="0" w:space="0" w:color="auto"/>
        <w:right w:val="none" w:sz="0" w:space="0" w:color="auto"/>
      </w:divBdr>
    </w:div>
    <w:div w:id="1595743228">
      <w:bodyDiv w:val="1"/>
      <w:marLeft w:val="0"/>
      <w:marRight w:val="0"/>
      <w:marTop w:val="0"/>
      <w:marBottom w:val="0"/>
      <w:divBdr>
        <w:top w:val="none" w:sz="0" w:space="0" w:color="auto"/>
        <w:left w:val="none" w:sz="0" w:space="0" w:color="auto"/>
        <w:bottom w:val="none" w:sz="0" w:space="0" w:color="auto"/>
        <w:right w:val="none" w:sz="0" w:space="0" w:color="auto"/>
      </w:divBdr>
    </w:div>
    <w:div w:id="1596472385">
      <w:bodyDiv w:val="1"/>
      <w:marLeft w:val="0"/>
      <w:marRight w:val="0"/>
      <w:marTop w:val="0"/>
      <w:marBottom w:val="0"/>
      <w:divBdr>
        <w:top w:val="none" w:sz="0" w:space="0" w:color="auto"/>
        <w:left w:val="none" w:sz="0" w:space="0" w:color="auto"/>
        <w:bottom w:val="none" w:sz="0" w:space="0" w:color="auto"/>
        <w:right w:val="none" w:sz="0" w:space="0" w:color="auto"/>
      </w:divBdr>
    </w:div>
    <w:div w:id="1598364134">
      <w:bodyDiv w:val="1"/>
      <w:marLeft w:val="0"/>
      <w:marRight w:val="0"/>
      <w:marTop w:val="0"/>
      <w:marBottom w:val="0"/>
      <w:divBdr>
        <w:top w:val="none" w:sz="0" w:space="0" w:color="auto"/>
        <w:left w:val="none" w:sz="0" w:space="0" w:color="auto"/>
        <w:bottom w:val="none" w:sz="0" w:space="0" w:color="auto"/>
        <w:right w:val="none" w:sz="0" w:space="0" w:color="auto"/>
      </w:divBdr>
    </w:div>
    <w:div w:id="1601374848">
      <w:bodyDiv w:val="1"/>
      <w:marLeft w:val="0"/>
      <w:marRight w:val="0"/>
      <w:marTop w:val="0"/>
      <w:marBottom w:val="0"/>
      <w:divBdr>
        <w:top w:val="none" w:sz="0" w:space="0" w:color="auto"/>
        <w:left w:val="none" w:sz="0" w:space="0" w:color="auto"/>
        <w:bottom w:val="none" w:sz="0" w:space="0" w:color="auto"/>
        <w:right w:val="none" w:sz="0" w:space="0" w:color="auto"/>
      </w:divBdr>
    </w:div>
    <w:div w:id="1613706861">
      <w:bodyDiv w:val="1"/>
      <w:marLeft w:val="0"/>
      <w:marRight w:val="0"/>
      <w:marTop w:val="0"/>
      <w:marBottom w:val="0"/>
      <w:divBdr>
        <w:top w:val="none" w:sz="0" w:space="0" w:color="auto"/>
        <w:left w:val="none" w:sz="0" w:space="0" w:color="auto"/>
        <w:bottom w:val="none" w:sz="0" w:space="0" w:color="auto"/>
        <w:right w:val="none" w:sz="0" w:space="0" w:color="auto"/>
      </w:divBdr>
    </w:div>
    <w:div w:id="1619138938">
      <w:bodyDiv w:val="1"/>
      <w:marLeft w:val="0"/>
      <w:marRight w:val="0"/>
      <w:marTop w:val="0"/>
      <w:marBottom w:val="0"/>
      <w:divBdr>
        <w:top w:val="none" w:sz="0" w:space="0" w:color="auto"/>
        <w:left w:val="none" w:sz="0" w:space="0" w:color="auto"/>
        <w:bottom w:val="none" w:sz="0" w:space="0" w:color="auto"/>
        <w:right w:val="none" w:sz="0" w:space="0" w:color="auto"/>
      </w:divBdr>
    </w:div>
    <w:div w:id="1634482235">
      <w:bodyDiv w:val="1"/>
      <w:marLeft w:val="0"/>
      <w:marRight w:val="0"/>
      <w:marTop w:val="0"/>
      <w:marBottom w:val="0"/>
      <w:divBdr>
        <w:top w:val="none" w:sz="0" w:space="0" w:color="auto"/>
        <w:left w:val="none" w:sz="0" w:space="0" w:color="auto"/>
        <w:bottom w:val="none" w:sz="0" w:space="0" w:color="auto"/>
        <w:right w:val="none" w:sz="0" w:space="0" w:color="auto"/>
      </w:divBdr>
    </w:div>
    <w:div w:id="1636329016">
      <w:bodyDiv w:val="1"/>
      <w:marLeft w:val="0"/>
      <w:marRight w:val="0"/>
      <w:marTop w:val="0"/>
      <w:marBottom w:val="0"/>
      <w:divBdr>
        <w:top w:val="none" w:sz="0" w:space="0" w:color="auto"/>
        <w:left w:val="none" w:sz="0" w:space="0" w:color="auto"/>
        <w:bottom w:val="none" w:sz="0" w:space="0" w:color="auto"/>
        <w:right w:val="none" w:sz="0" w:space="0" w:color="auto"/>
      </w:divBdr>
    </w:div>
    <w:div w:id="1638366690">
      <w:bodyDiv w:val="1"/>
      <w:marLeft w:val="0"/>
      <w:marRight w:val="0"/>
      <w:marTop w:val="0"/>
      <w:marBottom w:val="0"/>
      <w:divBdr>
        <w:top w:val="none" w:sz="0" w:space="0" w:color="auto"/>
        <w:left w:val="none" w:sz="0" w:space="0" w:color="auto"/>
        <w:bottom w:val="none" w:sz="0" w:space="0" w:color="auto"/>
        <w:right w:val="none" w:sz="0" w:space="0" w:color="auto"/>
      </w:divBdr>
    </w:div>
    <w:div w:id="1647320705">
      <w:bodyDiv w:val="1"/>
      <w:marLeft w:val="0"/>
      <w:marRight w:val="0"/>
      <w:marTop w:val="0"/>
      <w:marBottom w:val="0"/>
      <w:divBdr>
        <w:top w:val="none" w:sz="0" w:space="0" w:color="auto"/>
        <w:left w:val="none" w:sz="0" w:space="0" w:color="auto"/>
        <w:bottom w:val="none" w:sz="0" w:space="0" w:color="auto"/>
        <w:right w:val="none" w:sz="0" w:space="0" w:color="auto"/>
      </w:divBdr>
    </w:div>
    <w:div w:id="1650940650">
      <w:bodyDiv w:val="1"/>
      <w:marLeft w:val="0"/>
      <w:marRight w:val="0"/>
      <w:marTop w:val="0"/>
      <w:marBottom w:val="0"/>
      <w:divBdr>
        <w:top w:val="none" w:sz="0" w:space="0" w:color="auto"/>
        <w:left w:val="none" w:sz="0" w:space="0" w:color="auto"/>
        <w:bottom w:val="none" w:sz="0" w:space="0" w:color="auto"/>
        <w:right w:val="none" w:sz="0" w:space="0" w:color="auto"/>
      </w:divBdr>
    </w:div>
    <w:div w:id="1652173225">
      <w:bodyDiv w:val="1"/>
      <w:marLeft w:val="0"/>
      <w:marRight w:val="0"/>
      <w:marTop w:val="0"/>
      <w:marBottom w:val="0"/>
      <w:divBdr>
        <w:top w:val="none" w:sz="0" w:space="0" w:color="auto"/>
        <w:left w:val="none" w:sz="0" w:space="0" w:color="auto"/>
        <w:bottom w:val="none" w:sz="0" w:space="0" w:color="auto"/>
        <w:right w:val="none" w:sz="0" w:space="0" w:color="auto"/>
      </w:divBdr>
    </w:div>
    <w:div w:id="1653633766">
      <w:bodyDiv w:val="1"/>
      <w:marLeft w:val="0"/>
      <w:marRight w:val="0"/>
      <w:marTop w:val="0"/>
      <w:marBottom w:val="0"/>
      <w:divBdr>
        <w:top w:val="none" w:sz="0" w:space="0" w:color="auto"/>
        <w:left w:val="none" w:sz="0" w:space="0" w:color="auto"/>
        <w:bottom w:val="none" w:sz="0" w:space="0" w:color="auto"/>
        <w:right w:val="none" w:sz="0" w:space="0" w:color="auto"/>
      </w:divBdr>
    </w:div>
    <w:div w:id="1655639142">
      <w:bodyDiv w:val="1"/>
      <w:marLeft w:val="0"/>
      <w:marRight w:val="0"/>
      <w:marTop w:val="0"/>
      <w:marBottom w:val="0"/>
      <w:divBdr>
        <w:top w:val="none" w:sz="0" w:space="0" w:color="auto"/>
        <w:left w:val="none" w:sz="0" w:space="0" w:color="auto"/>
        <w:bottom w:val="none" w:sz="0" w:space="0" w:color="auto"/>
        <w:right w:val="none" w:sz="0" w:space="0" w:color="auto"/>
      </w:divBdr>
    </w:div>
    <w:div w:id="1656493266">
      <w:bodyDiv w:val="1"/>
      <w:marLeft w:val="0"/>
      <w:marRight w:val="0"/>
      <w:marTop w:val="0"/>
      <w:marBottom w:val="0"/>
      <w:divBdr>
        <w:top w:val="none" w:sz="0" w:space="0" w:color="auto"/>
        <w:left w:val="none" w:sz="0" w:space="0" w:color="auto"/>
        <w:bottom w:val="none" w:sz="0" w:space="0" w:color="auto"/>
        <w:right w:val="none" w:sz="0" w:space="0" w:color="auto"/>
      </w:divBdr>
    </w:div>
    <w:div w:id="1658847351">
      <w:bodyDiv w:val="1"/>
      <w:marLeft w:val="0"/>
      <w:marRight w:val="0"/>
      <w:marTop w:val="0"/>
      <w:marBottom w:val="0"/>
      <w:divBdr>
        <w:top w:val="none" w:sz="0" w:space="0" w:color="auto"/>
        <w:left w:val="none" w:sz="0" w:space="0" w:color="auto"/>
        <w:bottom w:val="none" w:sz="0" w:space="0" w:color="auto"/>
        <w:right w:val="none" w:sz="0" w:space="0" w:color="auto"/>
      </w:divBdr>
    </w:div>
    <w:div w:id="1659071670">
      <w:bodyDiv w:val="1"/>
      <w:marLeft w:val="0"/>
      <w:marRight w:val="0"/>
      <w:marTop w:val="0"/>
      <w:marBottom w:val="0"/>
      <w:divBdr>
        <w:top w:val="none" w:sz="0" w:space="0" w:color="auto"/>
        <w:left w:val="none" w:sz="0" w:space="0" w:color="auto"/>
        <w:bottom w:val="none" w:sz="0" w:space="0" w:color="auto"/>
        <w:right w:val="none" w:sz="0" w:space="0" w:color="auto"/>
      </w:divBdr>
    </w:div>
    <w:div w:id="1659965206">
      <w:bodyDiv w:val="1"/>
      <w:marLeft w:val="0"/>
      <w:marRight w:val="0"/>
      <w:marTop w:val="0"/>
      <w:marBottom w:val="0"/>
      <w:divBdr>
        <w:top w:val="none" w:sz="0" w:space="0" w:color="auto"/>
        <w:left w:val="none" w:sz="0" w:space="0" w:color="auto"/>
        <w:bottom w:val="none" w:sz="0" w:space="0" w:color="auto"/>
        <w:right w:val="none" w:sz="0" w:space="0" w:color="auto"/>
      </w:divBdr>
    </w:div>
    <w:div w:id="1662074196">
      <w:bodyDiv w:val="1"/>
      <w:marLeft w:val="0"/>
      <w:marRight w:val="0"/>
      <w:marTop w:val="0"/>
      <w:marBottom w:val="0"/>
      <w:divBdr>
        <w:top w:val="none" w:sz="0" w:space="0" w:color="auto"/>
        <w:left w:val="none" w:sz="0" w:space="0" w:color="auto"/>
        <w:bottom w:val="none" w:sz="0" w:space="0" w:color="auto"/>
        <w:right w:val="none" w:sz="0" w:space="0" w:color="auto"/>
      </w:divBdr>
    </w:div>
    <w:div w:id="1666588382">
      <w:bodyDiv w:val="1"/>
      <w:marLeft w:val="0"/>
      <w:marRight w:val="0"/>
      <w:marTop w:val="0"/>
      <w:marBottom w:val="0"/>
      <w:divBdr>
        <w:top w:val="none" w:sz="0" w:space="0" w:color="auto"/>
        <w:left w:val="none" w:sz="0" w:space="0" w:color="auto"/>
        <w:bottom w:val="none" w:sz="0" w:space="0" w:color="auto"/>
        <w:right w:val="none" w:sz="0" w:space="0" w:color="auto"/>
      </w:divBdr>
    </w:div>
    <w:div w:id="1672483985">
      <w:bodyDiv w:val="1"/>
      <w:marLeft w:val="0"/>
      <w:marRight w:val="0"/>
      <w:marTop w:val="0"/>
      <w:marBottom w:val="0"/>
      <w:divBdr>
        <w:top w:val="none" w:sz="0" w:space="0" w:color="auto"/>
        <w:left w:val="none" w:sz="0" w:space="0" w:color="auto"/>
        <w:bottom w:val="none" w:sz="0" w:space="0" w:color="auto"/>
        <w:right w:val="none" w:sz="0" w:space="0" w:color="auto"/>
      </w:divBdr>
    </w:div>
    <w:div w:id="1679307824">
      <w:bodyDiv w:val="1"/>
      <w:marLeft w:val="0"/>
      <w:marRight w:val="0"/>
      <w:marTop w:val="0"/>
      <w:marBottom w:val="0"/>
      <w:divBdr>
        <w:top w:val="none" w:sz="0" w:space="0" w:color="auto"/>
        <w:left w:val="none" w:sz="0" w:space="0" w:color="auto"/>
        <w:bottom w:val="none" w:sz="0" w:space="0" w:color="auto"/>
        <w:right w:val="none" w:sz="0" w:space="0" w:color="auto"/>
      </w:divBdr>
    </w:div>
    <w:div w:id="1679694142">
      <w:bodyDiv w:val="1"/>
      <w:marLeft w:val="0"/>
      <w:marRight w:val="0"/>
      <w:marTop w:val="0"/>
      <w:marBottom w:val="0"/>
      <w:divBdr>
        <w:top w:val="none" w:sz="0" w:space="0" w:color="auto"/>
        <w:left w:val="none" w:sz="0" w:space="0" w:color="auto"/>
        <w:bottom w:val="none" w:sz="0" w:space="0" w:color="auto"/>
        <w:right w:val="none" w:sz="0" w:space="0" w:color="auto"/>
      </w:divBdr>
    </w:div>
    <w:div w:id="1680617084">
      <w:bodyDiv w:val="1"/>
      <w:marLeft w:val="0"/>
      <w:marRight w:val="0"/>
      <w:marTop w:val="0"/>
      <w:marBottom w:val="0"/>
      <w:divBdr>
        <w:top w:val="none" w:sz="0" w:space="0" w:color="auto"/>
        <w:left w:val="none" w:sz="0" w:space="0" w:color="auto"/>
        <w:bottom w:val="none" w:sz="0" w:space="0" w:color="auto"/>
        <w:right w:val="none" w:sz="0" w:space="0" w:color="auto"/>
      </w:divBdr>
    </w:div>
    <w:div w:id="1680933703">
      <w:bodyDiv w:val="1"/>
      <w:marLeft w:val="0"/>
      <w:marRight w:val="0"/>
      <w:marTop w:val="0"/>
      <w:marBottom w:val="0"/>
      <w:divBdr>
        <w:top w:val="none" w:sz="0" w:space="0" w:color="auto"/>
        <w:left w:val="none" w:sz="0" w:space="0" w:color="auto"/>
        <w:bottom w:val="none" w:sz="0" w:space="0" w:color="auto"/>
        <w:right w:val="none" w:sz="0" w:space="0" w:color="auto"/>
      </w:divBdr>
    </w:div>
    <w:div w:id="1683360988">
      <w:bodyDiv w:val="1"/>
      <w:marLeft w:val="0"/>
      <w:marRight w:val="0"/>
      <w:marTop w:val="0"/>
      <w:marBottom w:val="0"/>
      <w:divBdr>
        <w:top w:val="none" w:sz="0" w:space="0" w:color="auto"/>
        <w:left w:val="none" w:sz="0" w:space="0" w:color="auto"/>
        <w:bottom w:val="none" w:sz="0" w:space="0" w:color="auto"/>
        <w:right w:val="none" w:sz="0" w:space="0" w:color="auto"/>
      </w:divBdr>
    </w:div>
    <w:div w:id="1685936733">
      <w:bodyDiv w:val="1"/>
      <w:marLeft w:val="0"/>
      <w:marRight w:val="0"/>
      <w:marTop w:val="0"/>
      <w:marBottom w:val="0"/>
      <w:divBdr>
        <w:top w:val="none" w:sz="0" w:space="0" w:color="auto"/>
        <w:left w:val="none" w:sz="0" w:space="0" w:color="auto"/>
        <w:bottom w:val="none" w:sz="0" w:space="0" w:color="auto"/>
        <w:right w:val="none" w:sz="0" w:space="0" w:color="auto"/>
      </w:divBdr>
    </w:div>
    <w:div w:id="1694768362">
      <w:bodyDiv w:val="1"/>
      <w:marLeft w:val="0"/>
      <w:marRight w:val="0"/>
      <w:marTop w:val="0"/>
      <w:marBottom w:val="0"/>
      <w:divBdr>
        <w:top w:val="none" w:sz="0" w:space="0" w:color="auto"/>
        <w:left w:val="none" w:sz="0" w:space="0" w:color="auto"/>
        <w:bottom w:val="none" w:sz="0" w:space="0" w:color="auto"/>
        <w:right w:val="none" w:sz="0" w:space="0" w:color="auto"/>
      </w:divBdr>
    </w:div>
    <w:div w:id="1696232813">
      <w:bodyDiv w:val="1"/>
      <w:marLeft w:val="0"/>
      <w:marRight w:val="0"/>
      <w:marTop w:val="0"/>
      <w:marBottom w:val="0"/>
      <w:divBdr>
        <w:top w:val="none" w:sz="0" w:space="0" w:color="auto"/>
        <w:left w:val="none" w:sz="0" w:space="0" w:color="auto"/>
        <w:bottom w:val="none" w:sz="0" w:space="0" w:color="auto"/>
        <w:right w:val="none" w:sz="0" w:space="0" w:color="auto"/>
      </w:divBdr>
    </w:div>
    <w:div w:id="1696999278">
      <w:bodyDiv w:val="1"/>
      <w:marLeft w:val="0"/>
      <w:marRight w:val="0"/>
      <w:marTop w:val="0"/>
      <w:marBottom w:val="0"/>
      <w:divBdr>
        <w:top w:val="none" w:sz="0" w:space="0" w:color="auto"/>
        <w:left w:val="none" w:sz="0" w:space="0" w:color="auto"/>
        <w:bottom w:val="none" w:sz="0" w:space="0" w:color="auto"/>
        <w:right w:val="none" w:sz="0" w:space="0" w:color="auto"/>
      </w:divBdr>
    </w:div>
    <w:div w:id="1697803076">
      <w:bodyDiv w:val="1"/>
      <w:marLeft w:val="0"/>
      <w:marRight w:val="0"/>
      <w:marTop w:val="0"/>
      <w:marBottom w:val="0"/>
      <w:divBdr>
        <w:top w:val="none" w:sz="0" w:space="0" w:color="auto"/>
        <w:left w:val="none" w:sz="0" w:space="0" w:color="auto"/>
        <w:bottom w:val="none" w:sz="0" w:space="0" w:color="auto"/>
        <w:right w:val="none" w:sz="0" w:space="0" w:color="auto"/>
      </w:divBdr>
    </w:div>
    <w:div w:id="1698967478">
      <w:bodyDiv w:val="1"/>
      <w:marLeft w:val="0"/>
      <w:marRight w:val="0"/>
      <w:marTop w:val="0"/>
      <w:marBottom w:val="0"/>
      <w:divBdr>
        <w:top w:val="none" w:sz="0" w:space="0" w:color="auto"/>
        <w:left w:val="none" w:sz="0" w:space="0" w:color="auto"/>
        <w:bottom w:val="none" w:sz="0" w:space="0" w:color="auto"/>
        <w:right w:val="none" w:sz="0" w:space="0" w:color="auto"/>
      </w:divBdr>
    </w:div>
    <w:div w:id="1702047827">
      <w:bodyDiv w:val="1"/>
      <w:marLeft w:val="0"/>
      <w:marRight w:val="0"/>
      <w:marTop w:val="0"/>
      <w:marBottom w:val="0"/>
      <w:divBdr>
        <w:top w:val="none" w:sz="0" w:space="0" w:color="auto"/>
        <w:left w:val="none" w:sz="0" w:space="0" w:color="auto"/>
        <w:bottom w:val="none" w:sz="0" w:space="0" w:color="auto"/>
        <w:right w:val="none" w:sz="0" w:space="0" w:color="auto"/>
      </w:divBdr>
    </w:div>
    <w:div w:id="1703751556">
      <w:bodyDiv w:val="1"/>
      <w:marLeft w:val="0"/>
      <w:marRight w:val="0"/>
      <w:marTop w:val="0"/>
      <w:marBottom w:val="0"/>
      <w:divBdr>
        <w:top w:val="none" w:sz="0" w:space="0" w:color="auto"/>
        <w:left w:val="none" w:sz="0" w:space="0" w:color="auto"/>
        <w:bottom w:val="none" w:sz="0" w:space="0" w:color="auto"/>
        <w:right w:val="none" w:sz="0" w:space="0" w:color="auto"/>
      </w:divBdr>
    </w:div>
    <w:div w:id="1703939973">
      <w:bodyDiv w:val="1"/>
      <w:marLeft w:val="0"/>
      <w:marRight w:val="0"/>
      <w:marTop w:val="0"/>
      <w:marBottom w:val="0"/>
      <w:divBdr>
        <w:top w:val="none" w:sz="0" w:space="0" w:color="auto"/>
        <w:left w:val="none" w:sz="0" w:space="0" w:color="auto"/>
        <w:bottom w:val="none" w:sz="0" w:space="0" w:color="auto"/>
        <w:right w:val="none" w:sz="0" w:space="0" w:color="auto"/>
      </w:divBdr>
    </w:div>
    <w:div w:id="1709066844">
      <w:bodyDiv w:val="1"/>
      <w:marLeft w:val="0"/>
      <w:marRight w:val="0"/>
      <w:marTop w:val="0"/>
      <w:marBottom w:val="0"/>
      <w:divBdr>
        <w:top w:val="none" w:sz="0" w:space="0" w:color="auto"/>
        <w:left w:val="none" w:sz="0" w:space="0" w:color="auto"/>
        <w:bottom w:val="none" w:sz="0" w:space="0" w:color="auto"/>
        <w:right w:val="none" w:sz="0" w:space="0" w:color="auto"/>
      </w:divBdr>
    </w:div>
    <w:div w:id="1709642320">
      <w:bodyDiv w:val="1"/>
      <w:marLeft w:val="0"/>
      <w:marRight w:val="0"/>
      <w:marTop w:val="0"/>
      <w:marBottom w:val="0"/>
      <w:divBdr>
        <w:top w:val="none" w:sz="0" w:space="0" w:color="auto"/>
        <w:left w:val="none" w:sz="0" w:space="0" w:color="auto"/>
        <w:bottom w:val="none" w:sz="0" w:space="0" w:color="auto"/>
        <w:right w:val="none" w:sz="0" w:space="0" w:color="auto"/>
      </w:divBdr>
    </w:div>
    <w:div w:id="1710716354">
      <w:bodyDiv w:val="1"/>
      <w:marLeft w:val="0"/>
      <w:marRight w:val="0"/>
      <w:marTop w:val="0"/>
      <w:marBottom w:val="0"/>
      <w:divBdr>
        <w:top w:val="none" w:sz="0" w:space="0" w:color="auto"/>
        <w:left w:val="none" w:sz="0" w:space="0" w:color="auto"/>
        <w:bottom w:val="none" w:sz="0" w:space="0" w:color="auto"/>
        <w:right w:val="none" w:sz="0" w:space="0" w:color="auto"/>
      </w:divBdr>
    </w:div>
    <w:div w:id="1711146409">
      <w:bodyDiv w:val="1"/>
      <w:marLeft w:val="0"/>
      <w:marRight w:val="0"/>
      <w:marTop w:val="0"/>
      <w:marBottom w:val="0"/>
      <w:divBdr>
        <w:top w:val="none" w:sz="0" w:space="0" w:color="auto"/>
        <w:left w:val="none" w:sz="0" w:space="0" w:color="auto"/>
        <w:bottom w:val="none" w:sz="0" w:space="0" w:color="auto"/>
        <w:right w:val="none" w:sz="0" w:space="0" w:color="auto"/>
      </w:divBdr>
    </w:div>
    <w:div w:id="1714307790">
      <w:bodyDiv w:val="1"/>
      <w:marLeft w:val="0"/>
      <w:marRight w:val="0"/>
      <w:marTop w:val="0"/>
      <w:marBottom w:val="0"/>
      <w:divBdr>
        <w:top w:val="none" w:sz="0" w:space="0" w:color="auto"/>
        <w:left w:val="none" w:sz="0" w:space="0" w:color="auto"/>
        <w:bottom w:val="none" w:sz="0" w:space="0" w:color="auto"/>
        <w:right w:val="none" w:sz="0" w:space="0" w:color="auto"/>
      </w:divBdr>
    </w:div>
    <w:div w:id="1714571268">
      <w:bodyDiv w:val="1"/>
      <w:marLeft w:val="0"/>
      <w:marRight w:val="0"/>
      <w:marTop w:val="0"/>
      <w:marBottom w:val="0"/>
      <w:divBdr>
        <w:top w:val="none" w:sz="0" w:space="0" w:color="auto"/>
        <w:left w:val="none" w:sz="0" w:space="0" w:color="auto"/>
        <w:bottom w:val="none" w:sz="0" w:space="0" w:color="auto"/>
        <w:right w:val="none" w:sz="0" w:space="0" w:color="auto"/>
      </w:divBdr>
    </w:div>
    <w:div w:id="1722362246">
      <w:bodyDiv w:val="1"/>
      <w:marLeft w:val="0"/>
      <w:marRight w:val="0"/>
      <w:marTop w:val="0"/>
      <w:marBottom w:val="0"/>
      <w:divBdr>
        <w:top w:val="none" w:sz="0" w:space="0" w:color="auto"/>
        <w:left w:val="none" w:sz="0" w:space="0" w:color="auto"/>
        <w:bottom w:val="none" w:sz="0" w:space="0" w:color="auto"/>
        <w:right w:val="none" w:sz="0" w:space="0" w:color="auto"/>
      </w:divBdr>
    </w:div>
    <w:div w:id="1723677616">
      <w:bodyDiv w:val="1"/>
      <w:marLeft w:val="0"/>
      <w:marRight w:val="0"/>
      <w:marTop w:val="0"/>
      <w:marBottom w:val="0"/>
      <w:divBdr>
        <w:top w:val="none" w:sz="0" w:space="0" w:color="auto"/>
        <w:left w:val="none" w:sz="0" w:space="0" w:color="auto"/>
        <w:bottom w:val="none" w:sz="0" w:space="0" w:color="auto"/>
        <w:right w:val="none" w:sz="0" w:space="0" w:color="auto"/>
      </w:divBdr>
    </w:div>
    <w:div w:id="1727801289">
      <w:bodyDiv w:val="1"/>
      <w:marLeft w:val="0"/>
      <w:marRight w:val="0"/>
      <w:marTop w:val="0"/>
      <w:marBottom w:val="0"/>
      <w:divBdr>
        <w:top w:val="none" w:sz="0" w:space="0" w:color="auto"/>
        <w:left w:val="none" w:sz="0" w:space="0" w:color="auto"/>
        <w:bottom w:val="none" w:sz="0" w:space="0" w:color="auto"/>
        <w:right w:val="none" w:sz="0" w:space="0" w:color="auto"/>
      </w:divBdr>
    </w:div>
    <w:div w:id="1730419944">
      <w:bodyDiv w:val="1"/>
      <w:marLeft w:val="0"/>
      <w:marRight w:val="0"/>
      <w:marTop w:val="0"/>
      <w:marBottom w:val="0"/>
      <w:divBdr>
        <w:top w:val="none" w:sz="0" w:space="0" w:color="auto"/>
        <w:left w:val="none" w:sz="0" w:space="0" w:color="auto"/>
        <w:bottom w:val="none" w:sz="0" w:space="0" w:color="auto"/>
        <w:right w:val="none" w:sz="0" w:space="0" w:color="auto"/>
      </w:divBdr>
    </w:div>
    <w:div w:id="1738699340">
      <w:bodyDiv w:val="1"/>
      <w:marLeft w:val="0"/>
      <w:marRight w:val="0"/>
      <w:marTop w:val="0"/>
      <w:marBottom w:val="0"/>
      <w:divBdr>
        <w:top w:val="none" w:sz="0" w:space="0" w:color="auto"/>
        <w:left w:val="none" w:sz="0" w:space="0" w:color="auto"/>
        <w:bottom w:val="none" w:sz="0" w:space="0" w:color="auto"/>
        <w:right w:val="none" w:sz="0" w:space="0" w:color="auto"/>
      </w:divBdr>
    </w:div>
    <w:div w:id="1740208433">
      <w:bodyDiv w:val="1"/>
      <w:marLeft w:val="0"/>
      <w:marRight w:val="0"/>
      <w:marTop w:val="0"/>
      <w:marBottom w:val="0"/>
      <w:divBdr>
        <w:top w:val="none" w:sz="0" w:space="0" w:color="auto"/>
        <w:left w:val="none" w:sz="0" w:space="0" w:color="auto"/>
        <w:bottom w:val="none" w:sz="0" w:space="0" w:color="auto"/>
        <w:right w:val="none" w:sz="0" w:space="0" w:color="auto"/>
      </w:divBdr>
    </w:div>
    <w:div w:id="1742487413">
      <w:bodyDiv w:val="1"/>
      <w:marLeft w:val="0"/>
      <w:marRight w:val="0"/>
      <w:marTop w:val="0"/>
      <w:marBottom w:val="0"/>
      <w:divBdr>
        <w:top w:val="none" w:sz="0" w:space="0" w:color="auto"/>
        <w:left w:val="none" w:sz="0" w:space="0" w:color="auto"/>
        <w:bottom w:val="none" w:sz="0" w:space="0" w:color="auto"/>
        <w:right w:val="none" w:sz="0" w:space="0" w:color="auto"/>
      </w:divBdr>
    </w:div>
    <w:div w:id="1749228512">
      <w:bodyDiv w:val="1"/>
      <w:marLeft w:val="0"/>
      <w:marRight w:val="0"/>
      <w:marTop w:val="0"/>
      <w:marBottom w:val="0"/>
      <w:divBdr>
        <w:top w:val="none" w:sz="0" w:space="0" w:color="auto"/>
        <w:left w:val="none" w:sz="0" w:space="0" w:color="auto"/>
        <w:bottom w:val="none" w:sz="0" w:space="0" w:color="auto"/>
        <w:right w:val="none" w:sz="0" w:space="0" w:color="auto"/>
      </w:divBdr>
    </w:div>
    <w:div w:id="1750615377">
      <w:bodyDiv w:val="1"/>
      <w:marLeft w:val="0"/>
      <w:marRight w:val="0"/>
      <w:marTop w:val="0"/>
      <w:marBottom w:val="0"/>
      <w:divBdr>
        <w:top w:val="none" w:sz="0" w:space="0" w:color="auto"/>
        <w:left w:val="none" w:sz="0" w:space="0" w:color="auto"/>
        <w:bottom w:val="none" w:sz="0" w:space="0" w:color="auto"/>
        <w:right w:val="none" w:sz="0" w:space="0" w:color="auto"/>
      </w:divBdr>
    </w:div>
    <w:div w:id="1758403724">
      <w:bodyDiv w:val="1"/>
      <w:marLeft w:val="0"/>
      <w:marRight w:val="0"/>
      <w:marTop w:val="0"/>
      <w:marBottom w:val="0"/>
      <w:divBdr>
        <w:top w:val="none" w:sz="0" w:space="0" w:color="auto"/>
        <w:left w:val="none" w:sz="0" w:space="0" w:color="auto"/>
        <w:bottom w:val="none" w:sz="0" w:space="0" w:color="auto"/>
        <w:right w:val="none" w:sz="0" w:space="0" w:color="auto"/>
      </w:divBdr>
    </w:div>
    <w:div w:id="1760103299">
      <w:bodyDiv w:val="1"/>
      <w:marLeft w:val="0"/>
      <w:marRight w:val="0"/>
      <w:marTop w:val="0"/>
      <w:marBottom w:val="0"/>
      <w:divBdr>
        <w:top w:val="none" w:sz="0" w:space="0" w:color="auto"/>
        <w:left w:val="none" w:sz="0" w:space="0" w:color="auto"/>
        <w:bottom w:val="none" w:sz="0" w:space="0" w:color="auto"/>
        <w:right w:val="none" w:sz="0" w:space="0" w:color="auto"/>
      </w:divBdr>
    </w:div>
    <w:div w:id="1761750315">
      <w:bodyDiv w:val="1"/>
      <w:marLeft w:val="0"/>
      <w:marRight w:val="0"/>
      <w:marTop w:val="0"/>
      <w:marBottom w:val="0"/>
      <w:divBdr>
        <w:top w:val="none" w:sz="0" w:space="0" w:color="auto"/>
        <w:left w:val="none" w:sz="0" w:space="0" w:color="auto"/>
        <w:bottom w:val="none" w:sz="0" w:space="0" w:color="auto"/>
        <w:right w:val="none" w:sz="0" w:space="0" w:color="auto"/>
      </w:divBdr>
    </w:div>
    <w:div w:id="1762988474">
      <w:bodyDiv w:val="1"/>
      <w:marLeft w:val="0"/>
      <w:marRight w:val="0"/>
      <w:marTop w:val="0"/>
      <w:marBottom w:val="0"/>
      <w:divBdr>
        <w:top w:val="none" w:sz="0" w:space="0" w:color="auto"/>
        <w:left w:val="none" w:sz="0" w:space="0" w:color="auto"/>
        <w:bottom w:val="none" w:sz="0" w:space="0" w:color="auto"/>
        <w:right w:val="none" w:sz="0" w:space="0" w:color="auto"/>
      </w:divBdr>
    </w:div>
    <w:div w:id="1766144955">
      <w:bodyDiv w:val="1"/>
      <w:marLeft w:val="0"/>
      <w:marRight w:val="0"/>
      <w:marTop w:val="0"/>
      <w:marBottom w:val="0"/>
      <w:divBdr>
        <w:top w:val="none" w:sz="0" w:space="0" w:color="auto"/>
        <w:left w:val="none" w:sz="0" w:space="0" w:color="auto"/>
        <w:bottom w:val="none" w:sz="0" w:space="0" w:color="auto"/>
        <w:right w:val="none" w:sz="0" w:space="0" w:color="auto"/>
      </w:divBdr>
    </w:div>
    <w:div w:id="1769886505">
      <w:bodyDiv w:val="1"/>
      <w:marLeft w:val="0"/>
      <w:marRight w:val="0"/>
      <w:marTop w:val="0"/>
      <w:marBottom w:val="0"/>
      <w:divBdr>
        <w:top w:val="none" w:sz="0" w:space="0" w:color="auto"/>
        <w:left w:val="none" w:sz="0" w:space="0" w:color="auto"/>
        <w:bottom w:val="none" w:sz="0" w:space="0" w:color="auto"/>
        <w:right w:val="none" w:sz="0" w:space="0" w:color="auto"/>
      </w:divBdr>
    </w:div>
    <w:div w:id="1771662494">
      <w:bodyDiv w:val="1"/>
      <w:marLeft w:val="0"/>
      <w:marRight w:val="0"/>
      <w:marTop w:val="0"/>
      <w:marBottom w:val="0"/>
      <w:divBdr>
        <w:top w:val="none" w:sz="0" w:space="0" w:color="auto"/>
        <w:left w:val="none" w:sz="0" w:space="0" w:color="auto"/>
        <w:bottom w:val="none" w:sz="0" w:space="0" w:color="auto"/>
        <w:right w:val="none" w:sz="0" w:space="0" w:color="auto"/>
      </w:divBdr>
    </w:div>
    <w:div w:id="1773017408">
      <w:bodyDiv w:val="1"/>
      <w:marLeft w:val="0"/>
      <w:marRight w:val="0"/>
      <w:marTop w:val="0"/>
      <w:marBottom w:val="0"/>
      <w:divBdr>
        <w:top w:val="none" w:sz="0" w:space="0" w:color="auto"/>
        <w:left w:val="none" w:sz="0" w:space="0" w:color="auto"/>
        <w:bottom w:val="none" w:sz="0" w:space="0" w:color="auto"/>
        <w:right w:val="none" w:sz="0" w:space="0" w:color="auto"/>
      </w:divBdr>
    </w:div>
    <w:div w:id="1784496761">
      <w:bodyDiv w:val="1"/>
      <w:marLeft w:val="0"/>
      <w:marRight w:val="0"/>
      <w:marTop w:val="0"/>
      <w:marBottom w:val="0"/>
      <w:divBdr>
        <w:top w:val="none" w:sz="0" w:space="0" w:color="auto"/>
        <w:left w:val="none" w:sz="0" w:space="0" w:color="auto"/>
        <w:bottom w:val="none" w:sz="0" w:space="0" w:color="auto"/>
        <w:right w:val="none" w:sz="0" w:space="0" w:color="auto"/>
      </w:divBdr>
    </w:div>
    <w:div w:id="1796218726">
      <w:bodyDiv w:val="1"/>
      <w:marLeft w:val="0"/>
      <w:marRight w:val="0"/>
      <w:marTop w:val="0"/>
      <w:marBottom w:val="0"/>
      <w:divBdr>
        <w:top w:val="none" w:sz="0" w:space="0" w:color="auto"/>
        <w:left w:val="none" w:sz="0" w:space="0" w:color="auto"/>
        <w:bottom w:val="none" w:sz="0" w:space="0" w:color="auto"/>
        <w:right w:val="none" w:sz="0" w:space="0" w:color="auto"/>
      </w:divBdr>
    </w:div>
    <w:div w:id="1799569191">
      <w:bodyDiv w:val="1"/>
      <w:marLeft w:val="0"/>
      <w:marRight w:val="0"/>
      <w:marTop w:val="0"/>
      <w:marBottom w:val="0"/>
      <w:divBdr>
        <w:top w:val="none" w:sz="0" w:space="0" w:color="auto"/>
        <w:left w:val="none" w:sz="0" w:space="0" w:color="auto"/>
        <w:bottom w:val="none" w:sz="0" w:space="0" w:color="auto"/>
        <w:right w:val="none" w:sz="0" w:space="0" w:color="auto"/>
      </w:divBdr>
    </w:div>
    <w:div w:id="1800873360">
      <w:bodyDiv w:val="1"/>
      <w:marLeft w:val="0"/>
      <w:marRight w:val="0"/>
      <w:marTop w:val="0"/>
      <w:marBottom w:val="0"/>
      <w:divBdr>
        <w:top w:val="none" w:sz="0" w:space="0" w:color="auto"/>
        <w:left w:val="none" w:sz="0" w:space="0" w:color="auto"/>
        <w:bottom w:val="none" w:sz="0" w:space="0" w:color="auto"/>
        <w:right w:val="none" w:sz="0" w:space="0" w:color="auto"/>
      </w:divBdr>
    </w:div>
    <w:div w:id="1801075521">
      <w:bodyDiv w:val="1"/>
      <w:marLeft w:val="0"/>
      <w:marRight w:val="0"/>
      <w:marTop w:val="0"/>
      <w:marBottom w:val="0"/>
      <w:divBdr>
        <w:top w:val="none" w:sz="0" w:space="0" w:color="auto"/>
        <w:left w:val="none" w:sz="0" w:space="0" w:color="auto"/>
        <w:bottom w:val="none" w:sz="0" w:space="0" w:color="auto"/>
        <w:right w:val="none" w:sz="0" w:space="0" w:color="auto"/>
      </w:divBdr>
    </w:div>
    <w:div w:id="1803112710">
      <w:bodyDiv w:val="1"/>
      <w:marLeft w:val="0"/>
      <w:marRight w:val="0"/>
      <w:marTop w:val="0"/>
      <w:marBottom w:val="0"/>
      <w:divBdr>
        <w:top w:val="none" w:sz="0" w:space="0" w:color="auto"/>
        <w:left w:val="none" w:sz="0" w:space="0" w:color="auto"/>
        <w:bottom w:val="none" w:sz="0" w:space="0" w:color="auto"/>
        <w:right w:val="none" w:sz="0" w:space="0" w:color="auto"/>
      </w:divBdr>
    </w:div>
    <w:div w:id="1804762528">
      <w:bodyDiv w:val="1"/>
      <w:marLeft w:val="0"/>
      <w:marRight w:val="0"/>
      <w:marTop w:val="0"/>
      <w:marBottom w:val="0"/>
      <w:divBdr>
        <w:top w:val="none" w:sz="0" w:space="0" w:color="auto"/>
        <w:left w:val="none" w:sz="0" w:space="0" w:color="auto"/>
        <w:bottom w:val="none" w:sz="0" w:space="0" w:color="auto"/>
        <w:right w:val="none" w:sz="0" w:space="0" w:color="auto"/>
      </w:divBdr>
    </w:div>
    <w:div w:id="1814249653">
      <w:bodyDiv w:val="1"/>
      <w:marLeft w:val="0"/>
      <w:marRight w:val="0"/>
      <w:marTop w:val="0"/>
      <w:marBottom w:val="0"/>
      <w:divBdr>
        <w:top w:val="none" w:sz="0" w:space="0" w:color="auto"/>
        <w:left w:val="none" w:sz="0" w:space="0" w:color="auto"/>
        <w:bottom w:val="none" w:sz="0" w:space="0" w:color="auto"/>
        <w:right w:val="none" w:sz="0" w:space="0" w:color="auto"/>
      </w:divBdr>
    </w:div>
    <w:div w:id="1814323620">
      <w:bodyDiv w:val="1"/>
      <w:marLeft w:val="0"/>
      <w:marRight w:val="0"/>
      <w:marTop w:val="0"/>
      <w:marBottom w:val="0"/>
      <w:divBdr>
        <w:top w:val="none" w:sz="0" w:space="0" w:color="auto"/>
        <w:left w:val="none" w:sz="0" w:space="0" w:color="auto"/>
        <w:bottom w:val="none" w:sz="0" w:space="0" w:color="auto"/>
        <w:right w:val="none" w:sz="0" w:space="0" w:color="auto"/>
      </w:divBdr>
    </w:div>
    <w:div w:id="1816755445">
      <w:bodyDiv w:val="1"/>
      <w:marLeft w:val="0"/>
      <w:marRight w:val="0"/>
      <w:marTop w:val="0"/>
      <w:marBottom w:val="0"/>
      <w:divBdr>
        <w:top w:val="none" w:sz="0" w:space="0" w:color="auto"/>
        <w:left w:val="none" w:sz="0" w:space="0" w:color="auto"/>
        <w:bottom w:val="none" w:sz="0" w:space="0" w:color="auto"/>
        <w:right w:val="none" w:sz="0" w:space="0" w:color="auto"/>
      </w:divBdr>
    </w:div>
    <w:div w:id="1836067591">
      <w:bodyDiv w:val="1"/>
      <w:marLeft w:val="0"/>
      <w:marRight w:val="0"/>
      <w:marTop w:val="0"/>
      <w:marBottom w:val="0"/>
      <w:divBdr>
        <w:top w:val="none" w:sz="0" w:space="0" w:color="auto"/>
        <w:left w:val="none" w:sz="0" w:space="0" w:color="auto"/>
        <w:bottom w:val="none" w:sz="0" w:space="0" w:color="auto"/>
        <w:right w:val="none" w:sz="0" w:space="0" w:color="auto"/>
      </w:divBdr>
    </w:div>
    <w:div w:id="1837988135">
      <w:bodyDiv w:val="1"/>
      <w:marLeft w:val="0"/>
      <w:marRight w:val="0"/>
      <w:marTop w:val="0"/>
      <w:marBottom w:val="0"/>
      <w:divBdr>
        <w:top w:val="none" w:sz="0" w:space="0" w:color="auto"/>
        <w:left w:val="none" w:sz="0" w:space="0" w:color="auto"/>
        <w:bottom w:val="none" w:sz="0" w:space="0" w:color="auto"/>
        <w:right w:val="none" w:sz="0" w:space="0" w:color="auto"/>
      </w:divBdr>
    </w:div>
    <w:div w:id="1840265951">
      <w:bodyDiv w:val="1"/>
      <w:marLeft w:val="0"/>
      <w:marRight w:val="0"/>
      <w:marTop w:val="0"/>
      <w:marBottom w:val="0"/>
      <w:divBdr>
        <w:top w:val="none" w:sz="0" w:space="0" w:color="auto"/>
        <w:left w:val="none" w:sz="0" w:space="0" w:color="auto"/>
        <w:bottom w:val="none" w:sz="0" w:space="0" w:color="auto"/>
        <w:right w:val="none" w:sz="0" w:space="0" w:color="auto"/>
      </w:divBdr>
    </w:div>
    <w:div w:id="1851488312">
      <w:bodyDiv w:val="1"/>
      <w:marLeft w:val="0"/>
      <w:marRight w:val="0"/>
      <w:marTop w:val="0"/>
      <w:marBottom w:val="0"/>
      <w:divBdr>
        <w:top w:val="none" w:sz="0" w:space="0" w:color="auto"/>
        <w:left w:val="none" w:sz="0" w:space="0" w:color="auto"/>
        <w:bottom w:val="none" w:sz="0" w:space="0" w:color="auto"/>
        <w:right w:val="none" w:sz="0" w:space="0" w:color="auto"/>
      </w:divBdr>
    </w:div>
    <w:div w:id="1855142924">
      <w:bodyDiv w:val="1"/>
      <w:marLeft w:val="0"/>
      <w:marRight w:val="0"/>
      <w:marTop w:val="0"/>
      <w:marBottom w:val="0"/>
      <w:divBdr>
        <w:top w:val="none" w:sz="0" w:space="0" w:color="auto"/>
        <w:left w:val="none" w:sz="0" w:space="0" w:color="auto"/>
        <w:bottom w:val="none" w:sz="0" w:space="0" w:color="auto"/>
        <w:right w:val="none" w:sz="0" w:space="0" w:color="auto"/>
      </w:divBdr>
    </w:div>
    <w:div w:id="1856111115">
      <w:bodyDiv w:val="1"/>
      <w:marLeft w:val="0"/>
      <w:marRight w:val="0"/>
      <w:marTop w:val="0"/>
      <w:marBottom w:val="0"/>
      <w:divBdr>
        <w:top w:val="none" w:sz="0" w:space="0" w:color="auto"/>
        <w:left w:val="none" w:sz="0" w:space="0" w:color="auto"/>
        <w:bottom w:val="none" w:sz="0" w:space="0" w:color="auto"/>
        <w:right w:val="none" w:sz="0" w:space="0" w:color="auto"/>
      </w:divBdr>
    </w:div>
    <w:div w:id="1857117128">
      <w:bodyDiv w:val="1"/>
      <w:marLeft w:val="0"/>
      <w:marRight w:val="0"/>
      <w:marTop w:val="0"/>
      <w:marBottom w:val="0"/>
      <w:divBdr>
        <w:top w:val="none" w:sz="0" w:space="0" w:color="auto"/>
        <w:left w:val="none" w:sz="0" w:space="0" w:color="auto"/>
        <w:bottom w:val="none" w:sz="0" w:space="0" w:color="auto"/>
        <w:right w:val="none" w:sz="0" w:space="0" w:color="auto"/>
      </w:divBdr>
    </w:div>
    <w:div w:id="1863011109">
      <w:bodyDiv w:val="1"/>
      <w:marLeft w:val="0"/>
      <w:marRight w:val="0"/>
      <w:marTop w:val="0"/>
      <w:marBottom w:val="0"/>
      <w:divBdr>
        <w:top w:val="none" w:sz="0" w:space="0" w:color="auto"/>
        <w:left w:val="none" w:sz="0" w:space="0" w:color="auto"/>
        <w:bottom w:val="none" w:sz="0" w:space="0" w:color="auto"/>
        <w:right w:val="none" w:sz="0" w:space="0" w:color="auto"/>
      </w:divBdr>
    </w:div>
    <w:div w:id="1863517047">
      <w:bodyDiv w:val="1"/>
      <w:marLeft w:val="0"/>
      <w:marRight w:val="0"/>
      <w:marTop w:val="0"/>
      <w:marBottom w:val="0"/>
      <w:divBdr>
        <w:top w:val="none" w:sz="0" w:space="0" w:color="auto"/>
        <w:left w:val="none" w:sz="0" w:space="0" w:color="auto"/>
        <w:bottom w:val="none" w:sz="0" w:space="0" w:color="auto"/>
        <w:right w:val="none" w:sz="0" w:space="0" w:color="auto"/>
      </w:divBdr>
    </w:div>
    <w:div w:id="1865899403">
      <w:bodyDiv w:val="1"/>
      <w:marLeft w:val="0"/>
      <w:marRight w:val="0"/>
      <w:marTop w:val="0"/>
      <w:marBottom w:val="0"/>
      <w:divBdr>
        <w:top w:val="none" w:sz="0" w:space="0" w:color="auto"/>
        <w:left w:val="none" w:sz="0" w:space="0" w:color="auto"/>
        <w:bottom w:val="none" w:sz="0" w:space="0" w:color="auto"/>
        <w:right w:val="none" w:sz="0" w:space="0" w:color="auto"/>
      </w:divBdr>
    </w:div>
    <w:div w:id="1866554312">
      <w:bodyDiv w:val="1"/>
      <w:marLeft w:val="0"/>
      <w:marRight w:val="0"/>
      <w:marTop w:val="0"/>
      <w:marBottom w:val="0"/>
      <w:divBdr>
        <w:top w:val="none" w:sz="0" w:space="0" w:color="auto"/>
        <w:left w:val="none" w:sz="0" w:space="0" w:color="auto"/>
        <w:bottom w:val="none" w:sz="0" w:space="0" w:color="auto"/>
        <w:right w:val="none" w:sz="0" w:space="0" w:color="auto"/>
      </w:divBdr>
    </w:div>
    <w:div w:id="1867671112">
      <w:bodyDiv w:val="1"/>
      <w:marLeft w:val="0"/>
      <w:marRight w:val="0"/>
      <w:marTop w:val="0"/>
      <w:marBottom w:val="0"/>
      <w:divBdr>
        <w:top w:val="none" w:sz="0" w:space="0" w:color="auto"/>
        <w:left w:val="none" w:sz="0" w:space="0" w:color="auto"/>
        <w:bottom w:val="none" w:sz="0" w:space="0" w:color="auto"/>
        <w:right w:val="none" w:sz="0" w:space="0" w:color="auto"/>
      </w:divBdr>
    </w:div>
    <w:div w:id="1873571518">
      <w:bodyDiv w:val="1"/>
      <w:marLeft w:val="0"/>
      <w:marRight w:val="0"/>
      <w:marTop w:val="0"/>
      <w:marBottom w:val="0"/>
      <w:divBdr>
        <w:top w:val="none" w:sz="0" w:space="0" w:color="auto"/>
        <w:left w:val="none" w:sz="0" w:space="0" w:color="auto"/>
        <w:bottom w:val="none" w:sz="0" w:space="0" w:color="auto"/>
        <w:right w:val="none" w:sz="0" w:space="0" w:color="auto"/>
      </w:divBdr>
    </w:div>
    <w:div w:id="1881242460">
      <w:bodyDiv w:val="1"/>
      <w:marLeft w:val="0"/>
      <w:marRight w:val="0"/>
      <w:marTop w:val="0"/>
      <w:marBottom w:val="0"/>
      <w:divBdr>
        <w:top w:val="none" w:sz="0" w:space="0" w:color="auto"/>
        <w:left w:val="none" w:sz="0" w:space="0" w:color="auto"/>
        <w:bottom w:val="none" w:sz="0" w:space="0" w:color="auto"/>
        <w:right w:val="none" w:sz="0" w:space="0" w:color="auto"/>
      </w:divBdr>
    </w:div>
    <w:div w:id="1882476354">
      <w:bodyDiv w:val="1"/>
      <w:marLeft w:val="0"/>
      <w:marRight w:val="0"/>
      <w:marTop w:val="0"/>
      <w:marBottom w:val="0"/>
      <w:divBdr>
        <w:top w:val="none" w:sz="0" w:space="0" w:color="auto"/>
        <w:left w:val="none" w:sz="0" w:space="0" w:color="auto"/>
        <w:bottom w:val="none" w:sz="0" w:space="0" w:color="auto"/>
        <w:right w:val="none" w:sz="0" w:space="0" w:color="auto"/>
      </w:divBdr>
    </w:div>
    <w:div w:id="1883397196">
      <w:bodyDiv w:val="1"/>
      <w:marLeft w:val="0"/>
      <w:marRight w:val="0"/>
      <w:marTop w:val="0"/>
      <w:marBottom w:val="0"/>
      <w:divBdr>
        <w:top w:val="none" w:sz="0" w:space="0" w:color="auto"/>
        <w:left w:val="none" w:sz="0" w:space="0" w:color="auto"/>
        <w:bottom w:val="none" w:sz="0" w:space="0" w:color="auto"/>
        <w:right w:val="none" w:sz="0" w:space="0" w:color="auto"/>
      </w:divBdr>
    </w:div>
    <w:div w:id="1883666970">
      <w:bodyDiv w:val="1"/>
      <w:marLeft w:val="0"/>
      <w:marRight w:val="0"/>
      <w:marTop w:val="0"/>
      <w:marBottom w:val="0"/>
      <w:divBdr>
        <w:top w:val="none" w:sz="0" w:space="0" w:color="auto"/>
        <w:left w:val="none" w:sz="0" w:space="0" w:color="auto"/>
        <w:bottom w:val="none" w:sz="0" w:space="0" w:color="auto"/>
        <w:right w:val="none" w:sz="0" w:space="0" w:color="auto"/>
      </w:divBdr>
    </w:div>
    <w:div w:id="1884755959">
      <w:bodyDiv w:val="1"/>
      <w:marLeft w:val="0"/>
      <w:marRight w:val="0"/>
      <w:marTop w:val="0"/>
      <w:marBottom w:val="0"/>
      <w:divBdr>
        <w:top w:val="none" w:sz="0" w:space="0" w:color="auto"/>
        <w:left w:val="none" w:sz="0" w:space="0" w:color="auto"/>
        <w:bottom w:val="none" w:sz="0" w:space="0" w:color="auto"/>
        <w:right w:val="none" w:sz="0" w:space="0" w:color="auto"/>
      </w:divBdr>
    </w:div>
    <w:div w:id="1887909046">
      <w:bodyDiv w:val="1"/>
      <w:marLeft w:val="0"/>
      <w:marRight w:val="0"/>
      <w:marTop w:val="0"/>
      <w:marBottom w:val="0"/>
      <w:divBdr>
        <w:top w:val="none" w:sz="0" w:space="0" w:color="auto"/>
        <w:left w:val="none" w:sz="0" w:space="0" w:color="auto"/>
        <w:bottom w:val="none" w:sz="0" w:space="0" w:color="auto"/>
        <w:right w:val="none" w:sz="0" w:space="0" w:color="auto"/>
      </w:divBdr>
    </w:div>
    <w:div w:id="1887911758">
      <w:bodyDiv w:val="1"/>
      <w:marLeft w:val="0"/>
      <w:marRight w:val="0"/>
      <w:marTop w:val="0"/>
      <w:marBottom w:val="0"/>
      <w:divBdr>
        <w:top w:val="none" w:sz="0" w:space="0" w:color="auto"/>
        <w:left w:val="none" w:sz="0" w:space="0" w:color="auto"/>
        <w:bottom w:val="none" w:sz="0" w:space="0" w:color="auto"/>
        <w:right w:val="none" w:sz="0" w:space="0" w:color="auto"/>
      </w:divBdr>
    </w:div>
    <w:div w:id="1895388122">
      <w:bodyDiv w:val="1"/>
      <w:marLeft w:val="0"/>
      <w:marRight w:val="0"/>
      <w:marTop w:val="0"/>
      <w:marBottom w:val="0"/>
      <w:divBdr>
        <w:top w:val="none" w:sz="0" w:space="0" w:color="auto"/>
        <w:left w:val="none" w:sz="0" w:space="0" w:color="auto"/>
        <w:bottom w:val="none" w:sz="0" w:space="0" w:color="auto"/>
        <w:right w:val="none" w:sz="0" w:space="0" w:color="auto"/>
      </w:divBdr>
    </w:div>
    <w:div w:id="1897086224">
      <w:bodyDiv w:val="1"/>
      <w:marLeft w:val="0"/>
      <w:marRight w:val="0"/>
      <w:marTop w:val="0"/>
      <w:marBottom w:val="0"/>
      <w:divBdr>
        <w:top w:val="none" w:sz="0" w:space="0" w:color="auto"/>
        <w:left w:val="none" w:sz="0" w:space="0" w:color="auto"/>
        <w:bottom w:val="none" w:sz="0" w:space="0" w:color="auto"/>
        <w:right w:val="none" w:sz="0" w:space="0" w:color="auto"/>
      </w:divBdr>
    </w:div>
    <w:div w:id="1903707575">
      <w:bodyDiv w:val="1"/>
      <w:marLeft w:val="0"/>
      <w:marRight w:val="0"/>
      <w:marTop w:val="0"/>
      <w:marBottom w:val="0"/>
      <w:divBdr>
        <w:top w:val="none" w:sz="0" w:space="0" w:color="auto"/>
        <w:left w:val="none" w:sz="0" w:space="0" w:color="auto"/>
        <w:bottom w:val="none" w:sz="0" w:space="0" w:color="auto"/>
        <w:right w:val="none" w:sz="0" w:space="0" w:color="auto"/>
      </w:divBdr>
    </w:div>
    <w:div w:id="1907493818">
      <w:bodyDiv w:val="1"/>
      <w:marLeft w:val="0"/>
      <w:marRight w:val="0"/>
      <w:marTop w:val="0"/>
      <w:marBottom w:val="0"/>
      <w:divBdr>
        <w:top w:val="none" w:sz="0" w:space="0" w:color="auto"/>
        <w:left w:val="none" w:sz="0" w:space="0" w:color="auto"/>
        <w:bottom w:val="none" w:sz="0" w:space="0" w:color="auto"/>
        <w:right w:val="none" w:sz="0" w:space="0" w:color="auto"/>
      </w:divBdr>
    </w:div>
    <w:div w:id="1911845430">
      <w:bodyDiv w:val="1"/>
      <w:marLeft w:val="0"/>
      <w:marRight w:val="0"/>
      <w:marTop w:val="0"/>
      <w:marBottom w:val="0"/>
      <w:divBdr>
        <w:top w:val="none" w:sz="0" w:space="0" w:color="auto"/>
        <w:left w:val="none" w:sz="0" w:space="0" w:color="auto"/>
        <w:bottom w:val="none" w:sz="0" w:space="0" w:color="auto"/>
        <w:right w:val="none" w:sz="0" w:space="0" w:color="auto"/>
      </w:divBdr>
    </w:div>
    <w:div w:id="1912808837">
      <w:bodyDiv w:val="1"/>
      <w:marLeft w:val="0"/>
      <w:marRight w:val="0"/>
      <w:marTop w:val="0"/>
      <w:marBottom w:val="0"/>
      <w:divBdr>
        <w:top w:val="none" w:sz="0" w:space="0" w:color="auto"/>
        <w:left w:val="none" w:sz="0" w:space="0" w:color="auto"/>
        <w:bottom w:val="none" w:sz="0" w:space="0" w:color="auto"/>
        <w:right w:val="none" w:sz="0" w:space="0" w:color="auto"/>
      </w:divBdr>
    </w:div>
    <w:div w:id="1921482724">
      <w:bodyDiv w:val="1"/>
      <w:marLeft w:val="0"/>
      <w:marRight w:val="0"/>
      <w:marTop w:val="0"/>
      <w:marBottom w:val="0"/>
      <w:divBdr>
        <w:top w:val="none" w:sz="0" w:space="0" w:color="auto"/>
        <w:left w:val="none" w:sz="0" w:space="0" w:color="auto"/>
        <w:bottom w:val="none" w:sz="0" w:space="0" w:color="auto"/>
        <w:right w:val="none" w:sz="0" w:space="0" w:color="auto"/>
      </w:divBdr>
    </w:div>
    <w:div w:id="1921912636">
      <w:bodyDiv w:val="1"/>
      <w:marLeft w:val="0"/>
      <w:marRight w:val="0"/>
      <w:marTop w:val="0"/>
      <w:marBottom w:val="0"/>
      <w:divBdr>
        <w:top w:val="none" w:sz="0" w:space="0" w:color="auto"/>
        <w:left w:val="none" w:sz="0" w:space="0" w:color="auto"/>
        <w:bottom w:val="none" w:sz="0" w:space="0" w:color="auto"/>
        <w:right w:val="none" w:sz="0" w:space="0" w:color="auto"/>
      </w:divBdr>
    </w:div>
    <w:div w:id="1922173368">
      <w:bodyDiv w:val="1"/>
      <w:marLeft w:val="0"/>
      <w:marRight w:val="0"/>
      <w:marTop w:val="0"/>
      <w:marBottom w:val="0"/>
      <w:divBdr>
        <w:top w:val="none" w:sz="0" w:space="0" w:color="auto"/>
        <w:left w:val="none" w:sz="0" w:space="0" w:color="auto"/>
        <w:bottom w:val="none" w:sz="0" w:space="0" w:color="auto"/>
        <w:right w:val="none" w:sz="0" w:space="0" w:color="auto"/>
      </w:divBdr>
    </w:div>
    <w:div w:id="1923442405">
      <w:bodyDiv w:val="1"/>
      <w:marLeft w:val="0"/>
      <w:marRight w:val="0"/>
      <w:marTop w:val="0"/>
      <w:marBottom w:val="0"/>
      <w:divBdr>
        <w:top w:val="none" w:sz="0" w:space="0" w:color="auto"/>
        <w:left w:val="none" w:sz="0" w:space="0" w:color="auto"/>
        <w:bottom w:val="none" w:sz="0" w:space="0" w:color="auto"/>
        <w:right w:val="none" w:sz="0" w:space="0" w:color="auto"/>
      </w:divBdr>
    </w:div>
    <w:div w:id="1929658850">
      <w:bodyDiv w:val="1"/>
      <w:marLeft w:val="0"/>
      <w:marRight w:val="0"/>
      <w:marTop w:val="0"/>
      <w:marBottom w:val="0"/>
      <w:divBdr>
        <w:top w:val="none" w:sz="0" w:space="0" w:color="auto"/>
        <w:left w:val="none" w:sz="0" w:space="0" w:color="auto"/>
        <w:bottom w:val="none" w:sz="0" w:space="0" w:color="auto"/>
        <w:right w:val="none" w:sz="0" w:space="0" w:color="auto"/>
      </w:divBdr>
    </w:div>
    <w:div w:id="1932737564">
      <w:bodyDiv w:val="1"/>
      <w:marLeft w:val="0"/>
      <w:marRight w:val="0"/>
      <w:marTop w:val="0"/>
      <w:marBottom w:val="0"/>
      <w:divBdr>
        <w:top w:val="none" w:sz="0" w:space="0" w:color="auto"/>
        <w:left w:val="none" w:sz="0" w:space="0" w:color="auto"/>
        <w:bottom w:val="none" w:sz="0" w:space="0" w:color="auto"/>
        <w:right w:val="none" w:sz="0" w:space="0" w:color="auto"/>
      </w:divBdr>
    </w:div>
    <w:div w:id="1934438091">
      <w:bodyDiv w:val="1"/>
      <w:marLeft w:val="0"/>
      <w:marRight w:val="0"/>
      <w:marTop w:val="0"/>
      <w:marBottom w:val="0"/>
      <w:divBdr>
        <w:top w:val="none" w:sz="0" w:space="0" w:color="auto"/>
        <w:left w:val="none" w:sz="0" w:space="0" w:color="auto"/>
        <w:bottom w:val="none" w:sz="0" w:space="0" w:color="auto"/>
        <w:right w:val="none" w:sz="0" w:space="0" w:color="auto"/>
      </w:divBdr>
    </w:div>
    <w:div w:id="1935936134">
      <w:bodyDiv w:val="1"/>
      <w:marLeft w:val="0"/>
      <w:marRight w:val="0"/>
      <w:marTop w:val="0"/>
      <w:marBottom w:val="0"/>
      <w:divBdr>
        <w:top w:val="none" w:sz="0" w:space="0" w:color="auto"/>
        <w:left w:val="none" w:sz="0" w:space="0" w:color="auto"/>
        <w:bottom w:val="none" w:sz="0" w:space="0" w:color="auto"/>
        <w:right w:val="none" w:sz="0" w:space="0" w:color="auto"/>
      </w:divBdr>
    </w:div>
    <w:div w:id="1938055087">
      <w:bodyDiv w:val="1"/>
      <w:marLeft w:val="0"/>
      <w:marRight w:val="0"/>
      <w:marTop w:val="0"/>
      <w:marBottom w:val="0"/>
      <w:divBdr>
        <w:top w:val="none" w:sz="0" w:space="0" w:color="auto"/>
        <w:left w:val="none" w:sz="0" w:space="0" w:color="auto"/>
        <w:bottom w:val="none" w:sz="0" w:space="0" w:color="auto"/>
        <w:right w:val="none" w:sz="0" w:space="0" w:color="auto"/>
      </w:divBdr>
    </w:div>
    <w:div w:id="1939438471">
      <w:bodyDiv w:val="1"/>
      <w:marLeft w:val="0"/>
      <w:marRight w:val="0"/>
      <w:marTop w:val="0"/>
      <w:marBottom w:val="0"/>
      <w:divBdr>
        <w:top w:val="none" w:sz="0" w:space="0" w:color="auto"/>
        <w:left w:val="none" w:sz="0" w:space="0" w:color="auto"/>
        <w:bottom w:val="none" w:sz="0" w:space="0" w:color="auto"/>
        <w:right w:val="none" w:sz="0" w:space="0" w:color="auto"/>
      </w:divBdr>
    </w:div>
    <w:div w:id="1942257457">
      <w:bodyDiv w:val="1"/>
      <w:marLeft w:val="0"/>
      <w:marRight w:val="0"/>
      <w:marTop w:val="0"/>
      <w:marBottom w:val="0"/>
      <w:divBdr>
        <w:top w:val="none" w:sz="0" w:space="0" w:color="auto"/>
        <w:left w:val="none" w:sz="0" w:space="0" w:color="auto"/>
        <w:bottom w:val="none" w:sz="0" w:space="0" w:color="auto"/>
        <w:right w:val="none" w:sz="0" w:space="0" w:color="auto"/>
      </w:divBdr>
    </w:div>
    <w:div w:id="1942300716">
      <w:bodyDiv w:val="1"/>
      <w:marLeft w:val="0"/>
      <w:marRight w:val="0"/>
      <w:marTop w:val="0"/>
      <w:marBottom w:val="0"/>
      <w:divBdr>
        <w:top w:val="none" w:sz="0" w:space="0" w:color="auto"/>
        <w:left w:val="none" w:sz="0" w:space="0" w:color="auto"/>
        <w:bottom w:val="none" w:sz="0" w:space="0" w:color="auto"/>
        <w:right w:val="none" w:sz="0" w:space="0" w:color="auto"/>
      </w:divBdr>
    </w:div>
    <w:div w:id="1951088228">
      <w:bodyDiv w:val="1"/>
      <w:marLeft w:val="0"/>
      <w:marRight w:val="0"/>
      <w:marTop w:val="0"/>
      <w:marBottom w:val="0"/>
      <w:divBdr>
        <w:top w:val="none" w:sz="0" w:space="0" w:color="auto"/>
        <w:left w:val="none" w:sz="0" w:space="0" w:color="auto"/>
        <w:bottom w:val="none" w:sz="0" w:space="0" w:color="auto"/>
        <w:right w:val="none" w:sz="0" w:space="0" w:color="auto"/>
      </w:divBdr>
    </w:div>
    <w:div w:id="1952928827">
      <w:bodyDiv w:val="1"/>
      <w:marLeft w:val="0"/>
      <w:marRight w:val="0"/>
      <w:marTop w:val="0"/>
      <w:marBottom w:val="0"/>
      <w:divBdr>
        <w:top w:val="none" w:sz="0" w:space="0" w:color="auto"/>
        <w:left w:val="none" w:sz="0" w:space="0" w:color="auto"/>
        <w:bottom w:val="none" w:sz="0" w:space="0" w:color="auto"/>
        <w:right w:val="none" w:sz="0" w:space="0" w:color="auto"/>
      </w:divBdr>
    </w:div>
    <w:div w:id="1955092495">
      <w:bodyDiv w:val="1"/>
      <w:marLeft w:val="0"/>
      <w:marRight w:val="0"/>
      <w:marTop w:val="0"/>
      <w:marBottom w:val="0"/>
      <w:divBdr>
        <w:top w:val="none" w:sz="0" w:space="0" w:color="auto"/>
        <w:left w:val="none" w:sz="0" w:space="0" w:color="auto"/>
        <w:bottom w:val="none" w:sz="0" w:space="0" w:color="auto"/>
        <w:right w:val="none" w:sz="0" w:space="0" w:color="auto"/>
      </w:divBdr>
    </w:div>
    <w:div w:id="1956675297">
      <w:bodyDiv w:val="1"/>
      <w:marLeft w:val="0"/>
      <w:marRight w:val="0"/>
      <w:marTop w:val="0"/>
      <w:marBottom w:val="0"/>
      <w:divBdr>
        <w:top w:val="none" w:sz="0" w:space="0" w:color="auto"/>
        <w:left w:val="none" w:sz="0" w:space="0" w:color="auto"/>
        <w:bottom w:val="none" w:sz="0" w:space="0" w:color="auto"/>
        <w:right w:val="none" w:sz="0" w:space="0" w:color="auto"/>
      </w:divBdr>
    </w:div>
    <w:div w:id="1960985824">
      <w:bodyDiv w:val="1"/>
      <w:marLeft w:val="0"/>
      <w:marRight w:val="0"/>
      <w:marTop w:val="0"/>
      <w:marBottom w:val="0"/>
      <w:divBdr>
        <w:top w:val="none" w:sz="0" w:space="0" w:color="auto"/>
        <w:left w:val="none" w:sz="0" w:space="0" w:color="auto"/>
        <w:bottom w:val="none" w:sz="0" w:space="0" w:color="auto"/>
        <w:right w:val="none" w:sz="0" w:space="0" w:color="auto"/>
      </w:divBdr>
    </w:div>
    <w:div w:id="1964460712">
      <w:bodyDiv w:val="1"/>
      <w:marLeft w:val="0"/>
      <w:marRight w:val="0"/>
      <w:marTop w:val="0"/>
      <w:marBottom w:val="0"/>
      <w:divBdr>
        <w:top w:val="none" w:sz="0" w:space="0" w:color="auto"/>
        <w:left w:val="none" w:sz="0" w:space="0" w:color="auto"/>
        <w:bottom w:val="none" w:sz="0" w:space="0" w:color="auto"/>
        <w:right w:val="none" w:sz="0" w:space="0" w:color="auto"/>
      </w:divBdr>
    </w:div>
    <w:div w:id="1968536677">
      <w:bodyDiv w:val="1"/>
      <w:marLeft w:val="0"/>
      <w:marRight w:val="0"/>
      <w:marTop w:val="0"/>
      <w:marBottom w:val="0"/>
      <w:divBdr>
        <w:top w:val="none" w:sz="0" w:space="0" w:color="auto"/>
        <w:left w:val="none" w:sz="0" w:space="0" w:color="auto"/>
        <w:bottom w:val="none" w:sz="0" w:space="0" w:color="auto"/>
        <w:right w:val="none" w:sz="0" w:space="0" w:color="auto"/>
      </w:divBdr>
    </w:div>
    <w:div w:id="1968658648">
      <w:bodyDiv w:val="1"/>
      <w:marLeft w:val="0"/>
      <w:marRight w:val="0"/>
      <w:marTop w:val="0"/>
      <w:marBottom w:val="0"/>
      <w:divBdr>
        <w:top w:val="none" w:sz="0" w:space="0" w:color="auto"/>
        <w:left w:val="none" w:sz="0" w:space="0" w:color="auto"/>
        <w:bottom w:val="none" w:sz="0" w:space="0" w:color="auto"/>
        <w:right w:val="none" w:sz="0" w:space="0" w:color="auto"/>
      </w:divBdr>
    </w:div>
    <w:div w:id="1970434152">
      <w:bodyDiv w:val="1"/>
      <w:marLeft w:val="0"/>
      <w:marRight w:val="0"/>
      <w:marTop w:val="0"/>
      <w:marBottom w:val="0"/>
      <w:divBdr>
        <w:top w:val="none" w:sz="0" w:space="0" w:color="auto"/>
        <w:left w:val="none" w:sz="0" w:space="0" w:color="auto"/>
        <w:bottom w:val="none" w:sz="0" w:space="0" w:color="auto"/>
        <w:right w:val="none" w:sz="0" w:space="0" w:color="auto"/>
      </w:divBdr>
    </w:div>
    <w:div w:id="1970741665">
      <w:bodyDiv w:val="1"/>
      <w:marLeft w:val="0"/>
      <w:marRight w:val="0"/>
      <w:marTop w:val="0"/>
      <w:marBottom w:val="0"/>
      <w:divBdr>
        <w:top w:val="none" w:sz="0" w:space="0" w:color="auto"/>
        <w:left w:val="none" w:sz="0" w:space="0" w:color="auto"/>
        <w:bottom w:val="none" w:sz="0" w:space="0" w:color="auto"/>
        <w:right w:val="none" w:sz="0" w:space="0" w:color="auto"/>
      </w:divBdr>
    </w:div>
    <w:div w:id="1980182749">
      <w:bodyDiv w:val="1"/>
      <w:marLeft w:val="0"/>
      <w:marRight w:val="0"/>
      <w:marTop w:val="0"/>
      <w:marBottom w:val="0"/>
      <w:divBdr>
        <w:top w:val="none" w:sz="0" w:space="0" w:color="auto"/>
        <w:left w:val="none" w:sz="0" w:space="0" w:color="auto"/>
        <w:bottom w:val="none" w:sz="0" w:space="0" w:color="auto"/>
        <w:right w:val="none" w:sz="0" w:space="0" w:color="auto"/>
      </w:divBdr>
    </w:div>
    <w:div w:id="1981232256">
      <w:bodyDiv w:val="1"/>
      <w:marLeft w:val="0"/>
      <w:marRight w:val="0"/>
      <w:marTop w:val="0"/>
      <w:marBottom w:val="0"/>
      <w:divBdr>
        <w:top w:val="none" w:sz="0" w:space="0" w:color="auto"/>
        <w:left w:val="none" w:sz="0" w:space="0" w:color="auto"/>
        <w:bottom w:val="none" w:sz="0" w:space="0" w:color="auto"/>
        <w:right w:val="none" w:sz="0" w:space="0" w:color="auto"/>
      </w:divBdr>
    </w:div>
    <w:div w:id="1983148661">
      <w:bodyDiv w:val="1"/>
      <w:marLeft w:val="0"/>
      <w:marRight w:val="0"/>
      <w:marTop w:val="0"/>
      <w:marBottom w:val="0"/>
      <w:divBdr>
        <w:top w:val="none" w:sz="0" w:space="0" w:color="auto"/>
        <w:left w:val="none" w:sz="0" w:space="0" w:color="auto"/>
        <w:bottom w:val="none" w:sz="0" w:space="0" w:color="auto"/>
        <w:right w:val="none" w:sz="0" w:space="0" w:color="auto"/>
      </w:divBdr>
    </w:div>
    <w:div w:id="1989703743">
      <w:bodyDiv w:val="1"/>
      <w:marLeft w:val="0"/>
      <w:marRight w:val="0"/>
      <w:marTop w:val="0"/>
      <w:marBottom w:val="0"/>
      <w:divBdr>
        <w:top w:val="none" w:sz="0" w:space="0" w:color="auto"/>
        <w:left w:val="none" w:sz="0" w:space="0" w:color="auto"/>
        <w:bottom w:val="none" w:sz="0" w:space="0" w:color="auto"/>
        <w:right w:val="none" w:sz="0" w:space="0" w:color="auto"/>
      </w:divBdr>
    </w:div>
    <w:div w:id="1994528541">
      <w:bodyDiv w:val="1"/>
      <w:marLeft w:val="0"/>
      <w:marRight w:val="0"/>
      <w:marTop w:val="0"/>
      <w:marBottom w:val="0"/>
      <w:divBdr>
        <w:top w:val="none" w:sz="0" w:space="0" w:color="auto"/>
        <w:left w:val="none" w:sz="0" w:space="0" w:color="auto"/>
        <w:bottom w:val="none" w:sz="0" w:space="0" w:color="auto"/>
        <w:right w:val="none" w:sz="0" w:space="0" w:color="auto"/>
      </w:divBdr>
    </w:div>
    <w:div w:id="1995068278">
      <w:bodyDiv w:val="1"/>
      <w:marLeft w:val="0"/>
      <w:marRight w:val="0"/>
      <w:marTop w:val="0"/>
      <w:marBottom w:val="0"/>
      <w:divBdr>
        <w:top w:val="none" w:sz="0" w:space="0" w:color="auto"/>
        <w:left w:val="none" w:sz="0" w:space="0" w:color="auto"/>
        <w:bottom w:val="none" w:sz="0" w:space="0" w:color="auto"/>
        <w:right w:val="none" w:sz="0" w:space="0" w:color="auto"/>
      </w:divBdr>
    </w:div>
    <w:div w:id="1997371397">
      <w:bodyDiv w:val="1"/>
      <w:marLeft w:val="0"/>
      <w:marRight w:val="0"/>
      <w:marTop w:val="0"/>
      <w:marBottom w:val="0"/>
      <w:divBdr>
        <w:top w:val="none" w:sz="0" w:space="0" w:color="auto"/>
        <w:left w:val="none" w:sz="0" w:space="0" w:color="auto"/>
        <w:bottom w:val="none" w:sz="0" w:space="0" w:color="auto"/>
        <w:right w:val="none" w:sz="0" w:space="0" w:color="auto"/>
      </w:divBdr>
    </w:div>
    <w:div w:id="1998028448">
      <w:bodyDiv w:val="1"/>
      <w:marLeft w:val="0"/>
      <w:marRight w:val="0"/>
      <w:marTop w:val="0"/>
      <w:marBottom w:val="0"/>
      <w:divBdr>
        <w:top w:val="none" w:sz="0" w:space="0" w:color="auto"/>
        <w:left w:val="none" w:sz="0" w:space="0" w:color="auto"/>
        <w:bottom w:val="none" w:sz="0" w:space="0" w:color="auto"/>
        <w:right w:val="none" w:sz="0" w:space="0" w:color="auto"/>
      </w:divBdr>
    </w:div>
    <w:div w:id="1999142741">
      <w:bodyDiv w:val="1"/>
      <w:marLeft w:val="0"/>
      <w:marRight w:val="0"/>
      <w:marTop w:val="0"/>
      <w:marBottom w:val="0"/>
      <w:divBdr>
        <w:top w:val="none" w:sz="0" w:space="0" w:color="auto"/>
        <w:left w:val="none" w:sz="0" w:space="0" w:color="auto"/>
        <w:bottom w:val="none" w:sz="0" w:space="0" w:color="auto"/>
        <w:right w:val="none" w:sz="0" w:space="0" w:color="auto"/>
      </w:divBdr>
    </w:div>
    <w:div w:id="2000884722">
      <w:bodyDiv w:val="1"/>
      <w:marLeft w:val="0"/>
      <w:marRight w:val="0"/>
      <w:marTop w:val="0"/>
      <w:marBottom w:val="0"/>
      <w:divBdr>
        <w:top w:val="none" w:sz="0" w:space="0" w:color="auto"/>
        <w:left w:val="none" w:sz="0" w:space="0" w:color="auto"/>
        <w:bottom w:val="none" w:sz="0" w:space="0" w:color="auto"/>
        <w:right w:val="none" w:sz="0" w:space="0" w:color="auto"/>
      </w:divBdr>
    </w:div>
    <w:div w:id="2002464660">
      <w:bodyDiv w:val="1"/>
      <w:marLeft w:val="0"/>
      <w:marRight w:val="0"/>
      <w:marTop w:val="0"/>
      <w:marBottom w:val="0"/>
      <w:divBdr>
        <w:top w:val="none" w:sz="0" w:space="0" w:color="auto"/>
        <w:left w:val="none" w:sz="0" w:space="0" w:color="auto"/>
        <w:bottom w:val="none" w:sz="0" w:space="0" w:color="auto"/>
        <w:right w:val="none" w:sz="0" w:space="0" w:color="auto"/>
      </w:divBdr>
    </w:div>
    <w:div w:id="2010329079">
      <w:bodyDiv w:val="1"/>
      <w:marLeft w:val="0"/>
      <w:marRight w:val="0"/>
      <w:marTop w:val="0"/>
      <w:marBottom w:val="0"/>
      <w:divBdr>
        <w:top w:val="none" w:sz="0" w:space="0" w:color="auto"/>
        <w:left w:val="none" w:sz="0" w:space="0" w:color="auto"/>
        <w:bottom w:val="none" w:sz="0" w:space="0" w:color="auto"/>
        <w:right w:val="none" w:sz="0" w:space="0" w:color="auto"/>
      </w:divBdr>
    </w:div>
    <w:div w:id="2018146552">
      <w:bodyDiv w:val="1"/>
      <w:marLeft w:val="0"/>
      <w:marRight w:val="0"/>
      <w:marTop w:val="0"/>
      <w:marBottom w:val="0"/>
      <w:divBdr>
        <w:top w:val="none" w:sz="0" w:space="0" w:color="auto"/>
        <w:left w:val="none" w:sz="0" w:space="0" w:color="auto"/>
        <w:bottom w:val="none" w:sz="0" w:space="0" w:color="auto"/>
        <w:right w:val="none" w:sz="0" w:space="0" w:color="auto"/>
      </w:divBdr>
    </w:div>
    <w:div w:id="2022779682">
      <w:bodyDiv w:val="1"/>
      <w:marLeft w:val="0"/>
      <w:marRight w:val="0"/>
      <w:marTop w:val="0"/>
      <w:marBottom w:val="0"/>
      <w:divBdr>
        <w:top w:val="none" w:sz="0" w:space="0" w:color="auto"/>
        <w:left w:val="none" w:sz="0" w:space="0" w:color="auto"/>
        <w:bottom w:val="none" w:sz="0" w:space="0" w:color="auto"/>
        <w:right w:val="none" w:sz="0" w:space="0" w:color="auto"/>
      </w:divBdr>
    </w:div>
    <w:div w:id="2023778006">
      <w:bodyDiv w:val="1"/>
      <w:marLeft w:val="0"/>
      <w:marRight w:val="0"/>
      <w:marTop w:val="0"/>
      <w:marBottom w:val="0"/>
      <w:divBdr>
        <w:top w:val="none" w:sz="0" w:space="0" w:color="auto"/>
        <w:left w:val="none" w:sz="0" w:space="0" w:color="auto"/>
        <w:bottom w:val="none" w:sz="0" w:space="0" w:color="auto"/>
        <w:right w:val="none" w:sz="0" w:space="0" w:color="auto"/>
      </w:divBdr>
    </w:div>
    <w:div w:id="2025277823">
      <w:bodyDiv w:val="1"/>
      <w:marLeft w:val="0"/>
      <w:marRight w:val="0"/>
      <w:marTop w:val="0"/>
      <w:marBottom w:val="0"/>
      <w:divBdr>
        <w:top w:val="none" w:sz="0" w:space="0" w:color="auto"/>
        <w:left w:val="none" w:sz="0" w:space="0" w:color="auto"/>
        <w:bottom w:val="none" w:sz="0" w:space="0" w:color="auto"/>
        <w:right w:val="none" w:sz="0" w:space="0" w:color="auto"/>
      </w:divBdr>
    </w:div>
    <w:div w:id="2025279539">
      <w:bodyDiv w:val="1"/>
      <w:marLeft w:val="0"/>
      <w:marRight w:val="0"/>
      <w:marTop w:val="0"/>
      <w:marBottom w:val="0"/>
      <w:divBdr>
        <w:top w:val="none" w:sz="0" w:space="0" w:color="auto"/>
        <w:left w:val="none" w:sz="0" w:space="0" w:color="auto"/>
        <w:bottom w:val="none" w:sz="0" w:space="0" w:color="auto"/>
        <w:right w:val="none" w:sz="0" w:space="0" w:color="auto"/>
      </w:divBdr>
    </w:div>
    <w:div w:id="2032485959">
      <w:bodyDiv w:val="1"/>
      <w:marLeft w:val="0"/>
      <w:marRight w:val="0"/>
      <w:marTop w:val="0"/>
      <w:marBottom w:val="0"/>
      <w:divBdr>
        <w:top w:val="none" w:sz="0" w:space="0" w:color="auto"/>
        <w:left w:val="none" w:sz="0" w:space="0" w:color="auto"/>
        <w:bottom w:val="none" w:sz="0" w:space="0" w:color="auto"/>
        <w:right w:val="none" w:sz="0" w:space="0" w:color="auto"/>
      </w:divBdr>
    </w:div>
    <w:div w:id="2033873410">
      <w:bodyDiv w:val="1"/>
      <w:marLeft w:val="0"/>
      <w:marRight w:val="0"/>
      <w:marTop w:val="0"/>
      <w:marBottom w:val="0"/>
      <w:divBdr>
        <w:top w:val="none" w:sz="0" w:space="0" w:color="auto"/>
        <w:left w:val="none" w:sz="0" w:space="0" w:color="auto"/>
        <w:bottom w:val="none" w:sz="0" w:space="0" w:color="auto"/>
        <w:right w:val="none" w:sz="0" w:space="0" w:color="auto"/>
      </w:divBdr>
    </w:div>
    <w:div w:id="2035037482">
      <w:bodyDiv w:val="1"/>
      <w:marLeft w:val="0"/>
      <w:marRight w:val="0"/>
      <w:marTop w:val="0"/>
      <w:marBottom w:val="0"/>
      <w:divBdr>
        <w:top w:val="none" w:sz="0" w:space="0" w:color="auto"/>
        <w:left w:val="none" w:sz="0" w:space="0" w:color="auto"/>
        <w:bottom w:val="none" w:sz="0" w:space="0" w:color="auto"/>
        <w:right w:val="none" w:sz="0" w:space="0" w:color="auto"/>
      </w:divBdr>
    </w:div>
    <w:div w:id="2041278499">
      <w:bodyDiv w:val="1"/>
      <w:marLeft w:val="0"/>
      <w:marRight w:val="0"/>
      <w:marTop w:val="0"/>
      <w:marBottom w:val="0"/>
      <w:divBdr>
        <w:top w:val="none" w:sz="0" w:space="0" w:color="auto"/>
        <w:left w:val="none" w:sz="0" w:space="0" w:color="auto"/>
        <w:bottom w:val="none" w:sz="0" w:space="0" w:color="auto"/>
        <w:right w:val="none" w:sz="0" w:space="0" w:color="auto"/>
      </w:divBdr>
    </w:div>
    <w:div w:id="2042628205">
      <w:bodyDiv w:val="1"/>
      <w:marLeft w:val="0"/>
      <w:marRight w:val="0"/>
      <w:marTop w:val="0"/>
      <w:marBottom w:val="0"/>
      <w:divBdr>
        <w:top w:val="none" w:sz="0" w:space="0" w:color="auto"/>
        <w:left w:val="none" w:sz="0" w:space="0" w:color="auto"/>
        <w:bottom w:val="none" w:sz="0" w:space="0" w:color="auto"/>
        <w:right w:val="none" w:sz="0" w:space="0" w:color="auto"/>
      </w:divBdr>
    </w:div>
    <w:div w:id="2043625887">
      <w:bodyDiv w:val="1"/>
      <w:marLeft w:val="0"/>
      <w:marRight w:val="0"/>
      <w:marTop w:val="0"/>
      <w:marBottom w:val="0"/>
      <w:divBdr>
        <w:top w:val="none" w:sz="0" w:space="0" w:color="auto"/>
        <w:left w:val="none" w:sz="0" w:space="0" w:color="auto"/>
        <w:bottom w:val="none" w:sz="0" w:space="0" w:color="auto"/>
        <w:right w:val="none" w:sz="0" w:space="0" w:color="auto"/>
      </w:divBdr>
    </w:div>
    <w:div w:id="2059814145">
      <w:bodyDiv w:val="1"/>
      <w:marLeft w:val="0"/>
      <w:marRight w:val="0"/>
      <w:marTop w:val="0"/>
      <w:marBottom w:val="0"/>
      <w:divBdr>
        <w:top w:val="none" w:sz="0" w:space="0" w:color="auto"/>
        <w:left w:val="none" w:sz="0" w:space="0" w:color="auto"/>
        <w:bottom w:val="none" w:sz="0" w:space="0" w:color="auto"/>
        <w:right w:val="none" w:sz="0" w:space="0" w:color="auto"/>
      </w:divBdr>
    </w:div>
    <w:div w:id="2061509470">
      <w:bodyDiv w:val="1"/>
      <w:marLeft w:val="0"/>
      <w:marRight w:val="0"/>
      <w:marTop w:val="0"/>
      <w:marBottom w:val="0"/>
      <w:divBdr>
        <w:top w:val="none" w:sz="0" w:space="0" w:color="auto"/>
        <w:left w:val="none" w:sz="0" w:space="0" w:color="auto"/>
        <w:bottom w:val="none" w:sz="0" w:space="0" w:color="auto"/>
        <w:right w:val="none" w:sz="0" w:space="0" w:color="auto"/>
      </w:divBdr>
    </w:div>
    <w:div w:id="2062822153">
      <w:bodyDiv w:val="1"/>
      <w:marLeft w:val="0"/>
      <w:marRight w:val="0"/>
      <w:marTop w:val="0"/>
      <w:marBottom w:val="0"/>
      <w:divBdr>
        <w:top w:val="none" w:sz="0" w:space="0" w:color="auto"/>
        <w:left w:val="none" w:sz="0" w:space="0" w:color="auto"/>
        <w:bottom w:val="none" w:sz="0" w:space="0" w:color="auto"/>
        <w:right w:val="none" w:sz="0" w:space="0" w:color="auto"/>
      </w:divBdr>
    </w:div>
    <w:div w:id="2065177184">
      <w:bodyDiv w:val="1"/>
      <w:marLeft w:val="0"/>
      <w:marRight w:val="0"/>
      <w:marTop w:val="0"/>
      <w:marBottom w:val="0"/>
      <w:divBdr>
        <w:top w:val="none" w:sz="0" w:space="0" w:color="auto"/>
        <w:left w:val="none" w:sz="0" w:space="0" w:color="auto"/>
        <w:bottom w:val="none" w:sz="0" w:space="0" w:color="auto"/>
        <w:right w:val="none" w:sz="0" w:space="0" w:color="auto"/>
      </w:divBdr>
    </w:div>
    <w:div w:id="2070879850">
      <w:bodyDiv w:val="1"/>
      <w:marLeft w:val="0"/>
      <w:marRight w:val="0"/>
      <w:marTop w:val="0"/>
      <w:marBottom w:val="0"/>
      <w:divBdr>
        <w:top w:val="none" w:sz="0" w:space="0" w:color="auto"/>
        <w:left w:val="none" w:sz="0" w:space="0" w:color="auto"/>
        <w:bottom w:val="none" w:sz="0" w:space="0" w:color="auto"/>
        <w:right w:val="none" w:sz="0" w:space="0" w:color="auto"/>
      </w:divBdr>
    </w:div>
    <w:div w:id="2072607624">
      <w:bodyDiv w:val="1"/>
      <w:marLeft w:val="0"/>
      <w:marRight w:val="0"/>
      <w:marTop w:val="0"/>
      <w:marBottom w:val="0"/>
      <w:divBdr>
        <w:top w:val="none" w:sz="0" w:space="0" w:color="auto"/>
        <w:left w:val="none" w:sz="0" w:space="0" w:color="auto"/>
        <w:bottom w:val="none" w:sz="0" w:space="0" w:color="auto"/>
        <w:right w:val="none" w:sz="0" w:space="0" w:color="auto"/>
      </w:divBdr>
    </w:div>
    <w:div w:id="2072843609">
      <w:bodyDiv w:val="1"/>
      <w:marLeft w:val="0"/>
      <w:marRight w:val="0"/>
      <w:marTop w:val="0"/>
      <w:marBottom w:val="0"/>
      <w:divBdr>
        <w:top w:val="none" w:sz="0" w:space="0" w:color="auto"/>
        <w:left w:val="none" w:sz="0" w:space="0" w:color="auto"/>
        <w:bottom w:val="none" w:sz="0" w:space="0" w:color="auto"/>
        <w:right w:val="none" w:sz="0" w:space="0" w:color="auto"/>
      </w:divBdr>
    </w:div>
    <w:div w:id="2078168780">
      <w:bodyDiv w:val="1"/>
      <w:marLeft w:val="0"/>
      <w:marRight w:val="0"/>
      <w:marTop w:val="0"/>
      <w:marBottom w:val="0"/>
      <w:divBdr>
        <w:top w:val="none" w:sz="0" w:space="0" w:color="auto"/>
        <w:left w:val="none" w:sz="0" w:space="0" w:color="auto"/>
        <w:bottom w:val="none" w:sz="0" w:space="0" w:color="auto"/>
        <w:right w:val="none" w:sz="0" w:space="0" w:color="auto"/>
      </w:divBdr>
    </w:div>
    <w:div w:id="2079550433">
      <w:bodyDiv w:val="1"/>
      <w:marLeft w:val="0"/>
      <w:marRight w:val="0"/>
      <w:marTop w:val="0"/>
      <w:marBottom w:val="0"/>
      <w:divBdr>
        <w:top w:val="none" w:sz="0" w:space="0" w:color="auto"/>
        <w:left w:val="none" w:sz="0" w:space="0" w:color="auto"/>
        <w:bottom w:val="none" w:sz="0" w:space="0" w:color="auto"/>
        <w:right w:val="none" w:sz="0" w:space="0" w:color="auto"/>
      </w:divBdr>
    </w:div>
    <w:div w:id="2080979682">
      <w:bodyDiv w:val="1"/>
      <w:marLeft w:val="0"/>
      <w:marRight w:val="0"/>
      <w:marTop w:val="0"/>
      <w:marBottom w:val="0"/>
      <w:divBdr>
        <w:top w:val="none" w:sz="0" w:space="0" w:color="auto"/>
        <w:left w:val="none" w:sz="0" w:space="0" w:color="auto"/>
        <w:bottom w:val="none" w:sz="0" w:space="0" w:color="auto"/>
        <w:right w:val="none" w:sz="0" w:space="0" w:color="auto"/>
      </w:divBdr>
    </w:div>
    <w:div w:id="2083213224">
      <w:bodyDiv w:val="1"/>
      <w:marLeft w:val="0"/>
      <w:marRight w:val="0"/>
      <w:marTop w:val="0"/>
      <w:marBottom w:val="0"/>
      <w:divBdr>
        <w:top w:val="none" w:sz="0" w:space="0" w:color="auto"/>
        <w:left w:val="none" w:sz="0" w:space="0" w:color="auto"/>
        <w:bottom w:val="none" w:sz="0" w:space="0" w:color="auto"/>
        <w:right w:val="none" w:sz="0" w:space="0" w:color="auto"/>
      </w:divBdr>
    </w:div>
    <w:div w:id="2088115880">
      <w:bodyDiv w:val="1"/>
      <w:marLeft w:val="0"/>
      <w:marRight w:val="0"/>
      <w:marTop w:val="0"/>
      <w:marBottom w:val="0"/>
      <w:divBdr>
        <w:top w:val="none" w:sz="0" w:space="0" w:color="auto"/>
        <w:left w:val="none" w:sz="0" w:space="0" w:color="auto"/>
        <w:bottom w:val="none" w:sz="0" w:space="0" w:color="auto"/>
        <w:right w:val="none" w:sz="0" w:space="0" w:color="auto"/>
      </w:divBdr>
    </w:div>
    <w:div w:id="2103064650">
      <w:bodyDiv w:val="1"/>
      <w:marLeft w:val="0"/>
      <w:marRight w:val="0"/>
      <w:marTop w:val="0"/>
      <w:marBottom w:val="0"/>
      <w:divBdr>
        <w:top w:val="none" w:sz="0" w:space="0" w:color="auto"/>
        <w:left w:val="none" w:sz="0" w:space="0" w:color="auto"/>
        <w:bottom w:val="none" w:sz="0" w:space="0" w:color="auto"/>
        <w:right w:val="none" w:sz="0" w:space="0" w:color="auto"/>
      </w:divBdr>
    </w:div>
    <w:div w:id="2105178525">
      <w:bodyDiv w:val="1"/>
      <w:marLeft w:val="0"/>
      <w:marRight w:val="0"/>
      <w:marTop w:val="0"/>
      <w:marBottom w:val="0"/>
      <w:divBdr>
        <w:top w:val="none" w:sz="0" w:space="0" w:color="auto"/>
        <w:left w:val="none" w:sz="0" w:space="0" w:color="auto"/>
        <w:bottom w:val="none" w:sz="0" w:space="0" w:color="auto"/>
        <w:right w:val="none" w:sz="0" w:space="0" w:color="auto"/>
      </w:divBdr>
    </w:div>
    <w:div w:id="2106146389">
      <w:bodyDiv w:val="1"/>
      <w:marLeft w:val="0"/>
      <w:marRight w:val="0"/>
      <w:marTop w:val="0"/>
      <w:marBottom w:val="0"/>
      <w:divBdr>
        <w:top w:val="none" w:sz="0" w:space="0" w:color="auto"/>
        <w:left w:val="none" w:sz="0" w:space="0" w:color="auto"/>
        <w:bottom w:val="none" w:sz="0" w:space="0" w:color="auto"/>
        <w:right w:val="none" w:sz="0" w:space="0" w:color="auto"/>
      </w:divBdr>
    </w:div>
    <w:div w:id="2106336980">
      <w:bodyDiv w:val="1"/>
      <w:marLeft w:val="0"/>
      <w:marRight w:val="0"/>
      <w:marTop w:val="0"/>
      <w:marBottom w:val="0"/>
      <w:divBdr>
        <w:top w:val="none" w:sz="0" w:space="0" w:color="auto"/>
        <w:left w:val="none" w:sz="0" w:space="0" w:color="auto"/>
        <w:bottom w:val="none" w:sz="0" w:space="0" w:color="auto"/>
        <w:right w:val="none" w:sz="0" w:space="0" w:color="auto"/>
      </w:divBdr>
    </w:div>
    <w:div w:id="2108651208">
      <w:bodyDiv w:val="1"/>
      <w:marLeft w:val="0"/>
      <w:marRight w:val="0"/>
      <w:marTop w:val="0"/>
      <w:marBottom w:val="0"/>
      <w:divBdr>
        <w:top w:val="none" w:sz="0" w:space="0" w:color="auto"/>
        <w:left w:val="none" w:sz="0" w:space="0" w:color="auto"/>
        <w:bottom w:val="none" w:sz="0" w:space="0" w:color="auto"/>
        <w:right w:val="none" w:sz="0" w:space="0" w:color="auto"/>
      </w:divBdr>
    </w:div>
    <w:div w:id="2110198136">
      <w:bodyDiv w:val="1"/>
      <w:marLeft w:val="0"/>
      <w:marRight w:val="0"/>
      <w:marTop w:val="0"/>
      <w:marBottom w:val="0"/>
      <w:divBdr>
        <w:top w:val="none" w:sz="0" w:space="0" w:color="auto"/>
        <w:left w:val="none" w:sz="0" w:space="0" w:color="auto"/>
        <w:bottom w:val="none" w:sz="0" w:space="0" w:color="auto"/>
        <w:right w:val="none" w:sz="0" w:space="0" w:color="auto"/>
      </w:divBdr>
    </w:div>
    <w:div w:id="2113435719">
      <w:bodyDiv w:val="1"/>
      <w:marLeft w:val="0"/>
      <w:marRight w:val="0"/>
      <w:marTop w:val="0"/>
      <w:marBottom w:val="0"/>
      <w:divBdr>
        <w:top w:val="none" w:sz="0" w:space="0" w:color="auto"/>
        <w:left w:val="none" w:sz="0" w:space="0" w:color="auto"/>
        <w:bottom w:val="none" w:sz="0" w:space="0" w:color="auto"/>
        <w:right w:val="none" w:sz="0" w:space="0" w:color="auto"/>
      </w:divBdr>
    </w:div>
    <w:div w:id="2115468990">
      <w:bodyDiv w:val="1"/>
      <w:marLeft w:val="0"/>
      <w:marRight w:val="0"/>
      <w:marTop w:val="0"/>
      <w:marBottom w:val="0"/>
      <w:divBdr>
        <w:top w:val="none" w:sz="0" w:space="0" w:color="auto"/>
        <w:left w:val="none" w:sz="0" w:space="0" w:color="auto"/>
        <w:bottom w:val="none" w:sz="0" w:space="0" w:color="auto"/>
        <w:right w:val="none" w:sz="0" w:space="0" w:color="auto"/>
      </w:divBdr>
    </w:div>
    <w:div w:id="2117021923">
      <w:bodyDiv w:val="1"/>
      <w:marLeft w:val="0"/>
      <w:marRight w:val="0"/>
      <w:marTop w:val="0"/>
      <w:marBottom w:val="0"/>
      <w:divBdr>
        <w:top w:val="none" w:sz="0" w:space="0" w:color="auto"/>
        <w:left w:val="none" w:sz="0" w:space="0" w:color="auto"/>
        <w:bottom w:val="none" w:sz="0" w:space="0" w:color="auto"/>
        <w:right w:val="none" w:sz="0" w:space="0" w:color="auto"/>
      </w:divBdr>
    </w:div>
    <w:div w:id="2120831104">
      <w:bodyDiv w:val="1"/>
      <w:marLeft w:val="0"/>
      <w:marRight w:val="0"/>
      <w:marTop w:val="0"/>
      <w:marBottom w:val="0"/>
      <w:divBdr>
        <w:top w:val="none" w:sz="0" w:space="0" w:color="auto"/>
        <w:left w:val="none" w:sz="0" w:space="0" w:color="auto"/>
        <w:bottom w:val="none" w:sz="0" w:space="0" w:color="auto"/>
        <w:right w:val="none" w:sz="0" w:space="0" w:color="auto"/>
      </w:divBdr>
    </w:div>
    <w:div w:id="2121756072">
      <w:bodyDiv w:val="1"/>
      <w:marLeft w:val="0"/>
      <w:marRight w:val="0"/>
      <w:marTop w:val="0"/>
      <w:marBottom w:val="0"/>
      <w:divBdr>
        <w:top w:val="none" w:sz="0" w:space="0" w:color="auto"/>
        <w:left w:val="none" w:sz="0" w:space="0" w:color="auto"/>
        <w:bottom w:val="none" w:sz="0" w:space="0" w:color="auto"/>
        <w:right w:val="none" w:sz="0" w:space="0" w:color="auto"/>
      </w:divBdr>
    </w:div>
    <w:div w:id="2122217304">
      <w:bodyDiv w:val="1"/>
      <w:marLeft w:val="0"/>
      <w:marRight w:val="0"/>
      <w:marTop w:val="0"/>
      <w:marBottom w:val="0"/>
      <w:divBdr>
        <w:top w:val="none" w:sz="0" w:space="0" w:color="auto"/>
        <w:left w:val="none" w:sz="0" w:space="0" w:color="auto"/>
        <w:bottom w:val="none" w:sz="0" w:space="0" w:color="auto"/>
        <w:right w:val="none" w:sz="0" w:space="0" w:color="auto"/>
      </w:divBdr>
    </w:div>
    <w:div w:id="21257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png"/><Relationship Id="rId34"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25.svg"/><Relationship Id="rId68" Type="http://schemas.openxmlformats.org/officeDocument/2006/relationships/hyperlink" Target="http://www.ntc.gov.au" TargetMode="Externa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wmf"/><Relationship Id="rId11" Type="http://schemas.openxmlformats.org/officeDocument/2006/relationships/hyperlink" Target="https://www.ntc.gov.au/transport-reform/ntc-projects/heavy-vehicle-charges-determination" TargetMode="External"/><Relationship Id="rId24" Type="http://schemas.openxmlformats.org/officeDocument/2006/relationships/image" Target="media/image8.wmf"/><Relationship Id="rId32" Type="http://schemas.openxmlformats.org/officeDocument/2006/relationships/image" Target="media/image16.png"/><Relationship Id="rId53" Type="http://schemas.openxmlformats.org/officeDocument/2006/relationships/footer" Target="footer2.xm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https://australiainstitute.org.au/post/and-the-award-for-biggest-fossil-fuel-subsidy-goes-to-the-fuel-tax-credit-scheme/" TargetMode="External"/><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image" Target="media/image14.png"/><Relationship Id="rId35" Type="http://schemas.openxmlformats.org/officeDocument/2006/relationships/image" Target="media/image19.wmf"/><Relationship Id="rId48" Type="http://schemas.openxmlformats.org/officeDocument/2006/relationships/image" Target="media/image22.png"/><Relationship Id="rId56" Type="http://schemas.openxmlformats.org/officeDocument/2006/relationships/image" Target="media/image24.png"/><Relationship Id="rId64" Type="http://schemas.openxmlformats.org/officeDocument/2006/relationships/hyperlink" Target="mailto:enquiries@ntc.gov.au"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xm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wmf"/><Relationship Id="rId46" Type="http://schemas.openxmlformats.org/officeDocument/2006/relationships/image" Target="media/image18.svg"/><Relationship Id="rId59" Type="http://schemas.openxmlformats.org/officeDocument/2006/relationships/image" Target="media/image27.png"/><Relationship Id="rId67" Type="http://schemas.openxmlformats.org/officeDocument/2006/relationships/hyperlink" Target="mailto:enquiries@ntc.gov.au" TargetMode="External"/><Relationship Id="rId20" Type="http://schemas.openxmlformats.org/officeDocument/2006/relationships/hyperlink" Target="https://www.infrastructure.gov.au/roads/heavy/" TargetMode="External"/><Relationship Id="rId54" Type="http://schemas.openxmlformats.org/officeDocument/2006/relationships/header" Target="header3.xml"/><Relationship Id="rId62" Type="http://schemas.openxmlformats.org/officeDocument/2006/relationships/image" Target="media/image2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3.png"/><Relationship Id="rId57" Type="http://schemas.openxmlformats.org/officeDocument/2006/relationships/image" Target="media/image25.png"/><Relationship Id="rId10" Type="http://schemas.openxmlformats.org/officeDocument/2006/relationships/hyperlink" Target="http://www.ntc.gov.au" TargetMode="External"/><Relationship Id="rId31" Type="http://schemas.openxmlformats.org/officeDocument/2006/relationships/image" Target="media/image15.wmf"/><Relationship Id="rId52" Type="http://schemas.openxmlformats.org/officeDocument/2006/relationships/footer" Target="footer1.xml"/><Relationship Id="rId60" Type="http://schemas.openxmlformats.org/officeDocument/2006/relationships/image" Target="media/image28.png"/><Relationship Id="rId65" Type="http://schemas.openxmlformats.org/officeDocument/2006/relationships/hyperlink" Target="http://www.ntc.gov.au"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rstaheli@ntc.gov.au" TargetMode="External"/><Relationship Id="rId13" Type="http://schemas.openxmlformats.org/officeDocument/2006/relationships/diagramLayout" Target="diagrams/layout1.xml"/><Relationship Id="rId1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websitedbs/d3310114.nsf/4a256353001af3ed4b2562bb00121564/5dff3ab82130e7e0ca257c070010f3b8/$FILE/SMVU_Survey_Guide_2019-20.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4F64D-C88A-460B-90D1-3CFAD7024D76}" type="doc">
      <dgm:prSet loTypeId="urn:microsoft.com/office/officeart/2005/8/layout/hProcess11" loCatId="process" qsTypeId="urn:microsoft.com/office/officeart/2005/8/quickstyle/simple1" qsCatId="simple" csTypeId="urn:microsoft.com/office/officeart/2005/8/colors/accent1_1" csCatId="accent1" phldr="1"/>
      <dgm:spPr/>
      <dgm:t>
        <a:bodyPr/>
        <a:lstStyle/>
        <a:p>
          <a:endParaRPr lang="en-AU"/>
        </a:p>
      </dgm:t>
    </dgm:pt>
    <dgm:pt modelId="{7903E363-4A56-43E9-9249-D6DCE2048AB4}">
      <dgm:prSet phldrT="[Text]" custT="1"/>
      <dgm:spPr>
        <a:xfrm>
          <a:off x="2169" y="0"/>
          <a:ext cx="948734" cy="1280160"/>
        </a:xfrm>
        <a:prstGeom prst="rect">
          <a:avLst/>
        </a:prstGeom>
        <a:noFill/>
        <a:ln>
          <a:noFill/>
        </a:ln>
        <a:effectLst/>
      </dgm:spPr>
      <dgm:t>
        <a:bodyPr/>
        <a:lstStyle/>
        <a:p>
          <a:pPr>
            <a:buNone/>
          </a:pPr>
          <a:r>
            <a:rPr lang="en-AU" sz="900" b="1">
              <a:solidFill>
                <a:srgbClr val="24272A">
                  <a:hueOff val="0"/>
                  <a:satOff val="0"/>
                  <a:lumOff val="0"/>
                  <a:alphaOff val="0"/>
                </a:srgbClr>
              </a:solidFill>
              <a:latin typeface="Arial"/>
              <a:ea typeface="+mn-ea"/>
              <a:cs typeface="+mn-cs"/>
            </a:rPr>
            <a:t>2020</a:t>
          </a:r>
        </a:p>
        <a:p>
          <a:pPr>
            <a:buNone/>
          </a:pPr>
          <a:r>
            <a:rPr lang="en-AU" sz="900" b="1">
              <a:solidFill>
                <a:srgbClr val="002F88"/>
              </a:solidFill>
              <a:latin typeface="Arial"/>
              <a:ea typeface="+mn-ea"/>
              <a:cs typeface="+mn-cs"/>
            </a:rPr>
            <a:t>Research phase – stakeholder workshops held</a:t>
          </a:r>
        </a:p>
        <a:p>
          <a:pPr>
            <a:buNone/>
          </a:pPr>
          <a:endParaRPr lang="en-AU" sz="900" b="1">
            <a:solidFill>
              <a:srgbClr val="002F88"/>
            </a:solidFill>
            <a:latin typeface="Arial"/>
            <a:ea typeface="+mn-ea"/>
            <a:cs typeface="+mn-cs"/>
          </a:endParaRPr>
        </a:p>
      </dgm:t>
    </dgm:pt>
    <dgm:pt modelId="{83C1C67F-62EE-41C4-98E1-8406250EDA93}" type="parTrans" cxnId="{06046D14-F6A0-497E-A347-6A2D6850D214}">
      <dgm:prSet/>
      <dgm:spPr/>
      <dgm:t>
        <a:bodyPr/>
        <a:lstStyle/>
        <a:p>
          <a:endParaRPr lang="en-AU"/>
        </a:p>
      </dgm:t>
    </dgm:pt>
    <dgm:pt modelId="{A52D4A25-C0C6-4C55-9BE1-70E5DAE02C9A}" type="sibTrans" cxnId="{06046D14-F6A0-497E-A347-6A2D6850D214}">
      <dgm:prSet/>
      <dgm:spPr/>
      <dgm:t>
        <a:bodyPr/>
        <a:lstStyle/>
        <a:p>
          <a:endParaRPr lang="en-AU"/>
        </a:p>
      </dgm:t>
    </dgm:pt>
    <dgm:pt modelId="{301D586A-B301-43DE-9157-98045CF1D85E}">
      <dgm:prSet custT="1"/>
      <dgm:spPr>
        <a:xfrm>
          <a:off x="3986855" y="0"/>
          <a:ext cx="948734" cy="1280160"/>
        </a:xfrm>
        <a:noFill/>
        <a:ln>
          <a:noFill/>
        </a:ln>
        <a:effectLst/>
      </dgm:spPr>
      <dgm:t>
        <a:bodyPr/>
        <a:lstStyle/>
        <a:p>
          <a:pPr>
            <a:buNone/>
          </a:pPr>
          <a:r>
            <a:rPr lang="en-AU" sz="900" b="1">
              <a:solidFill>
                <a:srgbClr val="24272A">
                  <a:hueOff val="0"/>
                  <a:satOff val="0"/>
                  <a:lumOff val="0"/>
                  <a:alphaOff val="0"/>
                </a:srgbClr>
              </a:solidFill>
              <a:latin typeface="Arial"/>
              <a:ea typeface="+mn-ea"/>
              <a:cs typeface="+mn-cs"/>
            </a:rPr>
            <a:t>August 2021 </a:t>
          </a:r>
          <a:r>
            <a:rPr lang="en-AU" sz="900" b="1">
              <a:solidFill>
                <a:srgbClr val="002060"/>
              </a:solidFill>
              <a:latin typeface="Arial"/>
              <a:ea typeface="+mn-ea"/>
              <a:cs typeface="+mn-cs"/>
            </a:rPr>
            <a:t>Decision RIS prepared after consultation process </a:t>
          </a:r>
        </a:p>
        <a:p>
          <a:pPr>
            <a:buNone/>
          </a:pPr>
          <a:endParaRPr lang="en-AU" sz="900">
            <a:solidFill>
              <a:srgbClr val="24272A">
                <a:hueOff val="0"/>
                <a:satOff val="0"/>
                <a:lumOff val="0"/>
                <a:alphaOff val="0"/>
              </a:srgbClr>
            </a:solidFill>
            <a:latin typeface="Arial"/>
            <a:ea typeface="+mn-ea"/>
            <a:cs typeface="+mn-cs"/>
          </a:endParaRPr>
        </a:p>
      </dgm:t>
    </dgm:pt>
    <dgm:pt modelId="{63681FD8-9C21-48A5-A1D5-8E800AD8F4B1}" type="parTrans" cxnId="{85C5EB14-153F-4AA5-B9F8-3C8B887ACE92}">
      <dgm:prSet/>
      <dgm:spPr/>
      <dgm:t>
        <a:bodyPr/>
        <a:lstStyle/>
        <a:p>
          <a:endParaRPr lang="en-AU"/>
        </a:p>
      </dgm:t>
    </dgm:pt>
    <dgm:pt modelId="{584146E2-26EC-48EC-9CF1-82933F83649B}" type="sibTrans" cxnId="{85C5EB14-153F-4AA5-B9F8-3C8B887ACE92}">
      <dgm:prSet/>
      <dgm:spPr/>
      <dgm:t>
        <a:bodyPr/>
        <a:lstStyle/>
        <a:p>
          <a:endParaRPr lang="en-AU"/>
        </a:p>
      </dgm:t>
    </dgm:pt>
    <dgm:pt modelId="{9FCFA5E6-50EB-4986-A405-D5E598422246}">
      <dgm:prSet phldrT="[Text]" custT="1"/>
      <dgm:spPr>
        <a:xfrm>
          <a:off x="998341" y="1920240"/>
          <a:ext cx="948734" cy="1280160"/>
        </a:xfrm>
        <a:prstGeom prst="rect">
          <a:avLst/>
        </a:prstGeom>
        <a:noFill/>
        <a:ln>
          <a:noFill/>
        </a:ln>
        <a:effectLst/>
      </dgm:spPr>
      <dgm:t>
        <a:bodyPr/>
        <a:lstStyle/>
        <a:p>
          <a:pPr>
            <a:buNone/>
          </a:pPr>
          <a:r>
            <a:rPr lang="en-AU" sz="900" b="1">
              <a:solidFill>
                <a:srgbClr val="24272A">
                  <a:hueOff val="0"/>
                  <a:satOff val="0"/>
                  <a:lumOff val="0"/>
                  <a:alphaOff val="0"/>
                </a:srgbClr>
              </a:solidFill>
              <a:latin typeface="Arial"/>
              <a:ea typeface="+mn-ea"/>
              <a:cs typeface="+mn-cs"/>
            </a:rPr>
            <a:t>June 2021</a:t>
          </a:r>
        </a:p>
        <a:p>
          <a:pPr>
            <a:buNone/>
          </a:pPr>
          <a:r>
            <a:rPr lang="en-AU" sz="900" b="1">
              <a:solidFill>
                <a:srgbClr val="002F88"/>
              </a:solidFill>
              <a:latin typeface="Arial"/>
              <a:ea typeface="+mn-ea"/>
              <a:cs typeface="+mn-cs"/>
            </a:rPr>
            <a:t>Public consultation process begins – consultation RIS published</a:t>
          </a:r>
        </a:p>
        <a:p>
          <a:pPr>
            <a:buNone/>
          </a:pPr>
          <a:endParaRPr lang="en-AU" sz="900">
            <a:solidFill>
              <a:srgbClr val="24272A">
                <a:hueOff val="0"/>
                <a:satOff val="0"/>
                <a:lumOff val="0"/>
                <a:alphaOff val="0"/>
              </a:srgbClr>
            </a:solidFill>
            <a:latin typeface="Arial"/>
            <a:ea typeface="+mn-ea"/>
            <a:cs typeface="+mn-cs"/>
          </a:endParaRPr>
        </a:p>
      </dgm:t>
    </dgm:pt>
    <dgm:pt modelId="{D023CE9B-B6FD-428C-902A-EAC377FBB7B2}" type="sibTrans" cxnId="{33D42A4D-0E4B-4E17-BF57-8D88A864A8C2}">
      <dgm:prSet/>
      <dgm:spPr/>
      <dgm:t>
        <a:bodyPr/>
        <a:lstStyle/>
        <a:p>
          <a:endParaRPr lang="en-AU"/>
        </a:p>
      </dgm:t>
    </dgm:pt>
    <dgm:pt modelId="{6008A170-41B5-49FA-86B9-C9162AD4F252}" type="parTrans" cxnId="{33D42A4D-0E4B-4E17-BF57-8D88A864A8C2}">
      <dgm:prSet/>
      <dgm:spPr/>
      <dgm:t>
        <a:bodyPr/>
        <a:lstStyle/>
        <a:p>
          <a:endParaRPr lang="en-AU"/>
        </a:p>
      </dgm:t>
    </dgm:pt>
    <dgm:pt modelId="{669260A1-161C-40B9-A78C-D1BB31191D7F}">
      <dgm:prSet phldrT="[Text]" custT="1"/>
      <dgm:spPr>
        <a:xfrm>
          <a:off x="1994512" y="0"/>
          <a:ext cx="948734" cy="1280160"/>
        </a:xfrm>
        <a:noFill/>
        <a:ln>
          <a:noFill/>
        </a:ln>
        <a:effectLst/>
      </dgm:spPr>
      <dgm:t>
        <a:bodyPr/>
        <a:lstStyle/>
        <a:p>
          <a:pPr>
            <a:buNone/>
          </a:pPr>
          <a:r>
            <a:rPr lang="en-AU" sz="900" b="1">
              <a:solidFill>
                <a:srgbClr val="24272A">
                  <a:hueOff val="0"/>
                  <a:satOff val="0"/>
                  <a:lumOff val="0"/>
                  <a:alphaOff val="0"/>
                </a:srgbClr>
              </a:solidFill>
              <a:latin typeface="Arial"/>
              <a:ea typeface="+mn-ea"/>
              <a:cs typeface="+mn-cs"/>
            </a:rPr>
            <a:t>December 2021</a:t>
          </a:r>
        </a:p>
        <a:p>
          <a:pPr>
            <a:buNone/>
          </a:pPr>
          <a:r>
            <a:rPr lang="en-AU" sz="900" b="1">
              <a:solidFill>
                <a:srgbClr val="002F88"/>
              </a:solidFill>
              <a:latin typeface="Arial"/>
              <a:ea typeface="+mn-ea"/>
              <a:cs typeface="+mn-cs"/>
            </a:rPr>
            <a:t>Decision RIS recommendations considered by ITMM</a:t>
          </a:r>
          <a:endParaRPr lang="en-AU" sz="900" b="1">
            <a:solidFill>
              <a:srgbClr val="24272A">
                <a:hueOff val="0"/>
                <a:satOff val="0"/>
                <a:lumOff val="0"/>
                <a:alphaOff val="0"/>
              </a:srgbClr>
            </a:solidFill>
            <a:latin typeface="Arial"/>
            <a:ea typeface="+mn-ea"/>
            <a:cs typeface="+mn-cs"/>
          </a:endParaRPr>
        </a:p>
      </dgm:t>
    </dgm:pt>
    <dgm:pt modelId="{F8B155CD-E4A5-4C2A-9FDC-37324A9225D6}" type="parTrans" cxnId="{8B98E36A-8B6E-4AA8-BF5C-323BBB300AEF}">
      <dgm:prSet/>
      <dgm:spPr/>
      <dgm:t>
        <a:bodyPr/>
        <a:lstStyle/>
        <a:p>
          <a:endParaRPr lang="en-AU"/>
        </a:p>
      </dgm:t>
    </dgm:pt>
    <dgm:pt modelId="{CFE19D55-23F4-4C7C-913E-26A06DF153B2}" type="sibTrans" cxnId="{8B98E36A-8B6E-4AA8-BF5C-323BBB300AEF}">
      <dgm:prSet/>
      <dgm:spPr/>
      <dgm:t>
        <a:bodyPr/>
        <a:lstStyle/>
        <a:p>
          <a:endParaRPr lang="en-AU"/>
        </a:p>
      </dgm:t>
    </dgm:pt>
    <dgm:pt modelId="{EAF315E8-EA4A-4C48-8EFA-3B9080607AE3}">
      <dgm:prSet custT="1"/>
      <dgm:spPr/>
      <dgm:t>
        <a:bodyPr/>
        <a:lstStyle/>
        <a:p>
          <a:r>
            <a:rPr lang="en-AU" sz="900" b="1">
              <a:solidFill>
                <a:srgbClr val="24272A">
                  <a:hueOff val="0"/>
                  <a:satOff val="0"/>
                  <a:lumOff val="0"/>
                  <a:alphaOff val="0"/>
                </a:srgbClr>
              </a:solidFill>
              <a:latin typeface="Arial"/>
              <a:ea typeface="+mn-ea"/>
              <a:cs typeface="+mn-cs"/>
            </a:rPr>
            <a:t>December 2021 </a:t>
          </a:r>
          <a:r>
            <a:rPr lang="en-AU" sz="900" b="1">
              <a:solidFill>
                <a:srgbClr val="002F88"/>
              </a:solidFill>
              <a:latin typeface="Arial"/>
              <a:ea typeface="+mn-ea"/>
              <a:cs typeface="+mn-cs"/>
            </a:rPr>
            <a:t>Public consultation process begins on final charges</a:t>
          </a:r>
          <a:endParaRPr lang="en-AU" sz="900"/>
        </a:p>
      </dgm:t>
    </dgm:pt>
    <dgm:pt modelId="{F3140B8B-BBF4-4C21-BFCB-1BC80410E296}" type="parTrans" cxnId="{06087BA2-5112-42AA-BA16-75B5C0B3B0B4}">
      <dgm:prSet/>
      <dgm:spPr/>
      <dgm:t>
        <a:bodyPr/>
        <a:lstStyle/>
        <a:p>
          <a:endParaRPr lang="en-AU"/>
        </a:p>
      </dgm:t>
    </dgm:pt>
    <dgm:pt modelId="{7C77FFE8-87FB-45A0-BE2D-A561A411765F}" type="sibTrans" cxnId="{06087BA2-5112-42AA-BA16-75B5C0B3B0B4}">
      <dgm:prSet/>
      <dgm:spPr/>
      <dgm:t>
        <a:bodyPr/>
        <a:lstStyle/>
        <a:p>
          <a:endParaRPr lang="en-AU"/>
        </a:p>
      </dgm:t>
    </dgm:pt>
    <dgm:pt modelId="{F31A0745-BDFE-44B2-AC86-66FCE6D9281D}">
      <dgm:prSet custT="1"/>
      <dgm:spPr/>
      <dgm:t>
        <a:bodyPr/>
        <a:lstStyle/>
        <a:p>
          <a:r>
            <a:rPr lang="en-AU" sz="900" b="1">
              <a:solidFill>
                <a:srgbClr val="24272A">
                  <a:hueOff val="0"/>
                  <a:satOff val="0"/>
                  <a:lumOff val="0"/>
                  <a:alphaOff val="0"/>
                </a:srgbClr>
              </a:solidFill>
              <a:latin typeface="Arial"/>
              <a:ea typeface="+mn-ea"/>
              <a:cs typeface="+mn-cs"/>
            </a:rPr>
            <a:t>Early 2022 </a:t>
          </a:r>
          <a:r>
            <a:rPr lang="en-AU" sz="900" b="1">
              <a:solidFill>
                <a:srgbClr val="002F88"/>
              </a:solidFill>
              <a:latin typeface="Arial"/>
              <a:ea typeface="+mn-ea"/>
              <a:cs typeface="+mn-cs"/>
            </a:rPr>
            <a:t>Final charges approved by ITMM</a:t>
          </a:r>
          <a:endParaRPr lang="en-AU" sz="900"/>
        </a:p>
      </dgm:t>
    </dgm:pt>
    <dgm:pt modelId="{50505C3B-5968-4DCA-8305-99F3A4A81515}" type="parTrans" cxnId="{C386C8DE-92AF-422B-B7F1-A73DA80D06E8}">
      <dgm:prSet/>
      <dgm:spPr/>
      <dgm:t>
        <a:bodyPr/>
        <a:lstStyle/>
        <a:p>
          <a:endParaRPr lang="en-AU"/>
        </a:p>
      </dgm:t>
    </dgm:pt>
    <dgm:pt modelId="{4EE38121-3E99-490C-AA31-3F8440E4017F}" type="sibTrans" cxnId="{C386C8DE-92AF-422B-B7F1-A73DA80D06E8}">
      <dgm:prSet/>
      <dgm:spPr/>
      <dgm:t>
        <a:bodyPr/>
        <a:lstStyle/>
        <a:p>
          <a:endParaRPr lang="en-AU"/>
        </a:p>
      </dgm:t>
    </dgm:pt>
    <dgm:pt modelId="{FDF9AE45-A380-411D-B22B-FE2118C56D8F}" type="pres">
      <dgm:prSet presAssocID="{63C4F64D-C88A-460B-90D1-3CFAD7024D76}" presName="Name0" presStyleCnt="0">
        <dgm:presLayoutVars>
          <dgm:dir/>
          <dgm:resizeHandles val="exact"/>
        </dgm:presLayoutVars>
      </dgm:prSet>
      <dgm:spPr/>
      <dgm:t>
        <a:bodyPr/>
        <a:lstStyle/>
        <a:p>
          <a:endParaRPr lang="en-US"/>
        </a:p>
      </dgm:t>
    </dgm:pt>
    <dgm:pt modelId="{891365C9-EE81-40B4-8052-48B5FFFF1590}" type="pres">
      <dgm:prSet presAssocID="{63C4F64D-C88A-460B-90D1-3CFAD7024D76}" presName="arrow" presStyleLbl="bgShp" presStyleIdx="0" presStyleCnt="1" custLinFactNeighborX="-83" custLinFactNeighborY="433"/>
      <dgm:spPr>
        <a:xfrm>
          <a:off x="0" y="960120"/>
          <a:ext cx="5486400" cy="1280160"/>
        </a:xfrm>
        <a:prstGeom prst="notchedRightArrow">
          <a:avLst/>
        </a:prstGeom>
        <a:solidFill>
          <a:srgbClr val="10CFC9">
            <a:tint val="40000"/>
            <a:hueOff val="0"/>
            <a:satOff val="0"/>
            <a:lumOff val="0"/>
            <a:alphaOff val="0"/>
          </a:srgbClr>
        </a:solidFill>
        <a:ln>
          <a:noFill/>
        </a:ln>
        <a:effectLst/>
      </dgm:spPr>
    </dgm:pt>
    <dgm:pt modelId="{AC31A202-952C-4000-81B5-22C0DF2AD277}" type="pres">
      <dgm:prSet presAssocID="{63C4F64D-C88A-460B-90D1-3CFAD7024D76}" presName="points" presStyleCnt="0"/>
      <dgm:spPr/>
    </dgm:pt>
    <dgm:pt modelId="{A60BC416-83D5-465A-994F-858403BCAB40}" type="pres">
      <dgm:prSet presAssocID="{7903E363-4A56-43E9-9249-D6DCE2048AB4}" presName="compositeA" presStyleCnt="0"/>
      <dgm:spPr/>
    </dgm:pt>
    <dgm:pt modelId="{C9202B98-E402-4C39-9A00-7F5228AC5C33}" type="pres">
      <dgm:prSet presAssocID="{7903E363-4A56-43E9-9249-D6DCE2048AB4}" presName="textA" presStyleLbl="revTx" presStyleIdx="0" presStyleCnt="6" custScaleX="165547" custScaleY="86287" custLinFactNeighborX="2466" custLinFactNeighborY="9441">
        <dgm:presLayoutVars>
          <dgm:bulletEnabled val="1"/>
        </dgm:presLayoutVars>
      </dgm:prSet>
      <dgm:spPr/>
      <dgm:t>
        <a:bodyPr/>
        <a:lstStyle/>
        <a:p>
          <a:endParaRPr lang="en-US"/>
        </a:p>
      </dgm:t>
    </dgm:pt>
    <dgm:pt modelId="{FBFDFB41-A0AD-4DE5-BA3E-848AB6C0CC95}" type="pres">
      <dgm:prSet presAssocID="{7903E363-4A56-43E9-9249-D6DCE2048AB4}" presName="circleA" presStyleLbl="node1" presStyleIdx="0" presStyleCnt="6" custLinFactNeighborX="26786" custLinFactNeighborY="15200"/>
      <dgm:spPr>
        <a:xfrm>
          <a:off x="402243" y="1421131"/>
          <a:ext cx="320040" cy="320040"/>
        </a:xfrm>
        <a:prstGeom prst="ellipse">
          <a:avLst/>
        </a:prstGeom>
        <a:solidFill>
          <a:srgbClr val="10CFC9"/>
        </a:solidFill>
        <a:ln w="25400" cap="flat" cmpd="sng" algn="ctr">
          <a:solidFill>
            <a:srgbClr val="10CFC9">
              <a:shade val="80000"/>
              <a:hueOff val="0"/>
              <a:satOff val="0"/>
              <a:lumOff val="0"/>
              <a:alphaOff val="0"/>
            </a:srgbClr>
          </a:solidFill>
          <a:prstDash val="solid"/>
        </a:ln>
        <a:effectLst/>
      </dgm:spPr>
    </dgm:pt>
    <dgm:pt modelId="{0E6ADEB4-7BE2-4C1A-8E66-57D3C359C7A5}" type="pres">
      <dgm:prSet presAssocID="{7903E363-4A56-43E9-9249-D6DCE2048AB4}" presName="spaceA" presStyleCnt="0"/>
      <dgm:spPr/>
    </dgm:pt>
    <dgm:pt modelId="{20D6B445-2E6D-42B1-85E2-7AAF5DF35A81}" type="pres">
      <dgm:prSet presAssocID="{A52D4A25-C0C6-4C55-9BE1-70E5DAE02C9A}" presName="space" presStyleCnt="0"/>
      <dgm:spPr/>
    </dgm:pt>
    <dgm:pt modelId="{0B737951-3BD4-4764-9790-69C5873A040F}" type="pres">
      <dgm:prSet presAssocID="{9FCFA5E6-50EB-4986-A405-D5E598422246}" presName="compositeB" presStyleCnt="0"/>
      <dgm:spPr/>
    </dgm:pt>
    <dgm:pt modelId="{5D0D5E15-3EC6-4F13-B82D-F730ABDCF115}" type="pres">
      <dgm:prSet presAssocID="{9FCFA5E6-50EB-4986-A405-D5E598422246}" presName="textB" presStyleLbl="revTx" presStyleIdx="1" presStyleCnt="6" custScaleX="151687" custScaleY="96979" custLinFactNeighborY="6798">
        <dgm:presLayoutVars>
          <dgm:bulletEnabled val="1"/>
        </dgm:presLayoutVars>
      </dgm:prSet>
      <dgm:spPr/>
      <dgm:t>
        <a:bodyPr/>
        <a:lstStyle/>
        <a:p>
          <a:endParaRPr lang="en-US"/>
        </a:p>
      </dgm:t>
    </dgm:pt>
    <dgm:pt modelId="{2277E9E3-FEC2-4D4D-9066-A87252117F24}" type="pres">
      <dgm:prSet presAssocID="{9FCFA5E6-50EB-4986-A405-D5E598422246}" presName="circleB" presStyleLbl="node1" presStyleIdx="1" presStyleCnt="6"/>
      <dgm:spPr>
        <a:xfrm>
          <a:off x="1312688" y="1440180"/>
          <a:ext cx="320040" cy="320040"/>
        </a:xfrm>
        <a:prstGeom prst="ellipse">
          <a:avLst/>
        </a:prstGeom>
        <a:solidFill>
          <a:srgbClr val="10CFC9"/>
        </a:solidFill>
        <a:ln w="25400" cap="flat" cmpd="sng" algn="ctr">
          <a:solidFill>
            <a:srgbClr val="10CFC9">
              <a:shade val="80000"/>
              <a:hueOff val="0"/>
              <a:satOff val="0"/>
              <a:lumOff val="0"/>
              <a:alphaOff val="0"/>
            </a:srgbClr>
          </a:solidFill>
          <a:prstDash val="solid"/>
        </a:ln>
        <a:effectLst/>
      </dgm:spPr>
    </dgm:pt>
    <dgm:pt modelId="{3B2268A3-2233-45FD-98D9-62710074EE44}" type="pres">
      <dgm:prSet presAssocID="{9FCFA5E6-50EB-4986-A405-D5E598422246}" presName="spaceB" presStyleCnt="0"/>
      <dgm:spPr/>
    </dgm:pt>
    <dgm:pt modelId="{F0DB2972-1571-4E90-A080-275961509D9E}" type="pres">
      <dgm:prSet presAssocID="{D023CE9B-B6FD-428C-902A-EAC377FBB7B2}" presName="space" presStyleCnt="0"/>
      <dgm:spPr/>
    </dgm:pt>
    <dgm:pt modelId="{91A71D2C-D669-4EB4-A937-643111238C69}" type="pres">
      <dgm:prSet presAssocID="{301D586A-B301-43DE-9157-98045CF1D85E}" presName="compositeA" presStyleCnt="0"/>
      <dgm:spPr/>
    </dgm:pt>
    <dgm:pt modelId="{422268DC-6B07-40CC-BB5D-C2ECEBE333A2}" type="pres">
      <dgm:prSet presAssocID="{301D586A-B301-43DE-9157-98045CF1D85E}" presName="textA" presStyleLbl="revTx" presStyleIdx="2" presStyleCnt="6" custScaleX="148302">
        <dgm:presLayoutVars>
          <dgm:bulletEnabled val="1"/>
        </dgm:presLayoutVars>
      </dgm:prSet>
      <dgm:spPr/>
      <dgm:t>
        <a:bodyPr/>
        <a:lstStyle/>
        <a:p>
          <a:endParaRPr lang="en-US"/>
        </a:p>
      </dgm:t>
    </dgm:pt>
    <dgm:pt modelId="{C695972C-F68A-4E31-8AAF-F0F18791F6F6}" type="pres">
      <dgm:prSet presAssocID="{301D586A-B301-43DE-9157-98045CF1D85E}" presName="circleA" presStyleLbl="node1" presStyleIdx="2" presStyleCnt="6"/>
      <dgm:spPr>
        <a:solidFill>
          <a:srgbClr val="10CFC9"/>
        </a:solidFill>
      </dgm:spPr>
    </dgm:pt>
    <dgm:pt modelId="{1EB01BCD-3F35-48B7-B4EB-2DD995711F3E}" type="pres">
      <dgm:prSet presAssocID="{301D586A-B301-43DE-9157-98045CF1D85E}" presName="spaceA" presStyleCnt="0"/>
      <dgm:spPr/>
    </dgm:pt>
    <dgm:pt modelId="{3CEC9E74-7405-4CCC-8B02-EC269E99D25A}" type="pres">
      <dgm:prSet presAssocID="{584146E2-26EC-48EC-9CF1-82933F83649B}" presName="space" presStyleCnt="0"/>
      <dgm:spPr/>
    </dgm:pt>
    <dgm:pt modelId="{8766DADF-74F7-45B5-858B-D16F719F5CEC}" type="pres">
      <dgm:prSet presAssocID="{669260A1-161C-40B9-A78C-D1BB31191D7F}" presName="compositeB" presStyleCnt="0"/>
      <dgm:spPr/>
    </dgm:pt>
    <dgm:pt modelId="{5E2F47D6-417C-4898-8A3C-9070B574D16E}" type="pres">
      <dgm:prSet presAssocID="{669260A1-161C-40B9-A78C-D1BB31191D7F}" presName="textB" presStyleLbl="revTx" presStyleIdx="3" presStyleCnt="6" custScaleX="195889">
        <dgm:presLayoutVars>
          <dgm:bulletEnabled val="1"/>
        </dgm:presLayoutVars>
      </dgm:prSet>
      <dgm:spPr/>
      <dgm:t>
        <a:bodyPr/>
        <a:lstStyle/>
        <a:p>
          <a:endParaRPr lang="en-US"/>
        </a:p>
      </dgm:t>
    </dgm:pt>
    <dgm:pt modelId="{15FA7CD3-7FE2-418B-B81C-09A103D81751}" type="pres">
      <dgm:prSet presAssocID="{669260A1-161C-40B9-A78C-D1BB31191D7F}" presName="circleB" presStyleLbl="node1" presStyleIdx="3" presStyleCnt="6"/>
      <dgm:spPr>
        <a:solidFill>
          <a:srgbClr val="10CFC9"/>
        </a:solidFill>
      </dgm:spPr>
    </dgm:pt>
    <dgm:pt modelId="{653170FA-0629-4A31-9388-101773F82A5D}" type="pres">
      <dgm:prSet presAssocID="{669260A1-161C-40B9-A78C-D1BB31191D7F}" presName="spaceB" presStyleCnt="0"/>
      <dgm:spPr/>
    </dgm:pt>
    <dgm:pt modelId="{3BAFC81F-F9D4-40F3-9B71-D5A62302B2B1}" type="pres">
      <dgm:prSet presAssocID="{CFE19D55-23F4-4C7C-913E-26A06DF153B2}" presName="space" presStyleCnt="0"/>
      <dgm:spPr/>
    </dgm:pt>
    <dgm:pt modelId="{AE1FE9A4-EEEA-47B8-95B2-2F5870BAAD87}" type="pres">
      <dgm:prSet presAssocID="{EAF315E8-EA4A-4C48-8EFA-3B9080607AE3}" presName="compositeA" presStyleCnt="0"/>
      <dgm:spPr/>
    </dgm:pt>
    <dgm:pt modelId="{3C1EA55C-CD6C-448F-872A-E56B569925E0}" type="pres">
      <dgm:prSet presAssocID="{EAF315E8-EA4A-4C48-8EFA-3B9080607AE3}" presName="textA" presStyleLbl="revTx" presStyleIdx="4" presStyleCnt="6" custScaleX="147375">
        <dgm:presLayoutVars>
          <dgm:bulletEnabled val="1"/>
        </dgm:presLayoutVars>
      </dgm:prSet>
      <dgm:spPr/>
      <dgm:t>
        <a:bodyPr/>
        <a:lstStyle/>
        <a:p>
          <a:endParaRPr lang="en-US"/>
        </a:p>
      </dgm:t>
    </dgm:pt>
    <dgm:pt modelId="{9099BE15-3DE1-49C1-B9B9-982DDF8F5883}" type="pres">
      <dgm:prSet presAssocID="{EAF315E8-EA4A-4C48-8EFA-3B9080607AE3}" presName="circleA" presStyleLbl="node1" presStyleIdx="4" presStyleCnt="6"/>
      <dgm:spPr>
        <a:solidFill>
          <a:schemeClr val="accent1"/>
        </a:solidFill>
      </dgm:spPr>
    </dgm:pt>
    <dgm:pt modelId="{40557140-23C6-4AAE-9A9F-79F0D335480A}" type="pres">
      <dgm:prSet presAssocID="{EAF315E8-EA4A-4C48-8EFA-3B9080607AE3}" presName="spaceA" presStyleCnt="0"/>
      <dgm:spPr/>
    </dgm:pt>
    <dgm:pt modelId="{4F055EA7-0301-43E5-AE0F-C44172FA334C}" type="pres">
      <dgm:prSet presAssocID="{7C77FFE8-87FB-45A0-BE2D-A561A411765F}" presName="space" presStyleCnt="0"/>
      <dgm:spPr/>
    </dgm:pt>
    <dgm:pt modelId="{6EDD639D-279D-411A-80B2-70697514B8C2}" type="pres">
      <dgm:prSet presAssocID="{F31A0745-BDFE-44B2-AC86-66FCE6D9281D}" presName="compositeB" presStyleCnt="0"/>
      <dgm:spPr/>
    </dgm:pt>
    <dgm:pt modelId="{6C0C7037-C0EB-4374-A501-8DCDE2E42D28}" type="pres">
      <dgm:prSet presAssocID="{F31A0745-BDFE-44B2-AC86-66FCE6D9281D}" presName="textB" presStyleLbl="revTx" presStyleIdx="5" presStyleCnt="6" custScaleX="125862">
        <dgm:presLayoutVars>
          <dgm:bulletEnabled val="1"/>
        </dgm:presLayoutVars>
      </dgm:prSet>
      <dgm:spPr/>
      <dgm:t>
        <a:bodyPr/>
        <a:lstStyle/>
        <a:p>
          <a:endParaRPr lang="en-US"/>
        </a:p>
      </dgm:t>
    </dgm:pt>
    <dgm:pt modelId="{7DB6FB01-D8A6-470D-B1B9-5A3ED181F31E}" type="pres">
      <dgm:prSet presAssocID="{F31A0745-BDFE-44B2-AC86-66FCE6D9281D}" presName="circleB" presStyleLbl="node1" presStyleIdx="5" presStyleCnt="6"/>
      <dgm:spPr/>
    </dgm:pt>
    <dgm:pt modelId="{3CCE8E93-4031-4AC0-9FE8-ABFAAFDDF77D}" type="pres">
      <dgm:prSet presAssocID="{F31A0745-BDFE-44B2-AC86-66FCE6D9281D}" presName="spaceB" presStyleCnt="0"/>
      <dgm:spPr/>
    </dgm:pt>
  </dgm:ptLst>
  <dgm:cxnLst>
    <dgm:cxn modelId="{06087BA2-5112-42AA-BA16-75B5C0B3B0B4}" srcId="{63C4F64D-C88A-460B-90D1-3CFAD7024D76}" destId="{EAF315E8-EA4A-4C48-8EFA-3B9080607AE3}" srcOrd="4" destOrd="0" parTransId="{F3140B8B-BBF4-4C21-BFCB-1BC80410E296}" sibTransId="{7C77FFE8-87FB-45A0-BE2D-A561A411765F}"/>
    <dgm:cxn modelId="{33D42A4D-0E4B-4E17-BF57-8D88A864A8C2}" srcId="{63C4F64D-C88A-460B-90D1-3CFAD7024D76}" destId="{9FCFA5E6-50EB-4986-A405-D5E598422246}" srcOrd="1" destOrd="0" parTransId="{6008A170-41B5-49FA-86B9-C9162AD4F252}" sibTransId="{D023CE9B-B6FD-428C-902A-EAC377FBB7B2}"/>
    <dgm:cxn modelId="{C643DE50-18F7-4423-9513-365331A88C1B}" type="presOf" srcId="{301D586A-B301-43DE-9157-98045CF1D85E}" destId="{422268DC-6B07-40CC-BB5D-C2ECEBE333A2}" srcOrd="0" destOrd="0" presId="urn:microsoft.com/office/officeart/2005/8/layout/hProcess11"/>
    <dgm:cxn modelId="{C386C8DE-92AF-422B-B7F1-A73DA80D06E8}" srcId="{63C4F64D-C88A-460B-90D1-3CFAD7024D76}" destId="{F31A0745-BDFE-44B2-AC86-66FCE6D9281D}" srcOrd="5" destOrd="0" parTransId="{50505C3B-5968-4DCA-8305-99F3A4A81515}" sibTransId="{4EE38121-3E99-490C-AA31-3F8440E4017F}"/>
    <dgm:cxn modelId="{79C978E5-0D2C-4D2B-9488-F811E8EB0BA3}" type="presOf" srcId="{7903E363-4A56-43E9-9249-D6DCE2048AB4}" destId="{C9202B98-E402-4C39-9A00-7F5228AC5C33}" srcOrd="0" destOrd="0" presId="urn:microsoft.com/office/officeart/2005/8/layout/hProcess11"/>
    <dgm:cxn modelId="{06046D14-F6A0-497E-A347-6A2D6850D214}" srcId="{63C4F64D-C88A-460B-90D1-3CFAD7024D76}" destId="{7903E363-4A56-43E9-9249-D6DCE2048AB4}" srcOrd="0" destOrd="0" parTransId="{83C1C67F-62EE-41C4-98E1-8406250EDA93}" sibTransId="{A52D4A25-C0C6-4C55-9BE1-70E5DAE02C9A}"/>
    <dgm:cxn modelId="{2E5A778D-2860-4A03-A241-13EB3B4A0F69}" type="presOf" srcId="{63C4F64D-C88A-460B-90D1-3CFAD7024D76}" destId="{FDF9AE45-A380-411D-B22B-FE2118C56D8F}" srcOrd="0" destOrd="0" presId="urn:microsoft.com/office/officeart/2005/8/layout/hProcess11"/>
    <dgm:cxn modelId="{85C5EB14-153F-4AA5-B9F8-3C8B887ACE92}" srcId="{63C4F64D-C88A-460B-90D1-3CFAD7024D76}" destId="{301D586A-B301-43DE-9157-98045CF1D85E}" srcOrd="2" destOrd="0" parTransId="{63681FD8-9C21-48A5-A1D5-8E800AD8F4B1}" sibTransId="{584146E2-26EC-48EC-9CF1-82933F83649B}"/>
    <dgm:cxn modelId="{0C0E5F7C-2D6E-4789-9DE8-D708C9DD5983}" type="presOf" srcId="{9FCFA5E6-50EB-4986-A405-D5E598422246}" destId="{5D0D5E15-3EC6-4F13-B82D-F730ABDCF115}" srcOrd="0" destOrd="0" presId="urn:microsoft.com/office/officeart/2005/8/layout/hProcess11"/>
    <dgm:cxn modelId="{9AB62463-AE96-4497-AB5A-0E77806B0E59}" type="presOf" srcId="{669260A1-161C-40B9-A78C-D1BB31191D7F}" destId="{5E2F47D6-417C-4898-8A3C-9070B574D16E}" srcOrd="0" destOrd="0" presId="urn:microsoft.com/office/officeart/2005/8/layout/hProcess11"/>
    <dgm:cxn modelId="{D6F441E4-89FC-41E8-BB44-AC6C86A08660}" type="presOf" srcId="{EAF315E8-EA4A-4C48-8EFA-3B9080607AE3}" destId="{3C1EA55C-CD6C-448F-872A-E56B569925E0}" srcOrd="0" destOrd="0" presId="urn:microsoft.com/office/officeart/2005/8/layout/hProcess11"/>
    <dgm:cxn modelId="{E8EF9BAC-48AF-43BE-8187-3F31DCA1F193}" type="presOf" srcId="{F31A0745-BDFE-44B2-AC86-66FCE6D9281D}" destId="{6C0C7037-C0EB-4374-A501-8DCDE2E42D28}" srcOrd="0" destOrd="0" presId="urn:microsoft.com/office/officeart/2005/8/layout/hProcess11"/>
    <dgm:cxn modelId="{8B98E36A-8B6E-4AA8-BF5C-323BBB300AEF}" srcId="{63C4F64D-C88A-460B-90D1-3CFAD7024D76}" destId="{669260A1-161C-40B9-A78C-D1BB31191D7F}" srcOrd="3" destOrd="0" parTransId="{F8B155CD-E4A5-4C2A-9FDC-37324A9225D6}" sibTransId="{CFE19D55-23F4-4C7C-913E-26A06DF153B2}"/>
    <dgm:cxn modelId="{BD1E9DAC-ADBE-4A93-B556-85751630E6B1}" type="presParOf" srcId="{FDF9AE45-A380-411D-B22B-FE2118C56D8F}" destId="{891365C9-EE81-40B4-8052-48B5FFFF1590}" srcOrd="0" destOrd="0" presId="urn:microsoft.com/office/officeart/2005/8/layout/hProcess11"/>
    <dgm:cxn modelId="{C357FF3E-D574-4329-BBAC-BBA1FFF36E76}" type="presParOf" srcId="{FDF9AE45-A380-411D-B22B-FE2118C56D8F}" destId="{AC31A202-952C-4000-81B5-22C0DF2AD277}" srcOrd="1" destOrd="0" presId="urn:microsoft.com/office/officeart/2005/8/layout/hProcess11"/>
    <dgm:cxn modelId="{ACB5532F-C708-4619-A080-798741E7C583}" type="presParOf" srcId="{AC31A202-952C-4000-81B5-22C0DF2AD277}" destId="{A60BC416-83D5-465A-994F-858403BCAB40}" srcOrd="0" destOrd="0" presId="urn:microsoft.com/office/officeart/2005/8/layout/hProcess11"/>
    <dgm:cxn modelId="{9E73688B-01D8-41CA-A2E6-7A8559CED1EC}" type="presParOf" srcId="{A60BC416-83D5-465A-994F-858403BCAB40}" destId="{C9202B98-E402-4C39-9A00-7F5228AC5C33}" srcOrd="0" destOrd="0" presId="urn:microsoft.com/office/officeart/2005/8/layout/hProcess11"/>
    <dgm:cxn modelId="{51A8F0F9-9756-4E6E-BBAC-159CE4A5F76C}" type="presParOf" srcId="{A60BC416-83D5-465A-994F-858403BCAB40}" destId="{FBFDFB41-A0AD-4DE5-BA3E-848AB6C0CC95}" srcOrd="1" destOrd="0" presId="urn:microsoft.com/office/officeart/2005/8/layout/hProcess11"/>
    <dgm:cxn modelId="{7EAF5717-74B7-41A4-A2BA-69EF28618590}" type="presParOf" srcId="{A60BC416-83D5-465A-994F-858403BCAB40}" destId="{0E6ADEB4-7BE2-4C1A-8E66-57D3C359C7A5}" srcOrd="2" destOrd="0" presId="urn:microsoft.com/office/officeart/2005/8/layout/hProcess11"/>
    <dgm:cxn modelId="{3767BF7B-25F9-4FA9-A222-60E47B8506D4}" type="presParOf" srcId="{AC31A202-952C-4000-81B5-22C0DF2AD277}" destId="{20D6B445-2E6D-42B1-85E2-7AAF5DF35A81}" srcOrd="1" destOrd="0" presId="urn:microsoft.com/office/officeart/2005/8/layout/hProcess11"/>
    <dgm:cxn modelId="{1A2CB5DF-BD6F-4921-8EC5-0DAE3F89B76A}" type="presParOf" srcId="{AC31A202-952C-4000-81B5-22C0DF2AD277}" destId="{0B737951-3BD4-4764-9790-69C5873A040F}" srcOrd="2" destOrd="0" presId="urn:microsoft.com/office/officeart/2005/8/layout/hProcess11"/>
    <dgm:cxn modelId="{FA35A545-7814-48C4-9921-98747FC0CC03}" type="presParOf" srcId="{0B737951-3BD4-4764-9790-69C5873A040F}" destId="{5D0D5E15-3EC6-4F13-B82D-F730ABDCF115}" srcOrd="0" destOrd="0" presId="urn:microsoft.com/office/officeart/2005/8/layout/hProcess11"/>
    <dgm:cxn modelId="{68AB39C4-C5BA-4D5A-B75E-A7974C1930AE}" type="presParOf" srcId="{0B737951-3BD4-4764-9790-69C5873A040F}" destId="{2277E9E3-FEC2-4D4D-9066-A87252117F24}" srcOrd="1" destOrd="0" presId="urn:microsoft.com/office/officeart/2005/8/layout/hProcess11"/>
    <dgm:cxn modelId="{3274839D-36BB-4844-A281-03116F215561}" type="presParOf" srcId="{0B737951-3BD4-4764-9790-69C5873A040F}" destId="{3B2268A3-2233-45FD-98D9-62710074EE44}" srcOrd="2" destOrd="0" presId="urn:microsoft.com/office/officeart/2005/8/layout/hProcess11"/>
    <dgm:cxn modelId="{DE3B8F66-FE4B-40D4-A187-35966C6D0D56}" type="presParOf" srcId="{AC31A202-952C-4000-81B5-22C0DF2AD277}" destId="{F0DB2972-1571-4E90-A080-275961509D9E}" srcOrd="3" destOrd="0" presId="urn:microsoft.com/office/officeart/2005/8/layout/hProcess11"/>
    <dgm:cxn modelId="{6DCDFE97-4500-4E16-9B0A-8F7CAD8912F7}" type="presParOf" srcId="{AC31A202-952C-4000-81B5-22C0DF2AD277}" destId="{91A71D2C-D669-4EB4-A937-643111238C69}" srcOrd="4" destOrd="0" presId="urn:microsoft.com/office/officeart/2005/8/layout/hProcess11"/>
    <dgm:cxn modelId="{0D158D0A-A7A9-49DD-A681-4BC148FA72FF}" type="presParOf" srcId="{91A71D2C-D669-4EB4-A937-643111238C69}" destId="{422268DC-6B07-40CC-BB5D-C2ECEBE333A2}" srcOrd="0" destOrd="0" presId="urn:microsoft.com/office/officeart/2005/8/layout/hProcess11"/>
    <dgm:cxn modelId="{AE4F0130-00C1-4FF8-A2CF-70E22C79C8E4}" type="presParOf" srcId="{91A71D2C-D669-4EB4-A937-643111238C69}" destId="{C695972C-F68A-4E31-8AAF-F0F18791F6F6}" srcOrd="1" destOrd="0" presId="urn:microsoft.com/office/officeart/2005/8/layout/hProcess11"/>
    <dgm:cxn modelId="{04EA2410-46CE-4CA8-A5A5-4A89898B5CE6}" type="presParOf" srcId="{91A71D2C-D669-4EB4-A937-643111238C69}" destId="{1EB01BCD-3F35-48B7-B4EB-2DD995711F3E}" srcOrd="2" destOrd="0" presId="urn:microsoft.com/office/officeart/2005/8/layout/hProcess11"/>
    <dgm:cxn modelId="{565060F2-0AFB-4E32-84B7-C899591214B2}" type="presParOf" srcId="{AC31A202-952C-4000-81B5-22C0DF2AD277}" destId="{3CEC9E74-7405-4CCC-8B02-EC269E99D25A}" srcOrd="5" destOrd="0" presId="urn:microsoft.com/office/officeart/2005/8/layout/hProcess11"/>
    <dgm:cxn modelId="{EC767936-BA92-4EB7-9E9C-81D99E22F4EA}" type="presParOf" srcId="{AC31A202-952C-4000-81B5-22C0DF2AD277}" destId="{8766DADF-74F7-45B5-858B-D16F719F5CEC}" srcOrd="6" destOrd="0" presId="urn:microsoft.com/office/officeart/2005/8/layout/hProcess11"/>
    <dgm:cxn modelId="{4312B832-FB69-4140-8A15-F0176732CCF5}" type="presParOf" srcId="{8766DADF-74F7-45B5-858B-D16F719F5CEC}" destId="{5E2F47D6-417C-4898-8A3C-9070B574D16E}" srcOrd="0" destOrd="0" presId="urn:microsoft.com/office/officeart/2005/8/layout/hProcess11"/>
    <dgm:cxn modelId="{901D1EDB-E62F-4B64-9F3F-CF96F9AF80D5}" type="presParOf" srcId="{8766DADF-74F7-45B5-858B-D16F719F5CEC}" destId="{15FA7CD3-7FE2-418B-B81C-09A103D81751}" srcOrd="1" destOrd="0" presId="urn:microsoft.com/office/officeart/2005/8/layout/hProcess11"/>
    <dgm:cxn modelId="{0F0F8B95-76D3-443F-B7C0-4E5F561C2D5F}" type="presParOf" srcId="{8766DADF-74F7-45B5-858B-D16F719F5CEC}" destId="{653170FA-0629-4A31-9388-101773F82A5D}" srcOrd="2" destOrd="0" presId="urn:microsoft.com/office/officeart/2005/8/layout/hProcess11"/>
    <dgm:cxn modelId="{40903410-6528-4920-9D29-725BF7974533}" type="presParOf" srcId="{AC31A202-952C-4000-81B5-22C0DF2AD277}" destId="{3BAFC81F-F9D4-40F3-9B71-D5A62302B2B1}" srcOrd="7" destOrd="0" presId="urn:microsoft.com/office/officeart/2005/8/layout/hProcess11"/>
    <dgm:cxn modelId="{1521504D-B2BD-485A-A39D-FF4349256338}" type="presParOf" srcId="{AC31A202-952C-4000-81B5-22C0DF2AD277}" destId="{AE1FE9A4-EEEA-47B8-95B2-2F5870BAAD87}" srcOrd="8" destOrd="0" presId="urn:microsoft.com/office/officeart/2005/8/layout/hProcess11"/>
    <dgm:cxn modelId="{5CBCB355-79AE-4C9E-84B0-FEB786003E59}" type="presParOf" srcId="{AE1FE9A4-EEEA-47B8-95B2-2F5870BAAD87}" destId="{3C1EA55C-CD6C-448F-872A-E56B569925E0}" srcOrd="0" destOrd="0" presId="urn:microsoft.com/office/officeart/2005/8/layout/hProcess11"/>
    <dgm:cxn modelId="{71DC31A8-E78B-40B0-8AA9-16932B86122C}" type="presParOf" srcId="{AE1FE9A4-EEEA-47B8-95B2-2F5870BAAD87}" destId="{9099BE15-3DE1-49C1-B9B9-982DDF8F5883}" srcOrd="1" destOrd="0" presId="urn:microsoft.com/office/officeart/2005/8/layout/hProcess11"/>
    <dgm:cxn modelId="{69FB4830-7BF7-4FA0-9175-8D79EFECB860}" type="presParOf" srcId="{AE1FE9A4-EEEA-47B8-95B2-2F5870BAAD87}" destId="{40557140-23C6-4AAE-9A9F-79F0D335480A}" srcOrd="2" destOrd="0" presId="urn:microsoft.com/office/officeart/2005/8/layout/hProcess11"/>
    <dgm:cxn modelId="{7AD06B10-9EB6-472D-8C6D-9D0E68BB0B80}" type="presParOf" srcId="{AC31A202-952C-4000-81B5-22C0DF2AD277}" destId="{4F055EA7-0301-43E5-AE0F-C44172FA334C}" srcOrd="9" destOrd="0" presId="urn:microsoft.com/office/officeart/2005/8/layout/hProcess11"/>
    <dgm:cxn modelId="{99C25A39-284B-4734-B53E-081E3E7CBDB4}" type="presParOf" srcId="{AC31A202-952C-4000-81B5-22C0DF2AD277}" destId="{6EDD639D-279D-411A-80B2-70697514B8C2}" srcOrd="10" destOrd="0" presId="urn:microsoft.com/office/officeart/2005/8/layout/hProcess11"/>
    <dgm:cxn modelId="{814DF7A0-FA0D-4D63-844E-21E7F5C14E8B}" type="presParOf" srcId="{6EDD639D-279D-411A-80B2-70697514B8C2}" destId="{6C0C7037-C0EB-4374-A501-8DCDE2E42D28}" srcOrd="0" destOrd="0" presId="urn:microsoft.com/office/officeart/2005/8/layout/hProcess11"/>
    <dgm:cxn modelId="{D6E1216D-486D-4312-BD0C-F732948777A9}" type="presParOf" srcId="{6EDD639D-279D-411A-80B2-70697514B8C2}" destId="{7DB6FB01-D8A6-470D-B1B9-5A3ED181F31E}" srcOrd="1" destOrd="0" presId="urn:microsoft.com/office/officeart/2005/8/layout/hProcess11"/>
    <dgm:cxn modelId="{CBCDFA68-0D75-40D2-BA10-B5B96F05344F}" type="presParOf" srcId="{6EDD639D-279D-411A-80B2-70697514B8C2}" destId="{3CCE8E93-4031-4AC0-9FE8-ABFAAFDDF77D}" srcOrd="2" destOrd="0" presId="urn:microsoft.com/office/officeart/2005/8/layout/hProcess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365C9-EE81-40B4-8052-48B5FFFF1590}">
      <dsp:nvSpPr>
        <dsp:cNvPr id="0" name=""/>
        <dsp:cNvSpPr/>
      </dsp:nvSpPr>
      <dsp:spPr>
        <a:xfrm>
          <a:off x="0" y="898794"/>
          <a:ext cx="6076950" cy="1191514"/>
        </a:xfrm>
        <a:prstGeom prst="notchedRightArrow">
          <a:avLst/>
        </a:prstGeom>
        <a:solidFill>
          <a:srgbClr val="10CFC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9202B98-E402-4C39-9A00-7F5228AC5C33}">
      <dsp:nvSpPr>
        <dsp:cNvPr id="0" name=""/>
        <dsp:cNvSpPr/>
      </dsp:nvSpPr>
      <dsp:spPr>
        <a:xfrm>
          <a:off x="16074" y="153338"/>
          <a:ext cx="942776" cy="1028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None/>
          </a:pPr>
          <a:r>
            <a:rPr lang="en-AU" sz="900" b="1" kern="1200">
              <a:solidFill>
                <a:srgbClr val="24272A">
                  <a:hueOff val="0"/>
                  <a:satOff val="0"/>
                  <a:lumOff val="0"/>
                  <a:alphaOff val="0"/>
                </a:srgbClr>
              </a:solidFill>
              <a:latin typeface="Arial"/>
              <a:ea typeface="+mn-ea"/>
              <a:cs typeface="+mn-cs"/>
            </a:rPr>
            <a:t>2020</a:t>
          </a:r>
        </a:p>
        <a:p>
          <a:pPr lvl="0" algn="ctr" defTabSz="400050">
            <a:lnSpc>
              <a:spcPct val="90000"/>
            </a:lnSpc>
            <a:spcBef>
              <a:spcPct val="0"/>
            </a:spcBef>
            <a:spcAft>
              <a:spcPct val="35000"/>
            </a:spcAft>
            <a:buNone/>
          </a:pPr>
          <a:r>
            <a:rPr lang="en-AU" sz="900" b="1" kern="1200">
              <a:solidFill>
                <a:srgbClr val="002F88"/>
              </a:solidFill>
              <a:latin typeface="Arial"/>
              <a:ea typeface="+mn-ea"/>
              <a:cs typeface="+mn-cs"/>
            </a:rPr>
            <a:t>Research phase – stakeholder workshops held</a:t>
          </a:r>
        </a:p>
        <a:p>
          <a:pPr lvl="0" algn="ctr" defTabSz="400050">
            <a:lnSpc>
              <a:spcPct val="90000"/>
            </a:lnSpc>
            <a:spcBef>
              <a:spcPct val="0"/>
            </a:spcBef>
            <a:spcAft>
              <a:spcPct val="35000"/>
            </a:spcAft>
            <a:buNone/>
          </a:pPr>
          <a:endParaRPr lang="en-AU" sz="900" b="1" kern="1200">
            <a:solidFill>
              <a:srgbClr val="002F88"/>
            </a:solidFill>
            <a:latin typeface="Arial"/>
            <a:ea typeface="+mn-ea"/>
            <a:cs typeface="+mn-cs"/>
          </a:endParaRPr>
        </a:p>
      </dsp:txBody>
      <dsp:txXfrm>
        <a:off x="16074" y="153338"/>
        <a:ext cx="942776" cy="1028121"/>
      </dsp:txXfrm>
    </dsp:sp>
    <dsp:sp modelId="{FBFDFB41-A0AD-4DE5-BA3E-848AB6C0CC95}">
      <dsp:nvSpPr>
        <dsp:cNvPr id="0" name=""/>
        <dsp:cNvSpPr/>
      </dsp:nvSpPr>
      <dsp:spPr>
        <a:xfrm>
          <a:off x="404269" y="1344882"/>
          <a:ext cx="297878" cy="297878"/>
        </a:xfrm>
        <a:prstGeom prst="ellipse">
          <a:avLst/>
        </a:prstGeom>
        <a:solidFill>
          <a:srgbClr val="10CFC9"/>
        </a:solidFill>
        <a:ln w="25400" cap="flat" cmpd="sng" algn="ctr">
          <a:solidFill>
            <a:srgbClr val="10CFC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D0D5E15-3EC6-4F13-B82D-F730ABDCF115}">
      <dsp:nvSpPr>
        <dsp:cNvPr id="0" name=""/>
        <dsp:cNvSpPr/>
      </dsp:nvSpPr>
      <dsp:spPr>
        <a:xfrm>
          <a:off x="973281" y="1823266"/>
          <a:ext cx="863844" cy="1155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None/>
          </a:pPr>
          <a:r>
            <a:rPr lang="en-AU" sz="900" b="1" kern="1200">
              <a:solidFill>
                <a:srgbClr val="24272A">
                  <a:hueOff val="0"/>
                  <a:satOff val="0"/>
                  <a:lumOff val="0"/>
                  <a:alphaOff val="0"/>
                </a:srgbClr>
              </a:solidFill>
              <a:latin typeface="Arial"/>
              <a:ea typeface="+mn-ea"/>
              <a:cs typeface="+mn-cs"/>
            </a:rPr>
            <a:t>June 2021</a:t>
          </a:r>
        </a:p>
        <a:p>
          <a:pPr lvl="0" algn="ctr" defTabSz="400050">
            <a:lnSpc>
              <a:spcPct val="90000"/>
            </a:lnSpc>
            <a:spcBef>
              <a:spcPct val="0"/>
            </a:spcBef>
            <a:spcAft>
              <a:spcPct val="35000"/>
            </a:spcAft>
            <a:buNone/>
          </a:pPr>
          <a:r>
            <a:rPr lang="en-AU" sz="900" b="1" kern="1200">
              <a:solidFill>
                <a:srgbClr val="002F88"/>
              </a:solidFill>
              <a:latin typeface="Arial"/>
              <a:ea typeface="+mn-ea"/>
              <a:cs typeface="+mn-cs"/>
            </a:rPr>
            <a:t>Public consultation process begins – consultation RIS published</a:t>
          </a:r>
        </a:p>
        <a:p>
          <a:pPr lvl="0" algn="ctr" defTabSz="400050">
            <a:lnSpc>
              <a:spcPct val="90000"/>
            </a:lnSpc>
            <a:spcBef>
              <a:spcPct val="0"/>
            </a:spcBef>
            <a:spcAft>
              <a:spcPct val="35000"/>
            </a:spcAft>
            <a:buNone/>
          </a:pPr>
          <a:endParaRPr lang="en-AU" sz="900" kern="1200">
            <a:solidFill>
              <a:srgbClr val="24272A">
                <a:hueOff val="0"/>
                <a:satOff val="0"/>
                <a:lumOff val="0"/>
                <a:alphaOff val="0"/>
              </a:srgbClr>
            </a:solidFill>
            <a:latin typeface="Arial"/>
            <a:ea typeface="+mn-ea"/>
            <a:cs typeface="+mn-cs"/>
          </a:endParaRPr>
        </a:p>
      </dsp:txBody>
      <dsp:txXfrm>
        <a:off x="973281" y="1823266"/>
        <a:ext cx="863844" cy="1155518"/>
      </dsp:txXfrm>
    </dsp:sp>
    <dsp:sp modelId="{2277E9E3-FEC2-4D4D-9066-A87252117F24}">
      <dsp:nvSpPr>
        <dsp:cNvPr id="0" name=""/>
        <dsp:cNvSpPr/>
      </dsp:nvSpPr>
      <dsp:spPr>
        <a:xfrm>
          <a:off x="1256264" y="1349452"/>
          <a:ext cx="297878" cy="297878"/>
        </a:xfrm>
        <a:prstGeom prst="ellipse">
          <a:avLst/>
        </a:prstGeom>
        <a:solidFill>
          <a:srgbClr val="10CFC9"/>
        </a:solidFill>
        <a:ln w="25400" cap="flat" cmpd="sng" algn="ctr">
          <a:solidFill>
            <a:srgbClr val="10CFC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22268DC-6B07-40CC-BB5D-C2ECEBE333A2}">
      <dsp:nvSpPr>
        <dsp:cNvPr id="0" name=""/>
        <dsp:cNvSpPr/>
      </dsp:nvSpPr>
      <dsp:spPr>
        <a:xfrm>
          <a:off x="1865600" y="0"/>
          <a:ext cx="844567" cy="119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buNone/>
          </a:pPr>
          <a:r>
            <a:rPr lang="en-AU" sz="900" b="1" kern="1200">
              <a:solidFill>
                <a:srgbClr val="24272A">
                  <a:hueOff val="0"/>
                  <a:satOff val="0"/>
                  <a:lumOff val="0"/>
                  <a:alphaOff val="0"/>
                </a:srgbClr>
              </a:solidFill>
              <a:latin typeface="Arial"/>
              <a:ea typeface="+mn-ea"/>
              <a:cs typeface="+mn-cs"/>
            </a:rPr>
            <a:t>August 2021 </a:t>
          </a:r>
          <a:r>
            <a:rPr lang="en-AU" sz="900" b="1" kern="1200">
              <a:solidFill>
                <a:srgbClr val="002060"/>
              </a:solidFill>
              <a:latin typeface="Arial"/>
              <a:ea typeface="+mn-ea"/>
              <a:cs typeface="+mn-cs"/>
            </a:rPr>
            <a:t>Decision RIS prepared after consultation process </a:t>
          </a:r>
        </a:p>
        <a:p>
          <a:pPr lvl="0" algn="ctr" defTabSz="400050">
            <a:lnSpc>
              <a:spcPct val="90000"/>
            </a:lnSpc>
            <a:spcBef>
              <a:spcPct val="0"/>
            </a:spcBef>
            <a:spcAft>
              <a:spcPct val="35000"/>
            </a:spcAft>
            <a:buNone/>
          </a:pPr>
          <a:endParaRPr lang="en-AU" sz="900" kern="1200">
            <a:solidFill>
              <a:srgbClr val="24272A">
                <a:hueOff val="0"/>
                <a:satOff val="0"/>
                <a:lumOff val="0"/>
                <a:alphaOff val="0"/>
              </a:srgbClr>
            </a:solidFill>
            <a:latin typeface="Arial"/>
            <a:ea typeface="+mn-ea"/>
            <a:cs typeface="+mn-cs"/>
          </a:endParaRPr>
        </a:p>
      </dsp:txBody>
      <dsp:txXfrm>
        <a:off x="1865600" y="0"/>
        <a:ext cx="844567" cy="1191514"/>
      </dsp:txXfrm>
    </dsp:sp>
    <dsp:sp modelId="{C695972C-F68A-4E31-8AAF-F0F18791F6F6}">
      <dsp:nvSpPr>
        <dsp:cNvPr id="0" name=""/>
        <dsp:cNvSpPr/>
      </dsp:nvSpPr>
      <dsp:spPr>
        <a:xfrm>
          <a:off x="2138944" y="1340453"/>
          <a:ext cx="297878" cy="297878"/>
        </a:xfrm>
        <a:prstGeom prst="ellipse">
          <a:avLst/>
        </a:prstGeom>
        <a:solidFill>
          <a:srgbClr val="10CFC9"/>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2F47D6-417C-4898-8A3C-9070B574D16E}">
      <dsp:nvSpPr>
        <dsp:cNvPr id="0" name=""/>
        <dsp:cNvSpPr/>
      </dsp:nvSpPr>
      <dsp:spPr>
        <a:xfrm>
          <a:off x="2738642" y="1787270"/>
          <a:ext cx="1115571" cy="119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buNone/>
          </a:pPr>
          <a:r>
            <a:rPr lang="en-AU" sz="900" b="1" kern="1200">
              <a:solidFill>
                <a:srgbClr val="24272A">
                  <a:hueOff val="0"/>
                  <a:satOff val="0"/>
                  <a:lumOff val="0"/>
                  <a:alphaOff val="0"/>
                </a:srgbClr>
              </a:solidFill>
              <a:latin typeface="Arial"/>
              <a:ea typeface="+mn-ea"/>
              <a:cs typeface="+mn-cs"/>
            </a:rPr>
            <a:t>December 2021</a:t>
          </a:r>
        </a:p>
        <a:p>
          <a:pPr lvl="0" algn="ctr" defTabSz="400050">
            <a:lnSpc>
              <a:spcPct val="90000"/>
            </a:lnSpc>
            <a:spcBef>
              <a:spcPct val="0"/>
            </a:spcBef>
            <a:spcAft>
              <a:spcPct val="35000"/>
            </a:spcAft>
            <a:buNone/>
          </a:pPr>
          <a:r>
            <a:rPr lang="en-AU" sz="900" b="1" kern="1200">
              <a:solidFill>
                <a:srgbClr val="002F88"/>
              </a:solidFill>
              <a:latin typeface="Arial"/>
              <a:ea typeface="+mn-ea"/>
              <a:cs typeface="+mn-cs"/>
            </a:rPr>
            <a:t>Decision RIS recommendations considered by ITMM</a:t>
          </a:r>
          <a:endParaRPr lang="en-AU" sz="900" b="1" kern="1200">
            <a:solidFill>
              <a:srgbClr val="24272A">
                <a:hueOff val="0"/>
                <a:satOff val="0"/>
                <a:lumOff val="0"/>
                <a:alphaOff val="0"/>
              </a:srgbClr>
            </a:solidFill>
            <a:latin typeface="Arial"/>
            <a:ea typeface="+mn-ea"/>
            <a:cs typeface="+mn-cs"/>
          </a:endParaRPr>
        </a:p>
      </dsp:txBody>
      <dsp:txXfrm>
        <a:off x="2738642" y="1787270"/>
        <a:ext cx="1115571" cy="1191514"/>
      </dsp:txXfrm>
    </dsp:sp>
    <dsp:sp modelId="{15FA7CD3-7FE2-418B-B81C-09A103D81751}">
      <dsp:nvSpPr>
        <dsp:cNvPr id="0" name=""/>
        <dsp:cNvSpPr/>
      </dsp:nvSpPr>
      <dsp:spPr>
        <a:xfrm>
          <a:off x="3147488" y="1340453"/>
          <a:ext cx="297878" cy="297878"/>
        </a:xfrm>
        <a:prstGeom prst="ellipse">
          <a:avLst/>
        </a:prstGeom>
        <a:solidFill>
          <a:srgbClr val="10CFC9"/>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1EA55C-CD6C-448F-872A-E56B569925E0}">
      <dsp:nvSpPr>
        <dsp:cNvPr id="0" name=""/>
        <dsp:cNvSpPr/>
      </dsp:nvSpPr>
      <dsp:spPr>
        <a:xfrm>
          <a:off x="3882688" y="0"/>
          <a:ext cx="839288" cy="119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en-AU" sz="900" b="1" kern="1200">
              <a:solidFill>
                <a:srgbClr val="24272A">
                  <a:hueOff val="0"/>
                  <a:satOff val="0"/>
                  <a:lumOff val="0"/>
                  <a:alphaOff val="0"/>
                </a:srgbClr>
              </a:solidFill>
              <a:latin typeface="Arial"/>
              <a:ea typeface="+mn-ea"/>
              <a:cs typeface="+mn-cs"/>
            </a:rPr>
            <a:t>December 2021 </a:t>
          </a:r>
          <a:r>
            <a:rPr lang="en-AU" sz="900" b="1" kern="1200">
              <a:solidFill>
                <a:srgbClr val="002F88"/>
              </a:solidFill>
              <a:latin typeface="Arial"/>
              <a:ea typeface="+mn-ea"/>
              <a:cs typeface="+mn-cs"/>
            </a:rPr>
            <a:t>Public consultation process begins on final charges</a:t>
          </a:r>
          <a:endParaRPr lang="en-AU" sz="900" kern="1200"/>
        </a:p>
      </dsp:txBody>
      <dsp:txXfrm>
        <a:off x="3882688" y="0"/>
        <a:ext cx="839288" cy="1191514"/>
      </dsp:txXfrm>
    </dsp:sp>
    <dsp:sp modelId="{9099BE15-3DE1-49C1-B9B9-982DDF8F5883}">
      <dsp:nvSpPr>
        <dsp:cNvPr id="0" name=""/>
        <dsp:cNvSpPr/>
      </dsp:nvSpPr>
      <dsp:spPr>
        <a:xfrm>
          <a:off x="4153393" y="1340453"/>
          <a:ext cx="297878" cy="297878"/>
        </a:xfrm>
        <a:prstGeom prst="ellipse">
          <a:avLst/>
        </a:prstGeom>
        <a:solidFill>
          <a:schemeClr val="accent1"/>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0C7037-C0EB-4374-A501-8DCDE2E42D28}">
      <dsp:nvSpPr>
        <dsp:cNvPr id="0" name=""/>
        <dsp:cNvSpPr/>
      </dsp:nvSpPr>
      <dsp:spPr>
        <a:xfrm>
          <a:off x="4750450" y="1787270"/>
          <a:ext cx="716773" cy="119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n-AU" sz="900" b="1" kern="1200">
              <a:solidFill>
                <a:srgbClr val="24272A">
                  <a:hueOff val="0"/>
                  <a:satOff val="0"/>
                  <a:lumOff val="0"/>
                  <a:alphaOff val="0"/>
                </a:srgbClr>
              </a:solidFill>
              <a:latin typeface="Arial"/>
              <a:ea typeface="+mn-ea"/>
              <a:cs typeface="+mn-cs"/>
            </a:rPr>
            <a:t>Early 2022 </a:t>
          </a:r>
          <a:r>
            <a:rPr lang="en-AU" sz="900" b="1" kern="1200">
              <a:solidFill>
                <a:srgbClr val="002F88"/>
              </a:solidFill>
              <a:latin typeface="Arial"/>
              <a:ea typeface="+mn-ea"/>
              <a:cs typeface="+mn-cs"/>
            </a:rPr>
            <a:t>Final charges approved by ITMM</a:t>
          </a:r>
          <a:endParaRPr lang="en-AU" sz="900" kern="1200"/>
        </a:p>
      </dsp:txBody>
      <dsp:txXfrm>
        <a:off x="4750450" y="1787270"/>
        <a:ext cx="716773" cy="1191514"/>
      </dsp:txXfrm>
    </dsp:sp>
    <dsp:sp modelId="{7DB6FB01-D8A6-470D-B1B9-5A3ED181F31E}">
      <dsp:nvSpPr>
        <dsp:cNvPr id="0" name=""/>
        <dsp:cNvSpPr/>
      </dsp:nvSpPr>
      <dsp:spPr>
        <a:xfrm>
          <a:off x="4959898" y="1340453"/>
          <a:ext cx="297878" cy="29787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TC">
  <a:themeElements>
    <a:clrScheme name="NTC - Aqua">
      <a:dk1>
        <a:srgbClr val="24272A"/>
      </a:dk1>
      <a:lt1>
        <a:srgbClr val="FFFFFF"/>
      </a:lt1>
      <a:dk2>
        <a:srgbClr val="24312A"/>
      </a:dk2>
      <a:lt2>
        <a:srgbClr val="D3F3F0"/>
      </a:lt2>
      <a:accent1>
        <a:srgbClr val="10CFC9"/>
      </a:accent1>
      <a:accent2>
        <a:srgbClr val="71DAD6"/>
      </a:accent2>
      <a:accent3>
        <a:srgbClr val="A5E7E3"/>
      </a:accent3>
      <a:accent4>
        <a:srgbClr val="D3F3F0"/>
      </a:accent4>
      <a:accent5>
        <a:srgbClr val="24312A"/>
      </a:accent5>
      <a:accent6>
        <a:srgbClr val="919393"/>
      </a:accent6>
      <a:hlink>
        <a:srgbClr val="10CFC9"/>
      </a:hlink>
      <a:folHlink>
        <a:srgbClr val="91929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Pro14</b:Tag>
    <b:SourceType>Report</b:SourceType>
    <b:Guid>{962C714E-AAE1-4692-BA20-8C811A3E8151}</b:Guid>
    <b:Title>Public Infrastructure</b:Title>
    <b:Year>2014</b:Year>
    <b:Author>
      <b:Author>
        <b:Corporate>Productivity Commission</b:Corporate>
      </b:Author>
    </b:Author>
    <b:Publisher>Productivity Commission</b:Publisher>
    <b:City>Canberra</b:City>
    <b:RefOrder>7</b:RefOrder>
  </b:Source>
  <b:Source>
    <b:Tag>ATC07</b:Tag>
    <b:SourceType>ConferenceProceedings</b:SourceType>
    <b:Guid>{5EEE3AAD-76D0-44C4-A00A-D87A9D07EA3D}</b:Guid>
    <b:Title>ATC meeting on 4 May 2007</b:Title>
    <b:Year>2007</b:Year>
    <b:Publisher>Australian Transport Council</b:Publisher>
    <b:City>Broome</b:City>
    <b:Author>
      <b:Author>
        <b:Corporate>ATC</b:Corporate>
      </b:Author>
    </b:Author>
    <b:RefOrder>3</b:RefOrder>
  </b:Source>
  <b:Source>
    <b:Tag>ABS20</b:Tag>
    <b:SourceType>InternetSite</b:SourceType>
    <b:Guid>{051829FA-0F32-4342-9F0E-66878A7103AC}</b:Guid>
    <b:Author>
      <b:Author>
        <b:Corporate>ABS</b:Corporate>
      </b:Author>
    </b:Author>
    <b:Title>Survey of Motor Vehicle Use, Australia methodology</b:Title>
    <b:Year>2020</b:Year>
    <b:YearAccessed>2020</b:YearAccessed>
    <b:MonthAccessed>December</b:MonthAccessed>
    <b:DayAccessed>21</b:DayAccessed>
    <b:URL>https://www.abs.gov.au/methodologies/survey-motor-vehicle-use-australia-methodology/12-months-ended-30-june-2020</b:URL>
    <b:RefOrder>16</b:RefOrder>
  </b:Source>
  <b:Source>
    <b:Tag>Adm12</b:Tag>
    <b:SourceType>InternetSite</b:SourceType>
    <b:Guid>{76D8A006-03DF-4EC7-98B3-ECE2F19E3B7F}</b:Guid>
    <b:Author>
      <b:Author>
        <b:Corporate>Administrative Appeals Tribunal of Australia</b:Corporate>
      </b:Author>
    </b:Author>
    <b:Title>Linfox Australia Pty Ltd and Commissioner of Taxation [2012] AATA 517 (7 August 2012)</b:Title>
    <b:Year>2012</b:Year>
    <b:YearAccessed>2020</b:YearAccessed>
    <b:MonthAccessed>December</b:MonthAccessed>
    <b:DayAccessed>21</b:DayAccessed>
    <b:URL>http://www8.austlii.edu.au/cgi-bin/viewdoc/au/cases/cth/AATA/2012/517.html</b:URL>
    <b:RefOrder>9</b:RefOrder>
  </b:Source>
  <b:Source>
    <b:Tag>Hou17</b:Tag>
    <b:SourceType>Report</b:SourceType>
    <b:Guid>{A71E9A6A-C801-4BF5-8BF1-85592D251780}</b:Guid>
    <b:Title>Review of the parameters used to allocate road infrastructure costs to heavy vehicles</b:Title>
    <b:Year>2017</b:Year>
    <b:Author>
      <b:Author>
        <b:Corporate>HoustonKemp</b:Corporate>
      </b:Author>
    </b:Author>
    <b:Publisher>HoustonKemp</b:Publisher>
    <b:City>Sydney</b:City>
    <b:RefOrder>8</b:RefOrder>
  </b:Source>
  <b:Source>
    <b:Tag>ARR17</b:Tag>
    <b:SourceType>Report</b:SourceType>
    <b:Guid>{8EF0ECA0-D516-4FF7-89CA-4EA2ECA2A737}</b:Guid>
    <b:Author>
      <b:Author>
        <b:NameList>
          <b:Person>
            <b:Last>ARRB</b:Last>
          </b:Person>
        </b:NameList>
      </b:Author>
    </b:Author>
    <b:Title>Determination of common and allocated costs and associated use metrics for a revised cost allocation matrix</b:Title>
    <b:Year>2017a</b:Year>
    <b:Publisher>ARRB</b:Publisher>
    <b:City>Port Melbourne</b:City>
    <b:RefOrder>13</b:RefOrder>
  </b:Source>
  <b:Source>
    <b:Tag>ARR19</b:Tag>
    <b:SourceType>Report</b:SourceType>
    <b:Guid>{CD1ABE8B-CB97-469A-882A-C23C758BFD43}</b:Guid>
    <b:Author>
      <b:Author>
        <b:NameList>
          <b:Person>
            <b:Last>ARRB</b:Last>
          </b:Person>
        </b:NameList>
      </b:Author>
    </b:Author>
    <b:Title>Estimation of renewal and routine pavement costs for a forward looking cost base (FLCB) for heavy vehicles</b:Title>
    <b:Year>2019</b:Year>
    <b:Publisher>ARRB</b:Publisher>
    <b:City>Port Melbourne</b:City>
    <b:RefOrder>2</b:RefOrder>
  </b:Source>
  <b:Source>
    <b:Tag>ARR171</b:Tag>
    <b:SourceType>Report</b:SourceType>
    <b:Guid>{6A62A978-26F4-4F05-8891-B60E15F4D426}</b:Guid>
    <b:Author>
      <b:Author>
        <b:NameList>
          <b:Person>
            <b:Last>ARRB</b:Last>
          </b:Person>
        </b:NameList>
      </b:Author>
    </b:Author>
    <b:Title>Road cost allocation literature review findings</b:Title>
    <b:Year>2017b</b:Year>
    <b:Publisher>ARRB</b:Publisher>
    <b:City>Port Melbourne</b:City>
    <b:RefOrder>17</b:RefOrder>
  </b:Source>
  <b:Source>
    <b:Tag>Tra151</b:Tag>
    <b:SourceType>ElectronicSource</b:SourceType>
    <b:Guid>{9BFFA8D3-F285-43A5-9394-52E66650EB33}</b:Guid>
    <b:Title>CityLink Tulla widening scope change</b:Title>
    <b:Year>2015</b:Year>
    <b:Publisher>Transurban</b:Publisher>
    <b:City>Docklands</b:City>
    <b:Author>
      <b:Author>
        <b:Corporate>Transurban</b:Corporate>
      </b:Author>
    </b:Author>
    <b:RefOrder>18</b:RefOrder>
  </b:Source>
  <b:Source>
    <b:Tag>Opu17</b:Tag>
    <b:SourceType>Report</b:SourceType>
    <b:Guid>{046C66BE-A1B5-4C71-90B1-391147B7E9A7}</b:Guid>
    <b:Author>
      <b:Author>
        <b:Corporate>Opus</b:Corporate>
      </b:Author>
    </b:Author>
    <b:Title>Expenditure categories for a forward looking cost base</b:Title>
    <b:Year>2017</b:Year>
    <b:Publisher>Opus International Consultants (Australia) Pty Ltd</b:Publisher>
    <b:City>Melbourne</b:City>
    <b:RefOrder>5</b:RefOrder>
  </b:Source>
  <b:Source>
    <b:Tag>Aus181</b:Tag>
    <b:SourceType>Report</b:SourceType>
    <b:Guid>{86A9873D-82A8-4FF6-AB46-7D90DE783887}</b:Guid>
    <b:Title>Minimum levels of componentisation for road infrastructure assets – background research</b:Title>
    <b:Year>2018</b:Year>
    <b:Author>
      <b:Author>
        <b:Corporate>Austroads</b:Corporate>
      </b:Author>
    </b:Author>
    <b:Publisher>Austroads</b:Publisher>
    <b:City>Sydney</b:City>
    <b:RefOrder>6</b:RefOrder>
  </b:Source>
  <b:Source>
    <b:Tag>ATO19</b:Tag>
    <b:SourceType>InternetSite</b:SourceType>
    <b:Guid>{2EB2DC63-C38B-4C1A-B89F-3109A359031C}</b:Guid>
    <b:Author>
      <b:Author>
        <b:Corporate>ATO</b:Corporate>
      </b:Author>
    </b:Author>
    <b:Title>Practical compliance guidelines: PCG 2016/11 fuel tax credits – apportioning taxable fuel used in a heavy vehicle with auxiliary equipment</b:Title>
    <b:Year>2019</b:Year>
    <b:YearAccessed>2020</b:YearAccessed>
    <b:MonthAccessed>December</b:MonthAccessed>
    <b:DayAccessed>21</b:DayAccessed>
    <b:URL>https://www.ato.gov.au/law/view/document?LocID=%22COG%2FPCG201611%2FNAT%2FATO%22&amp;PiT=99991231235958</b:URL>
    <b:RefOrder>10</b:RefOrder>
  </b:Source>
  <b:Source>
    <b:Tag>Tra20</b:Tag>
    <b:SourceType>InternetSite</b:SourceType>
    <b:Guid>{E67AA82B-E072-4419-9CD0-770386396992}</b:Guid>
    <b:Author>
      <b:Author>
        <b:Corporate>Transurban</b:Corporate>
      </b:Author>
    </b:Author>
    <b:Title>Roads and Projects – Melbourne</b:Title>
    <b:Year>2020</b:Year>
    <b:YearAccessed>2020</b:YearAccessed>
    <b:MonthAccessed>November</b:MonthAccessed>
    <b:DayAccessed>26</b:DayAccessed>
    <b:URL>https://www.transurban.com/roads-and-projects/melbourne</b:URL>
    <b:RefOrder>19</b:RefOrder>
  </b:Source>
  <b:Source>
    <b:Tag>ABS19</b:Tag>
    <b:SourceType>DocumentFromInternetSite</b:SourceType>
    <b:Guid>{1CA45B63-B349-4F6A-8E73-DA7B6B597E16}</b:Guid>
    <b:Title>Survey of Motor Vehicle Use – survey guide</b:Title>
    <b:Year>2019</b:Year>
    <b:Author>
      <b:Author>
        <b:Corporate>ABS</b:Corporate>
      </b:Author>
    </b:Author>
    <b:YearAccessed>2020</b:YearAccessed>
    <b:MonthAccessed>December</b:MonthAccessed>
    <b:DayAccessed>22</b:DayAccessed>
    <b:URL>https://www.abs.gov.au/websitedbs/d3310114.nsf/4a256353001af3ed4b2562bb00121564/5dff3ab82130e7e0ca257c070010f3b8/$FILE/SMVU_Survey_Guide_2019-20.pdf</b:URL>
    <b:RefOrder>11</b:RefOrder>
  </b:Source>
  <b:Source>
    <b:Tag>BIT16</b:Tag>
    <b:SourceType>Report</b:SourceType>
    <b:Guid>{E1F38C73-6079-4B40-BEAD-B5A406ACB743}</b:Guid>
    <b:Author>
      <b:Author>
        <b:Corporate>Bureau of Infrastructure, Transport and Regional Economics</b:Corporate>
      </b:Author>
    </b:Author>
    <b:Title>Toll roads in Australia</b:Title>
    <b:Year>2016</b:Year>
    <b:Publisher>BITRE</b:Publisher>
    <b:City>Canberra</b:City>
    <b:RefOrder>20</b:RefOrder>
  </b:Source>
  <b:Source>
    <b:Tag>Aus21</b:Tag>
    <b:SourceType>DocumentFromInternetSite</b:SourceType>
    <b:Guid>{95B9EB08-6E1E-4F5A-A5D3-CFDCCA54075A}</b:Guid>
    <b:Title>Budget 2021–22: Budget Overview</b:Title>
    <b:Year>2021</b:Year>
    <b:Author>
      <b:Author>
        <b:Corporate>Australian Government</b:Corporate>
      </b:Author>
    </b:Author>
    <b:YearAccessed>2021</b:YearAccessed>
    <b:MonthAccessed>May</b:MonthAccessed>
    <b:URL>https://budget.gov.au/2021-22/content/download/glossy_overview.pdf</b:URL>
    <b:RefOrder>4</b:RefOrder>
  </b:Source>
  <b:Source>
    <b:Tag>NHV21</b:Tag>
    <b:SourceType>Report</b:SourceType>
    <b:Guid>{719413DD-0128-4423-BC75-B04FD33481D6}</b:Guid>
    <b:Author>
      <b:Author>
        <b:Corporate>NHVR</b:Corporate>
      </b:Author>
    </b:Author>
    <b:Title>Corporate Plan 2021-2024</b:Title>
    <b:Year>2021</b:Year>
    <b:Publisher>National Heavy Vehicle Regulator</b:Publisher>
    <b:City>Brisbane</b:City>
    <b:RefOrder>14</b:RefOrder>
  </b:Source>
  <b:Source>
    <b:Tag>ATO21</b:Tag>
    <b:SourceType>InternetSite</b:SourceType>
    <b:Guid>{33B0F311-E461-496B-B891-D9862288BBC8}</b:Guid>
    <b:Title>Annual tax gap refresh findings</b:Title>
    <b:Year>2021</b:Year>
    <b:Author>
      <b:Author>
        <b:Corporate>ATO</b:Corporate>
      </b:Author>
    </b:Author>
    <b:YearAccessed>2021</b:YearAccessed>
    <b:MonthAccessed>September</b:MonthAccessed>
    <b:DayAccessed>10</b:DayAccessed>
    <b:URL>https://www.ato.gov.au/about-ato/research-and-statistics/in-detail/tax-gap/australian-tax-gaps-overview/?anchor=Whywemeasurethetaxgap#Whywemeasurethetaxgap</b:URL>
    <b:RefOrder>12</b:RefOrder>
  </b:Source>
  <b:Source>
    <b:Tag>Pri211</b:Tag>
    <b:SourceType>InternetSite</b:SourceType>
    <b:Guid>{3071CA82-B3C9-47D5-BAF5-9D3302297C48}</b:Guid>
    <b:Title>NHVR adds primary producer concession info to app</b:Title>
    <b:Year>2021</b:Year>
    <b:Author>
      <b:Author>
        <b:Corporate>Prime Mover</b:Corporate>
      </b:Author>
    </b:Author>
    <b:YearAccessed>2021</b:YearAccessed>
    <b:MonthAccessed>October</b:MonthAccessed>
    <b:DayAccessed>5</b:DayAccessed>
    <b:URL>https://www.primemovermag.com.au/nhvr-adds-primary-producer-concession-info-to-app/</b:URL>
    <b:RefOrder>15</b:RefOrder>
  </b:Source>
  <b:Source>
    <b:Tag>NTC21</b:Tag>
    <b:SourceType>Report</b:SourceType>
    <b:Guid>{E829176A-AF0B-49CE-976C-C675172AB6BB}</b:Guid>
    <b:Author>
      <b:Author>
        <b:Corporate>NTC</b:Corporate>
      </b:Author>
    </b:Author>
    <b:Title>Heavy vehicle charges determination: consultation regulation impact statement</b:Title>
    <b:Year>2021</b:Year>
    <b:Publisher>National Transport Commission</b:Publisher>
    <b:City>Melbourne</b:City>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DOCID-322795542-42001</_dlc_DocId>
    <_dlc_DocIdUrl xmlns="4195ad5f-cdf2-4c4a-8d9b-b7944a108e98">
      <Url>https://pmc01.sharepoint.com/sites/CRMOBPR/_layouts/15/DocIdRedir.aspx?ID=DOCID-322795542-42001</Url>
      <Description>DOCID-322795542-42001</Description>
    </_dlc_DocIdUrl>
  </documentManagement>
</p:properties>
</file>

<file path=customXml/itemProps1.xml><?xml version="1.0" encoding="utf-8"?>
<ds:datastoreItem xmlns:ds="http://schemas.openxmlformats.org/officeDocument/2006/customXml" ds:itemID="{1C906E4B-00FA-4DD4-BE97-FE78BD493306}">
  <ds:schemaRefs>
    <ds:schemaRef ds:uri="http://schemas.openxmlformats.org/officeDocument/2006/bibliography"/>
  </ds:schemaRefs>
</ds:datastoreItem>
</file>

<file path=customXml/itemProps2.xml><?xml version="1.0" encoding="utf-8"?>
<ds:datastoreItem xmlns:ds="http://schemas.openxmlformats.org/officeDocument/2006/customXml" ds:itemID="{7C89BF5A-5668-4478-A71F-26416EF25451}"/>
</file>

<file path=customXml/itemProps3.xml><?xml version="1.0" encoding="utf-8"?>
<ds:datastoreItem xmlns:ds="http://schemas.openxmlformats.org/officeDocument/2006/customXml" ds:itemID="{837F5BF2-8760-4FD2-80F3-BCA047DFC2C8}"/>
</file>

<file path=customXml/itemProps4.xml><?xml version="1.0" encoding="utf-8"?>
<ds:datastoreItem xmlns:ds="http://schemas.openxmlformats.org/officeDocument/2006/customXml" ds:itemID="{FF5A72C0-1F9F-4DF1-A44D-59E5FCE266B3}"/>
</file>

<file path=customXml/itemProps5.xml><?xml version="1.0" encoding="utf-8"?>
<ds:datastoreItem xmlns:ds="http://schemas.openxmlformats.org/officeDocument/2006/customXml" ds:itemID="{38D9EB3F-1397-46A3-80EA-DFEAB2597741}"/>
</file>

<file path=docProps/app.xml><?xml version="1.0" encoding="utf-8"?>
<Properties xmlns="http://schemas.openxmlformats.org/officeDocument/2006/extended-properties" xmlns:vt="http://schemas.openxmlformats.org/officeDocument/2006/docPropsVTypes">
  <Template>Normal</Template>
  <TotalTime>0</TotalTime>
  <Pages>177</Pages>
  <Words>65735</Words>
  <Characters>364637</Characters>
  <Application>Microsoft Office Word</Application>
  <DocSecurity>0</DocSecurity>
  <Lines>3038</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429513</CharactersWithSpaces>
  <SharedDoc>false</SharedDoc>
  <HyperlinkBase/>
  <HLinks>
    <vt:vector size="924" baseType="variant">
      <vt:variant>
        <vt:i4>5242963</vt:i4>
      </vt:variant>
      <vt:variant>
        <vt:i4>1608</vt:i4>
      </vt:variant>
      <vt:variant>
        <vt:i4>0</vt:i4>
      </vt:variant>
      <vt:variant>
        <vt:i4>5</vt:i4>
      </vt:variant>
      <vt:variant>
        <vt:lpwstr>https://www.ntc.gov.au/transport-reform/ntc-projects/heavy-vehicle-charges-determination</vt:lpwstr>
      </vt:variant>
      <vt:variant>
        <vt:lpwstr/>
      </vt:variant>
      <vt:variant>
        <vt:i4>5242963</vt:i4>
      </vt:variant>
      <vt:variant>
        <vt:i4>1590</vt:i4>
      </vt:variant>
      <vt:variant>
        <vt:i4>0</vt:i4>
      </vt:variant>
      <vt:variant>
        <vt:i4>5</vt:i4>
      </vt:variant>
      <vt:variant>
        <vt:lpwstr>https://www.ntc.gov.au/transport-reform/ntc-projects/heavy-vehicle-charges-determination</vt:lpwstr>
      </vt:variant>
      <vt:variant>
        <vt:lpwstr/>
      </vt:variant>
      <vt:variant>
        <vt:i4>6357027</vt:i4>
      </vt:variant>
      <vt:variant>
        <vt:i4>1176</vt:i4>
      </vt:variant>
      <vt:variant>
        <vt:i4>0</vt:i4>
      </vt:variant>
      <vt:variant>
        <vt:i4>5</vt:i4>
      </vt:variant>
      <vt:variant>
        <vt:lpwstr>https://www.infrastructure.gov.au/roads/heavy/</vt:lpwstr>
      </vt:variant>
      <vt:variant>
        <vt:lpwstr/>
      </vt:variant>
      <vt:variant>
        <vt:i4>5242963</vt:i4>
      </vt:variant>
      <vt:variant>
        <vt:i4>1059</vt:i4>
      </vt:variant>
      <vt:variant>
        <vt:i4>0</vt:i4>
      </vt:variant>
      <vt:variant>
        <vt:i4>5</vt:i4>
      </vt:variant>
      <vt:variant>
        <vt:lpwstr>https://www.ntc.gov.au/transport-reform/ntc-projects/heavy-vehicle-charges-determination</vt:lpwstr>
      </vt:variant>
      <vt:variant>
        <vt:lpwstr/>
      </vt:variant>
      <vt:variant>
        <vt:i4>1048632</vt:i4>
      </vt:variant>
      <vt:variant>
        <vt:i4>860</vt:i4>
      </vt:variant>
      <vt:variant>
        <vt:i4>0</vt:i4>
      </vt:variant>
      <vt:variant>
        <vt:i4>5</vt:i4>
      </vt:variant>
      <vt:variant>
        <vt:lpwstr/>
      </vt:variant>
      <vt:variant>
        <vt:lpwstr>_Toc75857106</vt:lpwstr>
      </vt:variant>
      <vt:variant>
        <vt:i4>1245240</vt:i4>
      </vt:variant>
      <vt:variant>
        <vt:i4>854</vt:i4>
      </vt:variant>
      <vt:variant>
        <vt:i4>0</vt:i4>
      </vt:variant>
      <vt:variant>
        <vt:i4>5</vt:i4>
      </vt:variant>
      <vt:variant>
        <vt:lpwstr/>
      </vt:variant>
      <vt:variant>
        <vt:lpwstr>_Toc75857105</vt:lpwstr>
      </vt:variant>
      <vt:variant>
        <vt:i4>1179704</vt:i4>
      </vt:variant>
      <vt:variant>
        <vt:i4>848</vt:i4>
      </vt:variant>
      <vt:variant>
        <vt:i4>0</vt:i4>
      </vt:variant>
      <vt:variant>
        <vt:i4>5</vt:i4>
      </vt:variant>
      <vt:variant>
        <vt:lpwstr/>
      </vt:variant>
      <vt:variant>
        <vt:lpwstr>_Toc75857104</vt:lpwstr>
      </vt:variant>
      <vt:variant>
        <vt:i4>1376312</vt:i4>
      </vt:variant>
      <vt:variant>
        <vt:i4>842</vt:i4>
      </vt:variant>
      <vt:variant>
        <vt:i4>0</vt:i4>
      </vt:variant>
      <vt:variant>
        <vt:i4>5</vt:i4>
      </vt:variant>
      <vt:variant>
        <vt:lpwstr/>
      </vt:variant>
      <vt:variant>
        <vt:lpwstr>_Toc75857103</vt:lpwstr>
      </vt:variant>
      <vt:variant>
        <vt:i4>1310776</vt:i4>
      </vt:variant>
      <vt:variant>
        <vt:i4>836</vt:i4>
      </vt:variant>
      <vt:variant>
        <vt:i4>0</vt:i4>
      </vt:variant>
      <vt:variant>
        <vt:i4>5</vt:i4>
      </vt:variant>
      <vt:variant>
        <vt:lpwstr/>
      </vt:variant>
      <vt:variant>
        <vt:lpwstr>_Toc75857102</vt:lpwstr>
      </vt:variant>
      <vt:variant>
        <vt:i4>1507384</vt:i4>
      </vt:variant>
      <vt:variant>
        <vt:i4>830</vt:i4>
      </vt:variant>
      <vt:variant>
        <vt:i4>0</vt:i4>
      </vt:variant>
      <vt:variant>
        <vt:i4>5</vt:i4>
      </vt:variant>
      <vt:variant>
        <vt:lpwstr/>
      </vt:variant>
      <vt:variant>
        <vt:lpwstr>_Toc75857101</vt:lpwstr>
      </vt:variant>
      <vt:variant>
        <vt:i4>1441848</vt:i4>
      </vt:variant>
      <vt:variant>
        <vt:i4>824</vt:i4>
      </vt:variant>
      <vt:variant>
        <vt:i4>0</vt:i4>
      </vt:variant>
      <vt:variant>
        <vt:i4>5</vt:i4>
      </vt:variant>
      <vt:variant>
        <vt:lpwstr/>
      </vt:variant>
      <vt:variant>
        <vt:lpwstr>_Toc75857100</vt:lpwstr>
      </vt:variant>
      <vt:variant>
        <vt:i4>1966129</vt:i4>
      </vt:variant>
      <vt:variant>
        <vt:i4>818</vt:i4>
      </vt:variant>
      <vt:variant>
        <vt:i4>0</vt:i4>
      </vt:variant>
      <vt:variant>
        <vt:i4>5</vt:i4>
      </vt:variant>
      <vt:variant>
        <vt:lpwstr/>
      </vt:variant>
      <vt:variant>
        <vt:lpwstr>_Toc75857099</vt:lpwstr>
      </vt:variant>
      <vt:variant>
        <vt:i4>2031665</vt:i4>
      </vt:variant>
      <vt:variant>
        <vt:i4>812</vt:i4>
      </vt:variant>
      <vt:variant>
        <vt:i4>0</vt:i4>
      </vt:variant>
      <vt:variant>
        <vt:i4>5</vt:i4>
      </vt:variant>
      <vt:variant>
        <vt:lpwstr/>
      </vt:variant>
      <vt:variant>
        <vt:lpwstr>_Toc75857098</vt:lpwstr>
      </vt:variant>
      <vt:variant>
        <vt:i4>1048625</vt:i4>
      </vt:variant>
      <vt:variant>
        <vt:i4>806</vt:i4>
      </vt:variant>
      <vt:variant>
        <vt:i4>0</vt:i4>
      </vt:variant>
      <vt:variant>
        <vt:i4>5</vt:i4>
      </vt:variant>
      <vt:variant>
        <vt:lpwstr/>
      </vt:variant>
      <vt:variant>
        <vt:lpwstr>_Toc75857097</vt:lpwstr>
      </vt:variant>
      <vt:variant>
        <vt:i4>1114161</vt:i4>
      </vt:variant>
      <vt:variant>
        <vt:i4>800</vt:i4>
      </vt:variant>
      <vt:variant>
        <vt:i4>0</vt:i4>
      </vt:variant>
      <vt:variant>
        <vt:i4>5</vt:i4>
      </vt:variant>
      <vt:variant>
        <vt:lpwstr/>
      </vt:variant>
      <vt:variant>
        <vt:lpwstr>_Toc75857096</vt:lpwstr>
      </vt:variant>
      <vt:variant>
        <vt:i4>1179697</vt:i4>
      </vt:variant>
      <vt:variant>
        <vt:i4>794</vt:i4>
      </vt:variant>
      <vt:variant>
        <vt:i4>0</vt:i4>
      </vt:variant>
      <vt:variant>
        <vt:i4>5</vt:i4>
      </vt:variant>
      <vt:variant>
        <vt:lpwstr/>
      </vt:variant>
      <vt:variant>
        <vt:lpwstr>_Toc75857095</vt:lpwstr>
      </vt:variant>
      <vt:variant>
        <vt:i4>1245233</vt:i4>
      </vt:variant>
      <vt:variant>
        <vt:i4>788</vt:i4>
      </vt:variant>
      <vt:variant>
        <vt:i4>0</vt:i4>
      </vt:variant>
      <vt:variant>
        <vt:i4>5</vt:i4>
      </vt:variant>
      <vt:variant>
        <vt:lpwstr/>
      </vt:variant>
      <vt:variant>
        <vt:lpwstr>_Toc75857094</vt:lpwstr>
      </vt:variant>
      <vt:variant>
        <vt:i4>1310769</vt:i4>
      </vt:variant>
      <vt:variant>
        <vt:i4>782</vt:i4>
      </vt:variant>
      <vt:variant>
        <vt:i4>0</vt:i4>
      </vt:variant>
      <vt:variant>
        <vt:i4>5</vt:i4>
      </vt:variant>
      <vt:variant>
        <vt:lpwstr/>
      </vt:variant>
      <vt:variant>
        <vt:lpwstr>_Toc75857093</vt:lpwstr>
      </vt:variant>
      <vt:variant>
        <vt:i4>1376305</vt:i4>
      </vt:variant>
      <vt:variant>
        <vt:i4>776</vt:i4>
      </vt:variant>
      <vt:variant>
        <vt:i4>0</vt:i4>
      </vt:variant>
      <vt:variant>
        <vt:i4>5</vt:i4>
      </vt:variant>
      <vt:variant>
        <vt:lpwstr/>
      </vt:variant>
      <vt:variant>
        <vt:lpwstr>_Toc75857092</vt:lpwstr>
      </vt:variant>
      <vt:variant>
        <vt:i4>1441841</vt:i4>
      </vt:variant>
      <vt:variant>
        <vt:i4>770</vt:i4>
      </vt:variant>
      <vt:variant>
        <vt:i4>0</vt:i4>
      </vt:variant>
      <vt:variant>
        <vt:i4>5</vt:i4>
      </vt:variant>
      <vt:variant>
        <vt:lpwstr/>
      </vt:variant>
      <vt:variant>
        <vt:lpwstr>_Toc75857091</vt:lpwstr>
      </vt:variant>
      <vt:variant>
        <vt:i4>1507377</vt:i4>
      </vt:variant>
      <vt:variant>
        <vt:i4>764</vt:i4>
      </vt:variant>
      <vt:variant>
        <vt:i4>0</vt:i4>
      </vt:variant>
      <vt:variant>
        <vt:i4>5</vt:i4>
      </vt:variant>
      <vt:variant>
        <vt:lpwstr/>
      </vt:variant>
      <vt:variant>
        <vt:lpwstr>_Toc75857090</vt:lpwstr>
      </vt:variant>
      <vt:variant>
        <vt:i4>1966128</vt:i4>
      </vt:variant>
      <vt:variant>
        <vt:i4>758</vt:i4>
      </vt:variant>
      <vt:variant>
        <vt:i4>0</vt:i4>
      </vt:variant>
      <vt:variant>
        <vt:i4>5</vt:i4>
      </vt:variant>
      <vt:variant>
        <vt:lpwstr/>
      </vt:variant>
      <vt:variant>
        <vt:lpwstr>_Toc75857089</vt:lpwstr>
      </vt:variant>
      <vt:variant>
        <vt:i4>2031664</vt:i4>
      </vt:variant>
      <vt:variant>
        <vt:i4>752</vt:i4>
      </vt:variant>
      <vt:variant>
        <vt:i4>0</vt:i4>
      </vt:variant>
      <vt:variant>
        <vt:i4>5</vt:i4>
      </vt:variant>
      <vt:variant>
        <vt:lpwstr/>
      </vt:variant>
      <vt:variant>
        <vt:lpwstr>_Toc75857088</vt:lpwstr>
      </vt:variant>
      <vt:variant>
        <vt:i4>1048624</vt:i4>
      </vt:variant>
      <vt:variant>
        <vt:i4>746</vt:i4>
      </vt:variant>
      <vt:variant>
        <vt:i4>0</vt:i4>
      </vt:variant>
      <vt:variant>
        <vt:i4>5</vt:i4>
      </vt:variant>
      <vt:variant>
        <vt:lpwstr/>
      </vt:variant>
      <vt:variant>
        <vt:lpwstr>_Toc75857087</vt:lpwstr>
      </vt:variant>
      <vt:variant>
        <vt:i4>1114160</vt:i4>
      </vt:variant>
      <vt:variant>
        <vt:i4>740</vt:i4>
      </vt:variant>
      <vt:variant>
        <vt:i4>0</vt:i4>
      </vt:variant>
      <vt:variant>
        <vt:i4>5</vt:i4>
      </vt:variant>
      <vt:variant>
        <vt:lpwstr/>
      </vt:variant>
      <vt:variant>
        <vt:lpwstr>_Toc75857086</vt:lpwstr>
      </vt:variant>
      <vt:variant>
        <vt:i4>1179696</vt:i4>
      </vt:variant>
      <vt:variant>
        <vt:i4>734</vt:i4>
      </vt:variant>
      <vt:variant>
        <vt:i4>0</vt:i4>
      </vt:variant>
      <vt:variant>
        <vt:i4>5</vt:i4>
      </vt:variant>
      <vt:variant>
        <vt:lpwstr/>
      </vt:variant>
      <vt:variant>
        <vt:lpwstr>_Toc75857085</vt:lpwstr>
      </vt:variant>
      <vt:variant>
        <vt:i4>1245232</vt:i4>
      </vt:variant>
      <vt:variant>
        <vt:i4>728</vt:i4>
      </vt:variant>
      <vt:variant>
        <vt:i4>0</vt:i4>
      </vt:variant>
      <vt:variant>
        <vt:i4>5</vt:i4>
      </vt:variant>
      <vt:variant>
        <vt:lpwstr/>
      </vt:variant>
      <vt:variant>
        <vt:lpwstr>_Toc75857084</vt:lpwstr>
      </vt:variant>
      <vt:variant>
        <vt:i4>1310768</vt:i4>
      </vt:variant>
      <vt:variant>
        <vt:i4>722</vt:i4>
      </vt:variant>
      <vt:variant>
        <vt:i4>0</vt:i4>
      </vt:variant>
      <vt:variant>
        <vt:i4>5</vt:i4>
      </vt:variant>
      <vt:variant>
        <vt:lpwstr/>
      </vt:variant>
      <vt:variant>
        <vt:lpwstr>_Toc75857083</vt:lpwstr>
      </vt:variant>
      <vt:variant>
        <vt:i4>1376304</vt:i4>
      </vt:variant>
      <vt:variant>
        <vt:i4>716</vt:i4>
      </vt:variant>
      <vt:variant>
        <vt:i4>0</vt:i4>
      </vt:variant>
      <vt:variant>
        <vt:i4>5</vt:i4>
      </vt:variant>
      <vt:variant>
        <vt:lpwstr/>
      </vt:variant>
      <vt:variant>
        <vt:lpwstr>_Toc75857082</vt:lpwstr>
      </vt:variant>
      <vt:variant>
        <vt:i4>1441840</vt:i4>
      </vt:variant>
      <vt:variant>
        <vt:i4>710</vt:i4>
      </vt:variant>
      <vt:variant>
        <vt:i4>0</vt:i4>
      </vt:variant>
      <vt:variant>
        <vt:i4>5</vt:i4>
      </vt:variant>
      <vt:variant>
        <vt:lpwstr/>
      </vt:variant>
      <vt:variant>
        <vt:lpwstr>_Toc75857081</vt:lpwstr>
      </vt:variant>
      <vt:variant>
        <vt:i4>1507376</vt:i4>
      </vt:variant>
      <vt:variant>
        <vt:i4>704</vt:i4>
      </vt:variant>
      <vt:variant>
        <vt:i4>0</vt:i4>
      </vt:variant>
      <vt:variant>
        <vt:i4>5</vt:i4>
      </vt:variant>
      <vt:variant>
        <vt:lpwstr/>
      </vt:variant>
      <vt:variant>
        <vt:lpwstr>_Toc75857080</vt:lpwstr>
      </vt:variant>
      <vt:variant>
        <vt:i4>1966143</vt:i4>
      </vt:variant>
      <vt:variant>
        <vt:i4>698</vt:i4>
      </vt:variant>
      <vt:variant>
        <vt:i4>0</vt:i4>
      </vt:variant>
      <vt:variant>
        <vt:i4>5</vt:i4>
      </vt:variant>
      <vt:variant>
        <vt:lpwstr/>
      </vt:variant>
      <vt:variant>
        <vt:lpwstr>_Toc75857079</vt:lpwstr>
      </vt:variant>
      <vt:variant>
        <vt:i4>2031679</vt:i4>
      </vt:variant>
      <vt:variant>
        <vt:i4>692</vt:i4>
      </vt:variant>
      <vt:variant>
        <vt:i4>0</vt:i4>
      </vt:variant>
      <vt:variant>
        <vt:i4>5</vt:i4>
      </vt:variant>
      <vt:variant>
        <vt:lpwstr/>
      </vt:variant>
      <vt:variant>
        <vt:lpwstr>_Toc75857078</vt:lpwstr>
      </vt:variant>
      <vt:variant>
        <vt:i4>1048639</vt:i4>
      </vt:variant>
      <vt:variant>
        <vt:i4>686</vt:i4>
      </vt:variant>
      <vt:variant>
        <vt:i4>0</vt:i4>
      </vt:variant>
      <vt:variant>
        <vt:i4>5</vt:i4>
      </vt:variant>
      <vt:variant>
        <vt:lpwstr/>
      </vt:variant>
      <vt:variant>
        <vt:lpwstr>_Toc75857077</vt:lpwstr>
      </vt:variant>
      <vt:variant>
        <vt:i4>1114175</vt:i4>
      </vt:variant>
      <vt:variant>
        <vt:i4>680</vt:i4>
      </vt:variant>
      <vt:variant>
        <vt:i4>0</vt:i4>
      </vt:variant>
      <vt:variant>
        <vt:i4>5</vt:i4>
      </vt:variant>
      <vt:variant>
        <vt:lpwstr/>
      </vt:variant>
      <vt:variant>
        <vt:lpwstr>_Toc75857076</vt:lpwstr>
      </vt:variant>
      <vt:variant>
        <vt:i4>1179711</vt:i4>
      </vt:variant>
      <vt:variant>
        <vt:i4>674</vt:i4>
      </vt:variant>
      <vt:variant>
        <vt:i4>0</vt:i4>
      </vt:variant>
      <vt:variant>
        <vt:i4>5</vt:i4>
      </vt:variant>
      <vt:variant>
        <vt:lpwstr/>
      </vt:variant>
      <vt:variant>
        <vt:lpwstr>_Toc75857075</vt:lpwstr>
      </vt:variant>
      <vt:variant>
        <vt:i4>1245247</vt:i4>
      </vt:variant>
      <vt:variant>
        <vt:i4>668</vt:i4>
      </vt:variant>
      <vt:variant>
        <vt:i4>0</vt:i4>
      </vt:variant>
      <vt:variant>
        <vt:i4>5</vt:i4>
      </vt:variant>
      <vt:variant>
        <vt:lpwstr/>
      </vt:variant>
      <vt:variant>
        <vt:lpwstr>_Toc75857074</vt:lpwstr>
      </vt:variant>
      <vt:variant>
        <vt:i4>1310783</vt:i4>
      </vt:variant>
      <vt:variant>
        <vt:i4>662</vt:i4>
      </vt:variant>
      <vt:variant>
        <vt:i4>0</vt:i4>
      </vt:variant>
      <vt:variant>
        <vt:i4>5</vt:i4>
      </vt:variant>
      <vt:variant>
        <vt:lpwstr/>
      </vt:variant>
      <vt:variant>
        <vt:lpwstr>_Toc75857073</vt:lpwstr>
      </vt:variant>
      <vt:variant>
        <vt:i4>1376319</vt:i4>
      </vt:variant>
      <vt:variant>
        <vt:i4>656</vt:i4>
      </vt:variant>
      <vt:variant>
        <vt:i4>0</vt:i4>
      </vt:variant>
      <vt:variant>
        <vt:i4>5</vt:i4>
      </vt:variant>
      <vt:variant>
        <vt:lpwstr/>
      </vt:variant>
      <vt:variant>
        <vt:lpwstr>_Toc75857072</vt:lpwstr>
      </vt:variant>
      <vt:variant>
        <vt:i4>1441855</vt:i4>
      </vt:variant>
      <vt:variant>
        <vt:i4>650</vt:i4>
      </vt:variant>
      <vt:variant>
        <vt:i4>0</vt:i4>
      </vt:variant>
      <vt:variant>
        <vt:i4>5</vt:i4>
      </vt:variant>
      <vt:variant>
        <vt:lpwstr/>
      </vt:variant>
      <vt:variant>
        <vt:lpwstr>_Toc75857071</vt:lpwstr>
      </vt:variant>
      <vt:variant>
        <vt:i4>1507391</vt:i4>
      </vt:variant>
      <vt:variant>
        <vt:i4>644</vt:i4>
      </vt:variant>
      <vt:variant>
        <vt:i4>0</vt:i4>
      </vt:variant>
      <vt:variant>
        <vt:i4>5</vt:i4>
      </vt:variant>
      <vt:variant>
        <vt:lpwstr/>
      </vt:variant>
      <vt:variant>
        <vt:lpwstr>_Toc75857070</vt:lpwstr>
      </vt:variant>
      <vt:variant>
        <vt:i4>1966142</vt:i4>
      </vt:variant>
      <vt:variant>
        <vt:i4>638</vt:i4>
      </vt:variant>
      <vt:variant>
        <vt:i4>0</vt:i4>
      </vt:variant>
      <vt:variant>
        <vt:i4>5</vt:i4>
      </vt:variant>
      <vt:variant>
        <vt:lpwstr/>
      </vt:variant>
      <vt:variant>
        <vt:lpwstr>_Toc75857069</vt:lpwstr>
      </vt:variant>
      <vt:variant>
        <vt:i4>2031678</vt:i4>
      </vt:variant>
      <vt:variant>
        <vt:i4>632</vt:i4>
      </vt:variant>
      <vt:variant>
        <vt:i4>0</vt:i4>
      </vt:variant>
      <vt:variant>
        <vt:i4>5</vt:i4>
      </vt:variant>
      <vt:variant>
        <vt:lpwstr/>
      </vt:variant>
      <vt:variant>
        <vt:lpwstr>_Toc75857068</vt:lpwstr>
      </vt:variant>
      <vt:variant>
        <vt:i4>1048638</vt:i4>
      </vt:variant>
      <vt:variant>
        <vt:i4>626</vt:i4>
      </vt:variant>
      <vt:variant>
        <vt:i4>0</vt:i4>
      </vt:variant>
      <vt:variant>
        <vt:i4>5</vt:i4>
      </vt:variant>
      <vt:variant>
        <vt:lpwstr/>
      </vt:variant>
      <vt:variant>
        <vt:lpwstr>_Toc75857067</vt:lpwstr>
      </vt:variant>
      <vt:variant>
        <vt:i4>1114174</vt:i4>
      </vt:variant>
      <vt:variant>
        <vt:i4>620</vt:i4>
      </vt:variant>
      <vt:variant>
        <vt:i4>0</vt:i4>
      </vt:variant>
      <vt:variant>
        <vt:i4>5</vt:i4>
      </vt:variant>
      <vt:variant>
        <vt:lpwstr/>
      </vt:variant>
      <vt:variant>
        <vt:lpwstr>_Toc75857066</vt:lpwstr>
      </vt:variant>
      <vt:variant>
        <vt:i4>1179710</vt:i4>
      </vt:variant>
      <vt:variant>
        <vt:i4>614</vt:i4>
      </vt:variant>
      <vt:variant>
        <vt:i4>0</vt:i4>
      </vt:variant>
      <vt:variant>
        <vt:i4>5</vt:i4>
      </vt:variant>
      <vt:variant>
        <vt:lpwstr/>
      </vt:variant>
      <vt:variant>
        <vt:lpwstr>_Toc75857065</vt:lpwstr>
      </vt:variant>
      <vt:variant>
        <vt:i4>1245246</vt:i4>
      </vt:variant>
      <vt:variant>
        <vt:i4>608</vt:i4>
      </vt:variant>
      <vt:variant>
        <vt:i4>0</vt:i4>
      </vt:variant>
      <vt:variant>
        <vt:i4>5</vt:i4>
      </vt:variant>
      <vt:variant>
        <vt:lpwstr/>
      </vt:variant>
      <vt:variant>
        <vt:lpwstr>_Toc75857064</vt:lpwstr>
      </vt:variant>
      <vt:variant>
        <vt:i4>1310782</vt:i4>
      </vt:variant>
      <vt:variant>
        <vt:i4>602</vt:i4>
      </vt:variant>
      <vt:variant>
        <vt:i4>0</vt:i4>
      </vt:variant>
      <vt:variant>
        <vt:i4>5</vt:i4>
      </vt:variant>
      <vt:variant>
        <vt:lpwstr/>
      </vt:variant>
      <vt:variant>
        <vt:lpwstr>_Toc75857063</vt:lpwstr>
      </vt:variant>
      <vt:variant>
        <vt:i4>1376318</vt:i4>
      </vt:variant>
      <vt:variant>
        <vt:i4>596</vt:i4>
      </vt:variant>
      <vt:variant>
        <vt:i4>0</vt:i4>
      </vt:variant>
      <vt:variant>
        <vt:i4>5</vt:i4>
      </vt:variant>
      <vt:variant>
        <vt:lpwstr/>
      </vt:variant>
      <vt:variant>
        <vt:lpwstr>_Toc75857062</vt:lpwstr>
      </vt:variant>
      <vt:variant>
        <vt:i4>1441854</vt:i4>
      </vt:variant>
      <vt:variant>
        <vt:i4>590</vt:i4>
      </vt:variant>
      <vt:variant>
        <vt:i4>0</vt:i4>
      </vt:variant>
      <vt:variant>
        <vt:i4>5</vt:i4>
      </vt:variant>
      <vt:variant>
        <vt:lpwstr/>
      </vt:variant>
      <vt:variant>
        <vt:lpwstr>_Toc75857061</vt:lpwstr>
      </vt:variant>
      <vt:variant>
        <vt:i4>1507390</vt:i4>
      </vt:variant>
      <vt:variant>
        <vt:i4>584</vt:i4>
      </vt:variant>
      <vt:variant>
        <vt:i4>0</vt:i4>
      </vt:variant>
      <vt:variant>
        <vt:i4>5</vt:i4>
      </vt:variant>
      <vt:variant>
        <vt:lpwstr/>
      </vt:variant>
      <vt:variant>
        <vt:lpwstr>_Toc75857060</vt:lpwstr>
      </vt:variant>
      <vt:variant>
        <vt:i4>1966141</vt:i4>
      </vt:variant>
      <vt:variant>
        <vt:i4>578</vt:i4>
      </vt:variant>
      <vt:variant>
        <vt:i4>0</vt:i4>
      </vt:variant>
      <vt:variant>
        <vt:i4>5</vt:i4>
      </vt:variant>
      <vt:variant>
        <vt:lpwstr/>
      </vt:variant>
      <vt:variant>
        <vt:lpwstr>_Toc75857059</vt:lpwstr>
      </vt:variant>
      <vt:variant>
        <vt:i4>2031677</vt:i4>
      </vt:variant>
      <vt:variant>
        <vt:i4>572</vt:i4>
      </vt:variant>
      <vt:variant>
        <vt:i4>0</vt:i4>
      </vt:variant>
      <vt:variant>
        <vt:i4>5</vt:i4>
      </vt:variant>
      <vt:variant>
        <vt:lpwstr/>
      </vt:variant>
      <vt:variant>
        <vt:lpwstr>_Toc75857058</vt:lpwstr>
      </vt:variant>
      <vt:variant>
        <vt:i4>1048637</vt:i4>
      </vt:variant>
      <vt:variant>
        <vt:i4>566</vt:i4>
      </vt:variant>
      <vt:variant>
        <vt:i4>0</vt:i4>
      </vt:variant>
      <vt:variant>
        <vt:i4>5</vt:i4>
      </vt:variant>
      <vt:variant>
        <vt:lpwstr/>
      </vt:variant>
      <vt:variant>
        <vt:lpwstr>_Toc75857057</vt:lpwstr>
      </vt:variant>
      <vt:variant>
        <vt:i4>1114173</vt:i4>
      </vt:variant>
      <vt:variant>
        <vt:i4>560</vt:i4>
      </vt:variant>
      <vt:variant>
        <vt:i4>0</vt:i4>
      </vt:variant>
      <vt:variant>
        <vt:i4>5</vt:i4>
      </vt:variant>
      <vt:variant>
        <vt:lpwstr/>
      </vt:variant>
      <vt:variant>
        <vt:lpwstr>_Toc75857056</vt:lpwstr>
      </vt:variant>
      <vt:variant>
        <vt:i4>1179709</vt:i4>
      </vt:variant>
      <vt:variant>
        <vt:i4>554</vt:i4>
      </vt:variant>
      <vt:variant>
        <vt:i4>0</vt:i4>
      </vt:variant>
      <vt:variant>
        <vt:i4>5</vt:i4>
      </vt:variant>
      <vt:variant>
        <vt:lpwstr/>
      </vt:variant>
      <vt:variant>
        <vt:lpwstr>_Toc75857055</vt:lpwstr>
      </vt:variant>
      <vt:variant>
        <vt:i4>1245245</vt:i4>
      </vt:variant>
      <vt:variant>
        <vt:i4>548</vt:i4>
      </vt:variant>
      <vt:variant>
        <vt:i4>0</vt:i4>
      </vt:variant>
      <vt:variant>
        <vt:i4>5</vt:i4>
      </vt:variant>
      <vt:variant>
        <vt:lpwstr/>
      </vt:variant>
      <vt:variant>
        <vt:lpwstr>_Toc75857054</vt:lpwstr>
      </vt:variant>
      <vt:variant>
        <vt:i4>1310781</vt:i4>
      </vt:variant>
      <vt:variant>
        <vt:i4>542</vt:i4>
      </vt:variant>
      <vt:variant>
        <vt:i4>0</vt:i4>
      </vt:variant>
      <vt:variant>
        <vt:i4>5</vt:i4>
      </vt:variant>
      <vt:variant>
        <vt:lpwstr/>
      </vt:variant>
      <vt:variant>
        <vt:lpwstr>_Toc75857053</vt:lpwstr>
      </vt:variant>
      <vt:variant>
        <vt:i4>1376317</vt:i4>
      </vt:variant>
      <vt:variant>
        <vt:i4>536</vt:i4>
      </vt:variant>
      <vt:variant>
        <vt:i4>0</vt:i4>
      </vt:variant>
      <vt:variant>
        <vt:i4>5</vt:i4>
      </vt:variant>
      <vt:variant>
        <vt:lpwstr/>
      </vt:variant>
      <vt:variant>
        <vt:lpwstr>_Toc75857052</vt:lpwstr>
      </vt:variant>
      <vt:variant>
        <vt:i4>1441853</vt:i4>
      </vt:variant>
      <vt:variant>
        <vt:i4>530</vt:i4>
      </vt:variant>
      <vt:variant>
        <vt:i4>0</vt:i4>
      </vt:variant>
      <vt:variant>
        <vt:i4>5</vt:i4>
      </vt:variant>
      <vt:variant>
        <vt:lpwstr/>
      </vt:variant>
      <vt:variant>
        <vt:lpwstr>_Toc75857051</vt:lpwstr>
      </vt:variant>
      <vt:variant>
        <vt:i4>1507389</vt:i4>
      </vt:variant>
      <vt:variant>
        <vt:i4>524</vt:i4>
      </vt:variant>
      <vt:variant>
        <vt:i4>0</vt:i4>
      </vt:variant>
      <vt:variant>
        <vt:i4>5</vt:i4>
      </vt:variant>
      <vt:variant>
        <vt:lpwstr/>
      </vt:variant>
      <vt:variant>
        <vt:lpwstr>_Toc75857050</vt:lpwstr>
      </vt:variant>
      <vt:variant>
        <vt:i4>1966140</vt:i4>
      </vt:variant>
      <vt:variant>
        <vt:i4>518</vt:i4>
      </vt:variant>
      <vt:variant>
        <vt:i4>0</vt:i4>
      </vt:variant>
      <vt:variant>
        <vt:i4>5</vt:i4>
      </vt:variant>
      <vt:variant>
        <vt:lpwstr/>
      </vt:variant>
      <vt:variant>
        <vt:lpwstr>_Toc75857049</vt:lpwstr>
      </vt:variant>
      <vt:variant>
        <vt:i4>2031676</vt:i4>
      </vt:variant>
      <vt:variant>
        <vt:i4>512</vt:i4>
      </vt:variant>
      <vt:variant>
        <vt:i4>0</vt:i4>
      </vt:variant>
      <vt:variant>
        <vt:i4>5</vt:i4>
      </vt:variant>
      <vt:variant>
        <vt:lpwstr/>
      </vt:variant>
      <vt:variant>
        <vt:lpwstr>_Toc75857048</vt:lpwstr>
      </vt:variant>
      <vt:variant>
        <vt:i4>1048636</vt:i4>
      </vt:variant>
      <vt:variant>
        <vt:i4>506</vt:i4>
      </vt:variant>
      <vt:variant>
        <vt:i4>0</vt:i4>
      </vt:variant>
      <vt:variant>
        <vt:i4>5</vt:i4>
      </vt:variant>
      <vt:variant>
        <vt:lpwstr/>
      </vt:variant>
      <vt:variant>
        <vt:lpwstr>_Toc75857047</vt:lpwstr>
      </vt:variant>
      <vt:variant>
        <vt:i4>1114172</vt:i4>
      </vt:variant>
      <vt:variant>
        <vt:i4>500</vt:i4>
      </vt:variant>
      <vt:variant>
        <vt:i4>0</vt:i4>
      </vt:variant>
      <vt:variant>
        <vt:i4>5</vt:i4>
      </vt:variant>
      <vt:variant>
        <vt:lpwstr/>
      </vt:variant>
      <vt:variant>
        <vt:lpwstr>_Toc75857046</vt:lpwstr>
      </vt:variant>
      <vt:variant>
        <vt:i4>1179708</vt:i4>
      </vt:variant>
      <vt:variant>
        <vt:i4>494</vt:i4>
      </vt:variant>
      <vt:variant>
        <vt:i4>0</vt:i4>
      </vt:variant>
      <vt:variant>
        <vt:i4>5</vt:i4>
      </vt:variant>
      <vt:variant>
        <vt:lpwstr/>
      </vt:variant>
      <vt:variant>
        <vt:lpwstr>_Toc75857045</vt:lpwstr>
      </vt:variant>
      <vt:variant>
        <vt:i4>1245244</vt:i4>
      </vt:variant>
      <vt:variant>
        <vt:i4>488</vt:i4>
      </vt:variant>
      <vt:variant>
        <vt:i4>0</vt:i4>
      </vt:variant>
      <vt:variant>
        <vt:i4>5</vt:i4>
      </vt:variant>
      <vt:variant>
        <vt:lpwstr/>
      </vt:variant>
      <vt:variant>
        <vt:lpwstr>_Toc75857044</vt:lpwstr>
      </vt:variant>
      <vt:variant>
        <vt:i4>1310780</vt:i4>
      </vt:variant>
      <vt:variant>
        <vt:i4>482</vt:i4>
      </vt:variant>
      <vt:variant>
        <vt:i4>0</vt:i4>
      </vt:variant>
      <vt:variant>
        <vt:i4>5</vt:i4>
      </vt:variant>
      <vt:variant>
        <vt:lpwstr/>
      </vt:variant>
      <vt:variant>
        <vt:lpwstr>_Toc75857043</vt:lpwstr>
      </vt:variant>
      <vt:variant>
        <vt:i4>1376316</vt:i4>
      </vt:variant>
      <vt:variant>
        <vt:i4>476</vt:i4>
      </vt:variant>
      <vt:variant>
        <vt:i4>0</vt:i4>
      </vt:variant>
      <vt:variant>
        <vt:i4>5</vt:i4>
      </vt:variant>
      <vt:variant>
        <vt:lpwstr/>
      </vt:variant>
      <vt:variant>
        <vt:lpwstr>_Toc75857042</vt:lpwstr>
      </vt:variant>
      <vt:variant>
        <vt:i4>1441852</vt:i4>
      </vt:variant>
      <vt:variant>
        <vt:i4>470</vt:i4>
      </vt:variant>
      <vt:variant>
        <vt:i4>0</vt:i4>
      </vt:variant>
      <vt:variant>
        <vt:i4>5</vt:i4>
      </vt:variant>
      <vt:variant>
        <vt:lpwstr/>
      </vt:variant>
      <vt:variant>
        <vt:lpwstr>_Toc75857041</vt:lpwstr>
      </vt:variant>
      <vt:variant>
        <vt:i4>1507388</vt:i4>
      </vt:variant>
      <vt:variant>
        <vt:i4>464</vt:i4>
      </vt:variant>
      <vt:variant>
        <vt:i4>0</vt:i4>
      </vt:variant>
      <vt:variant>
        <vt:i4>5</vt:i4>
      </vt:variant>
      <vt:variant>
        <vt:lpwstr/>
      </vt:variant>
      <vt:variant>
        <vt:lpwstr>_Toc75857040</vt:lpwstr>
      </vt:variant>
      <vt:variant>
        <vt:i4>1966139</vt:i4>
      </vt:variant>
      <vt:variant>
        <vt:i4>458</vt:i4>
      </vt:variant>
      <vt:variant>
        <vt:i4>0</vt:i4>
      </vt:variant>
      <vt:variant>
        <vt:i4>5</vt:i4>
      </vt:variant>
      <vt:variant>
        <vt:lpwstr/>
      </vt:variant>
      <vt:variant>
        <vt:lpwstr>_Toc75857039</vt:lpwstr>
      </vt:variant>
      <vt:variant>
        <vt:i4>2031675</vt:i4>
      </vt:variant>
      <vt:variant>
        <vt:i4>452</vt:i4>
      </vt:variant>
      <vt:variant>
        <vt:i4>0</vt:i4>
      </vt:variant>
      <vt:variant>
        <vt:i4>5</vt:i4>
      </vt:variant>
      <vt:variant>
        <vt:lpwstr/>
      </vt:variant>
      <vt:variant>
        <vt:lpwstr>_Toc75857038</vt:lpwstr>
      </vt:variant>
      <vt:variant>
        <vt:i4>1048635</vt:i4>
      </vt:variant>
      <vt:variant>
        <vt:i4>446</vt:i4>
      </vt:variant>
      <vt:variant>
        <vt:i4>0</vt:i4>
      </vt:variant>
      <vt:variant>
        <vt:i4>5</vt:i4>
      </vt:variant>
      <vt:variant>
        <vt:lpwstr/>
      </vt:variant>
      <vt:variant>
        <vt:lpwstr>_Toc75857037</vt:lpwstr>
      </vt:variant>
      <vt:variant>
        <vt:i4>1114171</vt:i4>
      </vt:variant>
      <vt:variant>
        <vt:i4>440</vt:i4>
      </vt:variant>
      <vt:variant>
        <vt:i4>0</vt:i4>
      </vt:variant>
      <vt:variant>
        <vt:i4>5</vt:i4>
      </vt:variant>
      <vt:variant>
        <vt:lpwstr/>
      </vt:variant>
      <vt:variant>
        <vt:lpwstr>_Toc75857036</vt:lpwstr>
      </vt:variant>
      <vt:variant>
        <vt:i4>1179707</vt:i4>
      </vt:variant>
      <vt:variant>
        <vt:i4>434</vt:i4>
      </vt:variant>
      <vt:variant>
        <vt:i4>0</vt:i4>
      </vt:variant>
      <vt:variant>
        <vt:i4>5</vt:i4>
      </vt:variant>
      <vt:variant>
        <vt:lpwstr/>
      </vt:variant>
      <vt:variant>
        <vt:lpwstr>_Toc75857035</vt:lpwstr>
      </vt:variant>
      <vt:variant>
        <vt:i4>1245243</vt:i4>
      </vt:variant>
      <vt:variant>
        <vt:i4>428</vt:i4>
      </vt:variant>
      <vt:variant>
        <vt:i4>0</vt:i4>
      </vt:variant>
      <vt:variant>
        <vt:i4>5</vt:i4>
      </vt:variant>
      <vt:variant>
        <vt:lpwstr/>
      </vt:variant>
      <vt:variant>
        <vt:lpwstr>_Toc75857034</vt:lpwstr>
      </vt:variant>
      <vt:variant>
        <vt:i4>1310779</vt:i4>
      </vt:variant>
      <vt:variant>
        <vt:i4>422</vt:i4>
      </vt:variant>
      <vt:variant>
        <vt:i4>0</vt:i4>
      </vt:variant>
      <vt:variant>
        <vt:i4>5</vt:i4>
      </vt:variant>
      <vt:variant>
        <vt:lpwstr/>
      </vt:variant>
      <vt:variant>
        <vt:lpwstr>_Toc75857033</vt:lpwstr>
      </vt:variant>
      <vt:variant>
        <vt:i4>1376315</vt:i4>
      </vt:variant>
      <vt:variant>
        <vt:i4>416</vt:i4>
      </vt:variant>
      <vt:variant>
        <vt:i4>0</vt:i4>
      </vt:variant>
      <vt:variant>
        <vt:i4>5</vt:i4>
      </vt:variant>
      <vt:variant>
        <vt:lpwstr/>
      </vt:variant>
      <vt:variant>
        <vt:lpwstr>_Toc75857032</vt:lpwstr>
      </vt:variant>
      <vt:variant>
        <vt:i4>1441851</vt:i4>
      </vt:variant>
      <vt:variant>
        <vt:i4>410</vt:i4>
      </vt:variant>
      <vt:variant>
        <vt:i4>0</vt:i4>
      </vt:variant>
      <vt:variant>
        <vt:i4>5</vt:i4>
      </vt:variant>
      <vt:variant>
        <vt:lpwstr/>
      </vt:variant>
      <vt:variant>
        <vt:lpwstr>_Toc75857031</vt:lpwstr>
      </vt:variant>
      <vt:variant>
        <vt:i4>1507387</vt:i4>
      </vt:variant>
      <vt:variant>
        <vt:i4>404</vt:i4>
      </vt:variant>
      <vt:variant>
        <vt:i4>0</vt:i4>
      </vt:variant>
      <vt:variant>
        <vt:i4>5</vt:i4>
      </vt:variant>
      <vt:variant>
        <vt:lpwstr/>
      </vt:variant>
      <vt:variant>
        <vt:lpwstr>_Toc75857030</vt:lpwstr>
      </vt:variant>
      <vt:variant>
        <vt:i4>1966138</vt:i4>
      </vt:variant>
      <vt:variant>
        <vt:i4>398</vt:i4>
      </vt:variant>
      <vt:variant>
        <vt:i4>0</vt:i4>
      </vt:variant>
      <vt:variant>
        <vt:i4>5</vt:i4>
      </vt:variant>
      <vt:variant>
        <vt:lpwstr/>
      </vt:variant>
      <vt:variant>
        <vt:lpwstr>_Toc75857029</vt:lpwstr>
      </vt:variant>
      <vt:variant>
        <vt:i4>2031674</vt:i4>
      </vt:variant>
      <vt:variant>
        <vt:i4>392</vt:i4>
      </vt:variant>
      <vt:variant>
        <vt:i4>0</vt:i4>
      </vt:variant>
      <vt:variant>
        <vt:i4>5</vt:i4>
      </vt:variant>
      <vt:variant>
        <vt:lpwstr/>
      </vt:variant>
      <vt:variant>
        <vt:lpwstr>_Toc75857028</vt:lpwstr>
      </vt:variant>
      <vt:variant>
        <vt:i4>1048634</vt:i4>
      </vt:variant>
      <vt:variant>
        <vt:i4>386</vt:i4>
      </vt:variant>
      <vt:variant>
        <vt:i4>0</vt:i4>
      </vt:variant>
      <vt:variant>
        <vt:i4>5</vt:i4>
      </vt:variant>
      <vt:variant>
        <vt:lpwstr/>
      </vt:variant>
      <vt:variant>
        <vt:lpwstr>_Toc75857027</vt:lpwstr>
      </vt:variant>
      <vt:variant>
        <vt:i4>1114170</vt:i4>
      </vt:variant>
      <vt:variant>
        <vt:i4>380</vt:i4>
      </vt:variant>
      <vt:variant>
        <vt:i4>0</vt:i4>
      </vt:variant>
      <vt:variant>
        <vt:i4>5</vt:i4>
      </vt:variant>
      <vt:variant>
        <vt:lpwstr/>
      </vt:variant>
      <vt:variant>
        <vt:lpwstr>_Toc75857026</vt:lpwstr>
      </vt:variant>
      <vt:variant>
        <vt:i4>1179706</vt:i4>
      </vt:variant>
      <vt:variant>
        <vt:i4>374</vt:i4>
      </vt:variant>
      <vt:variant>
        <vt:i4>0</vt:i4>
      </vt:variant>
      <vt:variant>
        <vt:i4>5</vt:i4>
      </vt:variant>
      <vt:variant>
        <vt:lpwstr/>
      </vt:variant>
      <vt:variant>
        <vt:lpwstr>_Toc75857025</vt:lpwstr>
      </vt:variant>
      <vt:variant>
        <vt:i4>1245242</vt:i4>
      </vt:variant>
      <vt:variant>
        <vt:i4>368</vt:i4>
      </vt:variant>
      <vt:variant>
        <vt:i4>0</vt:i4>
      </vt:variant>
      <vt:variant>
        <vt:i4>5</vt:i4>
      </vt:variant>
      <vt:variant>
        <vt:lpwstr/>
      </vt:variant>
      <vt:variant>
        <vt:lpwstr>_Toc75857024</vt:lpwstr>
      </vt:variant>
      <vt:variant>
        <vt:i4>1310778</vt:i4>
      </vt:variant>
      <vt:variant>
        <vt:i4>362</vt:i4>
      </vt:variant>
      <vt:variant>
        <vt:i4>0</vt:i4>
      </vt:variant>
      <vt:variant>
        <vt:i4>5</vt:i4>
      </vt:variant>
      <vt:variant>
        <vt:lpwstr/>
      </vt:variant>
      <vt:variant>
        <vt:lpwstr>_Toc75857023</vt:lpwstr>
      </vt:variant>
      <vt:variant>
        <vt:i4>1376314</vt:i4>
      </vt:variant>
      <vt:variant>
        <vt:i4>356</vt:i4>
      </vt:variant>
      <vt:variant>
        <vt:i4>0</vt:i4>
      </vt:variant>
      <vt:variant>
        <vt:i4>5</vt:i4>
      </vt:variant>
      <vt:variant>
        <vt:lpwstr/>
      </vt:variant>
      <vt:variant>
        <vt:lpwstr>_Toc75857022</vt:lpwstr>
      </vt:variant>
      <vt:variant>
        <vt:i4>1441850</vt:i4>
      </vt:variant>
      <vt:variant>
        <vt:i4>350</vt:i4>
      </vt:variant>
      <vt:variant>
        <vt:i4>0</vt:i4>
      </vt:variant>
      <vt:variant>
        <vt:i4>5</vt:i4>
      </vt:variant>
      <vt:variant>
        <vt:lpwstr/>
      </vt:variant>
      <vt:variant>
        <vt:lpwstr>_Toc75857021</vt:lpwstr>
      </vt:variant>
      <vt:variant>
        <vt:i4>1507386</vt:i4>
      </vt:variant>
      <vt:variant>
        <vt:i4>344</vt:i4>
      </vt:variant>
      <vt:variant>
        <vt:i4>0</vt:i4>
      </vt:variant>
      <vt:variant>
        <vt:i4>5</vt:i4>
      </vt:variant>
      <vt:variant>
        <vt:lpwstr/>
      </vt:variant>
      <vt:variant>
        <vt:lpwstr>_Toc75857020</vt:lpwstr>
      </vt:variant>
      <vt:variant>
        <vt:i4>1966137</vt:i4>
      </vt:variant>
      <vt:variant>
        <vt:i4>338</vt:i4>
      </vt:variant>
      <vt:variant>
        <vt:i4>0</vt:i4>
      </vt:variant>
      <vt:variant>
        <vt:i4>5</vt:i4>
      </vt:variant>
      <vt:variant>
        <vt:lpwstr/>
      </vt:variant>
      <vt:variant>
        <vt:lpwstr>_Toc75857019</vt:lpwstr>
      </vt:variant>
      <vt:variant>
        <vt:i4>2031673</vt:i4>
      </vt:variant>
      <vt:variant>
        <vt:i4>332</vt:i4>
      </vt:variant>
      <vt:variant>
        <vt:i4>0</vt:i4>
      </vt:variant>
      <vt:variant>
        <vt:i4>5</vt:i4>
      </vt:variant>
      <vt:variant>
        <vt:lpwstr/>
      </vt:variant>
      <vt:variant>
        <vt:lpwstr>_Toc75857018</vt:lpwstr>
      </vt:variant>
      <vt:variant>
        <vt:i4>1048633</vt:i4>
      </vt:variant>
      <vt:variant>
        <vt:i4>326</vt:i4>
      </vt:variant>
      <vt:variant>
        <vt:i4>0</vt:i4>
      </vt:variant>
      <vt:variant>
        <vt:i4>5</vt:i4>
      </vt:variant>
      <vt:variant>
        <vt:lpwstr/>
      </vt:variant>
      <vt:variant>
        <vt:lpwstr>_Toc75857017</vt:lpwstr>
      </vt:variant>
      <vt:variant>
        <vt:i4>1114169</vt:i4>
      </vt:variant>
      <vt:variant>
        <vt:i4>320</vt:i4>
      </vt:variant>
      <vt:variant>
        <vt:i4>0</vt:i4>
      </vt:variant>
      <vt:variant>
        <vt:i4>5</vt:i4>
      </vt:variant>
      <vt:variant>
        <vt:lpwstr/>
      </vt:variant>
      <vt:variant>
        <vt:lpwstr>_Toc75857016</vt:lpwstr>
      </vt:variant>
      <vt:variant>
        <vt:i4>1179705</vt:i4>
      </vt:variant>
      <vt:variant>
        <vt:i4>314</vt:i4>
      </vt:variant>
      <vt:variant>
        <vt:i4>0</vt:i4>
      </vt:variant>
      <vt:variant>
        <vt:i4>5</vt:i4>
      </vt:variant>
      <vt:variant>
        <vt:lpwstr/>
      </vt:variant>
      <vt:variant>
        <vt:lpwstr>_Toc75857015</vt:lpwstr>
      </vt:variant>
      <vt:variant>
        <vt:i4>1245241</vt:i4>
      </vt:variant>
      <vt:variant>
        <vt:i4>308</vt:i4>
      </vt:variant>
      <vt:variant>
        <vt:i4>0</vt:i4>
      </vt:variant>
      <vt:variant>
        <vt:i4>5</vt:i4>
      </vt:variant>
      <vt:variant>
        <vt:lpwstr/>
      </vt:variant>
      <vt:variant>
        <vt:lpwstr>_Toc75857014</vt:lpwstr>
      </vt:variant>
      <vt:variant>
        <vt:i4>1310777</vt:i4>
      </vt:variant>
      <vt:variant>
        <vt:i4>302</vt:i4>
      </vt:variant>
      <vt:variant>
        <vt:i4>0</vt:i4>
      </vt:variant>
      <vt:variant>
        <vt:i4>5</vt:i4>
      </vt:variant>
      <vt:variant>
        <vt:lpwstr/>
      </vt:variant>
      <vt:variant>
        <vt:lpwstr>_Toc75857013</vt:lpwstr>
      </vt:variant>
      <vt:variant>
        <vt:i4>1376313</vt:i4>
      </vt:variant>
      <vt:variant>
        <vt:i4>296</vt:i4>
      </vt:variant>
      <vt:variant>
        <vt:i4>0</vt:i4>
      </vt:variant>
      <vt:variant>
        <vt:i4>5</vt:i4>
      </vt:variant>
      <vt:variant>
        <vt:lpwstr/>
      </vt:variant>
      <vt:variant>
        <vt:lpwstr>_Toc75857012</vt:lpwstr>
      </vt:variant>
      <vt:variant>
        <vt:i4>1441849</vt:i4>
      </vt:variant>
      <vt:variant>
        <vt:i4>290</vt:i4>
      </vt:variant>
      <vt:variant>
        <vt:i4>0</vt:i4>
      </vt:variant>
      <vt:variant>
        <vt:i4>5</vt:i4>
      </vt:variant>
      <vt:variant>
        <vt:lpwstr/>
      </vt:variant>
      <vt:variant>
        <vt:lpwstr>_Toc75857011</vt:lpwstr>
      </vt:variant>
      <vt:variant>
        <vt:i4>1507385</vt:i4>
      </vt:variant>
      <vt:variant>
        <vt:i4>284</vt:i4>
      </vt:variant>
      <vt:variant>
        <vt:i4>0</vt:i4>
      </vt:variant>
      <vt:variant>
        <vt:i4>5</vt:i4>
      </vt:variant>
      <vt:variant>
        <vt:lpwstr/>
      </vt:variant>
      <vt:variant>
        <vt:lpwstr>_Toc75857010</vt:lpwstr>
      </vt:variant>
      <vt:variant>
        <vt:i4>1966136</vt:i4>
      </vt:variant>
      <vt:variant>
        <vt:i4>278</vt:i4>
      </vt:variant>
      <vt:variant>
        <vt:i4>0</vt:i4>
      </vt:variant>
      <vt:variant>
        <vt:i4>5</vt:i4>
      </vt:variant>
      <vt:variant>
        <vt:lpwstr/>
      </vt:variant>
      <vt:variant>
        <vt:lpwstr>_Toc75857009</vt:lpwstr>
      </vt:variant>
      <vt:variant>
        <vt:i4>2031672</vt:i4>
      </vt:variant>
      <vt:variant>
        <vt:i4>272</vt:i4>
      </vt:variant>
      <vt:variant>
        <vt:i4>0</vt:i4>
      </vt:variant>
      <vt:variant>
        <vt:i4>5</vt:i4>
      </vt:variant>
      <vt:variant>
        <vt:lpwstr/>
      </vt:variant>
      <vt:variant>
        <vt:lpwstr>_Toc75857008</vt:lpwstr>
      </vt:variant>
      <vt:variant>
        <vt:i4>1048632</vt:i4>
      </vt:variant>
      <vt:variant>
        <vt:i4>266</vt:i4>
      </vt:variant>
      <vt:variant>
        <vt:i4>0</vt:i4>
      </vt:variant>
      <vt:variant>
        <vt:i4>5</vt:i4>
      </vt:variant>
      <vt:variant>
        <vt:lpwstr/>
      </vt:variant>
      <vt:variant>
        <vt:lpwstr>_Toc75857007</vt:lpwstr>
      </vt:variant>
      <vt:variant>
        <vt:i4>1114168</vt:i4>
      </vt:variant>
      <vt:variant>
        <vt:i4>260</vt:i4>
      </vt:variant>
      <vt:variant>
        <vt:i4>0</vt:i4>
      </vt:variant>
      <vt:variant>
        <vt:i4>5</vt:i4>
      </vt:variant>
      <vt:variant>
        <vt:lpwstr/>
      </vt:variant>
      <vt:variant>
        <vt:lpwstr>_Toc75857006</vt:lpwstr>
      </vt:variant>
      <vt:variant>
        <vt:i4>1179704</vt:i4>
      </vt:variant>
      <vt:variant>
        <vt:i4>254</vt:i4>
      </vt:variant>
      <vt:variant>
        <vt:i4>0</vt:i4>
      </vt:variant>
      <vt:variant>
        <vt:i4>5</vt:i4>
      </vt:variant>
      <vt:variant>
        <vt:lpwstr/>
      </vt:variant>
      <vt:variant>
        <vt:lpwstr>_Toc75857005</vt:lpwstr>
      </vt:variant>
      <vt:variant>
        <vt:i4>1245240</vt:i4>
      </vt:variant>
      <vt:variant>
        <vt:i4>248</vt:i4>
      </vt:variant>
      <vt:variant>
        <vt:i4>0</vt:i4>
      </vt:variant>
      <vt:variant>
        <vt:i4>5</vt:i4>
      </vt:variant>
      <vt:variant>
        <vt:lpwstr/>
      </vt:variant>
      <vt:variant>
        <vt:lpwstr>_Toc75857004</vt:lpwstr>
      </vt:variant>
      <vt:variant>
        <vt:i4>1310776</vt:i4>
      </vt:variant>
      <vt:variant>
        <vt:i4>242</vt:i4>
      </vt:variant>
      <vt:variant>
        <vt:i4>0</vt:i4>
      </vt:variant>
      <vt:variant>
        <vt:i4>5</vt:i4>
      </vt:variant>
      <vt:variant>
        <vt:lpwstr/>
      </vt:variant>
      <vt:variant>
        <vt:lpwstr>_Toc75857003</vt:lpwstr>
      </vt:variant>
      <vt:variant>
        <vt:i4>1376312</vt:i4>
      </vt:variant>
      <vt:variant>
        <vt:i4>236</vt:i4>
      </vt:variant>
      <vt:variant>
        <vt:i4>0</vt:i4>
      </vt:variant>
      <vt:variant>
        <vt:i4>5</vt:i4>
      </vt:variant>
      <vt:variant>
        <vt:lpwstr/>
      </vt:variant>
      <vt:variant>
        <vt:lpwstr>_Toc75857002</vt:lpwstr>
      </vt:variant>
      <vt:variant>
        <vt:i4>1441848</vt:i4>
      </vt:variant>
      <vt:variant>
        <vt:i4>230</vt:i4>
      </vt:variant>
      <vt:variant>
        <vt:i4>0</vt:i4>
      </vt:variant>
      <vt:variant>
        <vt:i4>5</vt:i4>
      </vt:variant>
      <vt:variant>
        <vt:lpwstr/>
      </vt:variant>
      <vt:variant>
        <vt:lpwstr>_Toc75857001</vt:lpwstr>
      </vt:variant>
      <vt:variant>
        <vt:i4>1507384</vt:i4>
      </vt:variant>
      <vt:variant>
        <vt:i4>224</vt:i4>
      </vt:variant>
      <vt:variant>
        <vt:i4>0</vt:i4>
      </vt:variant>
      <vt:variant>
        <vt:i4>5</vt:i4>
      </vt:variant>
      <vt:variant>
        <vt:lpwstr/>
      </vt:variant>
      <vt:variant>
        <vt:lpwstr>_Toc75857000</vt:lpwstr>
      </vt:variant>
      <vt:variant>
        <vt:i4>1507376</vt:i4>
      </vt:variant>
      <vt:variant>
        <vt:i4>218</vt:i4>
      </vt:variant>
      <vt:variant>
        <vt:i4>0</vt:i4>
      </vt:variant>
      <vt:variant>
        <vt:i4>5</vt:i4>
      </vt:variant>
      <vt:variant>
        <vt:lpwstr/>
      </vt:variant>
      <vt:variant>
        <vt:lpwstr>_Toc75856999</vt:lpwstr>
      </vt:variant>
      <vt:variant>
        <vt:i4>1441840</vt:i4>
      </vt:variant>
      <vt:variant>
        <vt:i4>212</vt:i4>
      </vt:variant>
      <vt:variant>
        <vt:i4>0</vt:i4>
      </vt:variant>
      <vt:variant>
        <vt:i4>5</vt:i4>
      </vt:variant>
      <vt:variant>
        <vt:lpwstr/>
      </vt:variant>
      <vt:variant>
        <vt:lpwstr>_Toc75856998</vt:lpwstr>
      </vt:variant>
      <vt:variant>
        <vt:i4>1638448</vt:i4>
      </vt:variant>
      <vt:variant>
        <vt:i4>206</vt:i4>
      </vt:variant>
      <vt:variant>
        <vt:i4>0</vt:i4>
      </vt:variant>
      <vt:variant>
        <vt:i4>5</vt:i4>
      </vt:variant>
      <vt:variant>
        <vt:lpwstr/>
      </vt:variant>
      <vt:variant>
        <vt:lpwstr>_Toc75856997</vt:lpwstr>
      </vt:variant>
      <vt:variant>
        <vt:i4>1572912</vt:i4>
      </vt:variant>
      <vt:variant>
        <vt:i4>200</vt:i4>
      </vt:variant>
      <vt:variant>
        <vt:i4>0</vt:i4>
      </vt:variant>
      <vt:variant>
        <vt:i4>5</vt:i4>
      </vt:variant>
      <vt:variant>
        <vt:lpwstr/>
      </vt:variant>
      <vt:variant>
        <vt:lpwstr>_Toc75856996</vt:lpwstr>
      </vt:variant>
      <vt:variant>
        <vt:i4>1769520</vt:i4>
      </vt:variant>
      <vt:variant>
        <vt:i4>194</vt:i4>
      </vt:variant>
      <vt:variant>
        <vt:i4>0</vt:i4>
      </vt:variant>
      <vt:variant>
        <vt:i4>5</vt:i4>
      </vt:variant>
      <vt:variant>
        <vt:lpwstr/>
      </vt:variant>
      <vt:variant>
        <vt:lpwstr>_Toc75856995</vt:lpwstr>
      </vt:variant>
      <vt:variant>
        <vt:i4>1703984</vt:i4>
      </vt:variant>
      <vt:variant>
        <vt:i4>188</vt:i4>
      </vt:variant>
      <vt:variant>
        <vt:i4>0</vt:i4>
      </vt:variant>
      <vt:variant>
        <vt:i4>5</vt:i4>
      </vt:variant>
      <vt:variant>
        <vt:lpwstr/>
      </vt:variant>
      <vt:variant>
        <vt:lpwstr>_Toc75856994</vt:lpwstr>
      </vt:variant>
      <vt:variant>
        <vt:i4>1900592</vt:i4>
      </vt:variant>
      <vt:variant>
        <vt:i4>182</vt:i4>
      </vt:variant>
      <vt:variant>
        <vt:i4>0</vt:i4>
      </vt:variant>
      <vt:variant>
        <vt:i4>5</vt:i4>
      </vt:variant>
      <vt:variant>
        <vt:lpwstr/>
      </vt:variant>
      <vt:variant>
        <vt:lpwstr>_Toc75856993</vt:lpwstr>
      </vt:variant>
      <vt:variant>
        <vt:i4>1835056</vt:i4>
      </vt:variant>
      <vt:variant>
        <vt:i4>176</vt:i4>
      </vt:variant>
      <vt:variant>
        <vt:i4>0</vt:i4>
      </vt:variant>
      <vt:variant>
        <vt:i4>5</vt:i4>
      </vt:variant>
      <vt:variant>
        <vt:lpwstr/>
      </vt:variant>
      <vt:variant>
        <vt:lpwstr>_Toc75856992</vt:lpwstr>
      </vt:variant>
      <vt:variant>
        <vt:i4>2031664</vt:i4>
      </vt:variant>
      <vt:variant>
        <vt:i4>170</vt:i4>
      </vt:variant>
      <vt:variant>
        <vt:i4>0</vt:i4>
      </vt:variant>
      <vt:variant>
        <vt:i4>5</vt:i4>
      </vt:variant>
      <vt:variant>
        <vt:lpwstr/>
      </vt:variant>
      <vt:variant>
        <vt:lpwstr>_Toc75856991</vt:lpwstr>
      </vt:variant>
      <vt:variant>
        <vt:i4>1966128</vt:i4>
      </vt:variant>
      <vt:variant>
        <vt:i4>164</vt:i4>
      </vt:variant>
      <vt:variant>
        <vt:i4>0</vt:i4>
      </vt:variant>
      <vt:variant>
        <vt:i4>5</vt:i4>
      </vt:variant>
      <vt:variant>
        <vt:lpwstr/>
      </vt:variant>
      <vt:variant>
        <vt:lpwstr>_Toc75856990</vt:lpwstr>
      </vt:variant>
      <vt:variant>
        <vt:i4>1507377</vt:i4>
      </vt:variant>
      <vt:variant>
        <vt:i4>158</vt:i4>
      </vt:variant>
      <vt:variant>
        <vt:i4>0</vt:i4>
      </vt:variant>
      <vt:variant>
        <vt:i4>5</vt:i4>
      </vt:variant>
      <vt:variant>
        <vt:lpwstr/>
      </vt:variant>
      <vt:variant>
        <vt:lpwstr>_Toc75856989</vt:lpwstr>
      </vt:variant>
      <vt:variant>
        <vt:i4>1441841</vt:i4>
      </vt:variant>
      <vt:variant>
        <vt:i4>152</vt:i4>
      </vt:variant>
      <vt:variant>
        <vt:i4>0</vt:i4>
      </vt:variant>
      <vt:variant>
        <vt:i4>5</vt:i4>
      </vt:variant>
      <vt:variant>
        <vt:lpwstr/>
      </vt:variant>
      <vt:variant>
        <vt:lpwstr>_Toc75856988</vt:lpwstr>
      </vt:variant>
      <vt:variant>
        <vt:i4>1638449</vt:i4>
      </vt:variant>
      <vt:variant>
        <vt:i4>146</vt:i4>
      </vt:variant>
      <vt:variant>
        <vt:i4>0</vt:i4>
      </vt:variant>
      <vt:variant>
        <vt:i4>5</vt:i4>
      </vt:variant>
      <vt:variant>
        <vt:lpwstr/>
      </vt:variant>
      <vt:variant>
        <vt:lpwstr>_Toc75856987</vt:lpwstr>
      </vt:variant>
      <vt:variant>
        <vt:i4>1572913</vt:i4>
      </vt:variant>
      <vt:variant>
        <vt:i4>140</vt:i4>
      </vt:variant>
      <vt:variant>
        <vt:i4>0</vt:i4>
      </vt:variant>
      <vt:variant>
        <vt:i4>5</vt:i4>
      </vt:variant>
      <vt:variant>
        <vt:lpwstr/>
      </vt:variant>
      <vt:variant>
        <vt:lpwstr>_Toc75856986</vt:lpwstr>
      </vt:variant>
      <vt:variant>
        <vt:i4>1769521</vt:i4>
      </vt:variant>
      <vt:variant>
        <vt:i4>134</vt:i4>
      </vt:variant>
      <vt:variant>
        <vt:i4>0</vt:i4>
      </vt:variant>
      <vt:variant>
        <vt:i4>5</vt:i4>
      </vt:variant>
      <vt:variant>
        <vt:lpwstr/>
      </vt:variant>
      <vt:variant>
        <vt:lpwstr>_Toc75856985</vt:lpwstr>
      </vt:variant>
      <vt:variant>
        <vt:i4>1703985</vt:i4>
      </vt:variant>
      <vt:variant>
        <vt:i4>128</vt:i4>
      </vt:variant>
      <vt:variant>
        <vt:i4>0</vt:i4>
      </vt:variant>
      <vt:variant>
        <vt:i4>5</vt:i4>
      </vt:variant>
      <vt:variant>
        <vt:lpwstr/>
      </vt:variant>
      <vt:variant>
        <vt:lpwstr>_Toc75856984</vt:lpwstr>
      </vt:variant>
      <vt:variant>
        <vt:i4>1900593</vt:i4>
      </vt:variant>
      <vt:variant>
        <vt:i4>122</vt:i4>
      </vt:variant>
      <vt:variant>
        <vt:i4>0</vt:i4>
      </vt:variant>
      <vt:variant>
        <vt:i4>5</vt:i4>
      </vt:variant>
      <vt:variant>
        <vt:lpwstr/>
      </vt:variant>
      <vt:variant>
        <vt:lpwstr>_Toc75856983</vt:lpwstr>
      </vt:variant>
      <vt:variant>
        <vt:i4>1835057</vt:i4>
      </vt:variant>
      <vt:variant>
        <vt:i4>116</vt:i4>
      </vt:variant>
      <vt:variant>
        <vt:i4>0</vt:i4>
      </vt:variant>
      <vt:variant>
        <vt:i4>5</vt:i4>
      </vt:variant>
      <vt:variant>
        <vt:lpwstr/>
      </vt:variant>
      <vt:variant>
        <vt:lpwstr>_Toc75856982</vt:lpwstr>
      </vt:variant>
      <vt:variant>
        <vt:i4>2031665</vt:i4>
      </vt:variant>
      <vt:variant>
        <vt:i4>110</vt:i4>
      </vt:variant>
      <vt:variant>
        <vt:i4>0</vt:i4>
      </vt:variant>
      <vt:variant>
        <vt:i4>5</vt:i4>
      </vt:variant>
      <vt:variant>
        <vt:lpwstr/>
      </vt:variant>
      <vt:variant>
        <vt:lpwstr>_Toc75856981</vt:lpwstr>
      </vt:variant>
      <vt:variant>
        <vt:i4>1966129</vt:i4>
      </vt:variant>
      <vt:variant>
        <vt:i4>104</vt:i4>
      </vt:variant>
      <vt:variant>
        <vt:i4>0</vt:i4>
      </vt:variant>
      <vt:variant>
        <vt:i4>5</vt:i4>
      </vt:variant>
      <vt:variant>
        <vt:lpwstr/>
      </vt:variant>
      <vt:variant>
        <vt:lpwstr>_Toc75856980</vt:lpwstr>
      </vt:variant>
      <vt:variant>
        <vt:i4>1507390</vt:i4>
      </vt:variant>
      <vt:variant>
        <vt:i4>98</vt:i4>
      </vt:variant>
      <vt:variant>
        <vt:i4>0</vt:i4>
      </vt:variant>
      <vt:variant>
        <vt:i4>5</vt:i4>
      </vt:variant>
      <vt:variant>
        <vt:lpwstr/>
      </vt:variant>
      <vt:variant>
        <vt:lpwstr>_Toc75856979</vt:lpwstr>
      </vt:variant>
      <vt:variant>
        <vt:i4>1441854</vt:i4>
      </vt:variant>
      <vt:variant>
        <vt:i4>92</vt:i4>
      </vt:variant>
      <vt:variant>
        <vt:i4>0</vt:i4>
      </vt:variant>
      <vt:variant>
        <vt:i4>5</vt:i4>
      </vt:variant>
      <vt:variant>
        <vt:lpwstr/>
      </vt:variant>
      <vt:variant>
        <vt:lpwstr>_Toc75856978</vt:lpwstr>
      </vt:variant>
      <vt:variant>
        <vt:i4>1638462</vt:i4>
      </vt:variant>
      <vt:variant>
        <vt:i4>86</vt:i4>
      </vt:variant>
      <vt:variant>
        <vt:i4>0</vt:i4>
      </vt:variant>
      <vt:variant>
        <vt:i4>5</vt:i4>
      </vt:variant>
      <vt:variant>
        <vt:lpwstr/>
      </vt:variant>
      <vt:variant>
        <vt:lpwstr>_Toc75856977</vt:lpwstr>
      </vt:variant>
      <vt:variant>
        <vt:i4>1572926</vt:i4>
      </vt:variant>
      <vt:variant>
        <vt:i4>80</vt:i4>
      </vt:variant>
      <vt:variant>
        <vt:i4>0</vt:i4>
      </vt:variant>
      <vt:variant>
        <vt:i4>5</vt:i4>
      </vt:variant>
      <vt:variant>
        <vt:lpwstr/>
      </vt:variant>
      <vt:variant>
        <vt:lpwstr>_Toc75856976</vt:lpwstr>
      </vt:variant>
      <vt:variant>
        <vt:i4>1769534</vt:i4>
      </vt:variant>
      <vt:variant>
        <vt:i4>74</vt:i4>
      </vt:variant>
      <vt:variant>
        <vt:i4>0</vt:i4>
      </vt:variant>
      <vt:variant>
        <vt:i4>5</vt:i4>
      </vt:variant>
      <vt:variant>
        <vt:lpwstr/>
      </vt:variant>
      <vt:variant>
        <vt:lpwstr>_Toc75856975</vt:lpwstr>
      </vt:variant>
      <vt:variant>
        <vt:i4>1703998</vt:i4>
      </vt:variant>
      <vt:variant>
        <vt:i4>68</vt:i4>
      </vt:variant>
      <vt:variant>
        <vt:i4>0</vt:i4>
      </vt:variant>
      <vt:variant>
        <vt:i4>5</vt:i4>
      </vt:variant>
      <vt:variant>
        <vt:lpwstr/>
      </vt:variant>
      <vt:variant>
        <vt:lpwstr>_Toc75856974</vt:lpwstr>
      </vt:variant>
      <vt:variant>
        <vt:i4>1900606</vt:i4>
      </vt:variant>
      <vt:variant>
        <vt:i4>62</vt:i4>
      </vt:variant>
      <vt:variant>
        <vt:i4>0</vt:i4>
      </vt:variant>
      <vt:variant>
        <vt:i4>5</vt:i4>
      </vt:variant>
      <vt:variant>
        <vt:lpwstr/>
      </vt:variant>
      <vt:variant>
        <vt:lpwstr>_Toc75856973</vt:lpwstr>
      </vt:variant>
      <vt:variant>
        <vt:i4>1835070</vt:i4>
      </vt:variant>
      <vt:variant>
        <vt:i4>56</vt:i4>
      </vt:variant>
      <vt:variant>
        <vt:i4>0</vt:i4>
      </vt:variant>
      <vt:variant>
        <vt:i4>5</vt:i4>
      </vt:variant>
      <vt:variant>
        <vt:lpwstr/>
      </vt:variant>
      <vt:variant>
        <vt:lpwstr>_Toc75856972</vt:lpwstr>
      </vt:variant>
      <vt:variant>
        <vt:i4>2031678</vt:i4>
      </vt:variant>
      <vt:variant>
        <vt:i4>50</vt:i4>
      </vt:variant>
      <vt:variant>
        <vt:i4>0</vt:i4>
      </vt:variant>
      <vt:variant>
        <vt:i4>5</vt:i4>
      </vt:variant>
      <vt:variant>
        <vt:lpwstr/>
      </vt:variant>
      <vt:variant>
        <vt:lpwstr>_Toc75856971</vt:lpwstr>
      </vt:variant>
      <vt:variant>
        <vt:i4>1966142</vt:i4>
      </vt:variant>
      <vt:variant>
        <vt:i4>44</vt:i4>
      </vt:variant>
      <vt:variant>
        <vt:i4>0</vt:i4>
      </vt:variant>
      <vt:variant>
        <vt:i4>5</vt:i4>
      </vt:variant>
      <vt:variant>
        <vt:lpwstr/>
      </vt:variant>
      <vt:variant>
        <vt:lpwstr>_Toc75856970</vt:lpwstr>
      </vt:variant>
      <vt:variant>
        <vt:i4>1507391</vt:i4>
      </vt:variant>
      <vt:variant>
        <vt:i4>38</vt:i4>
      </vt:variant>
      <vt:variant>
        <vt:i4>0</vt:i4>
      </vt:variant>
      <vt:variant>
        <vt:i4>5</vt:i4>
      </vt:variant>
      <vt:variant>
        <vt:lpwstr/>
      </vt:variant>
      <vt:variant>
        <vt:lpwstr>_Toc75856969</vt:lpwstr>
      </vt:variant>
      <vt:variant>
        <vt:i4>1441855</vt:i4>
      </vt:variant>
      <vt:variant>
        <vt:i4>32</vt:i4>
      </vt:variant>
      <vt:variant>
        <vt:i4>0</vt:i4>
      </vt:variant>
      <vt:variant>
        <vt:i4>5</vt:i4>
      </vt:variant>
      <vt:variant>
        <vt:lpwstr/>
      </vt:variant>
      <vt:variant>
        <vt:lpwstr>_Toc75856968</vt:lpwstr>
      </vt:variant>
      <vt:variant>
        <vt:i4>1638463</vt:i4>
      </vt:variant>
      <vt:variant>
        <vt:i4>26</vt:i4>
      </vt:variant>
      <vt:variant>
        <vt:i4>0</vt:i4>
      </vt:variant>
      <vt:variant>
        <vt:i4>5</vt:i4>
      </vt:variant>
      <vt:variant>
        <vt:lpwstr/>
      </vt:variant>
      <vt:variant>
        <vt:lpwstr>_Toc75856967</vt:lpwstr>
      </vt:variant>
      <vt:variant>
        <vt:i4>1572927</vt:i4>
      </vt:variant>
      <vt:variant>
        <vt:i4>20</vt:i4>
      </vt:variant>
      <vt:variant>
        <vt:i4>0</vt:i4>
      </vt:variant>
      <vt:variant>
        <vt:i4>5</vt:i4>
      </vt:variant>
      <vt:variant>
        <vt:lpwstr/>
      </vt:variant>
      <vt:variant>
        <vt:lpwstr>_Toc75856966</vt:lpwstr>
      </vt:variant>
      <vt:variant>
        <vt:i4>1769535</vt:i4>
      </vt:variant>
      <vt:variant>
        <vt:i4>14</vt:i4>
      </vt:variant>
      <vt:variant>
        <vt:i4>0</vt:i4>
      </vt:variant>
      <vt:variant>
        <vt:i4>5</vt:i4>
      </vt:variant>
      <vt:variant>
        <vt:lpwstr/>
      </vt:variant>
      <vt:variant>
        <vt:lpwstr>_Toc75856965</vt:lpwstr>
      </vt:variant>
      <vt:variant>
        <vt:i4>1703999</vt:i4>
      </vt:variant>
      <vt:variant>
        <vt:i4>8</vt:i4>
      </vt:variant>
      <vt:variant>
        <vt:i4>0</vt:i4>
      </vt:variant>
      <vt:variant>
        <vt:i4>5</vt:i4>
      </vt:variant>
      <vt:variant>
        <vt:lpwstr/>
      </vt:variant>
      <vt:variant>
        <vt:lpwstr>_Toc75856964</vt:lpwstr>
      </vt:variant>
      <vt:variant>
        <vt:i4>7929918</vt:i4>
      </vt:variant>
      <vt:variant>
        <vt:i4>3</vt:i4>
      </vt:variant>
      <vt:variant>
        <vt:i4>0</vt:i4>
      </vt:variant>
      <vt:variant>
        <vt:i4>5</vt:i4>
      </vt:variant>
      <vt:variant>
        <vt:lpwstr>http://www.ntc.gov.au/</vt:lpwstr>
      </vt:variant>
      <vt:variant>
        <vt:lpwstr/>
      </vt:variant>
      <vt:variant>
        <vt:i4>5111849</vt:i4>
      </vt:variant>
      <vt:variant>
        <vt:i4>0</vt:i4>
      </vt:variant>
      <vt:variant>
        <vt:i4>0</vt:i4>
      </vt:variant>
      <vt:variant>
        <vt:i4>5</vt:i4>
      </vt:variant>
      <vt:variant>
        <vt:lpwstr>mailto:rstaheli@ntc.gov.au</vt:lpwstr>
      </vt:variant>
      <vt:variant>
        <vt:lpwstr/>
      </vt:variant>
      <vt:variant>
        <vt:i4>2752588</vt:i4>
      </vt:variant>
      <vt:variant>
        <vt:i4>27</vt:i4>
      </vt:variant>
      <vt:variant>
        <vt:i4>0</vt:i4>
      </vt:variant>
      <vt:variant>
        <vt:i4>5</vt:i4>
      </vt:variant>
      <vt:variant>
        <vt:lpwstr>https://www.abs.gov.au/websitedbs/d3310114.nsf/4a256353001af3ed4b2562bb00121564/5dff3ab82130e7e0ca257c070010f3b8/$FILE/SMVU_Survey_Guide_2019-20.pdf</vt:lpwstr>
      </vt:variant>
      <vt:variant>
        <vt:lpwstr/>
      </vt:variant>
      <vt:variant>
        <vt:i4>7995410</vt:i4>
      </vt:variant>
      <vt:variant>
        <vt:i4>3</vt:i4>
      </vt:variant>
      <vt:variant>
        <vt:i4>0</vt:i4>
      </vt:variant>
      <vt:variant>
        <vt:i4>5</vt:i4>
      </vt:variant>
      <vt:variant>
        <vt:lpwstr>mailto:jmann@ntc.gov.au</vt:lpwstr>
      </vt:variant>
      <vt:variant>
        <vt:lpwstr/>
      </vt:variant>
      <vt:variant>
        <vt:i4>8192005</vt:i4>
      </vt:variant>
      <vt:variant>
        <vt:i4>0</vt:i4>
      </vt:variant>
      <vt:variant>
        <vt:i4>0</vt:i4>
      </vt:variant>
      <vt:variant>
        <vt:i4>5</vt:i4>
      </vt:variant>
      <vt:variant>
        <vt:lpwstr>mailto:mmccarthy@ntc.gov.au</vt:lpwstr>
      </vt:variant>
      <vt:variant>
        <vt:lpwstr/>
      </vt:variant>
      <vt:variant>
        <vt:i4>7929918</vt:i4>
      </vt:variant>
      <vt:variant>
        <vt:i4>3</vt:i4>
      </vt:variant>
      <vt:variant>
        <vt:i4>0</vt:i4>
      </vt:variant>
      <vt:variant>
        <vt:i4>5</vt:i4>
      </vt:variant>
      <vt:variant>
        <vt:lpwstr>http://www.ntc.gov.au/</vt:lpwstr>
      </vt:variant>
      <vt:variant>
        <vt:lpwstr/>
      </vt:variant>
      <vt:variant>
        <vt:i4>7864349</vt:i4>
      </vt:variant>
      <vt:variant>
        <vt:i4>0</vt:i4>
      </vt:variant>
      <vt:variant>
        <vt:i4>0</vt:i4>
      </vt:variant>
      <vt:variant>
        <vt:i4>5</vt:i4>
      </vt:variant>
      <vt:variant>
        <vt:lpwstr>mailto:enquiries@ntc.gov.au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2023-11-30T02:42:00Z</dcterms:created>
  <dcterms:modified xsi:type="dcterms:W3CDTF">2023-11-30T03:23:00Z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a8744e6c-3b1f-4a45-a75d-78f685019cea</vt:lpwstr>
  </property>
  <property fmtid="{D5CDD505-2E9C-101B-9397-08002B2CF9AE}" pid="4" name="MediaServiceImageTags">
    <vt:lpwstr/>
  </property>
</Properties>
</file>