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22283" w14:textId="77777777" w:rsidR="00D3554E" w:rsidRDefault="00D3554E" w:rsidP="00D3554E">
      <w:pPr>
        <w:jc w:val="center"/>
        <w:rPr>
          <w:b/>
          <w:bCs/>
          <w:sz w:val="28"/>
          <w:szCs w:val="28"/>
          <w:u w:val="single"/>
        </w:rPr>
      </w:pPr>
      <w:r w:rsidRPr="00F31612">
        <w:rPr>
          <w:b/>
          <w:bCs/>
          <w:sz w:val="28"/>
          <w:szCs w:val="28"/>
          <w:u w:val="single"/>
        </w:rPr>
        <w:t xml:space="preserve">IPEF </w:t>
      </w:r>
      <w:r>
        <w:rPr>
          <w:b/>
          <w:bCs/>
          <w:sz w:val="28"/>
          <w:szCs w:val="28"/>
          <w:u w:val="single"/>
        </w:rPr>
        <w:t xml:space="preserve">Supply Chain Agreement Policy </w:t>
      </w:r>
      <w:r w:rsidRPr="00F31612">
        <w:rPr>
          <w:b/>
          <w:bCs/>
          <w:sz w:val="28"/>
          <w:szCs w:val="28"/>
          <w:u w:val="single"/>
        </w:rPr>
        <w:t xml:space="preserve">Impact </w:t>
      </w:r>
      <w:r>
        <w:rPr>
          <w:b/>
          <w:bCs/>
          <w:sz w:val="28"/>
          <w:szCs w:val="28"/>
          <w:u w:val="single"/>
        </w:rPr>
        <w:t xml:space="preserve">Analysis </w:t>
      </w:r>
    </w:p>
    <w:p w14:paraId="01D2EA90" w14:textId="77777777" w:rsidR="00D3554E" w:rsidRDefault="00D3554E" w:rsidP="00D3554E">
      <w:pPr>
        <w:rPr>
          <w:rFonts w:eastAsia="Times New Roman"/>
          <w:b/>
          <w:bCs/>
        </w:rPr>
      </w:pPr>
      <w:r>
        <w:rPr>
          <w:rFonts w:eastAsia="Times New Roman"/>
          <w:b/>
          <w:bCs/>
        </w:rPr>
        <w:t>Introduction</w:t>
      </w:r>
    </w:p>
    <w:p w14:paraId="4892FB69" w14:textId="4E7A351F" w:rsidR="00D3554E" w:rsidRPr="00E027DB" w:rsidRDefault="00D3554E" w:rsidP="00D352BA">
      <w:pPr>
        <w:rPr>
          <w:rFonts w:eastAsia="Times New Roman"/>
        </w:rPr>
      </w:pPr>
      <w:r w:rsidRPr="00FC375E">
        <w:rPr>
          <w:rFonts w:eastAsia="Times New Roman"/>
        </w:rPr>
        <w:t xml:space="preserve">This Impact Analysis </w:t>
      </w:r>
      <w:r w:rsidR="00FC375E" w:rsidRPr="00FC375E">
        <w:rPr>
          <w:rFonts w:eastAsia="Times New Roman"/>
        </w:rPr>
        <w:t xml:space="preserve">(IA) </w:t>
      </w:r>
      <w:r w:rsidRPr="00FC375E">
        <w:rPr>
          <w:rFonts w:eastAsia="Times New Roman"/>
        </w:rPr>
        <w:t xml:space="preserve">relates to the Indo-Pacific Economic Framework for Prosperity Agreement Relating to Supply Chain Resilience (“the </w:t>
      </w:r>
      <w:r w:rsidR="0054164D">
        <w:rPr>
          <w:rFonts w:eastAsia="Times New Roman"/>
        </w:rPr>
        <w:t xml:space="preserve">IPEF Supply Chain </w:t>
      </w:r>
      <w:r w:rsidRPr="00FC375E">
        <w:rPr>
          <w:rFonts w:eastAsia="Times New Roman"/>
        </w:rPr>
        <w:t>Agreement”) between Australia, Brunei Darussalam, Fiji, India, Indonesia, Japan, Republic of Korea, Malaysia, New Zealand, Philippines, Singapore, Thailand, the United States, and Viet Nam.</w:t>
      </w:r>
    </w:p>
    <w:p w14:paraId="737CFCAA" w14:textId="7D5BBBDC" w:rsidR="00836AB6" w:rsidRPr="00C05BD2" w:rsidRDefault="004D7514" w:rsidP="00D352BA">
      <w:pPr>
        <w:rPr>
          <w:rFonts w:eastAsia="Times New Roman"/>
        </w:rPr>
      </w:pPr>
      <w:r>
        <w:rPr>
          <w:rFonts w:eastAsia="Times New Roman"/>
        </w:rPr>
        <w:t>T</w:t>
      </w:r>
      <w:r w:rsidRPr="00FC375E">
        <w:rPr>
          <w:rFonts w:eastAsia="Times New Roman"/>
        </w:rPr>
        <w:t>he Indo-Pacific Economic Framework for Prosperity (IPEF)</w:t>
      </w:r>
      <w:r w:rsidR="00836AB6" w:rsidRPr="00A438AD">
        <w:rPr>
          <w:rFonts w:eastAsia="Times New Roman"/>
        </w:rPr>
        <w:t xml:space="preserve"> is a</w:t>
      </w:r>
      <w:r w:rsidR="000B43F7">
        <w:rPr>
          <w:rFonts w:eastAsia="Times New Roman"/>
        </w:rPr>
        <w:t>n</w:t>
      </w:r>
      <w:r w:rsidR="001875AB">
        <w:rPr>
          <w:rFonts w:eastAsia="Times New Roman"/>
        </w:rPr>
        <w:t xml:space="preserve"> initiative </w:t>
      </w:r>
      <w:r w:rsidR="00141CDB">
        <w:rPr>
          <w:rFonts w:eastAsia="Times New Roman"/>
        </w:rPr>
        <w:t>to</w:t>
      </w:r>
      <w:r w:rsidR="00836AB6" w:rsidRPr="00A438AD">
        <w:rPr>
          <w:rFonts w:eastAsia="Times New Roman"/>
        </w:rPr>
        <w:t xml:space="preserve"> strengthen </w:t>
      </w:r>
      <w:r w:rsidR="00E25CB1">
        <w:rPr>
          <w:rFonts w:eastAsia="Times New Roman"/>
        </w:rPr>
        <w:t>the Indo-Pacific</w:t>
      </w:r>
      <w:r w:rsidR="00836AB6" w:rsidRPr="00A438AD">
        <w:rPr>
          <w:rFonts w:eastAsia="Times New Roman"/>
        </w:rPr>
        <w:t xml:space="preserve"> region’s </w:t>
      </w:r>
      <w:r w:rsidR="00E25CB1">
        <w:rPr>
          <w:rFonts w:eastAsia="Times New Roman"/>
        </w:rPr>
        <w:t xml:space="preserve">economic </w:t>
      </w:r>
      <w:r w:rsidR="00836AB6" w:rsidRPr="00A438AD">
        <w:rPr>
          <w:rFonts w:eastAsia="Times New Roman"/>
        </w:rPr>
        <w:t>resilience</w:t>
      </w:r>
      <w:r w:rsidR="000B43F7">
        <w:rPr>
          <w:rFonts w:eastAsia="Times New Roman"/>
        </w:rPr>
        <w:t>.</w:t>
      </w:r>
      <w:r w:rsidR="009D5A29" w:rsidRPr="009D5A29">
        <w:rPr>
          <w:rFonts w:eastAsia="Times New Roman"/>
        </w:rPr>
        <w:t xml:space="preserve"> </w:t>
      </w:r>
      <w:r w:rsidR="000B43F7">
        <w:rPr>
          <w:rFonts w:eastAsia="Times New Roman"/>
        </w:rPr>
        <w:t>It</w:t>
      </w:r>
      <w:r w:rsidR="009D5A29">
        <w:rPr>
          <w:rFonts w:eastAsia="Times New Roman"/>
        </w:rPr>
        <w:t xml:space="preserve"> </w:t>
      </w:r>
      <w:r w:rsidR="009D5A29" w:rsidRPr="00A438AD">
        <w:rPr>
          <w:rFonts w:eastAsia="Times New Roman"/>
        </w:rPr>
        <w:t>represent</w:t>
      </w:r>
      <w:r w:rsidR="009D5A29">
        <w:rPr>
          <w:rFonts w:eastAsia="Times New Roman"/>
        </w:rPr>
        <w:t>s</w:t>
      </w:r>
      <w:r w:rsidR="009D5A29" w:rsidRPr="00A438AD">
        <w:rPr>
          <w:rFonts w:eastAsia="Times New Roman"/>
        </w:rPr>
        <w:t xml:space="preserve"> a new approach to </w:t>
      </w:r>
      <w:r w:rsidR="000B43F7">
        <w:rPr>
          <w:rFonts w:eastAsia="Times New Roman"/>
        </w:rPr>
        <w:t xml:space="preserve">contemporary </w:t>
      </w:r>
      <w:r w:rsidR="009D5A29" w:rsidRPr="00A438AD">
        <w:rPr>
          <w:rFonts w:eastAsia="Times New Roman"/>
        </w:rPr>
        <w:t>regional trade and investment issues</w:t>
      </w:r>
      <w:r w:rsidR="00836AB6" w:rsidRPr="00A438AD">
        <w:rPr>
          <w:rFonts w:eastAsia="Times New Roman"/>
        </w:rPr>
        <w:t>.</w:t>
      </w:r>
      <w:r w:rsidR="006E7878" w:rsidRPr="00A438AD">
        <w:rPr>
          <w:rFonts w:eastAsia="Times New Roman"/>
        </w:rPr>
        <w:t xml:space="preserve"> </w:t>
      </w:r>
      <w:r w:rsidR="00836AB6" w:rsidRPr="00A438AD">
        <w:rPr>
          <w:rFonts w:eastAsia="Times New Roman"/>
        </w:rPr>
        <w:t xml:space="preserve">IPEF </w:t>
      </w:r>
      <w:r w:rsidR="000B43F7">
        <w:rPr>
          <w:rFonts w:eastAsia="Times New Roman"/>
        </w:rPr>
        <w:t>will</w:t>
      </w:r>
      <w:r w:rsidR="0072247A">
        <w:rPr>
          <w:rFonts w:eastAsia="Times New Roman"/>
        </w:rPr>
        <w:t xml:space="preserve"> </w:t>
      </w:r>
      <w:r w:rsidR="00836AB6" w:rsidRPr="00A438AD">
        <w:rPr>
          <w:rFonts w:eastAsia="Times New Roman"/>
        </w:rPr>
        <w:t xml:space="preserve">include a combination of commitments, </w:t>
      </w:r>
      <w:proofErr w:type="gramStart"/>
      <w:r w:rsidR="00836AB6" w:rsidRPr="00A438AD">
        <w:rPr>
          <w:rFonts w:eastAsia="Times New Roman"/>
        </w:rPr>
        <w:t>rules</w:t>
      </w:r>
      <w:proofErr w:type="gramEnd"/>
      <w:r w:rsidR="00836AB6" w:rsidRPr="00A438AD">
        <w:rPr>
          <w:rFonts w:eastAsia="Times New Roman"/>
        </w:rPr>
        <w:t xml:space="preserve"> and standards, but unlike traditional free trade agreement</w:t>
      </w:r>
      <w:r w:rsidR="00A4686D">
        <w:rPr>
          <w:rFonts w:eastAsia="Times New Roman"/>
        </w:rPr>
        <w:t>s</w:t>
      </w:r>
      <w:r w:rsidR="00836AB6" w:rsidRPr="00A438AD">
        <w:rPr>
          <w:rFonts w:eastAsia="Times New Roman"/>
        </w:rPr>
        <w:t xml:space="preserve">, it will not include market access (such as cutting import tariffs or opening up industries to greater foreign participation). </w:t>
      </w:r>
      <w:r w:rsidR="000B43F7">
        <w:rPr>
          <w:rFonts w:eastAsia="Times New Roman"/>
        </w:rPr>
        <w:t>In</w:t>
      </w:r>
      <w:r w:rsidR="00836AB6" w:rsidRPr="00A438AD">
        <w:rPr>
          <w:rFonts w:eastAsia="Times New Roman"/>
        </w:rPr>
        <w:t xml:space="preserve"> </w:t>
      </w:r>
      <w:proofErr w:type="gramStart"/>
      <w:r w:rsidR="004415EA">
        <w:rPr>
          <w:rFonts w:eastAsia="Times New Roman"/>
        </w:rPr>
        <w:t>enter</w:t>
      </w:r>
      <w:r w:rsidR="000B43F7">
        <w:rPr>
          <w:rFonts w:eastAsia="Times New Roman"/>
        </w:rPr>
        <w:t>ing</w:t>
      </w:r>
      <w:r w:rsidR="004415EA">
        <w:rPr>
          <w:rFonts w:eastAsia="Times New Roman"/>
        </w:rPr>
        <w:t xml:space="preserve"> into</w:t>
      </w:r>
      <w:proofErr w:type="gramEnd"/>
      <w:r w:rsidR="004415EA">
        <w:rPr>
          <w:rFonts w:eastAsia="Times New Roman"/>
        </w:rPr>
        <w:t xml:space="preserve"> discussions</w:t>
      </w:r>
      <w:r w:rsidR="00087A2B">
        <w:rPr>
          <w:rFonts w:eastAsia="Times New Roman"/>
        </w:rPr>
        <w:t xml:space="preserve"> o</w:t>
      </w:r>
      <w:r w:rsidR="000B43F7">
        <w:rPr>
          <w:rFonts w:eastAsia="Times New Roman"/>
        </w:rPr>
        <w:t>n</w:t>
      </w:r>
      <w:r w:rsidR="00087A2B">
        <w:rPr>
          <w:rFonts w:eastAsia="Times New Roman"/>
        </w:rPr>
        <w:t xml:space="preserve"> IPEF</w:t>
      </w:r>
      <w:r w:rsidR="000B43F7">
        <w:rPr>
          <w:rFonts w:eastAsia="Times New Roman"/>
        </w:rPr>
        <w:t>, Australia’s objective is</w:t>
      </w:r>
      <w:r w:rsidR="00087A2B">
        <w:rPr>
          <w:rFonts w:eastAsia="Times New Roman"/>
        </w:rPr>
        <w:t xml:space="preserve"> to</w:t>
      </w:r>
      <w:r w:rsidR="00836AB6" w:rsidRPr="00A438AD">
        <w:rPr>
          <w:rFonts w:eastAsia="Times New Roman"/>
        </w:rPr>
        <w:t xml:space="preserve"> ensure it complements – and does not undermine – work being undertaken in other multilateral institutions and regional agreements, including the World Trade Organi</w:t>
      </w:r>
      <w:r w:rsidR="000B43F7">
        <w:rPr>
          <w:rFonts w:eastAsia="Times New Roman"/>
        </w:rPr>
        <w:t>z</w:t>
      </w:r>
      <w:r w:rsidR="00836AB6" w:rsidRPr="00A438AD">
        <w:rPr>
          <w:rFonts w:eastAsia="Times New Roman"/>
        </w:rPr>
        <w:t xml:space="preserve">ation (WTO), </w:t>
      </w:r>
      <w:r w:rsidR="009E0FBB">
        <w:rPr>
          <w:rFonts w:eastAsia="Times New Roman"/>
        </w:rPr>
        <w:t xml:space="preserve">International Labour Organisation (ILO), </w:t>
      </w:r>
      <w:r w:rsidR="00836AB6" w:rsidRPr="00A438AD">
        <w:rPr>
          <w:rFonts w:eastAsia="Times New Roman"/>
        </w:rPr>
        <w:t>Comprehensive and Progressive Agreement for Trans-Pacific Partnership (CPTPP), the Regional Comprehensive Economic Partnership (RCEP) and the Asia-Pacific Economic Cooperation (APEC) forum.</w:t>
      </w:r>
    </w:p>
    <w:p w14:paraId="2E2881E7" w14:textId="2A4FE06C" w:rsidR="008E131D" w:rsidRPr="00C05BD2" w:rsidRDefault="000B43F7" w:rsidP="00D352BA">
      <w:pPr>
        <w:rPr>
          <w:rFonts w:eastAsia="Times New Roman"/>
        </w:rPr>
      </w:pPr>
      <w:r>
        <w:rPr>
          <w:rFonts w:eastAsia="Times New Roman"/>
        </w:rPr>
        <w:t>The</w:t>
      </w:r>
      <w:r w:rsidRPr="000B43F7">
        <w:rPr>
          <w:rFonts w:eastAsia="Times New Roman"/>
        </w:rPr>
        <w:t xml:space="preserve"> </w:t>
      </w:r>
      <w:r w:rsidR="0009001E">
        <w:rPr>
          <w:rFonts w:eastAsia="Times New Roman"/>
        </w:rPr>
        <w:t xml:space="preserve">IPEF </w:t>
      </w:r>
      <w:r>
        <w:rPr>
          <w:rFonts w:eastAsia="Times New Roman"/>
        </w:rPr>
        <w:t>is</w:t>
      </w:r>
      <w:r w:rsidR="0009001E">
        <w:rPr>
          <w:rFonts w:eastAsia="Times New Roman"/>
        </w:rPr>
        <w:t xml:space="preserve"> </w:t>
      </w:r>
      <w:r w:rsidR="000C1B84">
        <w:rPr>
          <w:rFonts w:eastAsia="Times New Roman"/>
        </w:rPr>
        <w:t xml:space="preserve">a new regional </w:t>
      </w:r>
      <w:r w:rsidR="007D2AB7">
        <w:rPr>
          <w:rFonts w:eastAsia="Times New Roman"/>
        </w:rPr>
        <w:t>economic agreement acro</w:t>
      </w:r>
      <w:r w:rsidR="008E131D">
        <w:rPr>
          <w:rFonts w:eastAsia="Times New Roman"/>
        </w:rPr>
        <w:t xml:space="preserve">ss four pillars. </w:t>
      </w:r>
      <w:r w:rsidR="008E131D" w:rsidRPr="00FC375E">
        <w:rPr>
          <w:rFonts w:eastAsia="Times New Roman"/>
        </w:rPr>
        <w:t xml:space="preserve">These pillars </w:t>
      </w:r>
      <w:proofErr w:type="gramStart"/>
      <w:r w:rsidR="008E131D" w:rsidRPr="00FC375E">
        <w:rPr>
          <w:rFonts w:eastAsia="Times New Roman"/>
        </w:rPr>
        <w:t>are:</w:t>
      </w:r>
      <w:proofErr w:type="gramEnd"/>
      <w:r w:rsidR="008E131D" w:rsidRPr="00FC375E">
        <w:rPr>
          <w:rFonts w:eastAsia="Times New Roman"/>
        </w:rPr>
        <w:t xml:space="preserve"> Pillar I (Trade); Pillar II (Supply Chains); Pillar III (Clean Economy); and Pillar IV (Fair Economy). Each of these pillars is intended to form its own standalone international agreement. Participation in all pillars is not a prerequisite for IPEF membership; India, for example, has to date elected </w:t>
      </w:r>
      <w:r w:rsidR="00A20E02" w:rsidRPr="00FC375E">
        <w:rPr>
          <w:rFonts w:eastAsia="Times New Roman"/>
        </w:rPr>
        <w:t xml:space="preserve">not </w:t>
      </w:r>
      <w:r w:rsidR="008E131D" w:rsidRPr="00FC375E">
        <w:rPr>
          <w:rFonts w:eastAsia="Times New Roman"/>
        </w:rPr>
        <w:t>to participate in negotiations for Pillar I (Trade)</w:t>
      </w:r>
      <w:r w:rsidR="008E131D">
        <w:rPr>
          <w:rFonts w:eastAsia="Times New Roman"/>
        </w:rPr>
        <w:t>.</w:t>
      </w:r>
    </w:p>
    <w:p w14:paraId="143397C3" w14:textId="3F4BBC3B" w:rsidR="00D3554E" w:rsidRPr="00F54B04" w:rsidRDefault="00A20E02" w:rsidP="00D352BA">
      <w:pPr>
        <w:rPr>
          <w:rFonts w:eastAsia="Times New Roman"/>
        </w:rPr>
      </w:pPr>
      <w:r>
        <w:rPr>
          <w:rFonts w:eastAsia="Times New Roman"/>
        </w:rPr>
        <w:t xml:space="preserve">IPEF </w:t>
      </w:r>
      <w:r w:rsidR="00383C8D">
        <w:rPr>
          <w:rFonts w:eastAsia="Times New Roman"/>
        </w:rPr>
        <w:t xml:space="preserve">was initiated by the Biden Administration as an economic pillar under its Indo-Pacific Strategy. </w:t>
      </w:r>
      <w:r w:rsidR="00770ECC">
        <w:rPr>
          <w:rFonts w:eastAsia="Times New Roman"/>
        </w:rPr>
        <w:t>In</w:t>
      </w:r>
      <w:r w:rsidR="00836B3E" w:rsidRPr="00836B3E">
        <w:rPr>
          <w:rFonts w:eastAsia="Times New Roman"/>
        </w:rPr>
        <w:t xml:space="preserve"> June</w:t>
      </w:r>
      <w:r w:rsidR="003909E7">
        <w:rPr>
          <w:rFonts w:eastAsia="Times New Roman"/>
        </w:rPr>
        <w:t xml:space="preserve"> 2022</w:t>
      </w:r>
      <w:r w:rsidR="00836B3E" w:rsidRPr="00836B3E">
        <w:rPr>
          <w:rFonts w:eastAsia="Times New Roman"/>
        </w:rPr>
        <w:t xml:space="preserve">, Australia advised the United States </w:t>
      </w:r>
      <w:r w:rsidR="000B43F7">
        <w:rPr>
          <w:rFonts w:eastAsia="Times New Roman"/>
        </w:rPr>
        <w:t>it</w:t>
      </w:r>
      <w:r w:rsidR="00836B3E" w:rsidRPr="00836B3E">
        <w:rPr>
          <w:rFonts w:eastAsia="Times New Roman"/>
        </w:rPr>
        <w:t xml:space="preserve"> would join discussions on all four IPEF pillars, pending the formal commencement of negotiations.</w:t>
      </w:r>
      <w:r w:rsidR="00836AB6">
        <w:rPr>
          <w:rFonts w:eastAsia="Times New Roman"/>
        </w:rPr>
        <w:t xml:space="preserve"> </w:t>
      </w:r>
      <w:r w:rsidR="00D3554E" w:rsidRPr="00FC375E">
        <w:rPr>
          <w:rFonts w:eastAsia="Times New Roman"/>
        </w:rPr>
        <w:t xml:space="preserve">On 12 September 2022, the Minister for Trade and Tourism </w:t>
      </w:r>
      <w:r w:rsidR="00481808">
        <w:rPr>
          <w:rFonts w:eastAsia="Times New Roman"/>
        </w:rPr>
        <w:t>joined</w:t>
      </w:r>
      <w:r w:rsidR="00B500CD">
        <w:rPr>
          <w:rFonts w:eastAsia="Times New Roman"/>
        </w:rPr>
        <w:t xml:space="preserve"> 13 other </w:t>
      </w:r>
      <w:r w:rsidR="00F60170">
        <w:rPr>
          <w:rFonts w:eastAsia="Times New Roman"/>
        </w:rPr>
        <w:t>ministers from across the region to</w:t>
      </w:r>
      <w:r w:rsidR="00167F85">
        <w:rPr>
          <w:rFonts w:eastAsia="Times New Roman"/>
        </w:rPr>
        <w:t xml:space="preserve"> </w:t>
      </w:r>
      <w:r w:rsidR="00D3554E" w:rsidRPr="00FC375E">
        <w:rPr>
          <w:rFonts w:eastAsia="Times New Roman"/>
        </w:rPr>
        <w:t xml:space="preserve">launch </w:t>
      </w:r>
      <w:r w:rsidR="00770ECC">
        <w:rPr>
          <w:rFonts w:eastAsia="Times New Roman"/>
        </w:rPr>
        <w:t xml:space="preserve">formal </w:t>
      </w:r>
      <w:r w:rsidR="00D3554E" w:rsidRPr="00FC375E">
        <w:rPr>
          <w:rFonts w:eastAsia="Times New Roman"/>
        </w:rPr>
        <w:t xml:space="preserve">negotiations </w:t>
      </w:r>
      <w:r w:rsidR="00EA08B9">
        <w:rPr>
          <w:rFonts w:eastAsia="Times New Roman"/>
        </w:rPr>
        <w:t>on IPEF</w:t>
      </w:r>
      <w:r w:rsidR="00D3554E" w:rsidRPr="00FC375E">
        <w:rPr>
          <w:rFonts w:eastAsia="Times New Roman"/>
        </w:rPr>
        <w:t>. Final negotiations on the text of Pillar II (Supply Chains) concluded in May 2023, culminating in a ministerial announcement in the margins of the APEC Trade Ministers Meeting in Detroit. This followed four formal in-person negotiation rounds: Brisbane (December 2022); New Delhi (February 2023); Bali (March 2023); and Singapore (May 2023). Rolling intersessional negotiations occurred virtually between rounds and written submissions of negotiation positions were submitted throughout this process.</w:t>
      </w:r>
    </w:p>
    <w:p w14:paraId="08044E99" w14:textId="6613DD18" w:rsidR="00992320" w:rsidRPr="00F54B04" w:rsidRDefault="00D3554E" w:rsidP="00D352BA">
      <w:pPr>
        <w:rPr>
          <w:rFonts w:eastAsia="Times New Roman"/>
        </w:rPr>
      </w:pPr>
      <w:r w:rsidRPr="00FC375E">
        <w:rPr>
          <w:rFonts w:eastAsia="Times New Roman"/>
        </w:rPr>
        <w:t xml:space="preserve">The text of Pillar II (Supply Chains) has now been “legally scrubbed” to remove errors and ambiguities and is ready for signature as the </w:t>
      </w:r>
      <w:r w:rsidR="00CE3227">
        <w:rPr>
          <w:rFonts w:eastAsia="Times New Roman"/>
        </w:rPr>
        <w:t xml:space="preserve">IPEF Supply Chain </w:t>
      </w:r>
      <w:r w:rsidRPr="00FC375E">
        <w:rPr>
          <w:rFonts w:eastAsia="Times New Roman"/>
        </w:rPr>
        <w:t xml:space="preserve">Agreement. </w:t>
      </w:r>
      <w:r w:rsidR="00992320" w:rsidRPr="00FC375E">
        <w:rPr>
          <w:rFonts w:eastAsia="Times New Roman"/>
        </w:rPr>
        <w:t xml:space="preserve">In accordance with the Australian Government’s Guide to Policy Impact Analysis, the Department of Foreign Affairs and Trade (DFAT) has completed this IA to analyse the impact of the decision to sign the </w:t>
      </w:r>
      <w:r w:rsidR="00E73CA0" w:rsidRPr="00E73CA0">
        <w:rPr>
          <w:rFonts w:eastAsia="Times New Roman"/>
        </w:rPr>
        <w:t>IPEF Supply Chain Agreement</w:t>
      </w:r>
      <w:r w:rsidR="00992320" w:rsidRPr="00FC375E">
        <w:rPr>
          <w:rFonts w:eastAsia="Times New Roman"/>
        </w:rPr>
        <w:t>.</w:t>
      </w:r>
    </w:p>
    <w:p w14:paraId="32793290" w14:textId="77777777" w:rsidR="00F53587" w:rsidRDefault="00992320" w:rsidP="00D352BA">
      <w:pPr>
        <w:rPr>
          <w:rFonts w:eastAsia="Times New Roman"/>
        </w:rPr>
      </w:pPr>
      <w:r w:rsidRPr="00FC375E">
        <w:rPr>
          <w:rFonts w:eastAsia="Times New Roman"/>
        </w:rPr>
        <w:t xml:space="preserve">The remaining three IPEF pillars </w:t>
      </w:r>
      <w:r w:rsidR="000B43F7">
        <w:rPr>
          <w:rFonts w:eastAsia="Times New Roman"/>
        </w:rPr>
        <w:t>are</w:t>
      </w:r>
      <w:r w:rsidRPr="00FC375E">
        <w:rPr>
          <w:rFonts w:eastAsia="Times New Roman"/>
        </w:rPr>
        <w:t xml:space="preserve"> subject to ongoing negotiation </w:t>
      </w:r>
      <w:proofErr w:type="gramStart"/>
      <w:r w:rsidRPr="00FC375E">
        <w:rPr>
          <w:rFonts w:eastAsia="Times New Roman"/>
        </w:rPr>
        <w:t>at this time</w:t>
      </w:r>
      <w:proofErr w:type="gramEnd"/>
      <w:r w:rsidRPr="00FC375E">
        <w:rPr>
          <w:rFonts w:eastAsia="Times New Roman"/>
        </w:rPr>
        <w:t xml:space="preserve">. Given the divergent timelines, the impact analysis for those pillars will be prepared </w:t>
      </w:r>
      <w:r w:rsidR="004E7447" w:rsidRPr="00FC375E">
        <w:rPr>
          <w:rFonts w:eastAsia="Times New Roman"/>
        </w:rPr>
        <w:t xml:space="preserve">subsequently. </w:t>
      </w:r>
    </w:p>
    <w:p w14:paraId="4D454157" w14:textId="77777777" w:rsidR="003228AD" w:rsidRDefault="003228AD">
      <w:pPr>
        <w:rPr>
          <w:rFonts w:eastAsia="Times New Roman"/>
          <w:b/>
          <w:bCs/>
        </w:rPr>
      </w:pPr>
      <w:r>
        <w:rPr>
          <w:rFonts w:eastAsia="Times New Roman"/>
          <w:b/>
          <w:bCs/>
        </w:rPr>
        <w:br w:type="page"/>
      </w:r>
    </w:p>
    <w:p w14:paraId="64AC2D9A" w14:textId="20E005A5" w:rsidR="00BF39C3" w:rsidRPr="00FF38FF" w:rsidRDefault="00FF38FF" w:rsidP="00D352BA">
      <w:pPr>
        <w:rPr>
          <w:rFonts w:eastAsia="Times New Roman"/>
          <w:b/>
          <w:bCs/>
        </w:rPr>
      </w:pPr>
      <w:r w:rsidRPr="00FF38FF">
        <w:rPr>
          <w:rFonts w:eastAsia="Times New Roman"/>
          <w:b/>
          <w:bCs/>
        </w:rPr>
        <w:lastRenderedPageBreak/>
        <w:t xml:space="preserve">Status of </w:t>
      </w:r>
      <w:r w:rsidR="00876348">
        <w:rPr>
          <w:rFonts w:eastAsia="Times New Roman"/>
          <w:b/>
          <w:bCs/>
        </w:rPr>
        <w:t xml:space="preserve">the </w:t>
      </w:r>
      <w:r w:rsidRPr="00FF38FF">
        <w:rPr>
          <w:rFonts w:eastAsia="Times New Roman"/>
          <w:b/>
          <w:bCs/>
        </w:rPr>
        <w:t>Impact Analysis</w:t>
      </w:r>
    </w:p>
    <w:p w14:paraId="17E24DBB" w14:textId="77777777" w:rsidR="00F205BC" w:rsidRPr="00F205BC" w:rsidRDefault="00F205BC" w:rsidP="00F205BC">
      <w:r w:rsidRPr="00F205BC">
        <w:t xml:space="preserve">In line with advice from the Office of Impact Analysis (OIA), DFAT submitted an Early Assessment Impact Analysis to support the decision to announce the substantial conclusion of negotiations for the Agreement in May 2023. </w:t>
      </w:r>
    </w:p>
    <w:p w14:paraId="076BF081" w14:textId="771184B4" w:rsidR="00F53587" w:rsidRPr="00F205BC" w:rsidRDefault="00F205BC">
      <w:r w:rsidRPr="00F205BC">
        <w:t xml:space="preserve">In consultation with the Office of Impact Analysis (OIA), DFAT subsequently developed this final Impact Analysis to inform the decision on the concluding mandate and the support the proposal to sign the Agreement. </w:t>
      </w:r>
      <w:r w:rsidR="00F53587" w:rsidRPr="00F205BC">
        <w:br w:type="page"/>
      </w:r>
    </w:p>
    <w:p w14:paraId="41CFE08F" w14:textId="1F110710" w:rsidR="00351649" w:rsidRPr="006315ED" w:rsidRDefault="00351649" w:rsidP="00351649">
      <w:pPr>
        <w:jc w:val="both"/>
        <w:rPr>
          <w:rFonts w:eastAsia="Times New Roman"/>
          <w:b/>
          <w:bCs/>
        </w:rPr>
      </w:pPr>
      <w:r>
        <w:rPr>
          <w:rFonts w:eastAsia="Times New Roman"/>
          <w:b/>
          <w:bCs/>
        </w:rPr>
        <w:lastRenderedPageBreak/>
        <w:t xml:space="preserve">Question 1 Problem Identification - </w:t>
      </w:r>
      <w:r w:rsidRPr="006315ED">
        <w:rPr>
          <w:rFonts w:eastAsia="Times New Roman"/>
          <w:b/>
          <w:bCs/>
        </w:rPr>
        <w:t>What is the problem you are trying to solve and what data is available?</w:t>
      </w:r>
    </w:p>
    <w:p w14:paraId="5EE6A83C" w14:textId="3366EA01" w:rsidR="00351649" w:rsidRDefault="00351649" w:rsidP="00351649">
      <w:pPr>
        <w:pStyle w:val="ListParagraph"/>
        <w:numPr>
          <w:ilvl w:val="0"/>
          <w:numId w:val="5"/>
        </w:numPr>
        <w:jc w:val="both"/>
        <w:rPr>
          <w:rFonts w:eastAsia="Times New Roman"/>
          <w:i/>
          <w:iCs/>
        </w:rPr>
      </w:pPr>
      <w:r>
        <w:rPr>
          <w:rFonts w:eastAsia="Times New Roman"/>
          <w:i/>
          <w:iCs/>
        </w:rPr>
        <w:t xml:space="preserve">Supply chain disruptions are increasing in frequency and </w:t>
      </w:r>
      <w:proofErr w:type="gramStart"/>
      <w:r>
        <w:rPr>
          <w:rFonts w:eastAsia="Times New Roman"/>
          <w:i/>
          <w:iCs/>
        </w:rPr>
        <w:t>severity</w:t>
      </w:r>
      <w:proofErr w:type="gramEnd"/>
    </w:p>
    <w:p w14:paraId="2CC3BE60" w14:textId="7D187636" w:rsidR="00351649" w:rsidRDefault="00351649" w:rsidP="00351649">
      <w:pPr>
        <w:jc w:val="both"/>
      </w:pPr>
      <w:r>
        <w:br/>
      </w:r>
      <w:r w:rsidRPr="35DDA365">
        <w:rPr>
          <w:rFonts w:eastAsia="Times New Roman"/>
        </w:rPr>
        <w:t xml:space="preserve">There is no </w:t>
      </w:r>
      <w:proofErr w:type="gramStart"/>
      <w:r w:rsidRPr="35DDA365">
        <w:rPr>
          <w:rFonts w:eastAsia="Times New Roman"/>
        </w:rPr>
        <w:t>universally-accepted</w:t>
      </w:r>
      <w:proofErr w:type="gramEnd"/>
      <w:r w:rsidRPr="35DDA365">
        <w:rPr>
          <w:rFonts w:eastAsia="Times New Roman"/>
        </w:rPr>
        <w:t xml:space="preserve"> definition of what constitutes a “supply chain”. </w:t>
      </w:r>
      <w:r w:rsidRPr="53D452A9">
        <w:rPr>
          <w:rFonts w:eastAsia="Times New Roman"/>
        </w:rPr>
        <w:t>In one</w:t>
      </w:r>
      <w:r w:rsidRPr="35DDA365">
        <w:rPr>
          <w:rFonts w:eastAsia="Times New Roman"/>
        </w:rPr>
        <w:t xml:space="preserve"> commonly </w:t>
      </w:r>
      <w:r w:rsidRPr="1C9DA57F">
        <w:rPr>
          <w:rFonts w:eastAsia="Times New Roman"/>
        </w:rPr>
        <w:t>reference</w:t>
      </w:r>
      <w:r>
        <w:rPr>
          <w:rFonts w:eastAsia="Times New Roman"/>
        </w:rPr>
        <w:t>d</w:t>
      </w:r>
      <w:r w:rsidRPr="1C9DA57F">
        <w:rPr>
          <w:rFonts w:eastAsia="Times New Roman"/>
        </w:rPr>
        <w:t xml:space="preserve"> definition</w:t>
      </w:r>
      <w:r w:rsidRPr="7672D6A1">
        <w:rPr>
          <w:rFonts w:eastAsia="Times New Roman"/>
        </w:rPr>
        <w:t>, “a supply chain includes all the raw materials and parts that are made into a product and distributed up the chain for manufacture and sale” (</w:t>
      </w:r>
      <w:r w:rsidRPr="3BF32DD4">
        <w:rPr>
          <w:rFonts w:eastAsia="Times New Roman"/>
        </w:rPr>
        <w:t>McKinsey, 2022).</w:t>
      </w:r>
      <w:r w:rsidRPr="5721F913">
        <w:rPr>
          <w:rFonts w:eastAsia="Times New Roman"/>
          <w:i/>
        </w:rPr>
        <w:t xml:space="preserve"> </w:t>
      </w:r>
    </w:p>
    <w:p w14:paraId="0ED1757E" w14:textId="26F824D5" w:rsidR="00351649" w:rsidRDefault="00351649" w:rsidP="00351649">
      <w:pPr>
        <w:jc w:val="both"/>
      </w:pPr>
      <w:r>
        <w:t>Article 1 of the IPEF Supply Chain Agreement defines a “supply chain disruption” as:</w:t>
      </w:r>
    </w:p>
    <w:p w14:paraId="3C9B63D1" w14:textId="42EE79D5" w:rsidR="00351649" w:rsidRPr="0042660A" w:rsidRDefault="00351649" w:rsidP="00351649">
      <w:pPr>
        <w:ind w:left="720"/>
        <w:jc w:val="both"/>
        <w:rPr>
          <w:rStyle w:val="FootnoteReference"/>
        </w:rPr>
      </w:pPr>
      <w:r>
        <w:t>“</w:t>
      </w:r>
      <w:r w:rsidRPr="0042660A">
        <w:t xml:space="preserve">a severe interruption, delay, or shortage that (a) impacts one or more Parties; and (b) significantly impairs the production </w:t>
      </w:r>
      <w:proofErr w:type="gramStart"/>
      <w:r w:rsidRPr="0042660A">
        <w:t>of,</w:t>
      </w:r>
      <w:proofErr w:type="gramEnd"/>
      <w:r w:rsidRPr="0042660A">
        <w:t xml:space="preserve"> the cross-border movement of, or access to, materials, articles, or commodities or the delivery of related essential services, as determined by an affected Party</w:t>
      </w:r>
      <w:r>
        <w:t>”</w:t>
      </w:r>
    </w:p>
    <w:p w14:paraId="4EAC7A43" w14:textId="2E028521" w:rsidR="00351649" w:rsidRDefault="00351649" w:rsidP="00351649">
      <w:pPr>
        <w:jc w:val="both"/>
      </w:pPr>
      <w:r>
        <w:t xml:space="preserve">The </w:t>
      </w:r>
      <w:r w:rsidRPr="00E73CA0">
        <w:t>IPEF Supply Chain Agreement</w:t>
      </w:r>
      <w:r>
        <w:t>’s preamble acknowledges that such “</w:t>
      </w:r>
      <w:r w:rsidRPr="007B1E98">
        <w:t>supply chain disruptions may be due to, among other causes, pandemics and regional epidemics, weather events, disasters</w:t>
      </w:r>
      <w:r>
        <w:t xml:space="preserve">…cyber </w:t>
      </w:r>
      <w:r w:rsidRPr="007B1E98">
        <w:t>incidents, logistical interruptions, insufficient supply of raw materials or components, bottlenecks, or armed conflict</w:t>
      </w:r>
      <w:r>
        <w:t>”.</w:t>
      </w:r>
    </w:p>
    <w:p w14:paraId="0F31DF12" w14:textId="4F9695B4" w:rsidR="00351649" w:rsidRDefault="00351649" w:rsidP="00351649">
      <w:pPr>
        <w:jc w:val="both"/>
        <w:rPr>
          <w:rFonts w:eastAsia="Times New Roman"/>
        </w:rPr>
      </w:pPr>
      <w:r>
        <w:rPr>
          <w:rFonts w:eastAsia="Times New Roman"/>
        </w:rPr>
        <w:t>Supply chains have always been subject to disruption. However, the</w:t>
      </w:r>
      <w:r w:rsidRPr="008660D8">
        <w:rPr>
          <w:rFonts w:eastAsia="Times New Roman"/>
        </w:rPr>
        <w:t xml:space="preserve"> frequency and severity of disruptions have </w:t>
      </w:r>
      <w:r>
        <w:rPr>
          <w:rFonts w:eastAsia="Times New Roman"/>
        </w:rPr>
        <w:t>risen</w:t>
      </w:r>
      <w:r w:rsidRPr="008660D8">
        <w:rPr>
          <w:rFonts w:eastAsia="Times New Roman"/>
        </w:rPr>
        <w:t xml:space="preserve"> in recent years</w:t>
      </w:r>
      <w:r>
        <w:rPr>
          <w:rFonts w:eastAsia="Times New Roman"/>
        </w:rPr>
        <w:t>, driven by increasingly i</w:t>
      </w:r>
      <w:r w:rsidRPr="008660D8">
        <w:rPr>
          <w:rFonts w:eastAsia="Times New Roman"/>
        </w:rPr>
        <w:t>nterconnected supply chains and global flows of data, finance, and people</w:t>
      </w:r>
      <w:r>
        <w:rPr>
          <w:rFonts w:eastAsia="Times New Roman"/>
        </w:rPr>
        <w:t xml:space="preserve"> that</w:t>
      </w:r>
      <w:r w:rsidRPr="008660D8">
        <w:rPr>
          <w:rFonts w:eastAsia="Times New Roman"/>
        </w:rPr>
        <w:t xml:space="preserve"> offer more “surface area” for risk to penetrate</w:t>
      </w:r>
      <w:r>
        <w:rPr>
          <w:rFonts w:eastAsia="Times New Roman"/>
        </w:rPr>
        <w:t xml:space="preserve"> and ripple  across highly-networked economies.</w:t>
      </w:r>
      <w:r>
        <w:rPr>
          <w:rStyle w:val="FootnoteReference"/>
          <w:rFonts w:eastAsia="Times New Roman"/>
        </w:rPr>
        <w:footnoteReference w:id="2"/>
      </w:r>
      <w:r>
        <w:rPr>
          <w:rFonts w:eastAsia="Times New Roman"/>
        </w:rPr>
        <w:t xml:space="preserve"> Even prior to the COVID-19 pandemic, averaging</w:t>
      </w:r>
      <w:r w:rsidRPr="00DE186C">
        <w:rPr>
          <w:rFonts w:eastAsia="Times New Roman"/>
        </w:rPr>
        <w:t xml:space="preserve"> across industries, companies </w:t>
      </w:r>
      <w:r>
        <w:rPr>
          <w:rFonts w:eastAsia="Times New Roman"/>
        </w:rPr>
        <w:t>could</w:t>
      </w:r>
      <w:r w:rsidRPr="00DE186C">
        <w:rPr>
          <w:rFonts w:eastAsia="Times New Roman"/>
        </w:rPr>
        <w:t xml:space="preserve"> expect supply chain disruptions lasting a month or longer to occur every 3.7 years</w:t>
      </w:r>
      <w:r>
        <w:rPr>
          <w:rFonts w:eastAsia="Times New Roman"/>
        </w:rPr>
        <w:t>.</w:t>
      </w:r>
      <w:r>
        <w:rPr>
          <w:rStyle w:val="FootnoteReference"/>
          <w:rFonts w:eastAsia="Times New Roman"/>
        </w:rPr>
        <w:footnoteReference w:id="3"/>
      </w:r>
      <w:r>
        <w:rPr>
          <w:rFonts w:eastAsia="Times New Roman"/>
        </w:rPr>
        <w:t xml:space="preserve"> While businesses are generally adept at adapting to 1-2 supply chain disruptions, c</w:t>
      </w:r>
      <w:r>
        <w:t xml:space="preserve">oncurrent shocks, deeply interconnected risks and eroding resilience are giving rise to the risk of </w:t>
      </w:r>
      <w:proofErr w:type="spellStart"/>
      <w:r>
        <w:t>polycrises</w:t>
      </w:r>
      <w:proofErr w:type="spellEnd"/>
      <w:r>
        <w:t xml:space="preserve"> – where disparate crises interact such that the overall impact far exceeds the sum of each part.</w:t>
      </w:r>
      <w:r>
        <w:rPr>
          <w:rStyle w:val="FootnoteReference"/>
        </w:rPr>
        <w:footnoteReference w:id="4"/>
      </w:r>
      <w:r>
        <w:t xml:space="preserve"> </w:t>
      </w:r>
    </w:p>
    <w:p w14:paraId="58BA19F4" w14:textId="722097C1" w:rsidR="00351649" w:rsidRDefault="00351649" w:rsidP="00351649">
      <w:pPr>
        <w:jc w:val="both"/>
        <w:rPr>
          <w:rFonts w:eastAsia="Times New Roman"/>
        </w:rPr>
      </w:pPr>
      <w:r>
        <w:rPr>
          <w:rFonts w:eastAsia="Times New Roman"/>
        </w:rPr>
        <w:t>The global COVID-19 pandemic was a significant shock for global supply chains. According to IMF analysis, (pre-Ukraine war) supply chain disruptions subtracted between 0.5 and 1.2 per cent from global value added during the global recovery in 2021, while also adding about 1 per cent to global core inflation that same year.</w:t>
      </w:r>
      <w:r>
        <w:rPr>
          <w:rStyle w:val="FootnoteReference"/>
          <w:rFonts w:eastAsia="Times New Roman"/>
        </w:rPr>
        <w:footnoteReference w:id="5"/>
      </w:r>
      <w:r>
        <w:rPr>
          <w:rFonts w:eastAsia="Times New Roman"/>
        </w:rPr>
        <w:t xml:space="preserve"> The disruptive impact of COVID-19 on global supply chains is perhaps best captured by the Federal Reserve Bank of New York </w:t>
      </w:r>
      <w:r w:rsidRPr="00FA2535">
        <w:rPr>
          <w:rFonts w:eastAsia="Times New Roman"/>
        </w:rPr>
        <w:t>Global Supply Chain Pressure Index (GSCPI)</w:t>
      </w:r>
      <w:r>
        <w:rPr>
          <w:rFonts w:eastAsia="Times New Roman"/>
        </w:rPr>
        <w:t>, as shown in Figure 1 below:</w:t>
      </w:r>
    </w:p>
    <w:p w14:paraId="4769FB8A" w14:textId="3AD1FE67" w:rsidR="00351649" w:rsidRDefault="00351649" w:rsidP="00351649">
      <w:pPr>
        <w:pStyle w:val="Caption"/>
        <w:keepNext/>
        <w:jc w:val="both"/>
      </w:pPr>
      <w:r>
        <w:lastRenderedPageBreak/>
        <w:t xml:space="preserve">Figure </w:t>
      </w:r>
      <w:r>
        <w:fldChar w:fldCharType="begin"/>
      </w:r>
      <w:r>
        <w:instrText>SEQ Figure \* ARABIC</w:instrText>
      </w:r>
      <w:r>
        <w:fldChar w:fldCharType="separate"/>
      </w:r>
      <w:r w:rsidR="003228AD">
        <w:rPr>
          <w:noProof/>
        </w:rPr>
        <w:t>1</w:t>
      </w:r>
      <w:r>
        <w:fldChar w:fldCharType="end"/>
      </w:r>
    </w:p>
    <w:p w14:paraId="47E3A85C" w14:textId="77777777" w:rsidR="00351649" w:rsidRDefault="00351649" w:rsidP="00351649">
      <w:pPr>
        <w:keepNext/>
        <w:jc w:val="both"/>
      </w:pPr>
      <w:r w:rsidRPr="00C81CD9">
        <w:rPr>
          <w:rFonts w:eastAsia="Times New Roman"/>
          <w:noProof/>
        </w:rPr>
        <w:drawing>
          <wp:inline distT="0" distB="0" distL="0" distR="0" wp14:anchorId="7AED2DF7" wp14:editId="7809603A">
            <wp:extent cx="5699654" cy="1872943"/>
            <wp:effectExtent l="0" t="0" r="0" b="0"/>
            <wp:docPr id="570297074" name="Picture 570297074" descr="A graph showing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97074" name="Picture 1" descr="A graph showing a line&#10;&#10;Description automatically generated with medium confidence"/>
                    <pic:cNvPicPr/>
                  </pic:nvPicPr>
                  <pic:blipFill>
                    <a:blip r:embed="rId11"/>
                    <a:stretch>
                      <a:fillRect/>
                    </a:stretch>
                  </pic:blipFill>
                  <pic:spPr>
                    <a:xfrm>
                      <a:off x="0" y="0"/>
                      <a:ext cx="5699654" cy="1872943"/>
                    </a:xfrm>
                    <a:prstGeom prst="rect">
                      <a:avLst/>
                    </a:prstGeom>
                  </pic:spPr>
                </pic:pic>
              </a:graphicData>
            </a:graphic>
          </wp:inline>
        </w:drawing>
      </w:r>
    </w:p>
    <w:p w14:paraId="74CEB86D" w14:textId="51C4B56C" w:rsidR="00351649" w:rsidRDefault="00351649" w:rsidP="00351649">
      <w:pPr>
        <w:jc w:val="both"/>
        <w:rPr>
          <w:rFonts w:eastAsia="Times New Roman"/>
        </w:rPr>
      </w:pPr>
      <w:r>
        <w:rPr>
          <w:rFonts w:eastAsia="Times New Roman"/>
        </w:rPr>
        <w:t>While these global bottlenecks have recently begun to reduce, particularly on the back of declining shipping costs, business continues to plan for ongoing supply chain volatility. In a 2023 survey of more than 1000 executives from large global organisations operating complex supply chains, 44% of respondents said they expected more shocks in the coming 24 months, with the primary challenges being price volatility, inflation, shortages in materials and labour, and geopolitical instability.</w:t>
      </w:r>
      <w:r>
        <w:rPr>
          <w:rStyle w:val="FootnoteReference"/>
          <w:rFonts w:eastAsia="Times New Roman"/>
        </w:rPr>
        <w:footnoteReference w:id="6"/>
      </w:r>
    </w:p>
    <w:p w14:paraId="765F1677" w14:textId="77777777" w:rsidR="00351649" w:rsidRDefault="00351649" w:rsidP="00351649">
      <w:pPr>
        <w:jc w:val="both"/>
        <w:rPr>
          <w:rFonts w:eastAsia="Times New Roman"/>
        </w:rPr>
      </w:pPr>
      <w:r w:rsidRPr="00350520">
        <w:rPr>
          <w:rFonts w:eastAsia="Times New Roman"/>
        </w:rPr>
        <w:t xml:space="preserve">Australia’s supply chains have generally proven resilient in response to the COVID-19 pandemic, trade </w:t>
      </w:r>
      <w:r w:rsidRPr="00AC1D5C">
        <w:t>restrictions</w:t>
      </w:r>
      <w:r w:rsidRPr="00350520">
        <w:rPr>
          <w:rFonts w:eastAsia="Times New Roman"/>
        </w:rPr>
        <w:t xml:space="preserve">, natural </w:t>
      </w:r>
      <w:proofErr w:type="gramStart"/>
      <w:r w:rsidRPr="00350520">
        <w:rPr>
          <w:rFonts w:eastAsia="Times New Roman"/>
        </w:rPr>
        <w:t>disasters</w:t>
      </w:r>
      <w:proofErr w:type="gramEnd"/>
      <w:r w:rsidRPr="00350520">
        <w:rPr>
          <w:rFonts w:eastAsia="Times New Roman"/>
        </w:rPr>
        <w:t xml:space="preserve"> and Russia’s illegal invasion of Ukraine</w:t>
      </w:r>
      <w:r>
        <w:rPr>
          <w:rFonts w:eastAsia="Times New Roman"/>
        </w:rPr>
        <w:t xml:space="preserve">. However, </w:t>
      </w:r>
      <w:r w:rsidRPr="00350520">
        <w:rPr>
          <w:rFonts w:eastAsia="Times New Roman"/>
        </w:rPr>
        <w:t xml:space="preserve">these experiences have highlighted potential vulnerabilities and fragilities in Australia’s supply chains, including for critical goods such as </w:t>
      </w:r>
      <w:r>
        <w:rPr>
          <w:rFonts w:eastAsia="Times New Roman"/>
        </w:rPr>
        <w:t>personal protection equipment (PPE)</w:t>
      </w:r>
      <w:r w:rsidRPr="00350520">
        <w:rPr>
          <w:rFonts w:eastAsia="Times New Roman"/>
        </w:rPr>
        <w:t xml:space="preserve">, pharmaceuticals, </w:t>
      </w:r>
      <w:proofErr w:type="gramStart"/>
      <w:r w:rsidRPr="00350520">
        <w:rPr>
          <w:rFonts w:eastAsia="Times New Roman"/>
        </w:rPr>
        <w:t>fertilisers</w:t>
      </w:r>
      <w:proofErr w:type="gramEnd"/>
      <w:r w:rsidRPr="00350520">
        <w:rPr>
          <w:rFonts w:eastAsia="Times New Roman"/>
        </w:rPr>
        <w:t xml:space="preserve"> and chemicals.</w:t>
      </w:r>
      <w:r>
        <w:rPr>
          <w:rStyle w:val="FootnoteReference"/>
          <w:rFonts w:eastAsia="Times New Roman"/>
        </w:rPr>
        <w:footnoteReference w:id="7"/>
      </w:r>
      <w:r w:rsidRPr="00350520">
        <w:rPr>
          <w:rFonts w:eastAsia="Times New Roman"/>
        </w:rPr>
        <w:t xml:space="preserve"> </w:t>
      </w:r>
      <w:r>
        <w:rPr>
          <w:rFonts w:eastAsia="Times New Roman"/>
        </w:rPr>
        <w:t>According to the Ai Group CEO Survey for 2023, 79 per cent of Australian businesses reported supply chain disruptions in 2022, up from 65 per cent in 2021.</w:t>
      </w:r>
      <w:r>
        <w:rPr>
          <w:rStyle w:val="FootnoteReference"/>
          <w:rFonts w:eastAsia="Times New Roman"/>
        </w:rPr>
        <w:footnoteReference w:id="8"/>
      </w:r>
      <w:r>
        <w:rPr>
          <w:rFonts w:eastAsia="Times New Roman"/>
        </w:rPr>
        <w:t xml:space="preserve"> </w:t>
      </w:r>
    </w:p>
    <w:p w14:paraId="7A1853D1" w14:textId="12D5FBCE" w:rsidR="00351649" w:rsidRDefault="00351649" w:rsidP="00351649">
      <w:pPr>
        <w:pStyle w:val="Caption"/>
        <w:keepNext/>
        <w:jc w:val="both"/>
      </w:pPr>
      <w:r>
        <w:t>Figure 2</w:t>
      </w:r>
    </w:p>
    <w:p w14:paraId="162B82A1" w14:textId="676AB747" w:rsidR="00351649" w:rsidRDefault="00351649" w:rsidP="00351649">
      <w:pPr>
        <w:jc w:val="both"/>
        <w:rPr>
          <w:rFonts w:eastAsia="Times New Roman"/>
        </w:rPr>
      </w:pPr>
      <w:r>
        <w:rPr>
          <w:noProof/>
        </w:rPr>
        <w:drawing>
          <wp:inline distT="0" distB="0" distL="0" distR="0" wp14:anchorId="1ABD88E2" wp14:editId="74390AA8">
            <wp:extent cx="5731510" cy="2667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67000"/>
                    </a:xfrm>
                    <a:prstGeom prst="rect">
                      <a:avLst/>
                    </a:prstGeom>
                  </pic:spPr>
                </pic:pic>
              </a:graphicData>
            </a:graphic>
          </wp:inline>
        </w:drawing>
      </w:r>
    </w:p>
    <w:p w14:paraId="6FD808B7" w14:textId="48300E3D" w:rsidR="00351649" w:rsidRDefault="00351649" w:rsidP="00351649">
      <w:pPr>
        <w:jc w:val="both"/>
        <w:rPr>
          <w:rFonts w:eastAsia="Times New Roman"/>
          <w:lang w:val="en-US"/>
        </w:rPr>
      </w:pPr>
      <w:r>
        <w:rPr>
          <w:rFonts w:eastAsia="Times New Roman"/>
        </w:rPr>
        <w:lastRenderedPageBreak/>
        <w:t>As shown in Figure 3, these disruptions impacted both large businesses (</w:t>
      </w:r>
      <w:r>
        <w:rPr>
          <w:rFonts w:eastAsia="Times New Roman"/>
          <w:lang w:val="en-US"/>
        </w:rPr>
        <w:t>89 per cent) and small businesses (79 per cent), with supply chain disruptions being the top factor shaping Australian business investment plans.</w:t>
      </w:r>
      <w:r>
        <w:rPr>
          <w:rStyle w:val="FootnoteReference"/>
          <w:rFonts w:eastAsia="Times New Roman"/>
          <w:lang w:val="en-US"/>
        </w:rPr>
        <w:footnoteReference w:id="9"/>
      </w:r>
      <w:r>
        <w:rPr>
          <w:rFonts w:eastAsia="Times New Roman"/>
          <w:lang w:val="en-US"/>
        </w:rPr>
        <w:t xml:space="preserve"> While supply chain disruptions appear to have been particularly prevalent in the manufacturing sector (88 per cent of respondents), the fact that nearly four-fifths of all respondents experienced either moderate or significant disruption indicates the </w:t>
      </w:r>
      <w:proofErr w:type="spellStart"/>
      <w:r>
        <w:rPr>
          <w:rFonts w:eastAsia="Times New Roman"/>
          <w:lang w:val="en-US"/>
        </w:rPr>
        <w:t>generalised</w:t>
      </w:r>
      <w:proofErr w:type="spellEnd"/>
      <w:r>
        <w:rPr>
          <w:rFonts w:eastAsia="Times New Roman"/>
          <w:lang w:val="en-US"/>
        </w:rPr>
        <w:t xml:space="preserve"> nature of the challenge facing Australian business.</w:t>
      </w:r>
      <w:r>
        <w:rPr>
          <w:rStyle w:val="FootnoteReference"/>
          <w:rFonts w:eastAsia="Times New Roman"/>
          <w:lang w:val="en-US"/>
        </w:rPr>
        <w:footnoteReference w:id="10"/>
      </w:r>
    </w:p>
    <w:p w14:paraId="0A9B950A" w14:textId="79B099D4" w:rsidR="00351649" w:rsidRDefault="00351649" w:rsidP="00351649">
      <w:pPr>
        <w:pStyle w:val="Caption"/>
        <w:keepNext/>
        <w:jc w:val="both"/>
      </w:pPr>
      <w:r>
        <w:t>Figure 3</w:t>
      </w:r>
    </w:p>
    <w:p w14:paraId="19BAF2B0" w14:textId="04061BDA" w:rsidR="00351649" w:rsidRDefault="00351649" w:rsidP="00351649">
      <w:pPr>
        <w:jc w:val="both"/>
      </w:pPr>
      <w:r>
        <w:rPr>
          <w:noProof/>
        </w:rPr>
        <w:drawing>
          <wp:inline distT="0" distB="0" distL="0" distR="0" wp14:anchorId="4B5AD6F3" wp14:editId="76F5154C">
            <wp:extent cx="5762625" cy="36774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2173" cy="3715445"/>
                    </a:xfrm>
                    <a:prstGeom prst="rect">
                      <a:avLst/>
                    </a:prstGeom>
                  </pic:spPr>
                </pic:pic>
              </a:graphicData>
            </a:graphic>
          </wp:inline>
        </w:drawing>
      </w:r>
    </w:p>
    <w:p w14:paraId="36D26521" w14:textId="2F8C32C9" w:rsidR="00351649" w:rsidRDefault="00351649" w:rsidP="00351649">
      <w:pPr>
        <w:jc w:val="both"/>
      </w:pPr>
      <w:r>
        <w:rPr>
          <w:rFonts w:eastAsia="Times New Roman"/>
          <w:lang w:val="en-US"/>
        </w:rPr>
        <w:t>According to one estimate, g</w:t>
      </w:r>
      <w:r w:rsidRPr="003401D3">
        <w:t>lobal supply chain issues cost Australian firms $11</w:t>
      </w:r>
      <w:r>
        <w:t xml:space="preserve"> billion</w:t>
      </w:r>
      <w:r w:rsidRPr="003401D3">
        <w:t xml:space="preserve"> in lost sales a year.</w:t>
      </w:r>
      <w:r>
        <w:rPr>
          <w:rStyle w:val="FootnoteReference"/>
        </w:rPr>
        <w:footnoteReference w:id="11"/>
      </w:r>
      <w:r>
        <w:t xml:space="preserve"> However, the costs are not limited to industry alone: supply chain disruptions have flow-on implications for Australian consumers. In a survey of 10,000 consumers across eight countries and three continents conducted in late 2022, 89 per cent</w:t>
      </w:r>
      <w:r w:rsidRPr="00F26D5F">
        <w:t xml:space="preserve"> of Australian consumers reported concerns around shipping delays and product availability – the highest of any of the eight countries surveyed.</w:t>
      </w:r>
      <w:r>
        <w:rPr>
          <w:rStyle w:val="FootnoteReference"/>
        </w:rPr>
        <w:footnoteReference w:id="12"/>
      </w:r>
      <w:r>
        <w:t xml:space="preserve"> 39 per cent of Australian consumers said they experience delivery times to be slower than usual, compared to 31 per cent of consumers globally.</w:t>
      </w:r>
      <w:r>
        <w:rPr>
          <w:rStyle w:val="FootnoteReference"/>
        </w:rPr>
        <w:footnoteReference w:id="13"/>
      </w:r>
      <w:r>
        <w:t xml:space="preserve"> More than two fifths (41 per cent) of Australian consumers had found products they wanted to purchase were not available at all, and more than o</w:t>
      </w:r>
      <w:r w:rsidRPr="00B8397F">
        <w:t>ne fifth (21%) said they had experienced product availability issues after placing an order</w:t>
      </w:r>
      <w:r>
        <w:t>.</w:t>
      </w:r>
      <w:r>
        <w:rPr>
          <w:rStyle w:val="FootnoteReference"/>
        </w:rPr>
        <w:footnoteReference w:id="14"/>
      </w:r>
      <w:r>
        <w:t xml:space="preserve"> </w:t>
      </w:r>
      <w:r w:rsidRPr="00B8397F">
        <w:t xml:space="preserve">Both figures </w:t>
      </w:r>
      <w:r w:rsidRPr="00B8397F">
        <w:lastRenderedPageBreak/>
        <w:t>are higher than the global average.</w:t>
      </w:r>
      <w:r>
        <w:t xml:space="preserve"> This is broadly consistent with a survey of Australian consumers by McKinsey in August-September 2022, which found that three in five respondents had been unable to make a purchase due to stock unavailability, especially in the groceries and food sector.</w:t>
      </w:r>
      <w:r>
        <w:rPr>
          <w:rStyle w:val="FootnoteReference"/>
        </w:rPr>
        <w:footnoteReference w:id="15"/>
      </w:r>
    </w:p>
    <w:p w14:paraId="74F5CD8F" w14:textId="083FF968" w:rsidR="00351649" w:rsidRPr="00B50AE8" w:rsidRDefault="00351649" w:rsidP="00351649">
      <w:pPr>
        <w:spacing w:after="0"/>
        <w:jc w:val="both"/>
        <w:rPr>
          <w:b/>
          <w:bCs/>
        </w:rPr>
      </w:pPr>
      <w:r>
        <w:rPr>
          <w:b/>
          <w:bCs/>
        </w:rPr>
        <w:t>Figure 4</w:t>
      </w:r>
    </w:p>
    <w:p w14:paraId="6D566365" w14:textId="796733BD" w:rsidR="00351649" w:rsidRDefault="00351649" w:rsidP="00351649">
      <w:pPr>
        <w:jc w:val="both"/>
      </w:pPr>
      <w:r>
        <w:rPr>
          <w:noProof/>
        </w:rPr>
        <w:drawing>
          <wp:inline distT="0" distB="0" distL="0" distR="0" wp14:anchorId="333EE977" wp14:editId="0F8F4097">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E2A9CD3" w14:textId="0EF1AAEE" w:rsidR="00351649" w:rsidRDefault="00351649" w:rsidP="00351649">
      <w:pPr>
        <w:jc w:val="both"/>
      </w:pPr>
      <w:r>
        <w:t>Supply chain disruptions are best managed by the private sector, which is generally best placed to balance the benefits and costs of risk mitigation</w:t>
      </w:r>
      <w:r w:rsidRPr="00967399">
        <w:t xml:space="preserve"> </w:t>
      </w:r>
      <w:r>
        <w:t xml:space="preserve">for different types of disruptions and contexts. Nevertheless, some supply chain disruptions have significant spill over externalities for national security, public health and safety, and overall national economic stability. Such disruptions are therefore of concern for government. </w:t>
      </w:r>
    </w:p>
    <w:p w14:paraId="47C2744F" w14:textId="77777777" w:rsidR="00351649" w:rsidRPr="0067157E" w:rsidRDefault="00351649" w:rsidP="00351649">
      <w:pPr>
        <w:jc w:val="both"/>
        <w:rPr>
          <w:lang w:val="en-AU"/>
        </w:rPr>
      </w:pPr>
      <w:r w:rsidRPr="002917D8">
        <w:rPr>
          <w:lang w:val="en-AU"/>
        </w:rPr>
        <w:t xml:space="preserve">In 2021, in response to </w:t>
      </w:r>
      <w:r>
        <w:rPr>
          <w:lang w:val="en-AU"/>
        </w:rPr>
        <w:t>disruptions stemming from COVID-19</w:t>
      </w:r>
      <w:r w:rsidRPr="002917D8">
        <w:rPr>
          <w:lang w:val="en-AU"/>
        </w:rPr>
        <w:t xml:space="preserve">, the Australian Government tasked </w:t>
      </w:r>
      <w:r>
        <w:rPr>
          <w:lang w:val="en-AU"/>
        </w:rPr>
        <w:t>the</w:t>
      </w:r>
      <w:r w:rsidRPr="002917D8">
        <w:rPr>
          <w:lang w:val="en-AU"/>
        </w:rPr>
        <w:t xml:space="preserve"> Productivity Commission</w:t>
      </w:r>
      <w:r>
        <w:rPr>
          <w:lang w:val="en-AU"/>
        </w:rPr>
        <w:t xml:space="preserve"> (PC) </w:t>
      </w:r>
      <w:r w:rsidRPr="002917D8">
        <w:rPr>
          <w:lang w:val="en-AU"/>
        </w:rPr>
        <w:t>to conduct a study into Australia’s import supply chains, identify areas of supply concentration, and provide recommendations to bolster resilience.</w:t>
      </w:r>
      <w:r>
        <w:rPr>
          <w:lang w:val="en-AU"/>
        </w:rPr>
        <w:t xml:space="preserve"> The</w:t>
      </w:r>
      <w:r w:rsidRPr="0067157E">
        <w:rPr>
          <w:lang w:val="en-AU"/>
        </w:rPr>
        <w:t xml:space="preserve"> PC developed a framework to identify supply chains that are vulnerable to </w:t>
      </w:r>
      <w:proofErr w:type="gramStart"/>
      <w:r w:rsidRPr="0067157E">
        <w:rPr>
          <w:lang w:val="en-AU"/>
        </w:rPr>
        <w:t>disruption, and</w:t>
      </w:r>
      <w:proofErr w:type="gramEnd"/>
      <w:r w:rsidRPr="0067157E">
        <w:rPr>
          <w:lang w:val="en-AU"/>
        </w:rPr>
        <w:t xml:space="preserve"> applied it to Australian imports and exports. Analysis based on the PC framework identified seven critical and vulnerable product categories (pharmaceuticals, personal protective equipment, agricultural production chemicals, water treatment chemicals, semiconductors, telecommunications </w:t>
      </w:r>
      <w:proofErr w:type="gramStart"/>
      <w:r w:rsidRPr="0067157E">
        <w:rPr>
          <w:lang w:val="en-AU"/>
        </w:rPr>
        <w:t>equipment</w:t>
      </w:r>
      <w:proofErr w:type="gramEnd"/>
      <w:r w:rsidRPr="0067157E">
        <w:rPr>
          <w:lang w:val="en-AU"/>
        </w:rPr>
        <w:t xml:space="preserve"> and plastics).</w:t>
      </w:r>
    </w:p>
    <w:p w14:paraId="79847E25" w14:textId="410CDB27" w:rsidR="00351649" w:rsidRDefault="00351649" w:rsidP="00351649">
      <w:pPr>
        <w:jc w:val="both"/>
        <w:rPr>
          <w:lang w:val="en-AU"/>
        </w:rPr>
      </w:pPr>
      <w:r w:rsidRPr="0067157E">
        <w:rPr>
          <w:lang w:val="en-AU"/>
        </w:rPr>
        <w:t>Following this</w:t>
      </w:r>
      <w:r>
        <w:rPr>
          <w:lang w:val="en-AU"/>
        </w:rPr>
        <w:t xml:space="preserve"> study</w:t>
      </w:r>
      <w:r w:rsidRPr="0067157E">
        <w:rPr>
          <w:lang w:val="en-AU"/>
        </w:rPr>
        <w:t xml:space="preserve">, </w:t>
      </w:r>
      <w:r>
        <w:rPr>
          <w:lang w:val="en-AU"/>
        </w:rPr>
        <w:t>the Office of Supply Chain Resilience (OSCR)</w:t>
      </w:r>
      <w:r w:rsidR="00C23A2C">
        <w:rPr>
          <w:lang w:val="en-AU"/>
        </w:rPr>
        <w:t>,</w:t>
      </w:r>
      <w:r>
        <w:rPr>
          <w:lang w:val="en-AU"/>
        </w:rPr>
        <w:t xml:space="preserve"> now within the Department of Industry, Science and Resources,</w:t>
      </w:r>
      <w:r w:rsidRPr="0067157E">
        <w:rPr>
          <w:lang w:val="en-AU"/>
        </w:rPr>
        <w:t xml:space="preserve"> was established on 1 July 2021 to</w:t>
      </w:r>
      <w:r>
        <w:rPr>
          <w:lang w:val="en-AU"/>
        </w:rPr>
        <w:t xml:space="preserve"> refine the PC framework and</w:t>
      </w:r>
      <w:r w:rsidRPr="0067157E">
        <w:rPr>
          <w:lang w:val="en-AU"/>
        </w:rPr>
        <w:t xml:space="preserve"> lead whole-of-government coordination to identify and manage vulnerabilities in Australia’s critical supply chains</w:t>
      </w:r>
      <w:r>
        <w:rPr>
          <w:lang w:val="en-AU"/>
        </w:rPr>
        <w:t xml:space="preserve"> at risk of disruption. OSCR leads the Australian Government’s implementation of the </w:t>
      </w:r>
      <w:r w:rsidRPr="002E67E6">
        <w:rPr>
          <w:i/>
          <w:iCs/>
          <w:lang w:val="en-AU"/>
        </w:rPr>
        <w:t>Framework</w:t>
      </w:r>
      <w:r>
        <w:rPr>
          <w:i/>
          <w:iCs/>
          <w:lang w:val="en-AU"/>
        </w:rPr>
        <w:t xml:space="preserve"> for Identifying and Mitigating Critical Supply Chain Risks</w:t>
      </w:r>
      <w:r>
        <w:rPr>
          <w:lang w:val="en-AU"/>
        </w:rPr>
        <w:t>, which</w:t>
      </w:r>
      <w:r w:rsidRPr="00283397">
        <w:rPr>
          <w:lang w:val="en-AU"/>
        </w:rPr>
        <w:t xml:space="preserve"> draws on data and expert insights to assess vulnerabilities to the supply of essential imports</w:t>
      </w:r>
      <w:r>
        <w:rPr>
          <w:lang w:val="en-AU"/>
        </w:rPr>
        <w:t>.</w:t>
      </w:r>
      <w:r w:rsidRPr="00283397">
        <w:rPr>
          <w:lang w:val="en-AU"/>
        </w:rPr>
        <w:t xml:space="preserve"> </w:t>
      </w:r>
      <w:r>
        <w:rPr>
          <w:lang w:val="en-AU"/>
        </w:rPr>
        <w:t>I</w:t>
      </w:r>
      <w:r w:rsidRPr="00283397">
        <w:rPr>
          <w:lang w:val="en-AU"/>
        </w:rPr>
        <w:t xml:space="preserve">t recognises the private sector’s ability to mitigate their own risks and, where needed, identifies targeted and proportionate </w:t>
      </w:r>
      <w:r w:rsidRPr="00283397">
        <w:rPr>
          <w:lang w:val="en-AU"/>
        </w:rPr>
        <w:lastRenderedPageBreak/>
        <w:t>government actions to improve resilience, where necessary</w:t>
      </w:r>
      <w:r>
        <w:rPr>
          <w:lang w:val="en-AU"/>
        </w:rPr>
        <w:t xml:space="preserve">. This framework in turn guides work </w:t>
      </w:r>
      <w:r>
        <w:t xml:space="preserve">across government to monitor key supply chains and supports respective departments to manage risks within their portfolio responsibilities, with OSCR’s serving as the point of whole-of-government coordination. </w:t>
      </w:r>
      <w:r w:rsidR="008D2235">
        <w:t xml:space="preserve"> </w:t>
      </w:r>
      <w:r>
        <w:t xml:space="preserve">The scope of this work is illustrated below in Figure 5. </w:t>
      </w:r>
      <w:r w:rsidR="00DD38BC">
        <w:t>Using this analysis to inform thinking, Au</w:t>
      </w:r>
      <w:r w:rsidR="000F4150">
        <w:t xml:space="preserve">stralia works internationally through multilateral forums and bilateral relationships to shape rules and norms to reflect Australia’s interest in </w:t>
      </w:r>
      <w:r w:rsidR="003E554A">
        <w:t xml:space="preserve">supply chain resiliency. </w:t>
      </w:r>
    </w:p>
    <w:p w14:paraId="6AE83FF5" w14:textId="77777777" w:rsidR="00351649" w:rsidRDefault="00351649" w:rsidP="00351649">
      <w:pPr>
        <w:rPr>
          <w:b/>
          <w:bCs/>
          <w:lang w:val="en-AU"/>
        </w:rPr>
      </w:pPr>
      <w:r>
        <w:rPr>
          <w:b/>
          <w:bCs/>
        </w:rPr>
        <w:t>Figure 5</w:t>
      </w:r>
    </w:p>
    <w:tbl>
      <w:tblPr>
        <w:tblW w:w="5000" w:type="pct"/>
        <w:tblCellMar>
          <w:left w:w="0" w:type="dxa"/>
          <w:right w:w="0" w:type="dxa"/>
        </w:tblCellMar>
        <w:tblLook w:val="04A0" w:firstRow="1" w:lastRow="0" w:firstColumn="1" w:lastColumn="0" w:noHBand="0" w:noVBand="1"/>
      </w:tblPr>
      <w:tblGrid>
        <w:gridCol w:w="3534"/>
        <w:gridCol w:w="5472"/>
      </w:tblGrid>
      <w:tr w:rsidR="00351649" w14:paraId="576E15CE" w14:textId="77777777" w:rsidTr="00FC2C85">
        <w:tc>
          <w:tcPr>
            <w:tcW w:w="3534" w:type="dxa"/>
            <w:tcBorders>
              <w:top w:val="single" w:sz="8" w:space="0" w:color="000000"/>
              <w:left w:val="single" w:sz="8" w:space="0" w:color="000000"/>
              <w:bottom w:val="single" w:sz="8" w:space="0" w:color="000000"/>
              <w:right w:val="nil"/>
            </w:tcBorders>
            <w:shd w:val="clear" w:color="auto" w:fill="000000"/>
            <w:tcMar>
              <w:top w:w="0" w:type="dxa"/>
              <w:left w:w="108" w:type="dxa"/>
              <w:bottom w:w="0" w:type="dxa"/>
              <w:right w:w="108" w:type="dxa"/>
            </w:tcMar>
            <w:hideMark/>
          </w:tcPr>
          <w:p w14:paraId="6AEA9735" w14:textId="77777777" w:rsidR="00351649" w:rsidRPr="00996D56" w:rsidRDefault="00351649">
            <w:pPr>
              <w:spacing w:before="120" w:after="120"/>
              <w:rPr>
                <w:b/>
                <w:bCs/>
              </w:rPr>
            </w:pPr>
            <w:r w:rsidRPr="00996D56">
              <w:rPr>
                <w:color w:val="FFFFFF"/>
              </w:rPr>
              <w:t xml:space="preserve">Departments and Agencies </w:t>
            </w:r>
          </w:p>
        </w:tc>
        <w:tc>
          <w:tcPr>
            <w:tcW w:w="5472" w:type="dxa"/>
            <w:tcBorders>
              <w:top w:val="single" w:sz="8" w:space="0" w:color="000000"/>
              <w:left w:val="nil"/>
              <w:bottom w:val="single" w:sz="8" w:space="0" w:color="000000"/>
              <w:right w:val="single" w:sz="8" w:space="0" w:color="000000"/>
            </w:tcBorders>
            <w:shd w:val="clear" w:color="auto" w:fill="000000"/>
            <w:tcMar>
              <w:top w:w="0" w:type="dxa"/>
              <w:left w:w="108" w:type="dxa"/>
              <w:bottom w:w="0" w:type="dxa"/>
              <w:right w:w="108" w:type="dxa"/>
            </w:tcMar>
            <w:hideMark/>
          </w:tcPr>
          <w:p w14:paraId="44B7BA2C" w14:textId="77777777" w:rsidR="00351649" w:rsidRPr="00996D56" w:rsidRDefault="00351649">
            <w:pPr>
              <w:spacing w:before="120" w:after="120"/>
              <w:rPr>
                <w:b/>
                <w:bCs/>
                <w:color w:val="FFFFFF"/>
              </w:rPr>
            </w:pPr>
            <w:r w:rsidRPr="00996D56">
              <w:rPr>
                <w:b/>
                <w:bCs/>
                <w:color w:val="FFFFFF"/>
              </w:rPr>
              <w:t xml:space="preserve">Responsibilities </w:t>
            </w:r>
          </w:p>
        </w:tc>
      </w:tr>
      <w:tr w:rsidR="00351649" w14:paraId="254D2CE4" w14:textId="77777777" w:rsidTr="00FC2C85">
        <w:tc>
          <w:tcPr>
            <w:tcW w:w="3534" w:type="dxa"/>
            <w:tcBorders>
              <w:top w:val="nil"/>
              <w:left w:val="single" w:sz="8" w:space="0" w:color="666666"/>
              <w:bottom w:val="single" w:sz="8" w:space="0" w:color="666666"/>
              <w:right w:val="nil"/>
            </w:tcBorders>
            <w:shd w:val="clear" w:color="auto" w:fill="CCCCCC"/>
            <w:tcMar>
              <w:top w:w="0" w:type="dxa"/>
              <w:left w:w="108" w:type="dxa"/>
              <w:bottom w:w="0" w:type="dxa"/>
              <w:right w:w="108" w:type="dxa"/>
            </w:tcMar>
            <w:hideMark/>
          </w:tcPr>
          <w:p w14:paraId="35476849" w14:textId="77777777" w:rsidR="00351649" w:rsidRPr="00996D56" w:rsidRDefault="00351649">
            <w:pPr>
              <w:spacing w:before="120" w:after="120"/>
              <w:rPr>
                <w:b/>
                <w:bCs/>
              </w:rPr>
            </w:pPr>
            <w:r w:rsidRPr="00996D56">
              <w:rPr>
                <w:b/>
                <w:bCs/>
                <w:color w:val="000000"/>
              </w:rPr>
              <w:t>Department of Agriculture, Fisheries and Forestry</w:t>
            </w:r>
          </w:p>
        </w:tc>
        <w:tc>
          <w:tcPr>
            <w:tcW w:w="5472"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0F789A4E" w14:textId="77777777" w:rsidR="00351649" w:rsidRPr="00996D56" w:rsidRDefault="00351649">
            <w:pPr>
              <w:pStyle w:val="ListParagraph"/>
              <w:numPr>
                <w:ilvl w:val="0"/>
                <w:numId w:val="8"/>
              </w:numPr>
              <w:spacing w:after="120"/>
              <w:ind w:left="324"/>
            </w:pPr>
            <w:r w:rsidRPr="00996D56">
              <w:rPr>
                <w:color w:val="000000"/>
              </w:rPr>
              <w:t>Food security</w:t>
            </w:r>
          </w:p>
          <w:p w14:paraId="20C45763" w14:textId="77777777" w:rsidR="00351649" w:rsidRPr="00996D56" w:rsidRDefault="00351649">
            <w:pPr>
              <w:pStyle w:val="ListParagraph"/>
              <w:numPr>
                <w:ilvl w:val="0"/>
                <w:numId w:val="8"/>
              </w:numPr>
              <w:ind w:left="324"/>
            </w:pPr>
            <w:r w:rsidRPr="00996D56">
              <w:rPr>
                <w:color w:val="000000"/>
              </w:rPr>
              <w:t>Agricultural production chemicals</w:t>
            </w:r>
          </w:p>
          <w:p w14:paraId="27593B85" w14:textId="77777777" w:rsidR="00351649" w:rsidRPr="00996D56" w:rsidRDefault="00351649">
            <w:pPr>
              <w:pStyle w:val="ListParagraph"/>
              <w:numPr>
                <w:ilvl w:val="0"/>
                <w:numId w:val="8"/>
              </w:numPr>
              <w:spacing w:before="120"/>
              <w:ind w:left="324"/>
            </w:pPr>
            <w:r w:rsidRPr="00996D56">
              <w:rPr>
                <w:color w:val="000000"/>
              </w:rPr>
              <w:t>Development of Timber Fibre Strategy</w:t>
            </w:r>
          </w:p>
        </w:tc>
      </w:tr>
      <w:tr w:rsidR="00351649" w14:paraId="527C2CCD" w14:textId="77777777" w:rsidTr="00FC2C85">
        <w:tc>
          <w:tcPr>
            <w:tcW w:w="3534" w:type="dxa"/>
            <w:tcBorders>
              <w:top w:val="nil"/>
              <w:left w:val="single" w:sz="8" w:space="0" w:color="666666"/>
              <w:bottom w:val="single" w:sz="8" w:space="0" w:color="666666"/>
              <w:right w:val="nil"/>
            </w:tcBorders>
            <w:tcMar>
              <w:top w:w="0" w:type="dxa"/>
              <w:left w:w="108" w:type="dxa"/>
              <w:bottom w:w="0" w:type="dxa"/>
              <w:right w:w="108" w:type="dxa"/>
            </w:tcMar>
            <w:hideMark/>
          </w:tcPr>
          <w:p w14:paraId="1CBFFCEC" w14:textId="77777777" w:rsidR="00351649" w:rsidRPr="00996D56" w:rsidRDefault="00351649">
            <w:pPr>
              <w:spacing w:before="120" w:after="120"/>
              <w:rPr>
                <w:b/>
                <w:bCs/>
              </w:rPr>
            </w:pPr>
            <w:r w:rsidRPr="00996D56">
              <w:rPr>
                <w:b/>
                <w:bCs/>
              </w:rPr>
              <w:t>Department of Climate Change and Energy, the Environment and Water</w:t>
            </w:r>
          </w:p>
        </w:tc>
        <w:tc>
          <w:tcPr>
            <w:tcW w:w="5472" w:type="dxa"/>
            <w:tcBorders>
              <w:top w:val="nil"/>
              <w:left w:val="nil"/>
              <w:bottom w:val="single" w:sz="8" w:space="0" w:color="666666"/>
              <w:right w:val="single" w:sz="8" w:space="0" w:color="666666"/>
            </w:tcBorders>
            <w:tcMar>
              <w:top w:w="0" w:type="dxa"/>
              <w:left w:w="108" w:type="dxa"/>
              <w:bottom w:w="0" w:type="dxa"/>
              <w:right w:w="108" w:type="dxa"/>
            </w:tcMar>
            <w:hideMark/>
          </w:tcPr>
          <w:p w14:paraId="0C56B843" w14:textId="77777777" w:rsidR="00351649" w:rsidRPr="00996D56" w:rsidRDefault="00351649">
            <w:pPr>
              <w:pStyle w:val="ListParagraph"/>
              <w:numPr>
                <w:ilvl w:val="0"/>
                <w:numId w:val="8"/>
              </w:numPr>
              <w:spacing w:after="120"/>
              <w:ind w:left="324"/>
            </w:pPr>
            <w:r w:rsidRPr="00996D56">
              <w:t>AdBlue/Diesel Exhaust Fluid</w:t>
            </w:r>
          </w:p>
          <w:p w14:paraId="75E7A399" w14:textId="77777777" w:rsidR="00351649" w:rsidRPr="00996D56" w:rsidRDefault="00351649">
            <w:pPr>
              <w:pStyle w:val="ListParagraph"/>
              <w:numPr>
                <w:ilvl w:val="0"/>
                <w:numId w:val="8"/>
              </w:numPr>
              <w:spacing w:before="120"/>
              <w:ind w:left="324"/>
            </w:pPr>
            <w:r w:rsidRPr="00996D56">
              <w:t>Clean energy supply chains</w:t>
            </w:r>
          </w:p>
        </w:tc>
      </w:tr>
      <w:tr w:rsidR="00351649" w14:paraId="6A745501" w14:textId="77777777" w:rsidTr="00FC2C85">
        <w:tc>
          <w:tcPr>
            <w:tcW w:w="3534" w:type="dxa"/>
            <w:tcBorders>
              <w:top w:val="nil"/>
              <w:left w:val="single" w:sz="8" w:space="0" w:color="666666"/>
              <w:bottom w:val="single" w:sz="8" w:space="0" w:color="666666"/>
              <w:right w:val="nil"/>
            </w:tcBorders>
            <w:shd w:val="clear" w:color="auto" w:fill="CCCCCC"/>
            <w:tcMar>
              <w:top w:w="0" w:type="dxa"/>
              <w:left w:w="108" w:type="dxa"/>
              <w:bottom w:w="0" w:type="dxa"/>
              <w:right w:w="108" w:type="dxa"/>
            </w:tcMar>
            <w:hideMark/>
          </w:tcPr>
          <w:p w14:paraId="00CF9702" w14:textId="77777777" w:rsidR="00351649" w:rsidRPr="00996D56" w:rsidRDefault="00351649">
            <w:pPr>
              <w:spacing w:before="120" w:after="120"/>
              <w:rPr>
                <w:b/>
                <w:bCs/>
              </w:rPr>
            </w:pPr>
            <w:r w:rsidRPr="00996D56">
              <w:rPr>
                <w:b/>
                <w:bCs/>
                <w:color w:val="000000"/>
              </w:rPr>
              <w:t>Department of Defence</w:t>
            </w:r>
          </w:p>
        </w:tc>
        <w:tc>
          <w:tcPr>
            <w:tcW w:w="5472"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36E0D5BC" w14:textId="77777777" w:rsidR="00351649" w:rsidRPr="00996D56" w:rsidRDefault="00351649">
            <w:pPr>
              <w:pStyle w:val="ListParagraph"/>
              <w:numPr>
                <w:ilvl w:val="0"/>
                <w:numId w:val="8"/>
              </w:numPr>
              <w:spacing w:before="120" w:after="120"/>
              <w:ind w:left="324"/>
            </w:pPr>
            <w:r w:rsidRPr="00996D56">
              <w:rPr>
                <w:color w:val="000000"/>
              </w:rPr>
              <w:t>Critical defence supplies</w:t>
            </w:r>
          </w:p>
        </w:tc>
      </w:tr>
      <w:tr w:rsidR="00351649" w14:paraId="4AD10F7C" w14:textId="77777777" w:rsidTr="00FC2C85">
        <w:tc>
          <w:tcPr>
            <w:tcW w:w="3534" w:type="dxa"/>
            <w:tcBorders>
              <w:top w:val="nil"/>
              <w:left w:val="single" w:sz="8" w:space="0" w:color="666666"/>
              <w:bottom w:val="single" w:sz="8" w:space="0" w:color="666666"/>
              <w:right w:val="nil"/>
            </w:tcBorders>
            <w:tcMar>
              <w:top w:w="0" w:type="dxa"/>
              <w:left w:w="108" w:type="dxa"/>
              <w:bottom w:w="0" w:type="dxa"/>
              <w:right w:w="108" w:type="dxa"/>
            </w:tcMar>
            <w:hideMark/>
          </w:tcPr>
          <w:p w14:paraId="0BEDE627" w14:textId="77777777" w:rsidR="00351649" w:rsidRPr="00996D56" w:rsidRDefault="00351649">
            <w:pPr>
              <w:spacing w:before="120" w:after="120"/>
              <w:rPr>
                <w:b/>
                <w:bCs/>
              </w:rPr>
            </w:pPr>
            <w:r w:rsidRPr="00996D56">
              <w:rPr>
                <w:b/>
                <w:bCs/>
              </w:rPr>
              <w:t>Department of Employment and Workplace Relations</w:t>
            </w:r>
          </w:p>
        </w:tc>
        <w:tc>
          <w:tcPr>
            <w:tcW w:w="5472" w:type="dxa"/>
            <w:tcBorders>
              <w:top w:val="nil"/>
              <w:left w:val="nil"/>
              <w:bottom w:val="single" w:sz="8" w:space="0" w:color="666666"/>
              <w:right w:val="single" w:sz="8" w:space="0" w:color="666666"/>
            </w:tcBorders>
            <w:tcMar>
              <w:top w:w="0" w:type="dxa"/>
              <w:left w:w="108" w:type="dxa"/>
              <w:bottom w:w="0" w:type="dxa"/>
              <w:right w:w="108" w:type="dxa"/>
            </w:tcMar>
            <w:hideMark/>
          </w:tcPr>
          <w:p w14:paraId="40A31107" w14:textId="77777777" w:rsidR="00351649" w:rsidRPr="00996D56" w:rsidRDefault="00351649">
            <w:pPr>
              <w:pStyle w:val="ListParagraph"/>
              <w:numPr>
                <w:ilvl w:val="0"/>
                <w:numId w:val="8"/>
              </w:numPr>
              <w:spacing w:before="120" w:after="120"/>
              <w:ind w:left="324"/>
            </w:pPr>
            <w:r w:rsidRPr="00996D56">
              <w:t>Developing options to address workforce and skills shortages</w:t>
            </w:r>
          </w:p>
        </w:tc>
      </w:tr>
      <w:tr w:rsidR="00351649" w14:paraId="04FD479A" w14:textId="77777777" w:rsidTr="00FC2C85">
        <w:tc>
          <w:tcPr>
            <w:tcW w:w="3534" w:type="dxa"/>
            <w:tcBorders>
              <w:top w:val="nil"/>
              <w:left w:val="single" w:sz="8" w:space="0" w:color="666666"/>
              <w:bottom w:val="single" w:sz="8" w:space="0" w:color="666666"/>
              <w:right w:val="nil"/>
            </w:tcBorders>
            <w:shd w:val="clear" w:color="auto" w:fill="CCCCCC"/>
            <w:tcMar>
              <w:top w:w="0" w:type="dxa"/>
              <w:left w:w="108" w:type="dxa"/>
              <w:bottom w:w="0" w:type="dxa"/>
              <w:right w:w="108" w:type="dxa"/>
            </w:tcMar>
            <w:hideMark/>
          </w:tcPr>
          <w:p w14:paraId="514BEEFF" w14:textId="77777777" w:rsidR="00351649" w:rsidRPr="00996D56" w:rsidRDefault="00351649">
            <w:pPr>
              <w:spacing w:before="120" w:after="120"/>
              <w:rPr>
                <w:b/>
                <w:bCs/>
              </w:rPr>
            </w:pPr>
            <w:r w:rsidRPr="00996D56">
              <w:rPr>
                <w:b/>
                <w:bCs/>
                <w:color w:val="000000"/>
              </w:rPr>
              <w:t>Department of Foreign Affairs and Trade</w:t>
            </w:r>
          </w:p>
        </w:tc>
        <w:tc>
          <w:tcPr>
            <w:tcW w:w="5472"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91C9C81" w14:textId="77777777" w:rsidR="00351649" w:rsidRPr="00996D56" w:rsidRDefault="00351649">
            <w:pPr>
              <w:pStyle w:val="ListParagraph"/>
              <w:numPr>
                <w:ilvl w:val="0"/>
                <w:numId w:val="8"/>
              </w:numPr>
              <w:spacing w:after="120"/>
              <w:ind w:left="324"/>
            </w:pPr>
            <w:r w:rsidRPr="00996D56">
              <w:t>Trade policy and negotiations</w:t>
            </w:r>
          </w:p>
          <w:p w14:paraId="09ACE1F9" w14:textId="77777777" w:rsidR="00351649" w:rsidRPr="00996D56" w:rsidRDefault="00351649">
            <w:pPr>
              <w:pStyle w:val="ListParagraph"/>
              <w:numPr>
                <w:ilvl w:val="0"/>
                <w:numId w:val="8"/>
              </w:numPr>
              <w:ind w:left="324"/>
            </w:pPr>
            <w:r w:rsidRPr="00996D56">
              <w:t>Monitoring global supply chain developments, including via the overseas diplomatic network</w:t>
            </w:r>
          </w:p>
          <w:p w14:paraId="4865D085" w14:textId="77777777" w:rsidR="00351649" w:rsidRPr="00996D56" w:rsidRDefault="00351649">
            <w:pPr>
              <w:pStyle w:val="ListParagraph"/>
              <w:numPr>
                <w:ilvl w:val="0"/>
                <w:numId w:val="8"/>
              </w:numPr>
              <w:ind w:left="324"/>
            </w:pPr>
            <w:r w:rsidRPr="00996D56">
              <w:t xml:space="preserve">Diplomatic partnerships and dialogue </w:t>
            </w:r>
          </w:p>
        </w:tc>
      </w:tr>
      <w:tr w:rsidR="00351649" w14:paraId="41C772CE" w14:textId="77777777" w:rsidTr="00FC2C85">
        <w:tc>
          <w:tcPr>
            <w:tcW w:w="3534" w:type="dxa"/>
            <w:tcBorders>
              <w:top w:val="nil"/>
              <w:left w:val="single" w:sz="8" w:space="0" w:color="666666"/>
              <w:bottom w:val="single" w:sz="8" w:space="0" w:color="666666"/>
              <w:right w:val="nil"/>
            </w:tcBorders>
            <w:tcMar>
              <w:top w:w="0" w:type="dxa"/>
              <w:left w:w="108" w:type="dxa"/>
              <w:bottom w:w="0" w:type="dxa"/>
              <w:right w:w="108" w:type="dxa"/>
            </w:tcMar>
            <w:hideMark/>
          </w:tcPr>
          <w:p w14:paraId="03B084CA" w14:textId="77777777" w:rsidR="00351649" w:rsidRPr="00996D56" w:rsidRDefault="00351649">
            <w:pPr>
              <w:spacing w:before="120" w:after="120"/>
              <w:rPr>
                <w:b/>
                <w:bCs/>
              </w:rPr>
            </w:pPr>
            <w:r w:rsidRPr="00996D56">
              <w:rPr>
                <w:b/>
                <w:bCs/>
              </w:rPr>
              <w:t>Department of Health and Aged Care</w:t>
            </w:r>
          </w:p>
        </w:tc>
        <w:tc>
          <w:tcPr>
            <w:tcW w:w="5472" w:type="dxa"/>
            <w:tcBorders>
              <w:top w:val="nil"/>
              <w:left w:val="nil"/>
              <w:bottom w:val="single" w:sz="8" w:space="0" w:color="666666"/>
              <w:right w:val="single" w:sz="8" w:space="0" w:color="666666"/>
            </w:tcBorders>
            <w:tcMar>
              <w:top w:w="0" w:type="dxa"/>
              <w:left w:w="108" w:type="dxa"/>
              <w:bottom w:w="0" w:type="dxa"/>
              <w:right w:w="108" w:type="dxa"/>
            </w:tcMar>
            <w:hideMark/>
          </w:tcPr>
          <w:p w14:paraId="25E2E272" w14:textId="77777777" w:rsidR="00351649" w:rsidRPr="00996D56" w:rsidRDefault="00351649">
            <w:pPr>
              <w:pStyle w:val="ListParagraph"/>
              <w:numPr>
                <w:ilvl w:val="0"/>
                <w:numId w:val="8"/>
              </w:numPr>
              <w:spacing w:after="120"/>
              <w:ind w:left="324"/>
            </w:pPr>
            <w:r w:rsidRPr="00996D56">
              <w:t xml:space="preserve">Pharmaceutical supply chains, including medicine </w:t>
            </w:r>
            <w:proofErr w:type="gramStart"/>
            <w:r w:rsidRPr="00996D56">
              <w:t>shortages</w:t>
            </w:r>
            <w:proofErr w:type="gramEnd"/>
          </w:p>
          <w:p w14:paraId="0C15F793" w14:textId="77777777" w:rsidR="00351649" w:rsidRPr="00996D56" w:rsidRDefault="00351649">
            <w:pPr>
              <w:pStyle w:val="ListParagraph"/>
              <w:numPr>
                <w:ilvl w:val="0"/>
                <w:numId w:val="8"/>
              </w:numPr>
              <w:spacing w:before="120"/>
              <w:ind w:left="324"/>
            </w:pPr>
            <w:r w:rsidRPr="00996D56">
              <w:t>National Medical Stockpile</w:t>
            </w:r>
          </w:p>
        </w:tc>
      </w:tr>
      <w:tr w:rsidR="00351649" w14:paraId="69ECFEC6" w14:textId="77777777" w:rsidTr="00FC2C85">
        <w:tc>
          <w:tcPr>
            <w:tcW w:w="3534" w:type="dxa"/>
            <w:tcBorders>
              <w:top w:val="nil"/>
              <w:left w:val="single" w:sz="8" w:space="0" w:color="666666"/>
              <w:bottom w:val="single" w:sz="8" w:space="0" w:color="666666"/>
              <w:right w:val="nil"/>
            </w:tcBorders>
            <w:shd w:val="clear" w:color="auto" w:fill="CCCCCC"/>
            <w:tcMar>
              <w:top w:w="0" w:type="dxa"/>
              <w:left w:w="108" w:type="dxa"/>
              <w:bottom w:w="0" w:type="dxa"/>
              <w:right w:w="108" w:type="dxa"/>
            </w:tcMar>
            <w:hideMark/>
          </w:tcPr>
          <w:p w14:paraId="1B8C2FB7" w14:textId="77777777" w:rsidR="00351649" w:rsidRPr="00996D56" w:rsidRDefault="00351649">
            <w:pPr>
              <w:spacing w:before="120" w:after="120"/>
              <w:rPr>
                <w:b/>
                <w:bCs/>
              </w:rPr>
            </w:pPr>
            <w:r w:rsidRPr="00996D56">
              <w:rPr>
                <w:b/>
                <w:bCs/>
                <w:color w:val="000000"/>
              </w:rPr>
              <w:t>Department of Home Affairs</w:t>
            </w:r>
          </w:p>
        </w:tc>
        <w:tc>
          <w:tcPr>
            <w:tcW w:w="5472"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C0F4204" w14:textId="77777777" w:rsidR="00351649" w:rsidRPr="00996D56" w:rsidRDefault="00351649">
            <w:pPr>
              <w:pStyle w:val="ListParagraph"/>
              <w:numPr>
                <w:ilvl w:val="0"/>
                <w:numId w:val="8"/>
              </w:numPr>
              <w:spacing w:after="120"/>
              <w:ind w:left="324"/>
            </w:pPr>
            <w:r w:rsidRPr="00996D56">
              <w:rPr>
                <w:color w:val="000000"/>
              </w:rPr>
              <w:t>Critical infrastructure</w:t>
            </w:r>
          </w:p>
          <w:p w14:paraId="206478AF" w14:textId="77777777" w:rsidR="00351649" w:rsidRPr="00996D56" w:rsidRDefault="00351649">
            <w:pPr>
              <w:pStyle w:val="ListParagraph"/>
              <w:numPr>
                <w:ilvl w:val="0"/>
                <w:numId w:val="8"/>
              </w:numPr>
              <w:ind w:left="324"/>
            </w:pPr>
            <w:r w:rsidRPr="00996D56">
              <w:rPr>
                <w:color w:val="000000"/>
              </w:rPr>
              <w:t xml:space="preserve">Security of telecommunications </w:t>
            </w:r>
          </w:p>
          <w:p w14:paraId="49769456" w14:textId="77777777" w:rsidR="00351649" w:rsidRPr="00996D56" w:rsidRDefault="00351649">
            <w:pPr>
              <w:pStyle w:val="ListParagraph"/>
              <w:numPr>
                <w:ilvl w:val="0"/>
                <w:numId w:val="8"/>
              </w:numPr>
              <w:ind w:left="324"/>
            </w:pPr>
            <w:r w:rsidRPr="00996D56">
              <w:rPr>
                <w:color w:val="000000"/>
              </w:rPr>
              <w:t>Crisis management and coordination through the National Coordination Mechanism</w:t>
            </w:r>
          </w:p>
          <w:p w14:paraId="65257B03" w14:textId="77777777" w:rsidR="00351649" w:rsidRPr="00996D56" w:rsidRDefault="00351649">
            <w:pPr>
              <w:pStyle w:val="ListParagraph"/>
              <w:numPr>
                <w:ilvl w:val="0"/>
                <w:numId w:val="8"/>
              </w:numPr>
              <w:spacing w:before="120"/>
              <w:ind w:left="324"/>
            </w:pPr>
            <w:r w:rsidRPr="00996D56">
              <w:rPr>
                <w:color w:val="000000"/>
              </w:rPr>
              <w:t>Australia’s representative to the Quad Critical Technology Working Group</w:t>
            </w:r>
          </w:p>
        </w:tc>
      </w:tr>
      <w:tr w:rsidR="00351649" w14:paraId="5FBBA686" w14:textId="77777777" w:rsidTr="00FC2C85">
        <w:tc>
          <w:tcPr>
            <w:tcW w:w="3534" w:type="dxa"/>
            <w:tcBorders>
              <w:top w:val="nil"/>
              <w:left w:val="single" w:sz="8" w:space="0" w:color="666666"/>
              <w:bottom w:val="single" w:sz="8" w:space="0" w:color="666666"/>
              <w:right w:val="nil"/>
            </w:tcBorders>
            <w:tcMar>
              <w:top w:w="0" w:type="dxa"/>
              <w:left w:w="108" w:type="dxa"/>
              <w:bottom w:w="0" w:type="dxa"/>
              <w:right w:w="108" w:type="dxa"/>
            </w:tcMar>
            <w:hideMark/>
          </w:tcPr>
          <w:p w14:paraId="43F6E638" w14:textId="77777777" w:rsidR="00351649" w:rsidRPr="00996D56" w:rsidRDefault="00351649">
            <w:pPr>
              <w:spacing w:before="120" w:after="120"/>
              <w:rPr>
                <w:b/>
                <w:bCs/>
              </w:rPr>
            </w:pPr>
            <w:r w:rsidRPr="00996D56">
              <w:rPr>
                <w:b/>
                <w:bCs/>
              </w:rPr>
              <w:t>Department of Infrastructure, Transport, Regional Development and Communications and the Arts</w:t>
            </w:r>
          </w:p>
        </w:tc>
        <w:tc>
          <w:tcPr>
            <w:tcW w:w="5472" w:type="dxa"/>
            <w:tcBorders>
              <w:top w:val="nil"/>
              <w:left w:val="nil"/>
              <w:bottom w:val="single" w:sz="8" w:space="0" w:color="666666"/>
              <w:right w:val="single" w:sz="8" w:space="0" w:color="666666"/>
            </w:tcBorders>
            <w:tcMar>
              <w:top w:w="0" w:type="dxa"/>
              <w:left w:w="108" w:type="dxa"/>
              <w:bottom w:w="0" w:type="dxa"/>
              <w:right w:w="108" w:type="dxa"/>
            </w:tcMar>
            <w:hideMark/>
          </w:tcPr>
          <w:p w14:paraId="71EAC895" w14:textId="77777777" w:rsidR="00351649" w:rsidRPr="00996D56" w:rsidRDefault="00351649">
            <w:pPr>
              <w:pStyle w:val="ListParagraph"/>
              <w:numPr>
                <w:ilvl w:val="0"/>
                <w:numId w:val="8"/>
              </w:numPr>
              <w:spacing w:after="120"/>
              <w:ind w:left="324"/>
            </w:pPr>
            <w:r w:rsidRPr="00996D56">
              <w:t>Freight and transport</w:t>
            </w:r>
          </w:p>
          <w:p w14:paraId="571DFEF4" w14:textId="77777777" w:rsidR="00351649" w:rsidRPr="00996D56" w:rsidRDefault="00351649">
            <w:pPr>
              <w:pStyle w:val="ListParagraph"/>
              <w:numPr>
                <w:ilvl w:val="0"/>
                <w:numId w:val="8"/>
              </w:numPr>
              <w:ind w:left="324"/>
            </w:pPr>
            <w:r w:rsidRPr="00996D56">
              <w:t>Maritime strategic fleet</w:t>
            </w:r>
          </w:p>
          <w:p w14:paraId="34CAB62D" w14:textId="77777777" w:rsidR="00351649" w:rsidRPr="00996D56" w:rsidRDefault="00351649">
            <w:pPr>
              <w:pStyle w:val="ListParagraph"/>
              <w:numPr>
                <w:ilvl w:val="0"/>
                <w:numId w:val="8"/>
              </w:numPr>
              <w:spacing w:before="120"/>
              <w:ind w:left="324"/>
            </w:pPr>
            <w:r w:rsidRPr="00996D56">
              <w:t>Telecommunications engagement</w:t>
            </w:r>
          </w:p>
        </w:tc>
      </w:tr>
      <w:tr w:rsidR="00351649" w14:paraId="439187D7" w14:textId="77777777" w:rsidTr="00FC2C85">
        <w:tc>
          <w:tcPr>
            <w:tcW w:w="3534" w:type="dxa"/>
            <w:tcBorders>
              <w:top w:val="nil"/>
              <w:left w:val="single" w:sz="8" w:space="0" w:color="666666"/>
              <w:bottom w:val="single" w:sz="8" w:space="0" w:color="666666"/>
              <w:right w:val="nil"/>
            </w:tcBorders>
            <w:shd w:val="clear" w:color="auto" w:fill="CCCCCC"/>
            <w:tcMar>
              <w:top w:w="0" w:type="dxa"/>
              <w:left w:w="108" w:type="dxa"/>
              <w:bottom w:w="0" w:type="dxa"/>
              <w:right w:w="108" w:type="dxa"/>
            </w:tcMar>
            <w:hideMark/>
          </w:tcPr>
          <w:p w14:paraId="3CF05C24" w14:textId="77777777" w:rsidR="00351649" w:rsidRPr="00996D56" w:rsidRDefault="00351649">
            <w:pPr>
              <w:spacing w:before="120" w:after="120"/>
              <w:rPr>
                <w:b/>
                <w:bCs/>
              </w:rPr>
            </w:pPr>
            <w:r w:rsidRPr="00996D56">
              <w:rPr>
                <w:b/>
                <w:bCs/>
                <w:color w:val="000000"/>
              </w:rPr>
              <w:t>The Treasury</w:t>
            </w:r>
          </w:p>
        </w:tc>
        <w:tc>
          <w:tcPr>
            <w:tcW w:w="5472"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14:paraId="6C0B9569" w14:textId="77777777" w:rsidR="00351649" w:rsidRPr="00996D56" w:rsidRDefault="00351649">
            <w:pPr>
              <w:pStyle w:val="ListParagraph"/>
              <w:numPr>
                <w:ilvl w:val="0"/>
                <w:numId w:val="8"/>
              </w:numPr>
              <w:spacing w:after="120"/>
              <w:ind w:left="324"/>
            </w:pPr>
            <w:r w:rsidRPr="00996D56">
              <w:rPr>
                <w:color w:val="000000"/>
              </w:rPr>
              <w:t>Economic coercion and implications of supply chain disruptions</w:t>
            </w:r>
          </w:p>
          <w:p w14:paraId="136FD02A" w14:textId="77777777" w:rsidR="00351649" w:rsidRPr="00996D56" w:rsidRDefault="00351649">
            <w:pPr>
              <w:pStyle w:val="ListParagraph"/>
              <w:numPr>
                <w:ilvl w:val="0"/>
                <w:numId w:val="8"/>
              </w:numPr>
              <w:spacing w:before="120"/>
              <w:ind w:left="324"/>
            </w:pPr>
            <w:r w:rsidRPr="00996D56">
              <w:rPr>
                <w:color w:val="000000"/>
              </w:rPr>
              <w:t>Tariff policy</w:t>
            </w:r>
          </w:p>
        </w:tc>
      </w:tr>
    </w:tbl>
    <w:p w14:paraId="32901E22" w14:textId="0738C6AF" w:rsidR="00351649" w:rsidRPr="00971531" w:rsidRDefault="00351649" w:rsidP="00351649">
      <w:pPr>
        <w:jc w:val="both"/>
        <w:rPr>
          <w:lang w:val="en-AU"/>
        </w:rPr>
      </w:pPr>
    </w:p>
    <w:p w14:paraId="56B2FD29" w14:textId="77777777" w:rsidR="00351649" w:rsidRDefault="00351649" w:rsidP="00351649">
      <w:pPr>
        <w:pStyle w:val="ListParagraph"/>
        <w:numPr>
          <w:ilvl w:val="0"/>
          <w:numId w:val="5"/>
        </w:numPr>
        <w:jc w:val="both"/>
        <w:rPr>
          <w:rFonts w:eastAsia="Times New Roman"/>
          <w:i/>
          <w:iCs/>
        </w:rPr>
      </w:pPr>
      <w:r>
        <w:rPr>
          <w:rFonts w:eastAsia="Times New Roman"/>
          <w:i/>
          <w:iCs/>
        </w:rPr>
        <w:t>Concentration and chokepoints in critical supply chains</w:t>
      </w:r>
    </w:p>
    <w:p w14:paraId="0AE63411" w14:textId="150BB9F6" w:rsidR="00351649" w:rsidRDefault="00351649" w:rsidP="00351649">
      <w:pPr>
        <w:jc w:val="both"/>
        <w:rPr>
          <w:rFonts w:eastAsia="Times New Roman"/>
        </w:rPr>
      </w:pPr>
      <w:r>
        <w:rPr>
          <w:rFonts w:eastAsia="Times New Roman"/>
        </w:rPr>
        <w:br/>
        <w:t xml:space="preserve">A common feature of modern global supply chains is the use of concentrated hubs of suppliers to </w:t>
      </w:r>
      <w:r>
        <w:rPr>
          <w:rFonts w:eastAsia="Times New Roman"/>
        </w:rPr>
        <w:lastRenderedPageBreak/>
        <w:t>improve production efficiency and realise comparative advantages. However, these same concentrations can magnify shock propagation and increase the vulnerability of firms and the broader supply chain to disruption.</w:t>
      </w:r>
      <w:r>
        <w:rPr>
          <w:rStyle w:val="FootnoteReference"/>
          <w:rFonts w:eastAsia="Times New Roman"/>
        </w:rPr>
        <w:footnoteReference w:id="16"/>
      </w:r>
      <w:r>
        <w:rPr>
          <w:rFonts w:eastAsia="Times New Roman"/>
        </w:rPr>
        <w:t xml:space="preserve"> </w:t>
      </w:r>
      <w:r w:rsidRPr="00D52182">
        <w:rPr>
          <w:rFonts w:eastAsia="Times New Roman"/>
        </w:rPr>
        <w:t>Similarly, c</w:t>
      </w:r>
      <w:r w:rsidRPr="00D52182">
        <w:rPr>
          <w:rFonts w:ascii="Calibri" w:eastAsia="Arial" w:hAnsi="Calibri" w:cs="Calibri"/>
        </w:rPr>
        <w:t xml:space="preserve">ountries can become vulnerable when they rely too heavily on imports for </w:t>
      </w:r>
      <w:proofErr w:type="gramStart"/>
      <w:r w:rsidRPr="00D52182">
        <w:rPr>
          <w:rFonts w:ascii="Calibri" w:eastAsia="Arial" w:hAnsi="Calibri" w:cs="Calibri"/>
        </w:rPr>
        <w:t>the majority of</w:t>
      </w:r>
      <w:proofErr w:type="gramEnd"/>
      <w:r w:rsidRPr="00D52182">
        <w:rPr>
          <w:rFonts w:ascii="Calibri" w:eastAsia="Arial" w:hAnsi="Calibri" w:cs="Calibri"/>
        </w:rPr>
        <w:t xml:space="preserve"> </w:t>
      </w:r>
      <w:r>
        <w:rPr>
          <w:rFonts w:ascii="Calibri" w:eastAsia="Arial" w:hAnsi="Calibri" w:cs="Calibri"/>
        </w:rPr>
        <w:t>their demand</w:t>
      </w:r>
      <w:r w:rsidRPr="00D52182">
        <w:rPr>
          <w:rFonts w:ascii="Calibri" w:eastAsia="Arial" w:hAnsi="Calibri" w:cs="Calibri"/>
        </w:rPr>
        <w:t>, particularly when the sources of imports are highly concentrated and limited.</w:t>
      </w:r>
      <w:r w:rsidRPr="00D52182">
        <w:rPr>
          <w:rFonts w:eastAsia="Times New Roman"/>
        </w:rPr>
        <w:t xml:space="preserve"> Excessive geographic clustering can make products particularly vulnerable to a range of possible shocks, from natural disasters through to weaponised trade.</w:t>
      </w:r>
    </w:p>
    <w:p w14:paraId="3C6DA4E2" w14:textId="726FE50B" w:rsidR="00351649" w:rsidRPr="00562686" w:rsidRDefault="00351649" w:rsidP="00351649">
      <w:pPr>
        <w:jc w:val="both"/>
        <w:rPr>
          <w:rFonts w:eastAsia="Times New Roman"/>
        </w:rPr>
      </w:pPr>
      <w:r w:rsidRPr="00562686">
        <w:rPr>
          <w:rFonts w:eastAsia="Times New Roman"/>
        </w:rPr>
        <w:t xml:space="preserve">Australia’s whole-of-government </w:t>
      </w:r>
      <w:r w:rsidRPr="00562686">
        <w:rPr>
          <w:i/>
          <w:iCs/>
          <w:lang w:val="en-AU"/>
        </w:rPr>
        <w:t>Framework for Identifying and Mitigating Critical Supply Chain Risks</w:t>
      </w:r>
      <w:r w:rsidRPr="00562686">
        <w:rPr>
          <w:rFonts w:eastAsia="Times New Roman"/>
        </w:rPr>
        <w:t xml:space="preserve">, led by OSCR, assesses vulnerabilities are greater when a supply chain has high import concentration, high global concentration of a supplier, or high import reliance relative to production. OSCR’s approach further identifies </w:t>
      </w:r>
      <w:r w:rsidRPr="00A76744">
        <w:rPr>
          <w:rFonts w:eastAsia="Times New Roman"/>
          <w:i/>
          <w:iCs/>
        </w:rPr>
        <w:t>critical</w:t>
      </w:r>
      <w:r w:rsidRPr="00562686">
        <w:rPr>
          <w:rFonts w:eastAsia="Times New Roman"/>
        </w:rPr>
        <w:t xml:space="preserve"> supply chains by filtering those vulnerable imports which, if disrupted, would cause substantial impacts to Australia’s national security, economic stability, and/or public health and safety. Market concentration is a key indicator for critical vulnerabilities, noting that </w:t>
      </w:r>
      <w:r w:rsidR="009E3110" w:rsidRPr="00562686">
        <w:rPr>
          <w:rFonts w:eastAsia="Times New Roman"/>
        </w:rPr>
        <w:t>a further</w:t>
      </w:r>
      <w:r w:rsidRPr="00562686">
        <w:rPr>
          <w:rFonts w:eastAsia="Times New Roman"/>
        </w:rPr>
        <w:t xml:space="preserve"> holistic qualitive assessment is essential to account for strategic dependencies not apparent in the trade data, while filtering out products that are non-critical. </w:t>
      </w:r>
      <w:r w:rsidRPr="00562686">
        <w:rPr>
          <w:rStyle w:val="FootnoteReference"/>
          <w:rFonts w:eastAsia="Times New Roman"/>
        </w:rPr>
        <w:footnoteReference w:id="17"/>
      </w:r>
    </w:p>
    <w:p w14:paraId="2BAE844C" w14:textId="4692D813" w:rsidR="00351649" w:rsidRDefault="00351649" w:rsidP="00351649">
      <w:pPr>
        <w:jc w:val="both"/>
        <w:rPr>
          <w:rFonts w:eastAsia="Times New Roman"/>
        </w:rPr>
      </w:pPr>
      <w:r w:rsidRPr="00562686">
        <w:rPr>
          <w:rFonts w:eastAsia="Times New Roman"/>
        </w:rPr>
        <w:t xml:space="preserve">Supply chain disruptions arising from excessive import concentrations can occur and play out in unexpected ways. An example of this was the 2021-22 shock to Australia’s supply of technical grade urea (TGU), the </w:t>
      </w:r>
      <w:r w:rsidRPr="00562686">
        <w:rPr>
          <w:rFonts w:cs="Arial"/>
          <w:bCs/>
        </w:rPr>
        <w:t>main ingredient of Diesel Exhaust Fluid (or “AdBlue”). With Australia at the time heavily reliant on China for TGU imports, the disruption raised serious concern</w:t>
      </w:r>
      <w:r>
        <w:rPr>
          <w:rFonts w:cs="Arial"/>
          <w:bCs/>
        </w:rPr>
        <w:t>s</w:t>
      </w:r>
      <w:r w:rsidRPr="00562686">
        <w:rPr>
          <w:rFonts w:cs="Arial"/>
          <w:bCs/>
        </w:rPr>
        <w:t xml:space="preserve"> about the </w:t>
      </w:r>
      <w:r w:rsidRPr="00562686">
        <w:rPr>
          <w:rFonts w:eastAsia="Times New Roman"/>
        </w:rPr>
        <w:t>potential to shut</w:t>
      </w:r>
      <w:r>
        <w:rPr>
          <w:rFonts w:eastAsia="Times New Roman"/>
        </w:rPr>
        <w:t xml:space="preserve"> </w:t>
      </w:r>
      <w:r w:rsidRPr="00562686">
        <w:rPr>
          <w:rFonts w:eastAsia="Times New Roman"/>
        </w:rPr>
        <w:t xml:space="preserve">down the Australian trucking industry, </w:t>
      </w:r>
      <w:r>
        <w:rPr>
          <w:rFonts w:eastAsia="Times New Roman"/>
        </w:rPr>
        <w:t xml:space="preserve">thereby </w:t>
      </w:r>
      <w:r w:rsidRPr="00562686">
        <w:rPr>
          <w:rFonts w:eastAsia="Times New Roman"/>
        </w:rPr>
        <w:t>driving up the cost of goods and freezing the movement of products domestically.</w:t>
      </w:r>
      <w:r w:rsidRPr="00562686">
        <w:rPr>
          <w:rStyle w:val="FootnoteReference"/>
          <w:rFonts w:eastAsia="Times New Roman"/>
        </w:rPr>
        <w:footnoteReference w:id="18"/>
      </w:r>
      <w:r w:rsidRPr="00562686">
        <w:rPr>
          <w:rFonts w:eastAsia="Times New Roman"/>
        </w:rPr>
        <w:t xml:space="preserve"> Domestic prices surged</w:t>
      </w:r>
      <w:r>
        <w:rPr>
          <w:rFonts w:eastAsia="Times New Roman"/>
        </w:rPr>
        <w:t>,</w:t>
      </w:r>
      <w:r w:rsidRPr="00562686">
        <w:rPr>
          <w:rFonts w:eastAsia="Times New Roman"/>
        </w:rPr>
        <w:t xml:space="preserve"> and market distorting consumer behaviour ensued. The disruption similarly raised the prospect of shortages for some of Australia’s regional partners, notably Japan and the Republic of Korea, with the latter reliant on China for 95 per cent of urea imports.</w:t>
      </w:r>
      <w:r w:rsidRPr="00562686">
        <w:rPr>
          <w:rStyle w:val="FootnoteReference"/>
          <w:rFonts w:eastAsia="Times New Roman"/>
        </w:rPr>
        <w:footnoteReference w:id="19"/>
      </w:r>
      <w:r w:rsidRPr="00562686">
        <w:rPr>
          <w:rFonts w:eastAsia="Times New Roman"/>
        </w:rPr>
        <w:t xml:space="preserve"> The mobilisation of overseas diplomatic and commercial networks (especially in Japan and Indonesia) to source TGU supplies, combined with significant government support to ramp up domestic AdBlue production, was crucial in averting crisis. This experience of the urea shock regularly proved to be a recurring reference point throughout the IPEF Pillar II (Supply Chains) negotiations, framing disruptions and concentrated supply chains as a common challenge necessitating regional cooperation.</w:t>
      </w:r>
    </w:p>
    <w:p w14:paraId="18BB570A" w14:textId="3C805C76" w:rsidR="00351649" w:rsidRDefault="00351649" w:rsidP="00351649">
      <w:pPr>
        <w:jc w:val="both"/>
        <w:rPr>
          <w:rFonts w:eastAsia="Times New Roman"/>
        </w:rPr>
      </w:pPr>
      <w:r>
        <w:rPr>
          <w:rFonts w:eastAsia="Times New Roman"/>
        </w:rPr>
        <w:t xml:space="preserve">Recent analysis by the Peterson Institute for International Economics highlights the extent to which supply chain concentration and excessive import reliance are increasingly a feature of the Indo-Pacific region. Using the </w:t>
      </w:r>
      <w:r w:rsidRPr="000A20E6">
        <w:rPr>
          <w:rFonts w:eastAsia="Times New Roman"/>
        </w:rPr>
        <w:t>Herfindahl-Hirschman index (HHI)</w:t>
      </w:r>
      <w:r>
        <w:rPr>
          <w:rFonts w:eastAsia="Times New Roman"/>
        </w:rPr>
        <w:t xml:space="preserve"> to analyse each IPEF country in both 2010 and 2021, the analysis finds that import (and export) destinations have become less diversified on average for all IPEF countries:</w:t>
      </w:r>
    </w:p>
    <w:p w14:paraId="06DC12F7" w14:textId="3573B723" w:rsidR="00351649" w:rsidRDefault="00351649" w:rsidP="00351649">
      <w:pPr>
        <w:ind w:left="720"/>
        <w:jc w:val="both"/>
        <w:rPr>
          <w:rFonts w:eastAsia="Times New Roman"/>
        </w:rPr>
      </w:pPr>
      <w:r>
        <w:rPr>
          <w:rFonts w:eastAsia="Times New Roman"/>
        </w:rPr>
        <w:t xml:space="preserve">“Overall </w:t>
      </w:r>
      <w:r w:rsidRPr="00F94F91">
        <w:rPr>
          <w:rFonts w:eastAsia="Times New Roman"/>
        </w:rPr>
        <w:t xml:space="preserve">IPEF countries now rely more heavily on a smaller set of import sources and export destinations than they did a decade ago, and their import and export patterns have become </w:t>
      </w:r>
      <w:r w:rsidRPr="00F94F91">
        <w:rPr>
          <w:rFonts w:eastAsia="Times New Roman"/>
        </w:rPr>
        <w:lastRenderedPageBreak/>
        <w:t>far less diversified across partners, most notably for middle-income countries emerging as alternative sites for production currently located in China.</w:t>
      </w:r>
      <w:r>
        <w:rPr>
          <w:rFonts w:eastAsia="Times New Roman"/>
        </w:rPr>
        <w:t>”</w:t>
      </w:r>
      <w:r>
        <w:rPr>
          <w:rStyle w:val="FootnoteReference"/>
          <w:rFonts w:eastAsia="Times New Roman"/>
        </w:rPr>
        <w:footnoteReference w:id="20"/>
      </w:r>
    </w:p>
    <w:p w14:paraId="5EFD9342" w14:textId="77777777" w:rsidR="00351649" w:rsidRDefault="00351649" w:rsidP="00351649">
      <w:pPr>
        <w:jc w:val="both"/>
        <w:rPr>
          <w:rFonts w:eastAsia="Times New Roman"/>
        </w:rPr>
      </w:pPr>
      <w:r>
        <w:rPr>
          <w:rFonts w:eastAsia="Times New Roman"/>
        </w:rPr>
        <w:t xml:space="preserve">As can be seen from Figures 6 and 7 below, Australia sits roughly in the middle of this trend, with import sources becoming 40 per cent less diverse between 2010 and 2021. </w:t>
      </w:r>
    </w:p>
    <w:p w14:paraId="7B13DB0C" w14:textId="3D405AB9" w:rsidR="00351649" w:rsidRDefault="00351649" w:rsidP="00351649">
      <w:pPr>
        <w:pStyle w:val="Caption"/>
        <w:keepNext/>
        <w:jc w:val="both"/>
      </w:pPr>
      <w:r>
        <w:t>Figure 6</w:t>
      </w:r>
    </w:p>
    <w:p w14:paraId="4AFF4D61" w14:textId="77777777" w:rsidR="00351649" w:rsidRDefault="00351649" w:rsidP="00351649">
      <w:pPr>
        <w:keepNext/>
        <w:jc w:val="both"/>
      </w:pPr>
      <w:r>
        <w:rPr>
          <w:rFonts w:eastAsia="Times New Roman"/>
          <w:noProof/>
        </w:rPr>
        <w:drawing>
          <wp:inline distT="0" distB="0" distL="0" distR="0" wp14:anchorId="05ADA9D7" wp14:editId="72594D6E">
            <wp:extent cx="5731510" cy="4598035"/>
            <wp:effectExtent l="0" t="0" r="2540" b="0"/>
            <wp:docPr id="1" name="Picture 1" descr="A graph with blue and pin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and pink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598035"/>
                    </a:xfrm>
                    <a:prstGeom prst="rect">
                      <a:avLst/>
                    </a:prstGeom>
                  </pic:spPr>
                </pic:pic>
              </a:graphicData>
            </a:graphic>
          </wp:inline>
        </w:drawing>
      </w:r>
    </w:p>
    <w:p w14:paraId="3F486F56" w14:textId="77777777" w:rsidR="00351649" w:rsidRDefault="00351649" w:rsidP="00351649">
      <w:pPr>
        <w:jc w:val="both"/>
        <w:rPr>
          <w:rFonts w:eastAsia="Times New Roman"/>
        </w:rPr>
      </w:pPr>
    </w:p>
    <w:p w14:paraId="58E3FBB3" w14:textId="77777777" w:rsidR="00351649" w:rsidRDefault="00351649" w:rsidP="00351649">
      <w:pPr>
        <w:jc w:val="both"/>
        <w:rPr>
          <w:noProof/>
        </w:rPr>
      </w:pPr>
    </w:p>
    <w:p w14:paraId="3D3BEA7A" w14:textId="77777777" w:rsidR="00351649" w:rsidRDefault="00351649" w:rsidP="00351649">
      <w:pPr>
        <w:pStyle w:val="Caption"/>
        <w:keepNext/>
      </w:pPr>
      <w:r>
        <w:lastRenderedPageBreak/>
        <w:t>Figure 7</w:t>
      </w:r>
    </w:p>
    <w:p w14:paraId="3E9F2C1A" w14:textId="77777777" w:rsidR="00351649" w:rsidRDefault="00351649" w:rsidP="00351649">
      <w:pPr>
        <w:keepNext/>
      </w:pPr>
      <w:r>
        <w:rPr>
          <w:noProof/>
        </w:rPr>
        <w:drawing>
          <wp:inline distT="0" distB="0" distL="0" distR="0" wp14:anchorId="66FC7B3B" wp14:editId="7F107373">
            <wp:extent cx="5731510" cy="55645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564505"/>
                    </a:xfrm>
                    <a:prstGeom prst="rect">
                      <a:avLst/>
                    </a:prstGeom>
                  </pic:spPr>
                </pic:pic>
              </a:graphicData>
            </a:graphic>
          </wp:inline>
        </w:drawing>
      </w:r>
    </w:p>
    <w:p w14:paraId="3E5F11AC" w14:textId="77777777" w:rsidR="00351649" w:rsidRDefault="00351649" w:rsidP="00351649">
      <w:pPr>
        <w:jc w:val="both"/>
        <w:rPr>
          <w:rFonts w:eastAsia="Times New Roman"/>
        </w:rPr>
      </w:pPr>
    </w:p>
    <w:p w14:paraId="098786D4" w14:textId="77777777" w:rsidR="00D3554E" w:rsidRPr="00486663" w:rsidRDefault="00D3554E" w:rsidP="00351649">
      <w:pPr>
        <w:jc w:val="both"/>
        <w:rPr>
          <w:rFonts w:ascii="Calibri" w:eastAsia="Times New Roman" w:hAnsi="Calibri" w:cs="Calibri"/>
          <w:b/>
          <w:bCs/>
          <w:lang w:val="en-AU"/>
        </w:rPr>
      </w:pPr>
      <w:r w:rsidRPr="00486663">
        <w:rPr>
          <w:rFonts w:eastAsia="Times New Roman"/>
          <w:b/>
          <w:bCs/>
        </w:rPr>
        <w:br w:type="page"/>
      </w:r>
      <w:r w:rsidRPr="00486663">
        <w:rPr>
          <w:rFonts w:eastAsia="Times New Roman"/>
          <w:b/>
          <w:bCs/>
        </w:rPr>
        <w:lastRenderedPageBreak/>
        <w:t xml:space="preserve">Question 2 - What are the objectives, why is government intervention needed to achieve them, and how </w:t>
      </w:r>
      <w:r w:rsidRPr="00486663">
        <w:rPr>
          <w:rFonts w:ascii="Calibri" w:eastAsia="Times New Roman" w:hAnsi="Calibri" w:cs="Calibri"/>
          <w:b/>
          <w:bCs/>
          <w:lang w:val="en-AU"/>
        </w:rPr>
        <w:t>will success be measured?</w:t>
      </w:r>
    </w:p>
    <w:p w14:paraId="4809B5BE" w14:textId="503A9E3C" w:rsidR="003260FD" w:rsidRDefault="00D3554E" w:rsidP="169CB04D">
      <w:pPr>
        <w:jc w:val="both"/>
        <w:rPr>
          <w:rFonts w:eastAsia="Times New Roman"/>
        </w:rPr>
      </w:pPr>
      <w:r w:rsidRPr="00FC375E">
        <w:rPr>
          <w:rFonts w:eastAsia="Times New Roman"/>
        </w:rPr>
        <w:t>Supply chains are the function of private firms in commercial arrangements</w:t>
      </w:r>
      <w:r w:rsidR="006E2108">
        <w:rPr>
          <w:rFonts w:eastAsia="Times New Roman"/>
        </w:rPr>
        <w:t xml:space="preserve">. </w:t>
      </w:r>
      <w:r w:rsidRPr="00FC375E">
        <w:rPr>
          <w:rFonts w:eastAsia="Times New Roman"/>
        </w:rPr>
        <w:t>Government interventions can</w:t>
      </w:r>
      <w:r w:rsidR="008561DA">
        <w:rPr>
          <w:rFonts w:eastAsia="Times New Roman"/>
        </w:rPr>
        <w:t xml:space="preserve"> cause </w:t>
      </w:r>
      <w:r w:rsidR="001D74ED">
        <w:rPr>
          <w:rFonts w:eastAsia="Times New Roman"/>
        </w:rPr>
        <w:t>market distortions and</w:t>
      </w:r>
      <w:r w:rsidRPr="00FC375E">
        <w:rPr>
          <w:rFonts w:eastAsia="Times New Roman"/>
        </w:rPr>
        <w:t xml:space="preserve"> impede the ability of private firms to manage risk, thereby exacerbating supply chain shortages and disruptions. </w:t>
      </w:r>
      <w:r w:rsidR="00B149B9">
        <w:rPr>
          <w:rFonts w:eastAsia="Times New Roman"/>
        </w:rPr>
        <w:t>However, g</w:t>
      </w:r>
      <w:r w:rsidR="74236E73" w:rsidRPr="169CB04D">
        <w:rPr>
          <w:rFonts w:eastAsia="Times New Roman"/>
        </w:rPr>
        <w:t>overnment</w:t>
      </w:r>
      <w:r w:rsidR="214273D7" w:rsidRPr="169CB04D">
        <w:rPr>
          <w:rFonts w:eastAsia="Times New Roman"/>
        </w:rPr>
        <w:t>s</w:t>
      </w:r>
      <w:r w:rsidR="74236E73" w:rsidRPr="169CB04D">
        <w:rPr>
          <w:rFonts w:eastAsia="Times New Roman"/>
        </w:rPr>
        <w:t xml:space="preserve"> can play an important supportive role in ensuring firms do not face unnecessary constraints on how they plan for and respond to disruptions.</w:t>
      </w:r>
      <w:r w:rsidRPr="169CB04D">
        <w:rPr>
          <w:rStyle w:val="FootnoteReference"/>
          <w:rFonts w:eastAsia="Times New Roman"/>
        </w:rPr>
        <w:footnoteReference w:id="21"/>
      </w:r>
      <w:r w:rsidR="74236E73" w:rsidRPr="169CB04D">
        <w:rPr>
          <w:rFonts w:eastAsia="Times New Roman"/>
        </w:rPr>
        <w:t xml:space="preserve"> </w:t>
      </w:r>
      <w:r w:rsidR="6AA361BD" w:rsidRPr="169CB04D">
        <w:rPr>
          <w:rFonts w:eastAsia="Times New Roman"/>
        </w:rPr>
        <w:t xml:space="preserve">The provision of a trusted and rules-based trading environment, for example, facilitates the ability of firms to diversify their suppliers in preparation </w:t>
      </w:r>
      <w:r w:rsidR="00400166">
        <w:rPr>
          <w:rFonts w:eastAsia="Times New Roman"/>
        </w:rPr>
        <w:t xml:space="preserve">for </w:t>
      </w:r>
      <w:r w:rsidR="6AA361BD" w:rsidRPr="169CB04D">
        <w:rPr>
          <w:rFonts w:eastAsia="Times New Roman"/>
        </w:rPr>
        <w:t xml:space="preserve">disruptions, and to source alternative supply </w:t>
      </w:r>
      <w:r w:rsidR="667DE8E6" w:rsidRPr="169CB04D">
        <w:rPr>
          <w:rFonts w:eastAsia="Times New Roman"/>
        </w:rPr>
        <w:t>when disruptions occur.</w:t>
      </w:r>
      <w:r w:rsidRPr="169CB04D">
        <w:rPr>
          <w:rStyle w:val="FootnoteReference"/>
          <w:rFonts w:eastAsia="Times New Roman"/>
        </w:rPr>
        <w:footnoteReference w:id="22"/>
      </w:r>
      <w:r w:rsidR="4C768F6F" w:rsidRPr="169CB04D">
        <w:rPr>
          <w:rFonts w:eastAsia="Times New Roman"/>
        </w:rPr>
        <w:t xml:space="preserve"> </w:t>
      </w:r>
    </w:p>
    <w:p w14:paraId="7866A520" w14:textId="1099ACA8" w:rsidR="00416391" w:rsidRDefault="0042082C" w:rsidP="004748BB">
      <w:pPr>
        <w:jc w:val="both"/>
        <w:rPr>
          <w:rFonts w:eastAsia="Times New Roman"/>
        </w:rPr>
      </w:pPr>
      <w:r>
        <w:rPr>
          <w:rFonts w:eastAsia="Times New Roman"/>
        </w:rPr>
        <w:t>As identified in Question 1, for</w:t>
      </w:r>
      <w:r w:rsidR="004748BB" w:rsidRPr="169CB04D">
        <w:rPr>
          <w:rFonts w:eastAsia="Times New Roman"/>
        </w:rPr>
        <w:t xml:space="preserve"> a narrow band of critical sectors and goods, normal commercial sourcing practices have led to excessive market concentrations globally that pose unacceptable </w:t>
      </w:r>
      <w:r w:rsidR="009C4C37">
        <w:rPr>
          <w:rFonts w:eastAsia="Times New Roman"/>
        </w:rPr>
        <w:t>spill over</w:t>
      </w:r>
      <w:r w:rsidR="0015044B">
        <w:rPr>
          <w:rFonts w:eastAsia="Times New Roman"/>
        </w:rPr>
        <w:t xml:space="preserve"> </w:t>
      </w:r>
      <w:r w:rsidR="004748BB" w:rsidRPr="169CB04D">
        <w:rPr>
          <w:rFonts w:eastAsia="Times New Roman"/>
        </w:rPr>
        <w:t xml:space="preserve">risks for Australia’s security, public </w:t>
      </w:r>
      <w:proofErr w:type="gramStart"/>
      <w:r w:rsidR="004748BB" w:rsidRPr="169CB04D">
        <w:rPr>
          <w:rFonts w:eastAsia="Times New Roman"/>
        </w:rPr>
        <w:t>health</w:t>
      </w:r>
      <w:proofErr w:type="gramEnd"/>
      <w:r w:rsidR="004748BB" w:rsidRPr="169CB04D">
        <w:rPr>
          <w:rFonts w:eastAsia="Times New Roman"/>
        </w:rPr>
        <w:t xml:space="preserve"> </w:t>
      </w:r>
      <w:r w:rsidR="5CE2DCB2" w:rsidRPr="2EA9A92C">
        <w:rPr>
          <w:rFonts w:eastAsia="Times New Roman"/>
        </w:rPr>
        <w:t xml:space="preserve">and </w:t>
      </w:r>
      <w:r w:rsidR="004748BB" w:rsidRPr="169CB04D">
        <w:rPr>
          <w:rFonts w:eastAsia="Times New Roman"/>
        </w:rPr>
        <w:t xml:space="preserve">overall economic resilience. </w:t>
      </w:r>
      <w:r w:rsidR="00F76CF9" w:rsidRPr="00F76CF9">
        <w:rPr>
          <w:rFonts w:eastAsia="Times New Roman"/>
        </w:rPr>
        <w:t xml:space="preserve">Profit-maximising private firms may not have the information, </w:t>
      </w:r>
      <w:proofErr w:type="gramStart"/>
      <w:r w:rsidR="00F76CF9" w:rsidRPr="00F76CF9">
        <w:rPr>
          <w:rFonts w:eastAsia="Times New Roman"/>
        </w:rPr>
        <w:t>capacity</w:t>
      </w:r>
      <w:proofErr w:type="gramEnd"/>
      <w:r w:rsidR="00F76CF9" w:rsidRPr="00F76CF9">
        <w:rPr>
          <w:rFonts w:eastAsia="Times New Roman"/>
        </w:rPr>
        <w:t xml:space="preserve"> or incentives to </w:t>
      </w:r>
      <w:r w:rsidR="00F76CF9" w:rsidRPr="2EA9A92C">
        <w:rPr>
          <w:rFonts w:eastAsia="Times New Roman"/>
        </w:rPr>
        <w:t>satisfactor</w:t>
      </w:r>
      <w:r w:rsidR="0BFFCCD7" w:rsidRPr="2EA9A92C">
        <w:rPr>
          <w:rFonts w:eastAsia="Times New Roman"/>
        </w:rPr>
        <w:t>il</w:t>
      </w:r>
      <w:r w:rsidR="00F76CF9" w:rsidRPr="2EA9A92C">
        <w:rPr>
          <w:rFonts w:eastAsia="Times New Roman"/>
        </w:rPr>
        <w:t>y</w:t>
      </w:r>
      <w:r w:rsidR="00F76CF9" w:rsidRPr="00F76CF9">
        <w:rPr>
          <w:rFonts w:eastAsia="Times New Roman"/>
        </w:rPr>
        <w:t xml:space="preserve"> mitigate these critical risks to broader public goods.</w:t>
      </w:r>
      <w:r w:rsidR="00F76CF9">
        <w:rPr>
          <w:rFonts w:eastAsia="Times New Roman"/>
        </w:rPr>
        <w:t xml:space="preserve"> </w:t>
      </w:r>
      <w:r w:rsidR="0058520A">
        <w:rPr>
          <w:rFonts w:eastAsia="Times New Roman"/>
        </w:rPr>
        <w:t xml:space="preserve">While </w:t>
      </w:r>
      <w:r w:rsidR="00A867F7">
        <w:rPr>
          <w:rFonts w:eastAsia="Times New Roman"/>
        </w:rPr>
        <w:t xml:space="preserve">government-supported </w:t>
      </w:r>
      <w:r w:rsidR="005B1D89">
        <w:rPr>
          <w:rFonts w:eastAsia="Times New Roman"/>
        </w:rPr>
        <w:t xml:space="preserve">onshoring </w:t>
      </w:r>
      <w:r w:rsidR="007479B5">
        <w:rPr>
          <w:rFonts w:eastAsia="Times New Roman"/>
        </w:rPr>
        <w:t xml:space="preserve">of critical supply chains </w:t>
      </w:r>
      <w:r w:rsidR="00E60934">
        <w:rPr>
          <w:rFonts w:eastAsia="Times New Roman"/>
        </w:rPr>
        <w:t xml:space="preserve">in Australia </w:t>
      </w:r>
      <w:r w:rsidR="001A49CA">
        <w:rPr>
          <w:rFonts w:eastAsia="Times New Roman"/>
        </w:rPr>
        <w:t xml:space="preserve">can </w:t>
      </w:r>
      <w:r w:rsidR="006A51C0">
        <w:rPr>
          <w:rFonts w:eastAsia="Times New Roman"/>
        </w:rPr>
        <w:t xml:space="preserve">play a role in mitigating </w:t>
      </w:r>
      <w:r w:rsidR="00DF0E0F">
        <w:rPr>
          <w:rFonts w:eastAsia="Times New Roman"/>
        </w:rPr>
        <w:t xml:space="preserve">certain risks, </w:t>
      </w:r>
      <w:r w:rsidR="007152A6">
        <w:rPr>
          <w:rFonts w:eastAsia="Times New Roman"/>
        </w:rPr>
        <w:t xml:space="preserve">it would be beyond </w:t>
      </w:r>
      <w:r w:rsidR="006A564C">
        <w:rPr>
          <w:rFonts w:eastAsia="Times New Roman"/>
        </w:rPr>
        <w:t xml:space="preserve">Australia’s capacity </w:t>
      </w:r>
      <w:r w:rsidR="003E097C">
        <w:rPr>
          <w:rFonts w:eastAsia="Times New Roman"/>
        </w:rPr>
        <w:t>or cost tolerance</w:t>
      </w:r>
      <w:r w:rsidR="008015C4">
        <w:rPr>
          <w:rFonts w:eastAsia="Times New Roman"/>
        </w:rPr>
        <w:t xml:space="preserve"> </w:t>
      </w:r>
      <w:r w:rsidR="00A867F7">
        <w:rPr>
          <w:rFonts w:eastAsia="Times New Roman"/>
        </w:rPr>
        <w:t xml:space="preserve">to </w:t>
      </w:r>
      <w:r w:rsidR="00DE4771">
        <w:rPr>
          <w:rFonts w:eastAsia="Times New Roman"/>
        </w:rPr>
        <w:t xml:space="preserve">address </w:t>
      </w:r>
      <w:r w:rsidR="00142CD0">
        <w:rPr>
          <w:rFonts w:eastAsia="Times New Roman"/>
        </w:rPr>
        <w:t>all</w:t>
      </w:r>
      <w:r w:rsidR="009F1A11">
        <w:rPr>
          <w:rFonts w:eastAsia="Times New Roman"/>
        </w:rPr>
        <w:t xml:space="preserve"> identified</w:t>
      </w:r>
      <w:r w:rsidR="00142CD0">
        <w:rPr>
          <w:rFonts w:eastAsia="Times New Roman"/>
        </w:rPr>
        <w:t xml:space="preserve"> supply chain vulnerabilities through onshoring </w:t>
      </w:r>
      <w:r w:rsidR="003E097C">
        <w:rPr>
          <w:rFonts w:eastAsia="Times New Roman"/>
        </w:rPr>
        <w:t xml:space="preserve">alone. </w:t>
      </w:r>
      <w:r w:rsidR="00190CF9">
        <w:rPr>
          <w:rFonts w:eastAsia="Times New Roman"/>
        </w:rPr>
        <w:t xml:space="preserve">For example, </w:t>
      </w:r>
      <w:r w:rsidR="0049611F">
        <w:rPr>
          <w:rFonts w:eastAsia="Times New Roman"/>
        </w:rPr>
        <w:t xml:space="preserve">it would not be realistic for Australia to replicate the </w:t>
      </w:r>
      <w:r w:rsidR="004F60D4">
        <w:rPr>
          <w:rFonts w:eastAsia="Times New Roman"/>
        </w:rPr>
        <w:t xml:space="preserve">intricate, </w:t>
      </w:r>
      <w:proofErr w:type="gramStart"/>
      <w:r w:rsidR="004F60D4">
        <w:rPr>
          <w:rFonts w:eastAsia="Times New Roman"/>
        </w:rPr>
        <w:t>highly-globalised</w:t>
      </w:r>
      <w:proofErr w:type="gramEnd"/>
      <w:r w:rsidR="004F60D4">
        <w:rPr>
          <w:rFonts w:eastAsia="Times New Roman"/>
        </w:rPr>
        <w:t xml:space="preserve"> and hyper-specialised supply chain</w:t>
      </w:r>
      <w:r w:rsidR="00E36FB5">
        <w:rPr>
          <w:rFonts w:eastAsia="Times New Roman"/>
        </w:rPr>
        <w:t xml:space="preserve"> </w:t>
      </w:r>
      <w:r w:rsidR="000050F2">
        <w:rPr>
          <w:rFonts w:eastAsia="Times New Roman"/>
        </w:rPr>
        <w:t>networks</w:t>
      </w:r>
      <w:r w:rsidR="00E36FB5">
        <w:rPr>
          <w:rFonts w:eastAsia="Times New Roman"/>
        </w:rPr>
        <w:t xml:space="preserve"> that underpin the manufacturing of </w:t>
      </w:r>
      <w:r w:rsidR="000050F2">
        <w:rPr>
          <w:rFonts w:eastAsia="Times New Roman"/>
        </w:rPr>
        <w:t xml:space="preserve">today’s </w:t>
      </w:r>
      <w:r w:rsidR="00E36FB5">
        <w:rPr>
          <w:rFonts w:eastAsia="Times New Roman"/>
        </w:rPr>
        <w:t xml:space="preserve">advanced semiconductors. </w:t>
      </w:r>
    </w:p>
    <w:p w14:paraId="72815D41" w14:textId="72469C4F" w:rsidR="00F27D2C" w:rsidRDefault="00F27D2C" w:rsidP="004748BB">
      <w:pPr>
        <w:jc w:val="both"/>
        <w:rPr>
          <w:rFonts w:eastAsia="Times New Roman"/>
        </w:rPr>
      </w:pPr>
      <w:r>
        <w:rPr>
          <w:rFonts w:eastAsia="Times New Roman"/>
        </w:rPr>
        <w:t xml:space="preserve">In determining responsible, </w:t>
      </w:r>
      <w:proofErr w:type="gramStart"/>
      <w:r>
        <w:rPr>
          <w:rFonts w:eastAsia="Times New Roman"/>
        </w:rPr>
        <w:t>targeted</w:t>
      </w:r>
      <w:proofErr w:type="gramEnd"/>
      <w:r>
        <w:rPr>
          <w:rFonts w:eastAsia="Times New Roman"/>
        </w:rPr>
        <w:t xml:space="preserve"> and proportionate government action, the </w:t>
      </w:r>
      <w:r w:rsidRPr="002E67E6">
        <w:rPr>
          <w:rFonts w:eastAsia="Times New Roman"/>
          <w:i/>
          <w:iCs/>
        </w:rPr>
        <w:t>Framework for Identifying and Mitigating Critical Supply Chain Risks</w:t>
      </w:r>
      <w:r>
        <w:rPr>
          <w:rFonts w:eastAsia="Times New Roman"/>
        </w:rPr>
        <w:t xml:space="preserve"> assesses the risk to disruption and existing capacity of the private sector to manage this risk. Potential actions to address the residual risk are considered from lowest to highest cost based on the level of residual risk. Examples of lower cost action, include international collaboration and facilitating international investment.   </w:t>
      </w:r>
    </w:p>
    <w:p w14:paraId="560543D1" w14:textId="7F463B94" w:rsidR="00B22EBE" w:rsidRDefault="0015044B" w:rsidP="169CB04D">
      <w:pPr>
        <w:jc w:val="both"/>
        <w:rPr>
          <w:rFonts w:eastAsia="Times New Roman"/>
        </w:rPr>
      </w:pPr>
      <w:r>
        <w:rPr>
          <w:rFonts w:eastAsia="Times New Roman"/>
        </w:rPr>
        <w:t>Many</w:t>
      </w:r>
      <w:r w:rsidR="00B22EBE">
        <w:rPr>
          <w:rFonts w:eastAsia="Times New Roman"/>
        </w:rPr>
        <w:t xml:space="preserve"> of </w:t>
      </w:r>
      <w:r w:rsidR="00302308">
        <w:rPr>
          <w:rFonts w:eastAsia="Times New Roman"/>
        </w:rPr>
        <w:t>the product</w:t>
      </w:r>
      <w:r w:rsidR="001862EF">
        <w:rPr>
          <w:rFonts w:eastAsia="Times New Roman"/>
        </w:rPr>
        <w:t xml:space="preserve"> </w:t>
      </w:r>
      <w:r w:rsidR="001862EF" w:rsidRPr="7464444D">
        <w:rPr>
          <w:rFonts w:eastAsia="Times New Roman"/>
        </w:rPr>
        <w:t>categor</w:t>
      </w:r>
      <w:r w:rsidR="3841424C" w:rsidRPr="7464444D">
        <w:rPr>
          <w:rFonts w:eastAsia="Times New Roman"/>
        </w:rPr>
        <w:t>ies</w:t>
      </w:r>
      <w:r w:rsidR="00302308">
        <w:rPr>
          <w:rFonts w:eastAsia="Times New Roman"/>
        </w:rPr>
        <w:t xml:space="preserve"> identified </w:t>
      </w:r>
      <w:r w:rsidR="00CA75B0">
        <w:rPr>
          <w:rFonts w:eastAsia="Times New Roman"/>
        </w:rPr>
        <w:t xml:space="preserve">as </w:t>
      </w:r>
      <w:r w:rsidR="00B22EBE">
        <w:rPr>
          <w:rFonts w:eastAsia="Times New Roman"/>
        </w:rPr>
        <w:t xml:space="preserve">vulnerabilities </w:t>
      </w:r>
      <w:r w:rsidR="00CA75B0">
        <w:rPr>
          <w:rFonts w:eastAsia="Times New Roman"/>
        </w:rPr>
        <w:t>for Australia (</w:t>
      </w:r>
      <w:proofErr w:type="gramStart"/>
      <w:r w:rsidR="001862EF" w:rsidRPr="00FC375E">
        <w:rPr>
          <w:rFonts w:eastAsia="Times New Roman"/>
        </w:rPr>
        <w:t>e.g.</w:t>
      </w:r>
      <w:proofErr w:type="gramEnd"/>
      <w:r w:rsidR="001862EF" w:rsidRPr="00FC375E">
        <w:rPr>
          <w:rFonts w:eastAsia="Times New Roman"/>
        </w:rPr>
        <w:t xml:space="preserve"> semiconductors, </w:t>
      </w:r>
      <w:r w:rsidR="001862EF">
        <w:rPr>
          <w:rFonts w:eastAsia="Times New Roman"/>
        </w:rPr>
        <w:t xml:space="preserve">critical </w:t>
      </w:r>
      <w:r w:rsidR="001862EF" w:rsidRPr="00FC375E">
        <w:rPr>
          <w:rFonts w:eastAsia="Times New Roman"/>
        </w:rPr>
        <w:t xml:space="preserve">pharmaceuticals, </w:t>
      </w:r>
      <w:r w:rsidR="001862EF">
        <w:rPr>
          <w:rFonts w:eastAsia="Times New Roman"/>
        </w:rPr>
        <w:t>agricultural chemicals, water treatment chemicals</w:t>
      </w:r>
      <w:r w:rsidR="001862EF" w:rsidRPr="00FC375E">
        <w:rPr>
          <w:rFonts w:eastAsia="Times New Roman"/>
        </w:rPr>
        <w:t xml:space="preserve"> etc)</w:t>
      </w:r>
      <w:r w:rsidR="00CA75B0">
        <w:rPr>
          <w:rFonts w:eastAsia="Times New Roman"/>
        </w:rPr>
        <w:t xml:space="preserve"> are also shared </w:t>
      </w:r>
      <w:r w:rsidR="001862EF">
        <w:rPr>
          <w:rFonts w:eastAsia="Times New Roman"/>
        </w:rPr>
        <w:t xml:space="preserve">by Australia’s partners in the Indo-Pacific region. </w:t>
      </w:r>
      <w:r w:rsidR="00A800CF">
        <w:rPr>
          <w:rFonts w:eastAsia="Times New Roman"/>
        </w:rPr>
        <w:t xml:space="preserve">This creates a strong </w:t>
      </w:r>
      <w:r w:rsidR="00660414">
        <w:rPr>
          <w:rFonts w:eastAsia="Times New Roman"/>
        </w:rPr>
        <w:t>basis</w:t>
      </w:r>
      <w:r w:rsidR="00A800CF">
        <w:rPr>
          <w:rFonts w:eastAsia="Times New Roman"/>
        </w:rPr>
        <w:t xml:space="preserve"> for </w:t>
      </w:r>
      <w:r w:rsidR="006A263C">
        <w:rPr>
          <w:rFonts w:eastAsia="Times New Roman"/>
        </w:rPr>
        <w:t xml:space="preserve">likeminded </w:t>
      </w:r>
      <w:r w:rsidR="0000462B">
        <w:rPr>
          <w:rFonts w:eastAsia="Times New Roman"/>
        </w:rPr>
        <w:t>countries</w:t>
      </w:r>
      <w:r w:rsidR="008772A3">
        <w:rPr>
          <w:rFonts w:eastAsia="Times New Roman"/>
        </w:rPr>
        <w:t xml:space="preserve"> </w:t>
      </w:r>
      <w:r w:rsidR="008772A3" w:rsidRPr="3AC56BAF">
        <w:rPr>
          <w:rFonts w:eastAsia="Times New Roman"/>
        </w:rPr>
        <w:t>to</w:t>
      </w:r>
      <w:r w:rsidR="008772A3">
        <w:rPr>
          <w:rFonts w:eastAsia="Times New Roman"/>
        </w:rPr>
        <w:t xml:space="preserve"> </w:t>
      </w:r>
      <w:r w:rsidR="0000462B">
        <w:rPr>
          <w:rFonts w:eastAsia="Times New Roman"/>
        </w:rPr>
        <w:t>cooperate</w:t>
      </w:r>
      <w:r w:rsidR="008772A3">
        <w:rPr>
          <w:rFonts w:eastAsia="Times New Roman"/>
        </w:rPr>
        <w:t xml:space="preserve"> to </w:t>
      </w:r>
      <w:r w:rsidR="00161AE1">
        <w:rPr>
          <w:rFonts w:eastAsia="Times New Roman"/>
        </w:rPr>
        <w:t>incentivise new supply chain networks that help</w:t>
      </w:r>
      <w:r w:rsidR="0000462B">
        <w:rPr>
          <w:rFonts w:eastAsia="Times New Roman"/>
        </w:rPr>
        <w:t xml:space="preserve"> </w:t>
      </w:r>
      <w:r w:rsidR="008772A3">
        <w:rPr>
          <w:rFonts w:eastAsia="Times New Roman"/>
        </w:rPr>
        <w:t xml:space="preserve">mitigate </w:t>
      </w:r>
      <w:r w:rsidR="00077ABF">
        <w:rPr>
          <w:rFonts w:eastAsia="Times New Roman"/>
        </w:rPr>
        <w:t xml:space="preserve">common risks, </w:t>
      </w:r>
      <w:r w:rsidR="000D72B0">
        <w:rPr>
          <w:rFonts w:eastAsia="Times New Roman"/>
        </w:rPr>
        <w:t>reducing</w:t>
      </w:r>
      <w:r w:rsidR="00FB0F8C">
        <w:rPr>
          <w:rFonts w:eastAsia="Times New Roman"/>
        </w:rPr>
        <w:t xml:space="preserve"> the </w:t>
      </w:r>
      <w:r w:rsidR="00A31D80">
        <w:rPr>
          <w:rFonts w:eastAsia="Times New Roman"/>
        </w:rPr>
        <w:t xml:space="preserve">need for </w:t>
      </w:r>
      <w:r w:rsidR="00BE57FF">
        <w:rPr>
          <w:rFonts w:eastAsia="Times New Roman"/>
        </w:rPr>
        <w:t xml:space="preserve">countries to embark on </w:t>
      </w:r>
      <w:r w:rsidR="00161AE1">
        <w:rPr>
          <w:rFonts w:eastAsia="Times New Roman"/>
        </w:rPr>
        <w:t>duplicated</w:t>
      </w:r>
      <w:r w:rsidR="00A31D80">
        <w:rPr>
          <w:rFonts w:eastAsia="Times New Roman"/>
        </w:rPr>
        <w:t xml:space="preserve"> </w:t>
      </w:r>
      <w:r w:rsidR="002C7304">
        <w:rPr>
          <w:rFonts w:eastAsia="Times New Roman"/>
        </w:rPr>
        <w:t xml:space="preserve">onshoring </w:t>
      </w:r>
      <w:r w:rsidR="00A31D80">
        <w:rPr>
          <w:rFonts w:eastAsia="Times New Roman"/>
        </w:rPr>
        <w:t>measures</w:t>
      </w:r>
      <w:r w:rsidR="002C7304">
        <w:rPr>
          <w:rFonts w:eastAsia="Times New Roman"/>
        </w:rPr>
        <w:t xml:space="preserve"> or</w:t>
      </w:r>
      <w:r w:rsidR="00A31D80">
        <w:rPr>
          <w:rFonts w:eastAsia="Times New Roman"/>
        </w:rPr>
        <w:t xml:space="preserve"> </w:t>
      </w:r>
      <w:r w:rsidR="002C7304">
        <w:rPr>
          <w:rFonts w:eastAsia="Times New Roman"/>
        </w:rPr>
        <w:t xml:space="preserve">heavy-handed government regulation. </w:t>
      </w:r>
    </w:p>
    <w:p w14:paraId="6AA1DC78" w14:textId="77777777" w:rsidR="00595124" w:rsidRDefault="00595124" w:rsidP="00595124">
      <w:pPr>
        <w:jc w:val="both"/>
        <w:rPr>
          <w:rFonts w:eastAsia="Times New Roman"/>
        </w:rPr>
      </w:pPr>
      <w:r>
        <w:rPr>
          <w:rFonts w:eastAsia="Times New Roman"/>
        </w:rPr>
        <w:t>Nevertheless, there are inherent limitations that come with pursuing supply chain resilience objectives in an international setting. While many of Australia’s supply chain vulnerabilities are common across the Indo-Pacific region, each country has its own unique economic, political and security interests that shape how it approaches supply chain challenges. In some sectors, there can exist competition as nations vie for limited investment capital or seek to shore up their industries through measures such as tariffs, export restrictions or subsidies. This can discourage international collaboration and the sharing of information, resources and best practices needed to address common challenges and systemic issues in supply chains.</w:t>
      </w:r>
    </w:p>
    <w:p w14:paraId="5E93DDAE" w14:textId="2956D514" w:rsidR="00595124" w:rsidRDefault="00595124" w:rsidP="00595124">
      <w:pPr>
        <w:jc w:val="both"/>
        <w:rPr>
          <w:rFonts w:eastAsia="Times New Roman"/>
        </w:rPr>
      </w:pPr>
      <w:r>
        <w:rPr>
          <w:rFonts w:eastAsia="Times New Roman"/>
        </w:rPr>
        <w:t>In this context</w:t>
      </w:r>
      <w:r w:rsidRPr="275083EC">
        <w:rPr>
          <w:rFonts w:eastAsia="Times New Roman"/>
        </w:rPr>
        <w:t xml:space="preserve">, </w:t>
      </w:r>
      <w:r>
        <w:rPr>
          <w:rFonts w:eastAsia="Times New Roman"/>
        </w:rPr>
        <w:t xml:space="preserve">Australia’s overarching </w:t>
      </w:r>
      <w:r w:rsidRPr="6419157D">
        <w:rPr>
          <w:rFonts w:eastAsia="Times New Roman"/>
        </w:rPr>
        <w:t>objective</w:t>
      </w:r>
      <w:r>
        <w:rPr>
          <w:rFonts w:eastAsia="Times New Roman"/>
        </w:rPr>
        <w:t xml:space="preserve"> </w:t>
      </w:r>
      <w:r w:rsidR="00F71849">
        <w:rPr>
          <w:rFonts w:eastAsia="Times New Roman"/>
        </w:rPr>
        <w:t xml:space="preserve">in international supply </w:t>
      </w:r>
      <w:r w:rsidR="00CE0C6D">
        <w:rPr>
          <w:rFonts w:eastAsia="Times New Roman"/>
        </w:rPr>
        <w:t xml:space="preserve">chain </w:t>
      </w:r>
      <w:r w:rsidR="002B09A8">
        <w:rPr>
          <w:rFonts w:eastAsia="Times New Roman"/>
        </w:rPr>
        <w:t xml:space="preserve">engagement </w:t>
      </w:r>
      <w:r w:rsidRPr="372852F0">
        <w:rPr>
          <w:rFonts w:eastAsia="Times New Roman"/>
        </w:rPr>
        <w:t xml:space="preserve">has </w:t>
      </w:r>
      <w:r w:rsidRPr="0C2D93A7">
        <w:rPr>
          <w:rFonts w:eastAsia="Times New Roman"/>
        </w:rPr>
        <w:t>been</w:t>
      </w:r>
      <w:r w:rsidRPr="787E1961">
        <w:rPr>
          <w:rFonts w:eastAsia="Times New Roman"/>
        </w:rPr>
        <w:t xml:space="preserve"> </w:t>
      </w:r>
      <w:r>
        <w:rPr>
          <w:rFonts w:eastAsia="Times New Roman"/>
        </w:rPr>
        <w:t xml:space="preserve">to maximally replicate our own </w:t>
      </w:r>
      <w:proofErr w:type="gramStart"/>
      <w:r w:rsidR="004B5AA8">
        <w:rPr>
          <w:rFonts w:eastAsia="Times New Roman"/>
        </w:rPr>
        <w:t>carefully-balanced</w:t>
      </w:r>
      <w:proofErr w:type="gramEnd"/>
      <w:r>
        <w:rPr>
          <w:rFonts w:eastAsia="Times New Roman"/>
        </w:rPr>
        <w:t xml:space="preserve">, evidence-based and risk-triaged approach </w:t>
      </w:r>
      <w:r w:rsidRPr="15E51A47">
        <w:rPr>
          <w:rFonts w:eastAsia="Times New Roman"/>
        </w:rPr>
        <w:t xml:space="preserve">on </w:t>
      </w:r>
      <w:r w:rsidRPr="15E51A47">
        <w:rPr>
          <w:rFonts w:eastAsia="Times New Roman"/>
        </w:rPr>
        <w:lastRenderedPageBreak/>
        <w:t xml:space="preserve">supply </w:t>
      </w:r>
      <w:r w:rsidRPr="7323E289">
        <w:rPr>
          <w:rFonts w:eastAsia="Times New Roman"/>
        </w:rPr>
        <w:t>chains</w:t>
      </w:r>
      <w:r w:rsidRPr="314D7523">
        <w:rPr>
          <w:rFonts w:eastAsia="Times New Roman"/>
        </w:rPr>
        <w:t>,</w:t>
      </w:r>
      <w:r>
        <w:rPr>
          <w:rFonts w:eastAsia="Times New Roman"/>
        </w:rPr>
        <w:t xml:space="preserve"> and to establish this as a basis for greater cooperation to strengthen our region’s collective supply chain resilience. </w:t>
      </w:r>
    </w:p>
    <w:p w14:paraId="69AC403D" w14:textId="77777777" w:rsidR="00595124" w:rsidRDefault="00595124" w:rsidP="00595124">
      <w:pPr>
        <w:jc w:val="both"/>
        <w:rPr>
          <w:rFonts w:eastAsia="Times New Roman"/>
        </w:rPr>
      </w:pPr>
      <w:r>
        <w:rPr>
          <w:rFonts w:eastAsia="Times New Roman"/>
        </w:rPr>
        <w:t>This overarching objective can be broken down into the follow subcomponents:</w:t>
      </w:r>
    </w:p>
    <w:p w14:paraId="102950CF" w14:textId="77777777" w:rsidR="00595124" w:rsidRPr="00BD0CA1" w:rsidRDefault="00595124" w:rsidP="00595124">
      <w:pPr>
        <w:pStyle w:val="ListParagraph"/>
        <w:numPr>
          <w:ilvl w:val="0"/>
          <w:numId w:val="2"/>
        </w:numPr>
        <w:jc w:val="both"/>
        <w:rPr>
          <w:rFonts w:eastAsia="Times New Roman"/>
          <w:i/>
          <w:iCs/>
        </w:rPr>
      </w:pPr>
      <w:r w:rsidRPr="00E2666F">
        <w:rPr>
          <w:rFonts w:eastAsia="Times New Roman"/>
          <w:u w:val="single"/>
        </w:rPr>
        <w:t>accelerate the diversification of critical supply chains</w:t>
      </w:r>
      <w:r>
        <w:rPr>
          <w:rFonts w:eastAsia="Times New Roman"/>
          <w:u w:val="single"/>
        </w:rPr>
        <w:t>.</w:t>
      </w:r>
      <w:r>
        <w:rPr>
          <w:rFonts w:eastAsia="Times New Roman"/>
        </w:rPr>
        <w:t xml:space="preserve"> The core metric to measure this will be import and global market diversification / concentration, such as the </w:t>
      </w:r>
      <w:r w:rsidRPr="000A20E6">
        <w:rPr>
          <w:rFonts w:eastAsia="Times New Roman"/>
        </w:rPr>
        <w:t>Herfindahl-Hirschman index (HHI)</w:t>
      </w:r>
      <w:r>
        <w:rPr>
          <w:rFonts w:eastAsia="Times New Roman"/>
        </w:rPr>
        <w:t>. While such metrics do not perfectly correlate with the somewhat broader concept of “resilience”, and generally rely on open-source trade data (which has limitations in terms of time lag, aggregation etc), they are nevertheless a useful comparative proxy for overall regional trends. Australia’s supply chain vulnerabilities will continue to be assessed by the Office of Supply Chain Resilience.</w:t>
      </w:r>
    </w:p>
    <w:p w14:paraId="1C0DD737" w14:textId="05794BB7" w:rsidR="00595124" w:rsidRDefault="00595124" w:rsidP="00595124">
      <w:pPr>
        <w:pStyle w:val="ListParagraph"/>
        <w:numPr>
          <w:ilvl w:val="0"/>
          <w:numId w:val="2"/>
        </w:numPr>
        <w:jc w:val="both"/>
        <w:rPr>
          <w:rFonts w:eastAsia="Times New Roman"/>
        </w:rPr>
      </w:pPr>
      <w:r w:rsidRPr="00834EB2">
        <w:rPr>
          <w:rFonts w:eastAsia="Times New Roman"/>
          <w:u w:val="single"/>
        </w:rPr>
        <w:t>seek commercial opportunities for Australian industries</w:t>
      </w:r>
      <w:r>
        <w:rPr>
          <w:rFonts w:eastAsia="Times New Roman"/>
          <w:u w:val="single"/>
        </w:rPr>
        <w:t>.</w:t>
      </w:r>
      <w:r w:rsidRPr="00A62A4B">
        <w:rPr>
          <w:rFonts w:eastAsia="Times New Roman"/>
          <w:i/>
          <w:iCs/>
        </w:rPr>
        <w:t xml:space="preserve"> </w:t>
      </w:r>
      <w:r w:rsidRPr="00AD1B79">
        <w:rPr>
          <w:rFonts w:eastAsia="Times New Roman"/>
        </w:rPr>
        <w:t>Australi</w:t>
      </w:r>
      <w:r>
        <w:rPr>
          <w:rFonts w:eastAsia="Times New Roman"/>
        </w:rPr>
        <w:t xml:space="preserve">a’s unique export capabilities, for example in areas such as critical minerals, can make an important contribution to </w:t>
      </w:r>
      <w:r w:rsidRPr="00AD1B79">
        <w:rPr>
          <w:rFonts w:eastAsia="Times New Roman"/>
        </w:rPr>
        <w:t xml:space="preserve">the region’s supply chain resilience. </w:t>
      </w:r>
      <w:r>
        <w:rPr>
          <w:rFonts w:eastAsia="Times New Roman"/>
        </w:rPr>
        <w:t>As it is typically not possible to isolate the contribution of a particular international agreement or factor in commercial decision-making, assessing this will mostly rely on qualitative feedback from Australian industry.</w:t>
      </w:r>
    </w:p>
    <w:p w14:paraId="5A060D6E" w14:textId="77777777" w:rsidR="00595124" w:rsidRPr="00A76744" w:rsidRDefault="00595124" w:rsidP="00595124">
      <w:pPr>
        <w:pStyle w:val="ListParagraph"/>
        <w:numPr>
          <w:ilvl w:val="0"/>
          <w:numId w:val="2"/>
        </w:numPr>
        <w:jc w:val="both"/>
        <w:rPr>
          <w:rFonts w:ascii="Times New Roman" w:eastAsia="Times New Roman" w:hAnsi="Times New Roman" w:cs="Times New Roman"/>
          <w:sz w:val="24"/>
          <w:szCs w:val="24"/>
          <w:lang w:eastAsia="en-AU"/>
        </w:rPr>
      </w:pPr>
      <w:r w:rsidRPr="005400AA">
        <w:rPr>
          <w:rFonts w:eastAsia="Times New Roman"/>
          <w:u w:val="single"/>
        </w:rPr>
        <w:t>promote evidence-based supply chain resilience approaches by our international partners so to limit government intervention to where it is genuinely needed</w:t>
      </w:r>
      <w:r>
        <w:rPr>
          <w:rFonts w:eastAsia="Times New Roman"/>
          <w:u w:val="single"/>
        </w:rPr>
        <w:t>.</w:t>
      </w:r>
      <w:r>
        <w:rPr>
          <w:rFonts w:eastAsia="Times New Roman"/>
        </w:rPr>
        <w:t xml:space="preserve">  This will be assessed numerically by the increase in the number of countries adopting such methodologies, </w:t>
      </w:r>
      <w:proofErr w:type="gramStart"/>
      <w:r>
        <w:rPr>
          <w:rFonts w:eastAsia="Times New Roman"/>
        </w:rPr>
        <w:t>similar to</w:t>
      </w:r>
      <w:proofErr w:type="gramEnd"/>
      <w:r>
        <w:rPr>
          <w:rFonts w:eastAsia="Times New Roman"/>
        </w:rPr>
        <w:t xml:space="preserve"> Australia’s, to publicly identify their national lists of critical supply chains. </w:t>
      </w:r>
    </w:p>
    <w:p w14:paraId="353E147F" w14:textId="77777777" w:rsidR="00595124" w:rsidRPr="006F2324" w:rsidRDefault="00595124" w:rsidP="00595124">
      <w:pPr>
        <w:pStyle w:val="ListParagraph"/>
        <w:numPr>
          <w:ilvl w:val="0"/>
          <w:numId w:val="2"/>
        </w:numPr>
        <w:jc w:val="both"/>
        <w:rPr>
          <w:rFonts w:eastAsia="Times New Roman"/>
          <w:u w:val="single"/>
        </w:rPr>
      </w:pPr>
      <w:r w:rsidRPr="0050492B">
        <w:rPr>
          <w:rStyle w:val="ui-provider"/>
          <w:u w:val="single"/>
        </w:rPr>
        <w:t>make regional responses to supply chain disruptions more systematic and coordinated</w:t>
      </w:r>
      <w:r>
        <w:rPr>
          <w:rFonts w:eastAsia="Times New Roman"/>
          <w:u w:val="single"/>
        </w:rPr>
        <w:t>.</w:t>
      </w:r>
      <w:r>
        <w:rPr>
          <w:rFonts w:eastAsia="Times New Roman"/>
          <w:i/>
          <w:iCs/>
        </w:rPr>
        <w:t xml:space="preserve"> </w:t>
      </w:r>
      <w:r>
        <w:rPr>
          <w:rFonts w:eastAsia="Times New Roman"/>
        </w:rPr>
        <w:t xml:space="preserve">This can ultimately only be qualitatively assessed after a supply chain crisis or disruption occurs. However, the number of crisis preparation tabletop exercise jointly undertaken, supplemented with qualitative feedback from the Office of Supply Chain Resilience, could be used as a supplementary proxy measurement of regional crisis preparedness. </w:t>
      </w:r>
    </w:p>
    <w:p w14:paraId="611FB759" w14:textId="77777777" w:rsidR="006F2324" w:rsidRPr="008F133E" w:rsidRDefault="006F2324" w:rsidP="00D3554E">
      <w:pPr>
        <w:pStyle w:val="ListParagraph"/>
        <w:jc w:val="both"/>
        <w:rPr>
          <w:rFonts w:eastAsia="Times New Roman"/>
        </w:rPr>
      </w:pPr>
    </w:p>
    <w:p w14:paraId="78A5ECE6" w14:textId="77777777" w:rsidR="00595124" w:rsidRDefault="00595124">
      <w:pPr>
        <w:rPr>
          <w:rFonts w:eastAsia="Times New Roman"/>
          <w:b/>
          <w:bCs/>
        </w:rPr>
      </w:pPr>
      <w:r>
        <w:rPr>
          <w:rFonts w:eastAsia="Times New Roman"/>
          <w:b/>
          <w:bCs/>
        </w:rPr>
        <w:br w:type="page"/>
      </w:r>
    </w:p>
    <w:p w14:paraId="2CAF8814" w14:textId="77777777" w:rsidR="00D3554E" w:rsidRPr="009C0640" w:rsidRDefault="00D3554E" w:rsidP="00D3554E">
      <w:pPr>
        <w:spacing w:after="240"/>
        <w:jc w:val="both"/>
        <w:rPr>
          <w:rFonts w:eastAsia="Times New Roman"/>
          <w:b/>
          <w:bCs/>
        </w:rPr>
      </w:pPr>
      <w:r>
        <w:rPr>
          <w:rFonts w:eastAsia="Times New Roman"/>
          <w:b/>
          <w:bCs/>
        </w:rPr>
        <w:lastRenderedPageBreak/>
        <w:t xml:space="preserve">Question 3 - </w:t>
      </w:r>
      <w:r w:rsidRPr="009C0640">
        <w:rPr>
          <w:rFonts w:eastAsia="Times New Roman"/>
          <w:b/>
          <w:bCs/>
        </w:rPr>
        <w:t xml:space="preserve">What policy options are you considering? </w:t>
      </w:r>
    </w:p>
    <w:p w14:paraId="79A995BB" w14:textId="02CC01E9" w:rsidR="00F54B04" w:rsidRPr="00CC0F37" w:rsidRDefault="00D3554E" w:rsidP="00EB6146">
      <w:pPr>
        <w:spacing w:after="240"/>
        <w:jc w:val="both"/>
        <w:rPr>
          <w:rFonts w:eastAsia="Times New Roman"/>
        </w:rPr>
      </w:pPr>
      <w:r w:rsidRPr="00EB6146">
        <w:rPr>
          <w:rFonts w:eastAsia="Times New Roman"/>
        </w:rPr>
        <w:t>This Impact Analysis considers two options: to sign or not sign the IPEF Supply Chain Agreement.</w:t>
      </w:r>
    </w:p>
    <w:p w14:paraId="7346C3E8" w14:textId="77777777" w:rsidR="00CC0F37" w:rsidRPr="00EB6146" w:rsidRDefault="00D3554E" w:rsidP="00CC0F37">
      <w:pPr>
        <w:spacing w:after="240"/>
        <w:jc w:val="both"/>
        <w:rPr>
          <w:rFonts w:eastAsia="Times New Roman"/>
          <w:b/>
          <w:bCs/>
        </w:rPr>
      </w:pPr>
      <w:r w:rsidRPr="00EB6146">
        <w:rPr>
          <w:rFonts w:eastAsia="Times New Roman"/>
          <w:b/>
          <w:bCs/>
        </w:rPr>
        <w:t xml:space="preserve">Option 1 – </w:t>
      </w:r>
      <w:r w:rsidR="00CC0F37" w:rsidRPr="00EB6146">
        <w:rPr>
          <w:rFonts w:eastAsia="Times New Roman"/>
          <w:b/>
          <w:bCs/>
        </w:rPr>
        <w:t>Australia does not sign the IPEF Supply Chain Agreement</w:t>
      </w:r>
    </w:p>
    <w:p w14:paraId="4E96871F" w14:textId="7576484D" w:rsidR="00CC0F37" w:rsidRPr="00EB6146" w:rsidRDefault="00CC0F37" w:rsidP="00CC0F37">
      <w:pPr>
        <w:spacing w:after="240"/>
        <w:jc w:val="both"/>
        <w:rPr>
          <w:rFonts w:eastAsia="Times New Roman"/>
        </w:rPr>
      </w:pPr>
      <w:r w:rsidRPr="00EB6146">
        <w:rPr>
          <w:rFonts w:eastAsia="Times New Roman"/>
        </w:rPr>
        <w:t xml:space="preserve">Australia can choose not to sign the IPEF Supply Chain Agreement and can focus on existing bilateral, plurilateral and multilateral </w:t>
      </w:r>
      <w:r w:rsidR="00D66AC3">
        <w:rPr>
          <w:rFonts w:eastAsia="Times New Roman"/>
        </w:rPr>
        <w:t>effort</w:t>
      </w:r>
      <w:r w:rsidR="0011277C">
        <w:rPr>
          <w:rFonts w:eastAsia="Times New Roman"/>
        </w:rPr>
        <w:t>s</w:t>
      </w:r>
      <w:r w:rsidRPr="00EB6146">
        <w:rPr>
          <w:rFonts w:eastAsia="Times New Roman"/>
        </w:rPr>
        <w:t xml:space="preserve"> in the Indo-Pacific region to deliver on the policy objectives set out in this Impact Analysis.</w:t>
      </w:r>
    </w:p>
    <w:p w14:paraId="7FCA9FD4" w14:textId="770A79DC" w:rsidR="00CC0F37" w:rsidRPr="00EB6146" w:rsidRDefault="00CC0F37" w:rsidP="00CC0F37">
      <w:pPr>
        <w:spacing w:after="240"/>
        <w:jc w:val="both"/>
        <w:rPr>
          <w:rFonts w:eastAsia="Times New Roman"/>
        </w:rPr>
      </w:pPr>
      <w:r w:rsidRPr="00EB6146">
        <w:rPr>
          <w:rFonts w:eastAsia="Times New Roman"/>
        </w:rPr>
        <w:t xml:space="preserve">Further, Australia can leave markets to function without Australian Government signals or action. To some degree the marketplace will slowly accommodate the risks outlined in this </w:t>
      </w:r>
      <w:r w:rsidR="00245054">
        <w:rPr>
          <w:rFonts w:eastAsia="Times New Roman"/>
        </w:rPr>
        <w:t>IA</w:t>
      </w:r>
      <w:r w:rsidRPr="00EB6146">
        <w:rPr>
          <w:rFonts w:eastAsia="Times New Roman"/>
        </w:rPr>
        <w:t xml:space="preserve">, although this is likely to be over the medium to long term, unless a </w:t>
      </w:r>
      <w:proofErr w:type="gramStart"/>
      <w:r w:rsidRPr="00EB6146">
        <w:rPr>
          <w:rFonts w:eastAsia="Times New Roman"/>
        </w:rPr>
        <w:t>disruption forces</w:t>
      </w:r>
      <w:proofErr w:type="gramEnd"/>
      <w:r w:rsidRPr="00EB6146">
        <w:rPr>
          <w:rFonts w:eastAsia="Times New Roman"/>
        </w:rPr>
        <w:t xml:space="preserve"> markets to adjust more immediately.</w:t>
      </w:r>
    </w:p>
    <w:p w14:paraId="302C4ED6" w14:textId="03844816" w:rsidR="00D3554E" w:rsidRPr="00CC0F37" w:rsidRDefault="00CC0F37" w:rsidP="00CC0F37">
      <w:r w:rsidRPr="00EB6146">
        <w:rPr>
          <w:rFonts w:eastAsia="Times New Roman"/>
        </w:rPr>
        <w:t xml:space="preserve">Australian exporters have preferential market access </w:t>
      </w:r>
      <w:r w:rsidR="00683F2B">
        <w:rPr>
          <w:rFonts w:eastAsia="Times New Roman"/>
        </w:rPr>
        <w:t>to</w:t>
      </w:r>
      <w:r w:rsidR="00683F2B" w:rsidRPr="00EB6146">
        <w:rPr>
          <w:rFonts w:eastAsia="Times New Roman"/>
        </w:rPr>
        <w:t xml:space="preserve"> </w:t>
      </w:r>
      <w:r>
        <w:rPr>
          <w:rFonts w:eastAsia="Times New Roman"/>
        </w:rPr>
        <w:t xml:space="preserve">most of </w:t>
      </w:r>
      <w:r w:rsidRPr="00EB6146">
        <w:rPr>
          <w:rFonts w:eastAsia="Times New Roman"/>
        </w:rPr>
        <w:t>the economies of IPEF partners and can seek opportunities in these markets.</w:t>
      </w:r>
      <w:r w:rsidR="002F52E0">
        <w:rPr>
          <w:rFonts w:eastAsia="Times New Roman"/>
        </w:rPr>
        <w:t xml:space="preserve"> </w:t>
      </w:r>
      <w:r w:rsidR="00200746">
        <w:rPr>
          <w:rFonts w:eastAsia="Times New Roman"/>
        </w:rPr>
        <w:t xml:space="preserve">Australia could seek to expand </w:t>
      </w:r>
      <w:r w:rsidR="00BD2B70">
        <w:rPr>
          <w:rFonts w:eastAsia="Times New Roman"/>
        </w:rPr>
        <w:t>work on supply chain resilience cooperation through existing</w:t>
      </w:r>
      <w:r w:rsidR="0046684B">
        <w:rPr>
          <w:rFonts w:eastAsia="Times New Roman"/>
        </w:rPr>
        <w:t xml:space="preserve"> regional trade</w:t>
      </w:r>
      <w:r w:rsidR="00BD2B70">
        <w:rPr>
          <w:rFonts w:eastAsia="Times New Roman"/>
        </w:rPr>
        <w:t xml:space="preserve"> agreements such as the </w:t>
      </w:r>
      <w:r w:rsidR="007035C2" w:rsidRPr="007035C2">
        <w:rPr>
          <w:rFonts w:eastAsia="Times New Roman"/>
        </w:rPr>
        <w:t>Comprehensive and Progressive Agreement for Trans-Pacific Partnership</w:t>
      </w:r>
      <w:r w:rsidR="0046684B">
        <w:rPr>
          <w:rFonts w:eastAsia="Times New Roman"/>
        </w:rPr>
        <w:t xml:space="preserve"> (CPTPP) and the </w:t>
      </w:r>
      <w:r w:rsidR="000F7A7A" w:rsidRPr="000F7A7A">
        <w:rPr>
          <w:rFonts w:eastAsia="Times New Roman"/>
        </w:rPr>
        <w:t>Regional Comprehensive Economic Partnership</w:t>
      </w:r>
      <w:r w:rsidR="000F7A7A">
        <w:rPr>
          <w:rFonts w:eastAsia="Times New Roman"/>
        </w:rPr>
        <w:t xml:space="preserve"> (RCEP)</w:t>
      </w:r>
      <w:r w:rsidR="00753303">
        <w:rPr>
          <w:rFonts w:eastAsia="Times New Roman"/>
        </w:rPr>
        <w:t xml:space="preserve">, and through Australia’s various bilateral free trade agreements. Rather than undertaking new work through IPEF, Australia could seek to </w:t>
      </w:r>
      <w:r w:rsidR="00CA123E">
        <w:rPr>
          <w:rFonts w:eastAsia="Times New Roman"/>
        </w:rPr>
        <w:t xml:space="preserve">expand and accelerate existing </w:t>
      </w:r>
      <w:r w:rsidR="001D714C">
        <w:rPr>
          <w:rFonts w:eastAsia="Times New Roman"/>
        </w:rPr>
        <w:t xml:space="preserve">cooperation on supply chain issues through the </w:t>
      </w:r>
      <w:r w:rsidR="004137A7">
        <w:rPr>
          <w:rFonts w:eastAsia="Times New Roman"/>
        </w:rPr>
        <w:t xml:space="preserve">various </w:t>
      </w:r>
      <w:r w:rsidR="00166B82">
        <w:rPr>
          <w:rFonts w:eastAsia="Times New Roman"/>
        </w:rPr>
        <w:t>workstreams</w:t>
      </w:r>
      <w:r w:rsidR="004137A7">
        <w:rPr>
          <w:rFonts w:eastAsia="Times New Roman"/>
        </w:rPr>
        <w:t xml:space="preserve"> of the </w:t>
      </w:r>
      <w:r w:rsidR="004137A7" w:rsidRPr="004137A7">
        <w:rPr>
          <w:rFonts w:eastAsia="Times New Roman"/>
        </w:rPr>
        <w:t>Asia-Pacific Economic Cooperation</w:t>
      </w:r>
      <w:r w:rsidR="004137A7">
        <w:rPr>
          <w:rFonts w:eastAsia="Times New Roman"/>
        </w:rPr>
        <w:t xml:space="preserve"> (APEC).</w:t>
      </w:r>
      <w:r w:rsidR="00CA123E">
        <w:rPr>
          <w:rFonts w:eastAsia="Times New Roman"/>
        </w:rPr>
        <w:t xml:space="preserve"> </w:t>
      </w:r>
      <w:r w:rsidR="0011277C">
        <w:rPr>
          <w:rFonts w:eastAsia="Times New Roman"/>
        </w:rPr>
        <w:t xml:space="preserve">Australia could also look to build on existing international supply chain </w:t>
      </w:r>
      <w:r w:rsidR="00665496">
        <w:rPr>
          <w:rFonts w:eastAsia="Times New Roman"/>
        </w:rPr>
        <w:t>structures</w:t>
      </w:r>
      <w:r w:rsidR="00010739">
        <w:rPr>
          <w:rFonts w:eastAsia="Times New Roman"/>
        </w:rPr>
        <w:t xml:space="preserve"> such as the Supply Chain Resilience </w:t>
      </w:r>
      <w:r w:rsidR="00711789">
        <w:rPr>
          <w:rFonts w:eastAsia="Times New Roman"/>
        </w:rPr>
        <w:t>Initiative</w:t>
      </w:r>
      <w:r w:rsidR="00010739">
        <w:rPr>
          <w:rFonts w:eastAsia="Times New Roman"/>
        </w:rPr>
        <w:t xml:space="preserve"> (SCR</w:t>
      </w:r>
      <w:r w:rsidR="00711789">
        <w:rPr>
          <w:rFonts w:eastAsia="Times New Roman"/>
        </w:rPr>
        <w:t>I</w:t>
      </w:r>
      <w:r w:rsidR="00010739">
        <w:rPr>
          <w:rFonts w:eastAsia="Times New Roman"/>
        </w:rPr>
        <w:t>)</w:t>
      </w:r>
      <w:r w:rsidR="00C4040B">
        <w:rPr>
          <w:rFonts w:eastAsia="Times New Roman"/>
        </w:rPr>
        <w:t>.</w:t>
      </w:r>
    </w:p>
    <w:p w14:paraId="2ED93AFD" w14:textId="77777777" w:rsidR="00D3554E" w:rsidRPr="00B00C47" w:rsidRDefault="00D3554E" w:rsidP="00D3554E">
      <w:pPr>
        <w:pStyle w:val="ListParagraph"/>
        <w:rPr>
          <w:rFonts w:eastAsia="Times New Roman"/>
        </w:rPr>
      </w:pPr>
    </w:p>
    <w:p w14:paraId="0140C4A2" w14:textId="6312182F" w:rsidR="001E0802" w:rsidRPr="00CC0F37" w:rsidRDefault="00D3554E" w:rsidP="00CC0F37">
      <w:pPr>
        <w:spacing w:after="240"/>
        <w:jc w:val="both"/>
        <w:rPr>
          <w:rFonts w:eastAsia="Times New Roman"/>
          <w:b/>
          <w:bCs/>
        </w:rPr>
      </w:pPr>
      <w:r w:rsidRPr="00EB6146">
        <w:rPr>
          <w:rFonts w:eastAsia="Times New Roman"/>
          <w:b/>
          <w:bCs/>
        </w:rPr>
        <w:t>Option 2 –</w:t>
      </w:r>
      <w:r w:rsidR="001E0802">
        <w:rPr>
          <w:rFonts w:eastAsia="Times New Roman"/>
          <w:b/>
          <w:bCs/>
        </w:rPr>
        <w:t xml:space="preserve"> </w:t>
      </w:r>
      <w:r w:rsidR="001E0802" w:rsidRPr="00EB6146">
        <w:rPr>
          <w:rFonts w:eastAsia="Times New Roman"/>
          <w:b/>
          <w:bCs/>
        </w:rPr>
        <w:t>Australia signs the IPEF Supply Chain Agreement</w:t>
      </w:r>
    </w:p>
    <w:p w14:paraId="2CC421BE" w14:textId="33AF7430" w:rsidR="001E0802" w:rsidRPr="00F54B04" w:rsidRDefault="001E0802" w:rsidP="001E0802">
      <w:pPr>
        <w:jc w:val="both"/>
        <w:rPr>
          <w:rFonts w:eastAsia="Times New Roman"/>
        </w:rPr>
      </w:pPr>
      <w:r w:rsidRPr="00EB6146">
        <w:rPr>
          <w:rFonts w:eastAsia="Times New Roman"/>
        </w:rPr>
        <w:t xml:space="preserve">If Australia signs the IPEF Supply Chain Agreement, it will be joining a grouping of 14 </w:t>
      </w:r>
      <w:r w:rsidR="00284DCC">
        <w:rPr>
          <w:rFonts w:eastAsia="Times New Roman"/>
        </w:rPr>
        <w:t>countries</w:t>
      </w:r>
      <w:r w:rsidRPr="00EB6146">
        <w:rPr>
          <w:rFonts w:eastAsia="Times New Roman"/>
        </w:rPr>
        <w:t xml:space="preserve"> in establishing new regional economic architecture </w:t>
      </w:r>
      <w:r w:rsidR="00DB1C90">
        <w:rPr>
          <w:rFonts w:eastAsia="Times New Roman"/>
        </w:rPr>
        <w:t>focused specifically on supply chain issues,</w:t>
      </w:r>
      <w:r w:rsidRPr="00EB6146">
        <w:rPr>
          <w:rFonts w:eastAsia="Times New Roman"/>
        </w:rPr>
        <w:t xml:space="preserve"> including in the form of new </w:t>
      </w:r>
      <w:r w:rsidR="00D53F7B">
        <w:rPr>
          <w:rFonts w:eastAsia="Times New Roman"/>
        </w:rPr>
        <w:t xml:space="preserve">regional </w:t>
      </w:r>
      <w:r w:rsidRPr="00EB6146">
        <w:rPr>
          <w:rFonts w:eastAsia="Times New Roman"/>
        </w:rPr>
        <w:t>committee</w:t>
      </w:r>
      <w:r w:rsidR="00E510A1">
        <w:rPr>
          <w:rFonts w:eastAsia="Times New Roman"/>
        </w:rPr>
        <w:t xml:space="preserve"> structures</w:t>
      </w:r>
      <w:r w:rsidRPr="00EB6146">
        <w:rPr>
          <w:rFonts w:eastAsia="Times New Roman"/>
        </w:rPr>
        <w:t>.</w:t>
      </w:r>
    </w:p>
    <w:p w14:paraId="7B4F33E9" w14:textId="0405E7EE" w:rsidR="001E0802" w:rsidRDefault="001E0802" w:rsidP="001E0802">
      <w:pPr>
        <w:jc w:val="both"/>
        <w:rPr>
          <w:rFonts w:eastAsia="Times New Roman"/>
        </w:rPr>
      </w:pPr>
      <w:r w:rsidRPr="00EB6146">
        <w:rPr>
          <w:rFonts w:eastAsia="Times New Roman"/>
        </w:rPr>
        <w:t>Central to the IPEF Supply Chain Agreement is the development of common criteria, heavily influenced by Australia’s own framework developed by the Productivity Commission and led by the Office of Supply Chain Resilience, that parties commit to use in identifying their “critical sectors or key goods” for the purposes of supply chain cooperation. This is intended to ensure countries nominate as critical only those sectors and goods that genuinely require government attention and/or intervention, and to ensure this is accompanied by a genuine evidence-based attempt at assessing “criticality”</w:t>
      </w:r>
      <w:r>
        <w:rPr>
          <w:rFonts w:eastAsia="Times New Roman"/>
        </w:rPr>
        <w:t>.</w:t>
      </w:r>
    </w:p>
    <w:p w14:paraId="6C9AD6DF" w14:textId="719F4E2E" w:rsidR="00F27D2C" w:rsidRDefault="00F27D2C" w:rsidP="001E0802">
      <w:pPr>
        <w:jc w:val="both"/>
        <w:rPr>
          <w:rFonts w:eastAsia="Times New Roman"/>
        </w:rPr>
      </w:pPr>
      <w:r>
        <w:rPr>
          <w:rFonts w:eastAsia="Times New Roman"/>
        </w:rPr>
        <w:t>Given the global nature of supply chains, and associated costs with opening new markets, commonly identified critical sectors and key goods would help reinforce domestic actions to build resilience in Australia’s critical supply chains.</w:t>
      </w:r>
    </w:p>
    <w:p w14:paraId="01D429F8" w14:textId="65441F7B" w:rsidR="007D217D" w:rsidRDefault="001E0802" w:rsidP="007D217D">
      <w:pPr>
        <w:rPr>
          <w:rFonts w:ascii="Arial" w:hAnsi="Arial" w:cs="Arial"/>
          <w:noProof/>
          <w:sz w:val="18"/>
          <w:szCs w:val="18"/>
        </w:rPr>
      </w:pPr>
      <w:r>
        <w:rPr>
          <w:rFonts w:eastAsia="Times New Roman"/>
        </w:rPr>
        <w:t>The Productivity Commission developed figure</w:t>
      </w:r>
      <w:r w:rsidR="00AC19FE">
        <w:rPr>
          <w:rFonts w:eastAsia="Times New Roman"/>
        </w:rPr>
        <w:t xml:space="preserve"> 7</w:t>
      </w:r>
      <w:r>
        <w:rPr>
          <w:rFonts w:eastAsia="Times New Roman"/>
        </w:rPr>
        <w:t xml:space="preserve"> to show the </w:t>
      </w:r>
      <w:r w:rsidR="00234A9C">
        <w:rPr>
          <w:rFonts w:eastAsia="Times New Roman"/>
        </w:rPr>
        <w:t>relationship</w:t>
      </w:r>
      <w:r w:rsidR="00A41101">
        <w:rPr>
          <w:rFonts w:eastAsia="Times New Roman"/>
        </w:rPr>
        <w:t xml:space="preserve"> </w:t>
      </w:r>
      <w:r w:rsidR="00F439B3">
        <w:rPr>
          <w:rFonts w:eastAsia="Times New Roman"/>
        </w:rPr>
        <w:t>between</w:t>
      </w:r>
      <w:r>
        <w:rPr>
          <w:rFonts w:eastAsia="Times New Roman"/>
        </w:rPr>
        <w:t xml:space="preserve"> criticality</w:t>
      </w:r>
      <w:r w:rsidR="007B6202">
        <w:rPr>
          <w:rFonts w:eastAsia="Times New Roman"/>
        </w:rPr>
        <w:t>, essentiality</w:t>
      </w:r>
      <w:r>
        <w:rPr>
          <w:rFonts w:eastAsia="Times New Roman"/>
        </w:rPr>
        <w:t xml:space="preserve"> and vulnerability required for Government action.</w:t>
      </w:r>
      <w:r>
        <w:rPr>
          <w:rStyle w:val="FootnoteReference"/>
          <w:rFonts w:eastAsia="Times New Roman"/>
        </w:rPr>
        <w:footnoteReference w:id="23"/>
      </w:r>
      <w:r>
        <w:rPr>
          <w:rFonts w:eastAsia="Times New Roman"/>
        </w:rPr>
        <w:t xml:space="preserve"> Further details of this framework </w:t>
      </w:r>
      <w:r>
        <w:rPr>
          <w:rFonts w:eastAsia="Times New Roman"/>
        </w:rPr>
        <w:lastRenderedPageBreak/>
        <w:t>can be found in Chapter 3 of the Productivity Commission Study Report on Vulnerable Supply Chains July</w:t>
      </w:r>
      <w:r w:rsidR="00A41101">
        <w:rPr>
          <w:rFonts w:eastAsia="Times New Roman"/>
        </w:rPr>
        <w:t xml:space="preserve"> </w:t>
      </w:r>
      <w:r>
        <w:rPr>
          <w:rFonts w:eastAsia="Times New Roman"/>
        </w:rPr>
        <w:t>2021.</w:t>
      </w:r>
      <w:r w:rsidR="007D217D" w:rsidRPr="007D217D">
        <w:rPr>
          <w:rFonts w:ascii="Arial" w:hAnsi="Arial" w:cs="Arial"/>
          <w:noProof/>
          <w:sz w:val="18"/>
          <w:szCs w:val="18"/>
        </w:rPr>
        <w:t xml:space="preserve"> </w:t>
      </w:r>
    </w:p>
    <w:p w14:paraId="0B3214DD" w14:textId="77777777" w:rsidR="007D217D" w:rsidRDefault="007D217D" w:rsidP="007D217D">
      <w:pPr>
        <w:rPr>
          <w:rFonts w:ascii="Arial" w:hAnsi="Arial" w:cs="Arial"/>
          <w:noProof/>
          <w:sz w:val="18"/>
          <w:szCs w:val="18"/>
        </w:rPr>
      </w:pPr>
    </w:p>
    <w:p w14:paraId="3DEF0C47" w14:textId="2BF9393E" w:rsidR="00347315" w:rsidRDefault="00347315" w:rsidP="00347315">
      <w:pPr>
        <w:pStyle w:val="Caption"/>
        <w:keepNext/>
      </w:pPr>
      <w:r>
        <w:t xml:space="preserve">Figure </w:t>
      </w:r>
      <w:r w:rsidR="00351649">
        <w:t>8</w:t>
      </w:r>
    </w:p>
    <w:p w14:paraId="53B83DBF" w14:textId="77777777" w:rsidR="000870F2" w:rsidRDefault="007D217D" w:rsidP="000870F2">
      <w:pPr>
        <w:keepNext/>
      </w:pPr>
      <w:r w:rsidRPr="00B70365">
        <w:rPr>
          <w:rFonts w:ascii="Arial" w:hAnsi="Arial" w:cs="Arial"/>
          <w:noProof/>
          <w:sz w:val="18"/>
          <w:szCs w:val="18"/>
        </w:rPr>
        <w:drawing>
          <wp:anchor distT="0" distB="0" distL="114300" distR="114300" simplePos="0" relativeHeight="251658242" behindDoc="1" locked="0" layoutInCell="1" allowOverlap="1" wp14:anchorId="28E3465D" wp14:editId="5C3F06E4">
            <wp:simplePos x="0" y="0"/>
            <wp:positionH relativeFrom="column">
              <wp:posOffset>0</wp:posOffset>
            </wp:positionH>
            <wp:positionV relativeFrom="paragraph">
              <wp:posOffset>1905</wp:posOffset>
            </wp:positionV>
            <wp:extent cx="4476750" cy="4196080"/>
            <wp:effectExtent l="0" t="0" r="0" b="0"/>
            <wp:wrapTopAndBottom/>
            <wp:docPr id="8" name="Picture 8" descr="Figure 3.2. This is a Venn diagram that shows how the analytical framework is used to assess supply chain vulnerability. There are three circles labelled Vulnerable, Essential, and Critical. The circles are subsets of all goods and services. There are arrows to highlight the Commission’s approach to assessing vulnerable supply chains. First, the goods and services that are vulnerable are found. Second, the overlap between the vulnerable and essential circles is found. In the last step, the overlap between the vulnerable, essential and critical circles i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2. This is a Venn diagram that shows how the analytical framework is used to assess supply chain vulnerability. There are three circles labelled Vulnerable, Essential, and Critical. The circles are subsets of all goods and services. There are arrows to highlight the Commission’s approach to assessing vulnerable supply chains. First, the goods and services that are vulnerable are found. Second, the overlap between the vulnerable and essential circles is found. In the last step, the overlap between the vulnerable, essential and critical circles is f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494"/>
                    <a:stretch/>
                  </pic:blipFill>
                  <pic:spPr bwMode="auto">
                    <a:xfrm>
                      <a:off x="0" y="0"/>
                      <a:ext cx="4476750" cy="419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92E9D" w14:textId="44734BD4" w:rsidR="00347315" w:rsidRDefault="00347315" w:rsidP="001E0802">
      <w:pPr>
        <w:jc w:val="both"/>
        <w:rPr>
          <w:rFonts w:eastAsia="Times New Roman"/>
        </w:rPr>
      </w:pPr>
    </w:p>
    <w:p w14:paraId="3551654F" w14:textId="66B2041B" w:rsidR="001E0802" w:rsidRDefault="001E0802" w:rsidP="001E0802">
      <w:pPr>
        <w:jc w:val="both"/>
        <w:rPr>
          <w:rFonts w:eastAsia="Times New Roman"/>
        </w:rPr>
      </w:pPr>
      <w:r w:rsidRPr="007D3FED">
        <w:rPr>
          <w:rFonts w:eastAsia="Times New Roman"/>
          <w:noProof/>
        </w:rPr>
        <w:lastRenderedPageBreak/>
        <mc:AlternateContent>
          <mc:Choice Requires="wps">
            <w:drawing>
              <wp:anchor distT="45720" distB="45720" distL="114300" distR="114300" simplePos="0" relativeHeight="251658240" behindDoc="0" locked="0" layoutInCell="1" allowOverlap="1" wp14:anchorId="4AD31BBC" wp14:editId="1B4792E8">
                <wp:simplePos x="0" y="0"/>
                <wp:positionH relativeFrom="margin">
                  <wp:align>right</wp:align>
                </wp:positionH>
                <wp:positionV relativeFrom="paragraph">
                  <wp:posOffset>831850</wp:posOffset>
                </wp:positionV>
                <wp:extent cx="5709920" cy="4371975"/>
                <wp:effectExtent l="0" t="0" r="2413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71975"/>
                        </a:xfrm>
                        <a:prstGeom prst="rect">
                          <a:avLst/>
                        </a:prstGeom>
                        <a:solidFill>
                          <a:srgbClr val="FFFFFF"/>
                        </a:solidFill>
                        <a:ln w="9525">
                          <a:solidFill>
                            <a:srgbClr val="000000"/>
                          </a:solidFill>
                          <a:miter lim="800000"/>
                          <a:headEnd/>
                          <a:tailEnd/>
                        </a:ln>
                      </wps:spPr>
                      <wps:txbx>
                        <w:txbxContent>
                          <w:p w14:paraId="51F672D9" w14:textId="77777777" w:rsidR="001E0802" w:rsidRPr="00D20976" w:rsidRDefault="001E0802" w:rsidP="001E0802">
                            <w:pPr>
                              <w:pStyle w:val="paragraph"/>
                              <w:rPr>
                                <w:i/>
                                <w:iCs/>
                                <w:sz w:val="22"/>
                                <w:szCs w:val="22"/>
                              </w:rPr>
                            </w:pPr>
                            <w:bookmarkStart w:id="1" w:name="_Hlk124153813"/>
                            <w:r w:rsidRPr="00D20976">
                              <w:rPr>
                                <w:b/>
                                <w:bCs w:val="0"/>
                                <w:i/>
                                <w:iCs/>
                                <w:sz w:val="22"/>
                                <w:szCs w:val="22"/>
                              </w:rPr>
                              <w:t>Article 10: Identifying Critical Sectors or Key Goods</w:t>
                            </w:r>
                          </w:p>
                          <w:p w14:paraId="76A0CE96" w14:textId="77777777" w:rsidR="001E0802" w:rsidRPr="00D20976" w:rsidRDefault="001E0802" w:rsidP="001E0802">
                            <w:pPr>
                              <w:pStyle w:val="paragraph"/>
                              <w:rPr>
                                <w:i/>
                                <w:iCs/>
                                <w:sz w:val="22"/>
                                <w:szCs w:val="22"/>
                              </w:rPr>
                            </w:pPr>
                            <w:r w:rsidRPr="00D20976">
                              <w:rPr>
                                <w:i/>
                                <w:iCs/>
                                <w:sz w:val="22"/>
                                <w:szCs w:val="22"/>
                              </w:rPr>
                              <w:t>1.</w:t>
                            </w:r>
                            <w:r w:rsidRPr="00D20976">
                              <w:rPr>
                                <w:i/>
                                <w:iCs/>
                                <w:sz w:val="22"/>
                                <w:szCs w:val="22"/>
                              </w:rPr>
                              <w:tab/>
                              <w:t xml:space="preserve">The Parties intend to develop a shared understanding of global supply chain risks, and to support this, each Party shall identify its critical sectors or key goods. Each Party intends to consult with and consider input and recommendations from a diverse set of relevant stakeholders as appropriate, such as the private sector, government authorities, academia, non-governmental organizations, and </w:t>
                            </w:r>
                            <w:r w:rsidRPr="00D20976">
                              <w:rPr>
                                <w:rStyle w:val="normaltextrun"/>
                                <w:rFonts w:eastAsia="Times New Roman"/>
                                <w:i/>
                                <w:iCs/>
                                <w:sz w:val="22"/>
                                <w:szCs w:val="22"/>
                              </w:rPr>
                              <w:t>representative workers’ organizations</w:t>
                            </w:r>
                            <w:r w:rsidRPr="00D20976">
                              <w:rPr>
                                <w:i/>
                                <w:iCs/>
                                <w:sz w:val="22"/>
                                <w:szCs w:val="22"/>
                              </w:rPr>
                              <w:t xml:space="preserve">, to identify critical sectors or key goods.  </w:t>
                            </w:r>
                          </w:p>
                          <w:p w14:paraId="122255F1" w14:textId="77777777" w:rsidR="001E0802" w:rsidRPr="00D20976" w:rsidRDefault="001E0802" w:rsidP="001E0802">
                            <w:pPr>
                              <w:pStyle w:val="paragraph"/>
                              <w:rPr>
                                <w:i/>
                                <w:iCs/>
                                <w:sz w:val="22"/>
                                <w:szCs w:val="22"/>
                              </w:rPr>
                            </w:pPr>
                            <w:r w:rsidRPr="00D20976">
                              <w:rPr>
                                <w:i/>
                                <w:iCs/>
                                <w:sz w:val="22"/>
                                <w:szCs w:val="22"/>
                              </w:rPr>
                              <w:t>2.</w:t>
                            </w:r>
                            <w:r w:rsidRPr="00D20976">
                              <w:rPr>
                                <w:i/>
                                <w:iCs/>
                                <w:sz w:val="22"/>
                                <w:szCs w:val="22"/>
                              </w:rPr>
                              <w:tab/>
                              <w:t>In identifying its critical sectors or key goods, each Party intends to consider factors such as:</w:t>
                            </w:r>
                          </w:p>
                          <w:p w14:paraId="4A47C55C" w14:textId="77777777" w:rsidR="001E0802" w:rsidRPr="00D20976" w:rsidRDefault="001E0802" w:rsidP="001E0802">
                            <w:pPr>
                              <w:pStyle w:val="subparagraph"/>
                              <w:rPr>
                                <w:i/>
                                <w:iCs/>
                                <w:sz w:val="22"/>
                                <w:szCs w:val="22"/>
                              </w:rPr>
                            </w:pPr>
                            <w:r w:rsidRPr="00D20976">
                              <w:rPr>
                                <w:i/>
                                <w:iCs/>
                                <w:sz w:val="22"/>
                                <w:szCs w:val="22"/>
                              </w:rPr>
                              <w:t xml:space="preserve">(a)  </w:t>
                            </w:r>
                            <w:r w:rsidRPr="00D20976">
                              <w:rPr>
                                <w:i/>
                                <w:iCs/>
                                <w:sz w:val="22"/>
                                <w:szCs w:val="22"/>
                              </w:rPr>
                              <w:tab/>
                              <w:t>the impact of a potential shortage on its national security, public health and safety, or prevention of significant or widespread economic disruptions;</w:t>
                            </w:r>
                          </w:p>
                          <w:p w14:paraId="3E6B26D9" w14:textId="77777777" w:rsidR="001E0802" w:rsidRPr="00D20976" w:rsidRDefault="001E0802" w:rsidP="001E0802">
                            <w:pPr>
                              <w:pStyle w:val="subparagraph"/>
                              <w:rPr>
                                <w:i/>
                                <w:iCs/>
                                <w:sz w:val="22"/>
                                <w:szCs w:val="22"/>
                              </w:rPr>
                            </w:pPr>
                            <w:r w:rsidRPr="00D20976">
                              <w:rPr>
                                <w:i/>
                                <w:iCs/>
                                <w:sz w:val="22"/>
                                <w:szCs w:val="22"/>
                              </w:rPr>
                              <w:t xml:space="preserve">(b) </w:t>
                            </w:r>
                            <w:r w:rsidRPr="00D20976">
                              <w:rPr>
                                <w:i/>
                                <w:iCs/>
                                <w:sz w:val="22"/>
                                <w:szCs w:val="22"/>
                              </w:rPr>
                              <w:tab/>
                              <w:t xml:space="preserve">the level of dependence on a single supplier or a single country, region, or geographic location; </w:t>
                            </w:r>
                          </w:p>
                          <w:p w14:paraId="2FBE372A" w14:textId="77777777" w:rsidR="001E0802" w:rsidRPr="00D20976" w:rsidRDefault="001E0802" w:rsidP="001E0802">
                            <w:pPr>
                              <w:pStyle w:val="subparagraph"/>
                              <w:rPr>
                                <w:i/>
                                <w:iCs/>
                                <w:sz w:val="22"/>
                                <w:szCs w:val="22"/>
                              </w:rPr>
                            </w:pPr>
                            <w:r w:rsidRPr="00D20976">
                              <w:rPr>
                                <w:i/>
                                <w:iCs/>
                                <w:sz w:val="22"/>
                                <w:szCs w:val="22"/>
                              </w:rPr>
                              <w:t xml:space="preserve">(c)  </w:t>
                            </w:r>
                            <w:r w:rsidRPr="00D20976">
                              <w:rPr>
                                <w:i/>
                                <w:iCs/>
                                <w:sz w:val="22"/>
                                <w:szCs w:val="22"/>
                              </w:rPr>
                              <w:tab/>
                              <w:t>geographic factors including actual or potential transport constraints, especially for its island or remote regions;</w:t>
                            </w:r>
                          </w:p>
                          <w:p w14:paraId="2F57020D" w14:textId="77777777" w:rsidR="001E0802" w:rsidRPr="00D20976" w:rsidRDefault="001E0802" w:rsidP="001E0802">
                            <w:pPr>
                              <w:pStyle w:val="subparagraph"/>
                              <w:rPr>
                                <w:i/>
                                <w:iCs/>
                                <w:sz w:val="22"/>
                                <w:szCs w:val="22"/>
                              </w:rPr>
                            </w:pPr>
                            <w:r w:rsidRPr="00D20976">
                              <w:rPr>
                                <w:i/>
                                <w:iCs/>
                                <w:sz w:val="22"/>
                                <w:szCs w:val="22"/>
                              </w:rPr>
                              <w:t xml:space="preserve">(d)  </w:t>
                            </w:r>
                            <w:r w:rsidRPr="00D20976">
                              <w:rPr>
                                <w:i/>
                                <w:iCs/>
                                <w:sz w:val="22"/>
                                <w:szCs w:val="22"/>
                              </w:rPr>
                              <w:tab/>
                              <w:t xml:space="preserve">the availability and reliability of alternative suppliers or supply locations; </w:t>
                            </w:r>
                          </w:p>
                          <w:p w14:paraId="37F6849D" w14:textId="77777777" w:rsidR="001E0802" w:rsidRPr="00D20976" w:rsidRDefault="001E0802" w:rsidP="001E0802">
                            <w:pPr>
                              <w:pStyle w:val="subparagraph"/>
                              <w:rPr>
                                <w:i/>
                                <w:iCs/>
                                <w:sz w:val="22"/>
                                <w:szCs w:val="22"/>
                              </w:rPr>
                            </w:pPr>
                            <w:r w:rsidRPr="00D20976">
                              <w:rPr>
                                <w:i/>
                                <w:iCs/>
                                <w:sz w:val="22"/>
                                <w:szCs w:val="22"/>
                              </w:rPr>
                              <w:t>(e)</w:t>
                            </w:r>
                            <w:r w:rsidRPr="00D20976">
                              <w:rPr>
                                <w:i/>
                                <w:iCs/>
                                <w:sz w:val="22"/>
                                <w:szCs w:val="22"/>
                              </w:rPr>
                              <w:tab/>
                              <w:t xml:space="preserve">the extent of imports required to meet domestic demand; </w:t>
                            </w:r>
                          </w:p>
                          <w:p w14:paraId="074A575A" w14:textId="77777777" w:rsidR="001E0802" w:rsidRPr="00D20976" w:rsidRDefault="001E0802" w:rsidP="001E0802">
                            <w:pPr>
                              <w:pStyle w:val="subparagraph"/>
                              <w:rPr>
                                <w:i/>
                                <w:iCs/>
                                <w:sz w:val="22"/>
                                <w:szCs w:val="22"/>
                              </w:rPr>
                            </w:pPr>
                            <w:r w:rsidRPr="00D20976">
                              <w:rPr>
                                <w:i/>
                                <w:iCs/>
                                <w:sz w:val="22"/>
                                <w:szCs w:val="22"/>
                              </w:rPr>
                              <w:t>(f)</w:t>
                            </w:r>
                            <w:r w:rsidRPr="00D20976">
                              <w:rPr>
                                <w:i/>
                                <w:iCs/>
                                <w:sz w:val="22"/>
                                <w:szCs w:val="22"/>
                              </w:rPr>
                              <w:tab/>
                              <w:t>the availability</w:t>
                            </w:r>
                            <w:r w:rsidRPr="00D20976">
                              <w:rPr>
                                <w:b/>
                                <w:i/>
                                <w:iCs/>
                                <w:sz w:val="22"/>
                                <w:szCs w:val="22"/>
                              </w:rPr>
                              <w:t xml:space="preserve"> </w:t>
                            </w:r>
                            <w:r w:rsidRPr="00D20976">
                              <w:rPr>
                                <w:i/>
                                <w:iCs/>
                                <w:sz w:val="22"/>
                                <w:szCs w:val="22"/>
                              </w:rPr>
                              <w:t>of domestic production capacity; or</w:t>
                            </w:r>
                          </w:p>
                          <w:p w14:paraId="4A05C2C7" w14:textId="77777777" w:rsidR="001E0802" w:rsidRPr="00D20976" w:rsidRDefault="001E0802" w:rsidP="001E0802">
                            <w:pPr>
                              <w:pStyle w:val="subparagraph"/>
                              <w:rPr>
                                <w:i/>
                                <w:iCs/>
                                <w:sz w:val="22"/>
                                <w:szCs w:val="22"/>
                              </w:rPr>
                            </w:pPr>
                            <w:r w:rsidRPr="00D20976">
                              <w:rPr>
                                <w:i/>
                                <w:iCs/>
                                <w:sz w:val="22"/>
                                <w:szCs w:val="22"/>
                              </w:rPr>
                              <w:t>(g)</w:t>
                            </w:r>
                            <w:r w:rsidRPr="00D20976">
                              <w:rPr>
                                <w:i/>
                                <w:iCs/>
                                <w:sz w:val="22"/>
                                <w:szCs w:val="22"/>
                              </w:rPr>
                              <w:tab/>
                              <w:t>the extent of interconnectedness with other critical sectors or key goods.</w:t>
                            </w:r>
                          </w:p>
                          <w:bookmarkEnd w:id="1"/>
                          <w:p w14:paraId="5A0E3724" w14:textId="77777777" w:rsidR="001E0802" w:rsidRPr="00D20976" w:rsidRDefault="001E0802" w:rsidP="001E0802">
                            <w:pP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31BBC" id="_x0000_t202" coordsize="21600,21600" o:spt="202" path="m,l,21600r21600,l21600,xe">
                <v:stroke joinstyle="miter"/>
                <v:path gradientshapeok="t" o:connecttype="rect"/>
              </v:shapetype>
              <v:shape id="Text Box 217" o:spid="_x0000_s1026" type="#_x0000_t202" style="position:absolute;left:0;text-align:left;margin-left:398.4pt;margin-top:65.5pt;width:449.6pt;height:344.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">
                <v:textbox>
                  <w:txbxContent>
                    <w:p w14:paraId="51F672D9" w14:textId="77777777" w:rsidR="001E0802" w:rsidRPr="00D20976" w:rsidRDefault="001E0802" w:rsidP="001E0802">
                      <w:pPr>
                        <w:pStyle w:val="paragraph"/>
                        <w:rPr>
                          <w:i/>
                          <w:iCs/>
                          <w:sz w:val="22"/>
                          <w:szCs w:val="22"/>
                        </w:rPr>
                      </w:pPr>
                      <w:bookmarkStart w:id="2" w:name="_Hlk124153813"/>
                      <w:r w:rsidRPr="00D20976">
                        <w:rPr>
                          <w:b/>
                          <w:bCs w:val="0"/>
                          <w:i/>
                          <w:iCs/>
                          <w:sz w:val="22"/>
                          <w:szCs w:val="22"/>
                        </w:rPr>
                        <w:t>Article 10: Identifying Critical Sectors or Key Goods</w:t>
                      </w:r>
                    </w:p>
                    <w:p w14:paraId="76A0CE96" w14:textId="77777777" w:rsidR="001E0802" w:rsidRPr="00D20976" w:rsidRDefault="001E0802" w:rsidP="001E0802">
                      <w:pPr>
                        <w:pStyle w:val="paragraph"/>
                        <w:rPr>
                          <w:i/>
                          <w:iCs/>
                          <w:sz w:val="22"/>
                          <w:szCs w:val="22"/>
                        </w:rPr>
                      </w:pPr>
                      <w:r w:rsidRPr="00D20976">
                        <w:rPr>
                          <w:i/>
                          <w:iCs/>
                          <w:sz w:val="22"/>
                          <w:szCs w:val="22"/>
                        </w:rPr>
                        <w:t>1.</w:t>
                      </w:r>
                      <w:r w:rsidRPr="00D20976">
                        <w:rPr>
                          <w:i/>
                          <w:iCs/>
                          <w:sz w:val="22"/>
                          <w:szCs w:val="22"/>
                        </w:rPr>
                        <w:tab/>
                        <w:t xml:space="preserve">The Parties intend to develop a shared understanding of global supply chain risks, and to support this, each Party shall identify its critical sectors or key goods. Each Party intends to consult with and consider input and recommendations from a diverse set of relevant stakeholders as appropriate, such as the private sector, government authorities, academia, non-governmental organizations, and </w:t>
                      </w:r>
                      <w:r w:rsidRPr="00D20976">
                        <w:rPr>
                          <w:rStyle w:val="normaltextrun"/>
                          <w:rFonts w:eastAsia="Times New Roman"/>
                          <w:i/>
                          <w:iCs/>
                          <w:sz w:val="22"/>
                          <w:szCs w:val="22"/>
                        </w:rPr>
                        <w:t>representative workers’ organizations</w:t>
                      </w:r>
                      <w:r w:rsidRPr="00D20976">
                        <w:rPr>
                          <w:i/>
                          <w:iCs/>
                          <w:sz w:val="22"/>
                          <w:szCs w:val="22"/>
                        </w:rPr>
                        <w:t xml:space="preserve">, to identify critical sectors or key goods.  </w:t>
                      </w:r>
                    </w:p>
                    <w:p w14:paraId="122255F1" w14:textId="77777777" w:rsidR="001E0802" w:rsidRPr="00D20976" w:rsidRDefault="001E0802" w:rsidP="001E0802">
                      <w:pPr>
                        <w:pStyle w:val="paragraph"/>
                        <w:rPr>
                          <w:i/>
                          <w:iCs/>
                          <w:sz w:val="22"/>
                          <w:szCs w:val="22"/>
                        </w:rPr>
                      </w:pPr>
                      <w:r w:rsidRPr="00D20976">
                        <w:rPr>
                          <w:i/>
                          <w:iCs/>
                          <w:sz w:val="22"/>
                          <w:szCs w:val="22"/>
                        </w:rPr>
                        <w:t>2.</w:t>
                      </w:r>
                      <w:r w:rsidRPr="00D20976">
                        <w:rPr>
                          <w:i/>
                          <w:iCs/>
                          <w:sz w:val="22"/>
                          <w:szCs w:val="22"/>
                        </w:rPr>
                        <w:tab/>
                        <w:t>In identifying its critical sectors or key goods, each Party intends to consider factors such as:</w:t>
                      </w:r>
                    </w:p>
                    <w:p w14:paraId="4A47C55C" w14:textId="77777777" w:rsidR="001E0802" w:rsidRPr="00D20976" w:rsidRDefault="001E0802" w:rsidP="001E0802">
                      <w:pPr>
                        <w:pStyle w:val="subparagraph"/>
                        <w:rPr>
                          <w:i/>
                          <w:iCs/>
                          <w:sz w:val="22"/>
                          <w:szCs w:val="22"/>
                        </w:rPr>
                      </w:pPr>
                      <w:r w:rsidRPr="00D20976">
                        <w:rPr>
                          <w:i/>
                          <w:iCs/>
                          <w:sz w:val="22"/>
                          <w:szCs w:val="22"/>
                        </w:rPr>
                        <w:t xml:space="preserve">(a)  </w:t>
                      </w:r>
                      <w:r w:rsidRPr="00D20976">
                        <w:rPr>
                          <w:i/>
                          <w:iCs/>
                          <w:sz w:val="22"/>
                          <w:szCs w:val="22"/>
                        </w:rPr>
                        <w:tab/>
                        <w:t>the impact of a potential shortage on its national security, public health and safety, or prevention of significant or widespread economic disruptions;</w:t>
                      </w:r>
                    </w:p>
                    <w:p w14:paraId="3E6B26D9" w14:textId="77777777" w:rsidR="001E0802" w:rsidRPr="00D20976" w:rsidRDefault="001E0802" w:rsidP="001E0802">
                      <w:pPr>
                        <w:pStyle w:val="subparagraph"/>
                        <w:rPr>
                          <w:i/>
                          <w:iCs/>
                          <w:sz w:val="22"/>
                          <w:szCs w:val="22"/>
                        </w:rPr>
                      </w:pPr>
                      <w:r w:rsidRPr="00D20976">
                        <w:rPr>
                          <w:i/>
                          <w:iCs/>
                          <w:sz w:val="22"/>
                          <w:szCs w:val="22"/>
                        </w:rPr>
                        <w:t xml:space="preserve">(b) </w:t>
                      </w:r>
                      <w:r w:rsidRPr="00D20976">
                        <w:rPr>
                          <w:i/>
                          <w:iCs/>
                          <w:sz w:val="22"/>
                          <w:szCs w:val="22"/>
                        </w:rPr>
                        <w:tab/>
                        <w:t xml:space="preserve">the level of dependence on a single supplier or a single country, region, or geographic location; </w:t>
                      </w:r>
                    </w:p>
                    <w:p w14:paraId="2FBE372A" w14:textId="77777777" w:rsidR="001E0802" w:rsidRPr="00D20976" w:rsidRDefault="001E0802" w:rsidP="001E0802">
                      <w:pPr>
                        <w:pStyle w:val="subparagraph"/>
                        <w:rPr>
                          <w:i/>
                          <w:iCs/>
                          <w:sz w:val="22"/>
                          <w:szCs w:val="22"/>
                        </w:rPr>
                      </w:pPr>
                      <w:r w:rsidRPr="00D20976">
                        <w:rPr>
                          <w:i/>
                          <w:iCs/>
                          <w:sz w:val="22"/>
                          <w:szCs w:val="22"/>
                        </w:rPr>
                        <w:t xml:space="preserve">(c)  </w:t>
                      </w:r>
                      <w:r w:rsidRPr="00D20976">
                        <w:rPr>
                          <w:i/>
                          <w:iCs/>
                          <w:sz w:val="22"/>
                          <w:szCs w:val="22"/>
                        </w:rPr>
                        <w:tab/>
                        <w:t>geographic factors including actual or potential transport constraints, especially for its island or remote regions;</w:t>
                      </w:r>
                    </w:p>
                    <w:p w14:paraId="2F57020D" w14:textId="77777777" w:rsidR="001E0802" w:rsidRPr="00D20976" w:rsidRDefault="001E0802" w:rsidP="001E0802">
                      <w:pPr>
                        <w:pStyle w:val="subparagraph"/>
                        <w:rPr>
                          <w:i/>
                          <w:iCs/>
                          <w:sz w:val="22"/>
                          <w:szCs w:val="22"/>
                        </w:rPr>
                      </w:pPr>
                      <w:r w:rsidRPr="00D20976">
                        <w:rPr>
                          <w:i/>
                          <w:iCs/>
                          <w:sz w:val="22"/>
                          <w:szCs w:val="22"/>
                        </w:rPr>
                        <w:t xml:space="preserve">(d)  </w:t>
                      </w:r>
                      <w:r w:rsidRPr="00D20976">
                        <w:rPr>
                          <w:i/>
                          <w:iCs/>
                          <w:sz w:val="22"/>
                          <w:szCs w:val="22"/>
                        </w:rPr>
                        <w:tab/>
                        <w:t xml:space="preserve">the availability and reliability of alternative suppliers or supply locations; </w:t>
                      </w:r>
                    </w:p>
                    <w:p w14:paraId="37F6849D" w14:textId="77777777" w:rsidR="001E0802" w:rsidRPr="00D20976" w:rsidRDefault="001E0802" w:rsidP="001E0802">
                      <w:pPr>
                        <w:pStyle w:val="subparagraph"/>
                        <w:rPr>
                          <w:i/>
                          <w:iCs/>
                          <w:sz w:val="22"/>
                          <w:szCs w:val="22"/>
                        </w:rPr>
                      </w:pPr>
                      <w:r w:rsidRPr="00D20976">
                        <w:rPr>
                          <w:i/>
                          <w:iCs/>
                          <w:sz w:val="22"/>
                          <w:szCs w:val="22"/>
                        </w:rPr>
                        <w:t>(e)</w:t>
                      </w:r>
                      <w:r w:rsidRPr="00D20976">
                        <w:rPr>
                          <w:i/>
                          <w:iCs/>
                          <w:sz w:val="22"/>
                          <w:szCs w:val="22"/>
                        </w:rPr>
                        <w:tab/>
                        <w:t xml:space="preserve">the extent of imports required to meet domestic demand; </w:t>
                      </w:r>
                    </w:p>
                    <w:p w14:paraId="074A575A" w14:textId="77777777" w:rsidR="001E0802" w:rsidRPr="00D20976" w:rsidRDefault="001E0802" w:rsidP="001E0802">
                      <w:pPr>
                        <w:pStyle w:val="subparagraph"/>
                        <w:rPr>
                          <w:i/>
                          <w:iCs/>
                          <w:sz w:val="22"/>
                          <w:szCs w:val="22"/>
                        </w:rPr>
                      </w:pPr>
                      <w:r w:rsidRPr="00D20976">
                        <w:rPr>
                          <w:i/>
                          <w:iCs/>
                          <w:sz w:val="22"/>
                          <w:szCs w:val="22"/>
                        </w:rPr>
                        <w:t>(f)</w:t>
                      </w:r>
                      <w:r w:rsidRPr="00D20976">
                        <w:rPr>
                          <w:i/>
                          <w:iCs/>
                          <w:sz w:val="22"/>
                          <w:szCs w:val="22"/>
                        </w:rPr>
                        <w:tab/>
                        <w:t>the availability</w:t>
                      </w:r>
                      <w:r w:rsidRPr="00D20976">
                        <w:rPr>
                          <w:b/>
                          <w:i/>
                          <w:iCs/>
                          <w:sz w:val="22"/>
                          <w:szCs w:val="22"/>
                        </w:rPr>
                        <w:t xml:space="preserve"> </w:t>
                      </w:r>
                      <w:r w:rsidRPr="00D20976">
                        <w:rPr>
                          <w:i/>
                          <w:iCs/>
                          <w:sz w:val="22"/>
                          <w:szCs w:val="22"/>
                        </w:rPr>
                        <w:t>of domestic production capacity; or</w:t>
                      </w:r>
                    </w:p>
                    <w:p w14:paraId="4A05C2C7" w14:textId="77777777" w:rsidR="001E0802" w:rsidRPr="00D20976" w:rsidRDefault="001E0802" w:rsidP="001E0802">
                      <w:pPr>
                        <w:pStyle w:val="subparagraph"/>
                        <w:rPr>
                          <w:i/>
                          <w:iCs/>
                          <w:sz w:val="22"/>
                          <w:szCs w:val="22"/>
                        </w:rPr>
                      </w:pPr>
                      <w:r w:rsidRPr="00D20976">
                        <w:rPr>
                          <w:i/>
                          <w:iCs/>
                          <w:sz w:val="22"/>
                          <w:szCs w:val="22"/>
                        </w:rPr>
                        <w:t>(g)</w:t>
                      </w:r>
                      <w:r w:rsidRPr="00D20976">
                        <w:rPr>
                          <w:i/>
                          <w:iCs/>
                          <w:sz w:val="22"/>
                          <w:szCs w:val="22"/>
                        </w:rPr>
                        <w:tab/>
                        <w:t>the extent of interconnectedness with other critical sectors or key goods.</w:t>
                      </w:r>
                    </w:p>
                    <w:bookmarkEnd w:id="2"/>
                    <w:p w14:paraId="5A0E3724" w14:textId="77777777" w:rsidR="001E0802" w:rsidRPr="00D20976" w:rsidRDefault="001E0802" w:rsidP="001E0802">
                      <w:pPr>
                        <w:rPr>
                          <w:i/>
                          <w:iCs/>
                          <w:sz w:val="20"/>
                          <w:szCs w:val="20"/>
                        </w:rPr>
                      </w:pPr>
                    </w:p>
                  </w:txbxContent>
                </v:textbox>
                <w10:wrap type="square" anchorx="margin"/>
              </v:shape>
            </w:pict>
          </mc:Fallback>
        </mc:AlternateContent>
      </w:r>
      <w:r w:rsidR="00072DBA">
        <w:rPr>
          <w:rFonts w:eastAsia="Times New Roman"/>
          <w:noProof/>
        </w:rPr>
        <w:t>The particapation of multiple countries with different views in the IPEF</w:t>
      </w:r>
      <w:r>
        <w:rPr>
          <w:rFonts w:eastAsia="Times New Roman"/>
        </w:rPr>
        <w:t xml:space="preserve"> negotiations meant </w:t>
      </w:r>
      <w:proofErr w:type="gramStart"/>
      <w:r w:rsidR="004C3851">
        <w:rPr>
          <w:rFonts w:eastAsia="Times New Roman"/>
        </w:rPr>
        <w:t xml:space="preserve">replicating </w:t>
      </w:r>
      <w:r>
        <w:rPr>
          <w:rFonts w:eastAsia="Times New Roman"/>
        </w:rPr>
        <w:t xml:space="preserve"> the</w:t>
      </w:r>
      <w:proofErr w:type="gramEnd"/>
      <w:r>
        <w:rPr>
          <w:rFonts w:eastAsia="Times New Roman"/>
        </w:rPr>
        <w:t xml:space="preserve"> approach that Australia uses was not possible</w:t>
      </w:r>
      <w:r w:rsidR="00E2032A">
        <w:rPr>
          <w:rFonts w:eastAsia="Times New Roman"/>
        </w:rPr>
        <w:t xml:space="preserve"> in the text of the IPEF Supply Chain Agreement</w:t>
      </w:r>
      <w:r>
        <w:rPr>
          <w:rFonts w:eastAsia="Times New Roman"/>
        </w:rPr>
        <w:t xml:space="preserve">, but the text </w:t>
      </w:r>
      <w:r w:rsidR="00CC7C20">
        <w:rPr>
          <w:rFonts w:eastAsia="Times New Roman"/>
        </w:rPr>
        <w:t>does set out a method for</w:t>
      </w:r>
      <w:r>
        <w:rPr>
          <w:rFonts w:eastAsia="Times New Roman"/>
        </w:rPr>
        <w:t xml:space="preserve"> </w:t>
      </w:r>
      <w:r w:rsidR="00F518F7">
        <w:rPr>
          <w:rFonts w:eastAsia="Times New Roman"/>
        </w:rPr>
        <w:t>‘</w:t>
      </w:r>
      <w:r>
        <w:rPr>
          <w:rFonts w:eastAsia="Times New Roman"/>
        </w:rPr>
        <w:t>identifying critical and vulnerable sectors</w:t>
      </w:r>
      <w:r w:rsidR="00F518F7">
        <w:rPr>
          <w:rFonts w:eastAsia="Times New Roman"/>
        </w:rPr>
        <w:t>’</w:t>
      </w:r>
      <w:r>
        <w:rPr>
          <w:rFonts w:eastAsia="Times New Roman"/>
        </w:rPr>
        <w:t xml:space="preserve"> in a similar fashion </w:t>
      </w:r>
      <w:r w:rsidR="0075616D">
        <w:rPr>
          <w:rFonts w:eastAsia="Times New Roman"/>
        </w:rPr>
        <w:t>to</w:t>
      </w:r>
      <w:r>
        <w:rPr>
          <w:rFonts w:eastAsia="Times New Roman"/>
        </w:rPr>
        <w:t xml:space="preserve"> </w:t>
      </w:r>
      <w:r w:rsidR="00453EC1">
        <w:rPr>
          <w:rFonts w:eastAsia="Times New Roman"/>
        </w:rPr>
        <w:t>the current Australian Government approach</w:t>
      </w:r>
      <w:r>
        <w:rPr>
          <w:rFonts w:eastAsia="Times New Roman"/>
        </w:rPr>
        <w:t xml:space="preserve">. See below excerpt from the </w:t>
      </w:r>
      <w:r w:rsidR="00E73CA0" w:rsidRPr="00E73CA0">
        <w:rPr>
          <w:rFonts w:eastAsia="Times New Roman"/>
        </w:rPr>
        <w:t>IPEF Supply Chain Agreement</w:t>
      </w:r>
      <w:r>
        <w:rPr>
          <w:rFonts w:eastAsia="Times New Roman"/>
        </w:rPr>
        <w:t>:</w:t>
      </w:r>
    </w:p>
    <w:p w14:paraId="058360E9" w14:textId="77777777" w:rsidR="00037CF8" w:rsidRDefault="00037CF8" w:rsidP="001E0802">
      <w:pPr>
        <w:jc w:val="both"/>
        <w:rPr>
          <w:rFonts w:eastAsia="Times New Roman"/>
        </w:rPr>
      </w:pPr>
    </w:p>
    <w:p w14:paraId="035715B6" w14:textId="12BC5DF6" w:rsidR="00FF18CF" w:rsidRDefault="001E0802" w:rsidP="001E0802">
      <w:pPr>
        <w:jc w:val="both"/>
        <w:rPr>
          <w:rFonts w:eastAsia="Times New Roman"/>
        </w:rPr>
      </w:pPr>
      <w:r>
        <w:rPr>
          <w:rFonts w:eastAsia="Times New Roman"/>
        </w:rPr>
        <w:t>When compar</w:t>
      </w:r>
      <w:r w:rsidR="00D75D42">
        <w:rPr>
          <w:rFonts w:eastAsia="Times New Roman"/>
        </w:rPr>
        <w:t xml:space="preserve">ing the </w:t>
      </w:r>
      <w:r w:rsidR="00E73CA0" w:rsidRPr="00E73CA0">
        <w:rPr>
          <w:rFonts w:eastAsia="Times New Roman"/>
        </w:rPr>
        <w:t>IPEF Supply Chain Agreement</w:t>
      </w:r>
      <w:r w:rsidR="004E4955">
        <w:rPr>
          <w:rFonts w:eastAsia="Times New Roman"/>
        </w:rPr>
        <w:t xml:space="preserve"> </w:t>
      </w:r>
      <w:r w:rsidR="009F3997">
        <w:rPr>
          <w:rFonts w:eastAsia="Times New Roman"/>
        </w:rPr>
        <w:t xml:space="preserve">text above </w:t>
      </w:r>
      <w:r>
        <w:rPr>
          <w:rFonts w:eastAsia="Times New Roman"/>
        </w:rPr>
        <w:t xml:space="preserve">with an excerpt from the Productivity Commission Study Report, Australia’s approach </w:t>
      </w:r>
      <w:r w:rsidR="009F3997">
        <w:rPr>
          <w:rFonts w:eastAsia="Times New Roman"/>
        </w:rPr>
        <w:t xml:space="preserve">to defining criticality and vulnerability </w:t>
      </w:r>
      <w:r w:rsidR="00456389">
        <w:rPr>
          <w:rFonts w:eastAsia="Times New Roman"/>
        </w:rPr>
        <w:t>is</w:t>
      </w:r>
      <w:r w:rsidR="009F3997">
        <w:rPr>
          <w:rFonts w:eastAsia="Times New Roman"/>
        </w:rPr>
        <w:t xml:space="preserve"> </w:t>
      </w:r>
      <w:r w:rsidR="00AE204C">
        <w:rPr>
          <w:rFonts w:eastAsia="Times New Roman"/>
        </w:rPr>
        <w:t>reflected</w:t>
      </w:r>
      <w:r w:rsidR="00804986">
        <w:rPr>
          <w:rFonts w:eastAsia="Times New Roman"/>
        </w:rPr>
        <w:t xml:space="preserve"> in the </w:t>
      </w:r>
      <w:r w:rsidR="00E73CA0" w:rsidRPr="00E73CA0">
        <w:rPr>
          <w:rFonts w:eastAsia="Times New Roman"/>
        </w:rPr>
        <w:t>IPEF Supply Chain Agreement</w:t>
      </w:r>
      <w:r>
        <w:rPr>
          <w:rFonts w:eastAsia="Times New Roman"/>
        </w:rPr>
        <w:t>:</w:t>
      </w:r>
    </w:p>
    <w:p w14:paraId="319C043F" w14:textId="1C61C655" w:rsidR="00037CF8" w:rsidRDefault="00037CF8" w:rsidP="001E0802">
      <w:pPr>
        <w:jc w:val="both"/>
        <w:rPr>
          <w:rFonts w:eastAsia="Times New Roman"/>
        </w:rPr>
      </w:pPr>
    </w:p>
    <w:p w14:paraId="5E82E4D2" w14:textId="77777777" w:rsidR="00037CF8" w:rsidRDefault="00037CF8" w:rsidP="001E0802">
      <w:pPr>
        <w:jc w:val="both"/>
        <w:rPr>
          <w:rFonts w:eastAsia="Times New Roman"/>
        </w:rPr>
      </w:pPr>
    </w:p>
    <w:p w14:paraId="02FA5FF2" w14:textId="77777777" w:rsidR="00037CF8" w:rsidRDefault="00037CF8" w:rsidP="001E0802">
      <w:pPr>
        <w:jc w:val="both"/>
        <w:rPr>
          <w:rFonts w:eastAsia="Times New Roman"/>
        </w:rPr>
      </w:pPr>
    </w:p>
    <w:p w14:paraId="51D6AE06" w14:textId="77777777" w:rsidR="00037CF8" w:rsidRDefault="00037CF8" w:rsidP="001E0802">
      <w:pPr>
        <w:jc w:val="both"/>
        <w:rPr>
          <w:rFonts w:eastAsia="Times New Roman"/>
        </w:rPr>
      </w:pPr>
    </w:p>
    <w:p w14:paraId="34995699" w14:textId="77777777" w:rsidR="00347315" w:rsidRDefault="00347315" w:rsidP="001E0802">
      <w:pPr>
        <w:jc w:val="both"/>
        <w:rPr>
          <w:rFonts w:eastAsia="Times New Roman"/>
        </w:rPr>
      </w:pPr>
    </w:p>
    <w:p w14:paraId="7E2EB77D" w14:textId="65376AAC" w:rsidR="00FF18CF" w:rsidRDefault="00FF18CF" w:rsidP="001E0802">
      <w:pPr>
        <w:jc w:val="both"/>
        <w:rPr>
          <w:rFonts w:eastAsia="Times New Roman"/>
        </w:rPr>
      </w:pPr>
    </w:p>
    <w:p w14:paraId="6B094FF1" w14:textId="71BC856D" w:rsidR="001E0802" w:rsidRDefault="001E0802" w:rsidP="001E0802">
      <w:pPr>
        <w:jc w:val="both"/>
        <w:rPr>
          <w:rFonts w:eastAsia="Times New Roman"/>
        </w:rPr>
      </w:pPr>
    </w:p>
    <w:p w14:paraId="75DA4F4C" w14:textId="4A973008" w:rsidR="00FF18CF" w:rsidRDefault="00FF18CF" w:rsidP="001E0802">
      <w:pPr>
        <w:jc w:val="both"/>
        <w:rPr>
          <w:rFonts w:eastAsia="Times New Roman"/>
        </w:rPr>
      </w:pPr>
    </w:p>
    <w:p w14:paraId="01295F32" w14:textId="34DA7045" w:rsidR="00735381" w:rsidRDefault="00037CF8" w:rsidP="001E0802">
      <w:pPr>
        <w:jc w:val="both"/>
        <w:rPr>
          <w:rFonts w:eastAsia="Times New Roman"/>
        </w:rPr>
      </w:pPr>
      <w:r w:rsidRPr="00677886">
        <w:rPr>
          <w:rFonts w:eastAsia="Times New Roman"/>
          <w:noProof/>
        </w:rPr>
        <mc:AlternateContent>
          <mc:Choice Requires="wps">
            <w:drawing>
              <wp:anchor distT="45720" distB="45720" distL="114300" distR="114300" simplePos="0" relativeHeight="251658241" behindDoc="0" locked="0" layoutInCell="1" allowOverlap="1" wp14:anchorId="08076BB7" wp14:editId="3B11E2EE">
                <wp:simplePos x="0" y="0"/>
                <wp:positionH relativeFrom="margin">
                  <wp:align>right</wp:align>
                </wp:positionH>
                <wp:positionV relativeFrom="paragraph">
                  <wp:posOffset>0</wp:posOffset>
                </wp:positionV>
                <wp:extent cx="5709285" cy="2676525"/>
                <wp:effectExtent l="0" t="0" r="2476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676525"/>
                        </a:xfrm>
                        <a:prstGeom prst="rect">
                          <a:avLst/>
                        </a:prstGeom>
                        <a:solidFill>
                          <a:srgbClr val="FFFFFF"/>
                        </a:solidFill>
                        <a:ln w="9525">
                          <a:solidFill>
                            <a:srgbClr val="000000"/>
                          </a:solidFill>
                          <a:miter lim="800000"/>
                          <a:headEnd/>
                          <a:tailEnd/>
                        </a:ln>
                      </wps:spPr>
                      <wps:txbx>
                        <w:txbxContent>
                          <w:p w14:paraId="6C56B994" w14:textId="77777777" w:rsidR="00FF18CF" w:rsidRPr="00D20976" w:rsidRDefault="00FF18CF" w:rsidP="00FF18CF">
                            <w:pPr>
                              <w:pStyle w:val="BodyText"/>
                              <w:rPr>
                                <w:i/>
                                <w:iCs/>
                                <w:sz w:val="22"/>
                                <w:szCs w:val="18"/>
                              </w:rPr>
                            </w:pPr>
                            <w:r w:rsidRPr="00D20976">
                              <w:rPr>
                                <w:i/>
                                <w:iCs/>
                                <w:sz w:val="22"/>
                                <w:szCs w:val="18"/>
                              </w:rPr>
                              <w:t>Productivity Commission Study Report Vulnerable Supply Chains July 2021</w:t>
                            </w:r>
                          </w:p>
                          <w:p w14:paraId="561A587A" w14:textId="77777777" w:rsidR="00FF18CF" w:rsidRPr="00D20976" w:rsidRDefault="00FF18CF" w:rsidP="00FF18CF">
                            <w:pPr>
                              <w:pStyle w:val="BodyText"/>
                              <w:rPr>
                                <w:i/>
                                <w:iCs/>
                                <w:sz w:val="22"/>
                                <w:szCs w:val="18"/>
                              </w:rPr>
                            </w:pPr>
                            <w:r w:rsidRPr="00D20976">
                              <w:rPr>
                                <w:i/>
                                <w:iCs/>
                                <w:sz w:val="22"/>
                                <w:szCs w:val="18"/>
                              </w:rPr>
                              <w:t xml:space="preserve">The Commission has developed a framework to identify supply chains for goods and services that are vulnerable to disruptions and whose absence would jeopardise the functioning of the economy, national security and Australians’ wellbeing. </w:t>
                            </w:r>
                          </w:p>
                          <w:p w14:paraId="4BC127F2" w14:textId="77777777" w:rsidR="00FF18CF" w:rsidRPr="00D20976" w:rsidRDefault="00FF18CF" w:rsidP="00FF18CF">
                            <w:pPr>
                              <w:pStyle w:val="BodyText"/>
                              <w:rPr>
                                <w:i/>
                                <w:iCs/>
                                <w:sz w:val="22"/>
                                <w:szCs w:val="18"/>
                              </w:rPr>
                            </w:pPr>
                            <w:r w:rsidRPr="00D20976">
                              <w:rPr>
                                <w:i/>
                                <w:iCs/>
                                <w:sz w:val="22"/>
                                <w:szCs w:val="18"/>
                              </w:rPr>
                              <w:t>A novel feature of the framework is the development of a ‘data</w:t>
                            </w:r>
                            <w:r w:rsidRPr="00D20976">
                              <w:rPr>
                                <w:i/>
                                <w:iCs/>
                                <w:sz w:val="22"/>
                                <w:szCs w:val="18"/>
                              </w:rPr>
                              <w:noBreakHyphen/>
                              <w:t>with</w:t>
                            </w:r>
                            <w:r w:rsidRPr="00D20976">
                              <w:rPr>
                                <w:i/>
                                <w:iCs/>
                                <w:sz w:val="22"/>
                                <w:szCs w:val="18"/>
                              </w:rPr>
                              <w:noBreakHyphen/>
                              <w:t>experts’ approach (figure 1). It casts a wide net by first identifying those products that are vulnerable to supply chain disruptions using a data scan. Then it identifies which of these vulnerable products are used in essential industries. The final step relies on expert assessment to stress test the data</w:t>
                            </w:r>
                            <w:r w:rsidRPr="00D20976">
                              <w:rPr>
                                <w:i/>
                                <w:iCs/>
                                <w:sz w:val="22"/>
                                <w:szCs w:val="18"/>
                              </w:rPr>
                              <w:noBreakHyphen/>
                              <w:t xml:space="preserve">driven analysis and to determine, from among the vulnerable products used in essential industries, those which are critical (goods and services that cannot be substituted easily, or the production process cannot be adjusted in the short term to avoid their use). </w:t>
                            </w:r>
                          </w:p>
                          <w:p w14:paraId="4C2650C5" w14:textId="77777777" w:rsidR="00FF18CF" w:rsidRDefault="00FF18CF" w:rsidP="00FF18CF">
                            <w:pPr>
                              <w:rPr>
                                <w:sz w:val="20"/>
                                <w:szCs w:val="20"/>
                              </w:rPr>
                            </w:pPr>
                          </w:p>
                          <w:p w14:paraId="0F06B4F4" w14:textId="77777777" w:rsidR="00037CF8" w:rsidRDefault="00037CF8" w:rsidP="00FF18CF">
                            <w:pPr>
                              <w:rPr>
                                <w:sz w:val="20"/>
                                <w:szCs w:val="20"/>
                              </w:rPr>
                            </w:pPr>
                          </w:p>
                          <w:p w14:paraId="57D47175" w14:textId="77777777" w:rsidR="00037CF8" w:rsidRDefault="00037CF8" w:rsidP="00FF18CF">
                            <w:pPr>
                              <w:rPr>
                                <w:sz w:val="20"/>
                                <w:szCs w:val="20"/>
                              </w:rPr>
                            </w:pPr>
                          </w:p>
                          <w:p w14:paraId="145F2F57" w14:textId="77777777" w:rsidR="00037CF8" w:rsidRDefault="00037CF8" w:rsidP="00FF18CF">
                            <w:pPr>
                              <w:rPr>
                                <w:sz w:val="20"/>
                                <w:szCs w:val="20"/>
                              </w:rPr>
                            </w:pPr>
                          </w:p>
                          <w:p w14:paraId="1E4200A2" w14:textId="77777777" w:rsidR="00037CF8" w:rsidRDefault="00037CF8" w:rsidP="00FF18CF">
                            <w:pPr>
                              <w:rPr>
                                <w:sz w:val="20"/>
                                <w:szCs w:val="20"/>
                              </w:rPr>
                            </w:pPr>
                          </w:p>
                          <w:p w14:paraId="757560A2" w14:textId="77777777" w:rsidR="00037CF8" w:rsidRDefault="00037CF8" w:rsidP="00FF18CF">
                            <w:pPr>
                              <w:rPr>
                                <w:sz w:val="20"/>
                                <w:szCs w:val="20"/>
                              </w:rPr>
                            </w:pPr>
                          </w:p>
                          <w:p w14:paraId="023D29A0" w14:textId="77777777" w:rsidR="00037CF8" w:rsidRDefault="00037CF8" w:rsidP="00FF18CF">
                            <w:pPr>
                              <w:rPr>
                                <w:sz w:val="20"/>
                                <w:szCs w:val="20"/>
                              </w:rPr>
                            </w:pPr>
                          </w:p>
                          <w:p w14:paraId="6A4685EB" w14:textId="77777777" w:rsidR="00037CF8" w:rsidRDefault="00037CF8" w:rsidP="00FF18CF">
                            <w:pPr>
                              <w:rPr>
                                <w:sz w:val="20"/>
                                <w:szCs w:val="20"/>
                              </w:rPr>
                            </w:pPr>
                          </w:p>
                          <w:p w14:paraId="5DAE601C" w14:textId="77777777" w:rsidR="00037CF8" w:rsidRDefault="00037CF8" w:rsidP="00FF18CF">
                            <w:pPr>
                              <w:rPr>
                                <w:sz w:val="20"/>
                                <w:szCs w:val="20"/>
                              </w:rPr>
                            </w:pPr>
                          </w:p>
                          <w:p w14:paraId="673C8DCE" w14:textId="77777777" w:rsidR="00037CF8" w:rsidRDefault="00037CF8" w:rsidP="00FF18CF">
                            <w:pPr>
                              <w:rPr>
                                <w:sz w:val="20"/>
                                <w:szCs w:val="20"/>
                              </w:rPr>
                            </w:pPr>
                          </w:p>
                          <w:p w14:paraId="70CD9F8C" w14:textId="77777777" w:rsidR="00037CF8" w:rsidRDefault="00037CF8" w:rsidP="00FF18CF">
                            <w:pPr>
                              <w:rPr>
                                <w:sz w:val="20"/>
                                <w:szCs w:val="20"/>
                              </w:rPr>
                            </w:pPr>
                          </w:p>
                          <w:p w14:paraId="7F6AA0FE" w14:textId="77777777" w:rsidR="00037CF8" w:rsidRPr="00D20976" w:rsidRDefault="00037CF8" w:rsidP="00FF18C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76BB7" id="Text Box 2" o:spid="_x0000_s1027" type="#_x0000_t202" style="position:absolute;left:0;text-align:left;margin-left:398.35pt;margin-top:0;width:449.55pt;height:210.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">
                <v:textbox>
                  <w:txbxContent>
                    <w:p w14:paraId="6C56B994" w14:textId="77777777" w:rsidR="00FF18CF" w:rsidRPr="00D20976" w:rsidRDefault="00FF18CF" w:rsidP="00FF18CF">
                      <w:pPr>
                        <w:pStyle w:val="BodyText"/>
                        <w:rPr>
                          <w:i/>
                          <w:iCs/>
                          <w:sz w:val="22"/>
                          <w:szCs w:val="18"/>
                        </w:rPr>
                      </w:pPr>
                      <w:r w:rsidRPr="00D20976">
                        <w:rPr>
                          <w:i/>
                          <w:iCs/>
                          <w:sz w:val="22"/>
                          <w:szCs w:val="18"/>
                        </w:rPr>
                        <w:t>Productivity Commission Study Report Vulnerable Supply Chains July 2021</w:t>
                      </w:r>
                    </w:p>
                    <w:p w14:paraId="561A587A" w14:textId="77777777" w:rsidR="00FF18CF" w:rsidRPr="00D20976" w:rsidRDefault="00FF18CF" w:rsidP="00FF18CF">
                      <w:pPr>
                        <w:pStyle w:val="BodyText"/>
                        <w:rPr>
                          <w:i/>
                          <w:iCs/>
                          <w:sz w:val="22"/>
                          <w:szCs w:val="18"/>
                        </w:rPr>
                      </w:pPr>
                      <w:r w:rsidRPr="00D20976">
                        <w:rPr>
                          <w:i/>
                          <w:iCs/>
                          <w:sz w:val="22"/>
                          <w:szCs w:val="18"/>
                        </w:rPr>
                        <w:t xml:space="preserve">The Commission has developed a framework to identify supply chains for goods and services that are vulnerable to disruptions and whose absence would jeopardise the functioning of the economy, national security and Australians’ wellbeing. </w:t>
                      </w:r>
                    </w:p>
                    <w:p w14:paraId="4BC127F2" w14:textId="77777777" w:rsidR="00FF18CF" w:rsidRPr="00D20976" w:rsidRDefault="00FF18CF" w:rsidP="00FF18CF">
                      <w:pPr>
                        <w:pStyle w:val="BodyText"/>
                        <w:rPr>
                          <w:i/>
                          <w:iCs/>
                          <w:sz w:val="22"/>
                          <w:szCs w:val="18"/>
                        </w:rPr>
                      </w:pPr>
                      <w:r w:rsidRPr="00D20976">
                        <w:rPr>
                          <w:i/>
                          <w:iCs/>
                          <w:sz w:val="22"/>
                          <w:szCs w:val="18"/>
                        </w:rPr>
                        <w:t>A novel feature of the framework is the development of a ‘data</w:t>
                      </w:r>
                      <w:r w:rsidRPr="00D20976">
                        <w:rPr>
                          <w:i/>
                          <w:iCs/>
                          <w:sz w:val="22"/>
                          <w:szCs w:val="18"/>
                        </w:rPr>
                        <w:noBreakHyphen/>
                        <w:t>with</w:t>
                      </w:r>
                      <w:r w:rsidRPr="00D20976">
                        <w:rPr>
                          <w:i/>
                          <w:iCs/>
                          <w:sz w:val="22"/>
                          <w:szCs w:val="18"/>
                        </w:rPr>
                        <w:noBreakHyphen/>
                        <w:t>experts’ approach (figure 1). It casts a wide net by first identifying those products that are vulnerable to supply chain disruptions using a data scan. Then it identifies which of these vulnerable products are used in essential industries. The final step relies on expert assessment to stress test the data</w:t>
                      </w:r>
                      <w:r w:rsidRPr="00D20976">
                        <w:rPr>
                          <w:i/>
                          <w:iCs/>
                          <w:sz w:val="22"/>
                          <w:szCs w:val="18"/>
                        </w:rPr>
                        <w:noBreakHyphen/>
                        <w:t xml:space="preserve">driven analysis and to determine, from among the vulnerable products used in essential industries, those which are critical (goods and services that cannot be substituted easily, or the production process cannot be adjusted in the short term to avoid their use). </w:t>
                      </w:r>
                    </w:p>
                    <w:p w14:paraId="4C2650C5" w14:textId="77777777" w:rsidR="00FF18CF" w:rsidRDefault="00FF18CF" w:rsidP="00FF18CF">
                      <w:pPr>
                        <w:rPr>
                          <w:sz w:val="20"/>
                          <w:szCs w:val="20"/>
                        </w:rPr>
                      </w:pPr>
                    </w:p>
                    <w:p w14:paraId="0F06B4F4" w14:textId="77777777" w:rsidR="00037CF8" w:rsidRDefault="00037CF8" w:rsidP="00FF18CF">
                      <w:pPr>
                        <w:rPr>
                          <w:sz w:val="20"/>
                          <w:szCs w:val="20"/>
                        </w:rPr>
                      </w:pPr>
                    </w:p>
                    <w:p w14:paraId="57D47175" w14:textId="77777777" w:rsidR="00037CF8" w:rsidRDefault="00037CF8" w:rsidP="00FF18CF">
                      <w:pPr>
                        <w:rPr>
                          <w:sz w:val="20"/>
                          <w:szCs w:val="20"/>
                        </w:rPr>
                      </w:pPr>
                    </w:p>
                    <w:p w14:paraId="145F2F57" w14:textId="77777777" w:rsidR="00037CF8" w:rsidRDefault="00037CF8" w:rsidP="00FF18CF">
                      <w:pPr>
                        <w:rPr>
                          <w:sz w:val="20"/>
                          <w:szCs w:val="20"/>
                        </w:rPr>
                      </w:pPr>
                    </w:p>
                    <w:p w14:paraId="1E4200A2" w14:textId="77777777" w:rsidR="00037CF8" w:rsidRDefault="00037CF8" w:rsidP="00FF18CF">
                      <w:pPr>
                        <w:rPr>
                          <w:sz w:val="20"/>
                          <w:szCs w:val="20"/>
                        </w:rPr>
                      </w:pPr>
                    </w:p>
                    <w:p w14:paraId="757560A2" w14:textId="77777777" w:rsidR="00037CF8" w:rsidRDefault="00037CF8" w:rsidP="00FF18CF">
                      <w:pPr>
                        <w:rPr>
                          <w:sz w:val="20"/>
                          <w:szCs w:val="20"/>
                        </w:rPr>
                      </w:pPr>
                    </w:p>
                    <w:p w14:paraId="023D29A0" w14:textId="77777777" w:rsidR="00037CF8" w:rsidRDefault="00037CF8" w:rsidP="00FF18CF">
                      <w:pPr>
                        <w:rPr>
                          <w:sz w:val="20"/>
                          <w:szCs w:val="20"/>
                        </w:rPr>
                      </w:pPr>
                    </w:p>
                    <w:p w14:paraId="6A4685EB" w14:textId="77777777" w:rsidR="00037CF8" w:rsidRDefault="00037CF8" w:rsidP="00FF18CF">
                      <w:pPr>
                        <w:rPr>
                          <w:sz w:val="20"/>
                          <w:szCs w:val="20"/>
                        </w:rPr>
                      </w:pPr>
                    </w:p>
                    <w:p w14:paraId="5DAE601C" w14:textId="77777777" w:rsidR="00037CF8" w:rsidRDefault="00037CF8" w:rsidP="00FF18CF">
                      <w:pPr>
                        <w:rPr>
                          <w:sz w:val="20"/>
                          <w:szCs w:val="20"/>
                        </w:rPr>
                      </w:pPr>
                    </w:p>
                    <w:p w14:paraId="673C8DCE" w14:textId="77777777" w:rsidR="00037CF8" w:rsidRDefault="00037CF8" w:rsidP="00FF18CF">
                      <w:pPr>
                        <w:rPr>
                          <w:sz w:val="20"/>
                          <w:szCs w:val="20"/>
                        </w:rPr>
                      </w:pPr>
                    </w:p>
                    <w:p w14:paraId="70CD9F8C" w14:textId="77777777" w:rsidR="00037CF8" w:rsidRDefault="00037CF8" w:rsidP="00FF18CF">
                      <w:pPr>
                        <w:rPr>
                          <w:sz w:val="20"/>
                          <w:szCs w:val="20"/>
                        </w:rPr>
                      </w:pPr>
                    </w:p>
                    <w:p w14:paraId="7F6AA0FE" w14:textId="77777777" w:rsidR="00037CF8" w:rsidRPr="00D20976" w:rsidRDefault="00037CF8" w:rsidP="00FF18CF">
                      <w:pPr>
                        <w:rPr>
                          <w:sz w:val="20"/>
                          <w:szCs w:val="20"/>
                        </w:rPr>
                      </w:pPr>
                    </w:p>
                  </w:txbxContent>
                </v:textbox>
                <w10:wrap type="square" anchorx="margin"/>
              </v:shape>
            </w:pict>
          </mc:Fallback>
        </mc:AlternateContent>
      </w:r>
    </w:p>
    <w:p w14:paraId="5F4CCC68" w14:textId="2FDBEF4F" w:rsidR="001E0802" w:rsidRDefault="001E0802" w:rsidP="001E0802">
      <w:pPr>
        <w:jc w:val="both"/>
        <w:rPr>
          <w:rFonts w:eastAsia="Times New Roman"/>
        </w:rPr>
      </w:pPr>
      <w:r>
        <w:rPr>
          <w:rFonts w:eastAsia="Times New Roman"/>
        </w:rPr>
        <w:t xml:space="preserve">Through the </w:t>
      </w:r>
      <w:r w:rsidR="002B6BCE">
        <w:rPr>
          <w:rFonts w:eastAsia="Times New Roman"/>
        </w:rPr>
        <w:t>IPEF Supply Chain</w:t>
      </w:r>
      <w:r>
        <w:rPr>
          <w:rFonts w:eastAsia="Times New Roman"/>
        </w:rPr>
        <w:t xml:space="preserve"> </w:t>
      </w:r>
      <w:r w:rsidRPr="00EB6146">
        <w:rPr>
          <w:rFonts w:eastAsia="Times New Roman"/>
        </w:rPr>
        <w:t xml:space="preserve">Agreement </w:t>
      </w:r>
      <w:r>
        <w:rPr>
          <w:rFonts w:eastAsia="Times New Roman"/>
        </w:rPr>
        <w:t>the following committee structures will be established:</w:t>
      </w:r>
    </w:p>
    <w:p w14:paraId="204A955D" w14:textId="1B21A155" w:rsidR="001E0802" w:rsidRPr="00AC4E0A" w:rsidRDefault="001E0802" w:rsidP="001C343B">
      <w:pPr>
        <w:pStyle w:val="ListParagraph"/>
        <w:numPr>
          <w:ilvl w:val="0"/>
          <w:numId w:val="6"/>
        </w:numPr>
        <w:jc w:val="both"/>
        <w:rPr>
          <w:rFonts w:eastAsia="Times New Roman"/>
        </w:rPr>
      </w:pPr>
      <w:r w:rsidRPr="00AC4E0A">
        <w:rPr>
          <w:rFonts w:eastAsia="Times New Roman"/>
        </w:rPr>
        <w:t>An IPEF Supply Chains Council focused on delivering Action Plans in identified critical sectors to increase the resilience, efficiency, productivity, sustainability, transparency, diversification, security, fairness, and inclusivity of IPEF supply chains. This will provide new opportunities for Australian exporters to meet the identified needs in critical sectors of international partners in IPEF.</w:t>
      </w:r>
    </w:p>
    <w:p w14:paraId="6850D39E" w14:textId="6891CDAB" w:rsidR="001E0802" w:rsidRPr="00AC4E0A" w:rsidRDefault="001E0802" w:rsidP="001C343B">
      <w:pPr>
        <w:pStyle w:val="ListParagraph"/>
        <w:numPr>
          <w:ilvl w:val="0"/>
          <w:numId w:val="6"/>
        </w:numPr>
        <w:jc w:val="both"/>
        <w:rPr>
          <w:rFonts w:eastAsia="Times New Roman"/>
        </w:rPr>
      </w:pPr>
      <w:r w:rsidRPr="00AC4E0A">
        <w:rPr>
          <w:rFonts w:eastAsia="Times New Roman"/>
        </w:rPr>
        <w:t>An IPEF Supply Chain Crisis Response Network to serve as an emergency communications channel in the event of a supply chain disruption to rapidly disseminate relevant information among the Parties of the and facilitate cooperation on responses.</w:t>
      </w:r>
    </w:p>
    <w:p w14:paraId="7FD3557F" w14:textId="1E8981D8" w:rsidR="001E0802" w:rsidRPr="00AC4E0A" w:rsidRDefault="001E0802" w:rsidP="001C343B">
      <w:pPr>
        <w:pStyle w:val="ListParagraph"/>
        <w:numPr>
          <w:ilvl w:val="0"/>
          <w:numId w:val="6"/>
        </w:numPr>
        <w:jc w:val="both"/>
        <w:rPr>
          <w:rFonts w:eastAsia="Times New Roman"/>
        </w:rPr>
      </w:pPr>
      <w:r w:rsidRPr="00AC4E0A">
        <w:rPr>
          <w:rFonts w:eastAsia="Times New Roman"/>
        </w:rPr>
        <w:t xml:space="preserve">A </w:t>
      </w:r>
      <w:proofErr w:type="spellStart"/>
      <w:r w:rsidRPr="00AC4E0A">
        <w:rPr>
          <w:rFonts w:eastAsia="Times New Roman"/>
        </w:rPr>
        <w:t>Labor</w:t>
      </w:r>
      <w:proofErr w:type="spellEnd"/>
      <w:r w:rsidRPr="00AC4E0A">
        <w:rPr>
          <w:rFonts w:eastAsia="Times New Roman"/>
        </w:rPr>
        <w:t xml:space="preserve"> Rights Advisory </w:t>
      </w:r>
      <w:proofErr w:type="spellStart"/>
      <w:r w:rsidRPr="00AC4E0A">
        <w:rPr>
          <w:rFonts w:eastAsia="Times New Roman"/>
        </w:rPr>
        <w:t>Advisory</w:t>
      </w:r>
      <w:proofErr w:type="spellEnd"/>
      <w:r w:rsidRPr="00AC4E0A">
        <w:rPr>
          <w:rFonts w:eastAsia="Times New Roman"/>
        </w:rPr>
        <w:t xml:space="preserve"> Board composed of three representatives for each Party: (a) a senior official from the central level of government who is responsible for </w:t>
      </w:r>
      <w:proofErr w:type="spellStart"/>
      <w:r w:rsidRPr="00AC4E0A">
        <w:rPr>
          <w:rFonts w:eastAsia="Times New Roman"/>
        </w:rPr>
        <w:t>labor</w:t>
      </w:r>
      <w:proofErr w:type="spellEnd"/>
      <w:r w:rsidRPr="00AC4E0A">
        <w:rPr>
          <w:rFonts w:eastAsia="Times New Roman"/>
        </w:rPr>
        <w:t xml:space="preserve"> matters; (b) a worker representative; and (c) an employer representative</w:t>
      </w:r>
      <w:r w:rsidR="00154202">
        <w:rPr>
          <w:rFonts w:eastAsia="Times New Roman"/>
        </w:rPr>
        <w:t>.</w:t>
      </w:r>
    </w:p>
    <w:p w14:paraId="05FE37BA" w14:textId="18EC692C" w:rsidR="0076369E" w:rsidRPr="00AC4E0A" w:rsidRDefault="0076369E" w:rsidP="001C343B">
      <w:pPr>
        <w:pStyle w:val="ListParagraph"/>
        <w:numPr>
          <w:ilvl w:val="0"/>
          <w:numId w:val="6"/>
        </w:numPr>
        <w:jc w:val="both"/>
        <w:rPr>
          <w:rFonts w:eastAsia="Times New Roman"/>
        </w:rPr>
      </w:pPr>
      <w:r>
        <w:rPr>
          <w:rFonts w:eastAsia="Times New Roman"/>
        </w:rPr>
        <w:t xml:space="preserve">A Subcommittee of the IPEF </w:t>
      </w:r>
      <w:proofErr w:type="spellStart"/>
      <w:r>
        <w:rPr>
          <w:rFonts w:eastAsia="Times New Roman"/>
        </w:rPr>
        <w:t>L</w:t>
      </w:r>
      <w:r w:rsidR="002E6EB6">
        <w:rPr>
          <w:rFonts w:eastAsia="Times New Roman"/>
        </w:rPr>
        <w:t>abor</w:t>
      </w:r>
      <w:proofErr w:type="spellEnd"/>
      <w:r w:rsidR="002E6EB6">
        <w:rPr>
          <w:rFonts w:eastAsia="Times New Roman"/>
        </w:rPr>
        <w:t xml:space="preserve"> Right</w:t>
      </w:r>
      <w:r w:rsidR="00346217">
        <w:rPr>
          <w:rFonts w:eastAsia="Times New Roman"/>
        </w:rPr>
        <w:t>s Advisory Board</w:t>
      </w:r>
      <w:r w:rsidR="005E0C44">
        <w:rPr>
          <w:rFonts w:eastAsia="Times New Roman"/>
        </w:rPr>
        <w:t xml:space="preserve">, consisting of the government representatives of this </w:t>
      </w:r>
      <w:r w:rsidR="00571B8E">
        <w:rPr>
          <w:rFonts w:eastAsia="Times New Roman"/>
        </w:rPr>
        <w:t>board</w:t>
      </w:r>
      <w:r w:rsidR="00154202">
        <w:rPr>
          <w:rFonts w:eastAsia="Times New Roman"/>
        </w:rPr>
        <w:t>.</w:t>
      </w:r>
    </w:p>
    <w:p w14:paraId="6983E810" w14:textId="32CF5C94" w:rsidR="001E0802" w:rsidRDefault="001E0802" w:rsidP="001E0802">
      <w:pPr>
        <w:jc w:val="both"/>
        <w:rPr>
          <w:rFonts w:eastAsia="Times New Roman"/>
        </w:rPr>
      </w:pPr>
    </w:p>
    <w:p w14:paraId="046AA2A1" w14:textId="456DDDED" w:rsidR="001E0802" w:rsidRDefault="001E0802" w:rsidP="001E0802">
      <w:pPr>
        <w:jc w:val="both"/>
        <w:rPr>
          <w:rFonts w:eastAsia="Times New Roman"/>
        </w:rPr>
      </w:pPr>
      <w:r>
        <w:rPr>
          <w:rFonts w:eastAsia="Times New Roman"/>
        </w:rPr>
        <w:t xml:space="preserve">Also, </w:t>
      </w:r>
      <w:r w:rsidR="0019765F">
        <w:rPr>
          <w:rFonts w:eastAsia="Times New Roman"/>
        </w:rPr>
        <w:t>as outlined in</w:t>
      </w:r>
      <w:r>
        <w:rPr>
          <w:rFonts w:eastAsia="Times New Roman"/>
        </w:rPr>
        <w:t xml:space="preserve"> the </w:t>
      </w:r>
      <w:r w:rsidR="00E73CA0" w:rsidRPr="00E73CA0">
        <w:rPr>
          <w:rFonts w:eastAsia="Times New Roman"/>
        </w:rPr>
        <w:t>IPEF Supply Chain Agreement</w:t>
      </w:r>
      <w:r w:rsidR="0019765F">
        <w:rPr>
          <w:rFonts w:eastAsia="Times New Roman"/>
        </w:rPr>
        <w:t>,</w:t>
      </w:r>
      <w:r>
        <w:rPr>
          <w:rFonts w:eastAsia="Times New Roman"/>
        </w:rPr>
        <w:t xml:space="preserve"> Australia would do the following things:</w:t>
      </w:r>
    </w:p>
    <w:p w14:paraId="09EDB4C9" w14:textId="4C46049C" w:rsidR="001E0802" w:rsidRPr="00AC4E0A" w:rsidRDefault="001E0802" w:rsidP="001C343B">
      <w:pPr>
        <w:pStyle w:val="ListParagraph"/>
        <w:numPr>
          <w:ilvl w:val="0"/>
          <w:numId w:val="7"/>
        </w:numPr>
        <w:jc w:val="both"/>
        <w:rPr>
          <w:rFonts w:eastAsia="Times New Roman"/>
        </w:rPr>
      </w:pPr>
      <w:r w:rsidRPr="00AC4E0A">
        <w:rPr>
          <w:rFonts w:eastAsia="Times New Roman"/>
        </w:rPr>
        <w:t>Establish or maintain, consistent with domestic law, a reporting mechanism to receive, including through electronic means, allegations of labour rights inconsistencies at subject facilities located in the territory of another Party.</w:t>
      </w:r>
    </w:p>
    <w:p w14:paraId="7F3D42A1" w14:textId="465EA79B" w:rsidR="001E0802" w:rsidRPr="00872915" w:rsidRDefault="001E0802" w:rsidP="001C343B">
      <w:pPr>
        <w:pStyle w:val="ListParagraph"/>
        <w:numPr>
          <w:ilvl w:val="0"/>
          <w:numId w:val="7"/>
        </w:numPr>
        <w:jc w:val="both"/>
        <w:rPr>
          <w:rFonts w:eastAsia="Times New Roman"/>
        </w:rPr>
      </w:pPr>
      <w:r w:rsidRPr="00872915">
        <w:rPr>
          <w:rFonts w:eastAsia="Times New Roman"/>
        </w:rPr>
        <w:t>Unde</w:t>
      </w:r>
      <w:r>
        <w:rPr>
          <w:rFonts w:eastAsia="Times New Roman"/>
        </w:rPr>
        <w:t>r</w:t>
      </w:r>
      <w:r w:rsidRPr="00872915">
        <w:rPr>
          <w:rFonts w:eastAsia="Times New Roman"/>
        </w:rPr>
        <w:t xml:space="preserve">take cooperative activities to increase the resilience, efficiency, productivity, sustainability, transparency, diversification, security, fairness, and inclusivity of IPEF supply chains, </w:t>
      </w:r>
      <w:proofErr w:type="gramStart"/>
      <w:r w:rsidRPr="00872915">
        <w:rPr>
          <w:rFonts w:eastAsia="Times New Roman"/>
        </w:rPr>
        <w:t>taking into account</w:t>
      </w:r>
      <w:proofErr w:type="gramEnd"/>
      <w:r w:rsidRPr="00872915">
        <w:rPr>
          <w:rFonts w:eastAsia="Times New Roman"/>
        </w:rPr>
        <w:t xml:space="preserve"> the different economic and geographic characteristics and capacity constraints of each Party as well as the individual characteristics of different sectors and goods.</w:t>
      </w:r>
    </w:p>
    <w:p w14:paraId="4515CD5E" w14:textId="41BDEB5A" w:rsidR="00735381" w:rsidRPr="00037CF8" w:rsidRDefault="001E0802" w:rsidP="00037CF8">
      <w:pPr>
        <w:pStyle w:val="ListParagraph"/>
        <w:numPr>
          <w:ilvl w:val="0"/>
          <w:numId w:val="7"/>
        </w:numPr>
        <w:jc w:val="both"/>
        <w:rPr>
          <w:rFonts w:eastAsia="Times New Roman"/>
        </w:rPr>
      </w:pPr>
      <w:r w:rsidRPr="005158D6">
        <w:rPr>
          <w:rFonts w:eastAsia="Times New Roman"/>
        </w:rPr>
        <w:lastRenderedPageBreak/>
        <w:t xml:space="preserve">Work collaboratively across the IPEF membership to minimise unnecessary restrictions or impediments creating barriers to trade affecting the resilience, efficiency, productivity, sustainability, transparency, diversification, security, fairness, and inclusivity of IPEF supply chains.  </w:t>
      </w:r>
    </w:p>
    <w:p w14:paraId="15FCCBB8" w14:textId="77777777" w:rsidR="00321512" w:rsidRDefault="00321512">
      <w:pPr>
        <w:rPr>
          <w:rFonts w:eastAsia="Times New Roman"/>
          <w:b/>
          <w:bCs/>
        </w:rPr>
      </w:pPr>
      <w:r>
        <w:rPr>
          <w:rFonts w:eastAsia="Times New Roman"/>
          <w:b/>
          <w:bCs/>
        </w:rPr>
        <w:br w:type="page"/>
      </w:r>
    </w:p>
    <w:p w14:paraId="6CE29EDA" w14:textId="475EAC17" w:rsidR="00D3554E" w:rsidRPr="00D46895" w:rsidRDefault="00D3554E" w:rsidP="00D3554E">
      <w:pPr>
        <w:jc w:val="both"/>
        <w:rPr>
          <w:rFonts w:eastAsia="Times New Roman"/>
          <w:b/>
          <w:bCs/>
        </w:rPr>
      </w:pPr>
      <w:r>
        <w:rPr>
          <w:rFonts w:eastAsia="Times New Roman"/>
          <w:b/>
          <w:bCs/>
        </w:rPr>
        <w:lastRenderedPageBreak/>
        <w:t xml:space="preserve">Question 4 - </w:t>
      </w:r>
      <w:r w:rsidRPr="00975A93">
        <w:rPr>
          <w:rFonts w:eastAsia="Times New Roman"/>
          <w:b/>
          <w:bCs/>
        </w:rPr>
        <w:t>What is the likely net benefit of each option?</w:t>
      </w:r>
    </w:p>
    <w:p w14:paraId="31069BA2" w14:textId="5EF6FC0D" w:rsidR="00185051" w:rsidRPr="00185051" w:rsidRDefault="001C62CA" w:rsidP="00196DFB">
      <w:pPr>
        <w:spacing w:after="240"/>
        <w:jc w:val="both"/>
        <w:rPr>
          <w:rFonts w:eastAsia="Times New Roman"/>
          <w:bCs/>
          <w:iCs/>
        </w:rPr>
      </w:pPr>
      <w:r>
        <w:rPr>
          <w:rFonts w:eastAsia="Times New Roman"/>
          <w:bCs/>
          <w:iCs/>
        </w:rPr>
        <w:t xml:space="preserve">In assessing the net benefits of each of the options, DFAT has </w:t>
      </w:r>
      <w:r w:rsidR="00D36614">
        <w:rPr>
          <w:rFonts w:eastAsia="Times New Roman"/>
          <w:bCs/>
          <w:iCs/>
        </w:rPr>
        <w:t xml:space="preserve">used a qualitative </w:t>
      </w:r>
      <w:r w:rsidR="00B805BE">
        <w:rPr>
          <w:rFonts w:eastAsia="Times New Roman"/>
          <w:bCs/>
          <w:iCs/>
        </w:rPr>
        <w:t>assessment</w:t>
      </w:r>
      <w:r w:rsidR="000D10FE">
        <w:rPr>
          <w:rFonts w:eastAsia="Times New Roman"/>
          <w:bCs/>
          <w:iCs/>
        </w:rPr>
        <w:t xml:space="preserve"> </w:t>
      </w:r>
      <w:r w:rsidR="00C563D1">
        <w:rPr>
          <w:rFonts w:eastAsia="Times New Roman"/>
          <w:bCs/>
          <w:iCs/>
        </w:rPr>
        <w:t>methodology</w:t>
      </w:r>
      <w:r w:rsidR="00DA7B26">
        <w:rPr>
          <w:rFonts w:eastAsia="Times New Roman"/>
          <w:bCs/>
          <w:iCs/>
        </w:rPr>
        <w:t xml:space="preserve"> underpinned by data where possible</w:t>
      </w:r>
      <w:r w:rsidR="00242BAC">
        <w:rPr>
          <w:rFonts w:eastAsia="Times New Roman"/>
          <w:bCs/>
          <w:iCs/>
        </w:rPr>
        <w:t xml:space="preserve">. This approach was chosen to allow for strategic </w:t>
      </w:r>
      <w:r w:rsidR="00DA7B26">
        <w:rPr>
          <w:rFonts w:eastAsia="Times New Roman"/>
          <w:bCs/>
          <w:iCs/>
        </w:rPr>
        <w:t>policy nuances and the anecdotal evidence DFAT has re</w:t>
      </w:r>
      <w:r w:rsidR="00393132">
        <w:rPr>
          <w:rFonts w:eastAsia="Times New Roman"/>
          <w:bCs/>
          <w:iCs/>
        </w:rPr>
        <w:t xml:space="preserve">ceived through stakeholder engagement. DFAT has </w:t>
      </w:r>
      <w:r w:rsidR="00805834">
        <w:rPr>
          <w:rFonts w:eastAsia="Times New Roman"/>
          <w:bCs/>
          <w:iCs/>
        </w:rPr>
        <w:t xml:space="preserve">made </w:t>
      </w:r>
      <w:r w:rsidR="006A2BAD">
        <w:rPr>
          <w:rFonts w:eastAsia="Times New Roman"/>
          <w:bCs/>
          <w:iCs/>
        </w:rPr>
        <w:t xml:space="preserve">qualitative assessments in this discussion </w:t>
      </w:r>
      <w:r w:rsidR="00DE71A5">
        <w:rPr>
          <w:rFonts w:eastAsia="Times New Roman"/>
          <w:bCs/>
          <w:iCs/>
        </w:rPr>
        <w:t>using</w:t>
      </w:r>
      <w:r w:rsidR="006A2BAD">
        <w:rPr>
          <w:rFonts w:eastAsia="Times New Roman"/>
          <w:bCs/>
          <w:iCs/>
        </w:rPr>
        <w:t xml:space="preserve"> </w:t>
      </w:r>
      <w:r w:rsidR="00DE71A5">
        <w:rPr>
          <w:rFonts w:eastAsia="Times New Roman"/>
          <w:bCs/>
          <w:iCs/>
        </w:rPr>
        <w:t xml:space="preserve">existing </w:t>
      </w:r>
      <w:r w:rsidR="006A2BAD">
        <w:rPr>
          <w:rFonts w:eastAsia="Times New Roman"/>
          <w:bCs/>
          <w:iCs/>
        </w:rPr>
        <w:t xml:space="preserve">foreign and trade policy </w:t>
      </w:r>
      <w:r w:rsidR="00DE71A5">
        <w:rPr>
          <w:rFonts w:eastAsia="Times New Roman"/>
          <w:bCs/>
          <w:iCs/>
        </w:rPr>
        <w:t xml:space="preserve">expertise. </w:t>
      </w:r>
      <w:r w:rsidR="006A2BAD">
        <w:rPr>
          <w:rFonts w:eastAsia="Times New Roman"/>
          <w:bCs/>
          <w:iCs/>
        </w:rPr>
        <w:t xml:space="preserve"> </w:t>
      </w:r>
    </w:p>
    <w:p w14:paraId="13BA7BEC" w14:textId="56EF2FB8" w:rsidR="00196DFB" w:rsidRPr="0095252E" w:rsidRDefault="00D3554E" w:rsidP="00196DFB">
      <w:pPr>
        <w:spacing w:after="240"/>
        <w:jc w:val="both"/>
        <w:rPr>
          <w:rFonts w:eastAsia="Times New Roman"/>
          <w:b/>
          <w:i/>
        </w:rPr>
      </w:pPr>
      <w:r w:rsidRPr="0095252E">
        <w:rPr>
          <w:rFonts w:eastAsia="Times New Roman"/>
          <w:b/>
          <w:i/>
        </w:rPr>
        <w:t xml:space="preserve">Option 1 – </w:t>
      </w:r>
      <w:r w:rsidR="00196DFB" w:rsidRPr="0095252E">
        <w:rPr>
          <w:rFonts w:eastAsia="Times New Roman"/>
          <w:b/>
          <w:i/>
        </w:rPr>
        <w:t>Australia does not sign the IPEF Supply Chain Agreement</w:t>
      </w:r>
    </w:p>
    <w:p w14:paraId="6093AA87" w14:textId="08526D00" w:rsidR="0081092D" w:rsidRDefault="00EF6799" w:rsidP="00EF7381">
      <w:pPr>
        <w:spacing w:after="240"/>
        <w:jc w:val="both"/>
        <w:rPr>
          <w:rFonts w:eastAsia="Times New Roman"/>
          <w:bCs/>
          <w:iCs/>
        </w:rPr>
      </w:pPr>
      <w:r>
        <w:rPr>
          <w:rFonts w:eastAsia="Times New Roman"/>
          <w:bCs/>
          <w:iCs/>
        </w:rPr>
        <w:t xml:space="preserve">Should </w:t>
      </w:r>
      <w:r w:rsidR="00346793">
        <w:rPr>
          <w:rFonts w:eastAsia="Times New Roman"/>
          <w:bCs/>
          <w:iCs/>
        </w:rPr>
        <w:t>Austr</w:t>
      </w:r>
      <w:r w:rsidR="00B80835">
        <w:rPr>
          <w:rFonts w:eastAsia="Times New Roman"/>
          <w:bCs/>
          <w:iCs/>
        </w:rPr>
        <w:t>alia not sign the IPEF Supply Chain Agreement, and the status quo con</w:t>
      </w:r>
      <w:r w:rsidR="003D0DFA">
        <w:rPr>
          <w:rFonts w:eastAsia="Times New Roman"/>
          <w:bCs/>
          <w:iCs/>
        </w:rPr>
        <w:t xml:space="preserve">tinue, </w:t>
      </w:r>
      <w:r w:rsidR="00215B48">
        <w:rPr>
          <w:rFonts w:eastAsia="Times New Roman"/>
          <w:bCs/>
          <w:iCs/>
        </w:rPr>
        <w:t>then it is anticipated th</w:t>
      </w:r>
      <w:r w:rsidR="00B10E7E">
        <w:rPr>
          <w:rFonts w:eastAsia="Times New Roman"/>
          <w:bCs/>
          <w:iCs/>
        </w:rPr>
        <w:t xml:space="preserve">at </w:t>
      </w:r>
      <w:r w:rsidR="00033886">
        <w:rPr>
          <w:rFonts w:eastAsia="Times New Roman"/>
          <w:bCs/>
          <w:iCs/>
        </w:rPr>
        <w:t xml:space="preserve">supply chains would </w:t>
      </w:r>
      <w:proofErr w:type="gramStart"/>
      <w:r w:rsidR="00033886">
        <w:rPr>
          <w:rFonts w:eastAsia="Times New Roman"/>
          <w:bCs/>
          <w:iCs/>
        </w:rPr>
        <w:t>continue on</w:t>
      </w:r>
      <w:proofErr w:type="gramEnd"/>
      <w:r w:rsidR="00033886">
        <w:rPr>
          <w:rFonts w:eastAsia="Times New Roman"/>
          <w:bCs/>
          <w:iCs/>
        </w:rPr>
        <w:t xml:space="preserve"> their </w:t>
      </w:r>
      <w:r w:rsidR="00841792">
        <w:rPr>
          <w:rFonts w:eastAsia="Times New Roman"/>
          <w:bCs/>
          <w:iCs/>
        </w:rPr>
        <w:t>long-term</w:t>
      </w:r>
      <w:r w:rsidR="00033886">
        <w:rPr>
          <w:rFonts w:eastAsia="Times New Roman"/>
          <w:bCs/>
          <w:iCs/>
        </w:rPr>
        <w:t xml:space="preserve"> trend toward supply chain diversification and adjusting the risk calculation </w:t>
      </w:r>
      <w:r w:rsidR="00391D85">
        <w:rPr>
          <w:rFonts w:eastAsia="Times New Roman"/>
          <w:bCs/>
          <w:iCs/>
        </w:rPr>
        <w:t>while</w:t>
      </w:r>
      <w:r w:rsidR="00033886">
        <w:rPr>
          <w:rFonts w:eastAsia="Times New Roman"/>
          <w:bCs/>
          <w:iCs/>
        </w:rPr>
        <w:t xml:space="preserve"> maintaining </w:t>
      </w:r>
      <w:r w:rsidR="00391D85">
        <w:rPr>
          <w:rFonts w:eastAsia="Times New Roman"/>
          <w:bCs/>
          <w:iCs/>
        </w:rPr>
        <w:t xml:space="preserve">some </w:t>
      </w:r>
      <w:r w:rsidR="00033886">
        <w:rPr>
          <w:rFonts w:eastAsia="Times New Roman"/>
          <w:bCs/>
          <w:iCs/>
        </w:rPr>
        <w:t xml:space="preserve">‘just in time’ supply chains. </w:t>
      </w:r>
      <w:r w:rsidR="00841792">
        <w:rPr>
          <w:rFonts w:eastAsia="Times New Roman"/>
          <w:bCs/>
          <w:iCs/>
        </w:rPr>
        <w:t xml:space="preserve">We would expect that </w:t>
      </w:r>
      <w:r w:rsidR="00FB7085">
        <w:rPr>
          <w:rFonts w:eastAsia="Times New Roman"/>
          <w:bCs/>
          <w:iCs/>
        </w:rPr>
        <w:t xml:space="preserve">Government’s </w:t>
      </w:r>
      <w:r w:rsidR="00391D85">
        <w:rPr>
          <w:rFonts w:eastAsia="Times New Roman"/>
          <w:bCs/>
          <w:iCs/>
        </w:rPr>
        <w:t xml:space="preserve">across the </w:t>
      </w:r>
      <w:r w:rsidR="00FB7085">
        <w:rPr>
          <w:rFonts w:eastAsia="Times New Roman"/>
          <w:bCs/>
          <w:iCs/>
        </w:rPr>
        <w:t xml:space="preserve">Indo-Pacific region and globally will continue </w:t>
      </w:r>
      <w:r w:rsidR="00391D85">
        <w:rPr>
          <w:rFonts w:eastAsia="Times New Roman"/>
          <w:bCs/>
          <w:iCs/>
        </w:rPr>
        <w:t xml:space="preserve">and increase in their </w:t>
      </w:r>
      <w:r w:rsidR="00F23CC7">
        <w:rPr>
          <w:rFonts w:eastAsia="Times New Roman"/>
          <w:bCs/>
          <w:iCs/>
        </w:rPr>
        <w:t xml:space="preserve">use </w:t>
      </w:r>
      <w:r w:rsidR="00391D85">
        <w:rPr>
          <w:rFonts w:eastAsia="Times New Roman"/>
          <w:bCs/>
          <w:iCs/>
        </w:rPr>
        <w:t xml:space="preserve">of </w:t>
      </w:r>
      <w:r w:rsidR="00F23CC7">
        <w:rPr>
          <w:rFonts w:eastAsia="Times New Roman"/>
          <w:bCs/>
          <w:iCs/>
        </w:rPr>
        <w:t xml:space="preserve">industrial policies and </w:t>
      </w:r>
      <w:r w:rsidR="00BB170F">
        <w:rPr>
          <w:rFonts w:eastAsia="Times New Roman"/>
          <w:bCs/>
          <w:iCs/>
        </w:rPr>
        <w:t xml:space="preserve">subsidies to accelerate this trend of </w:t>
      </w:r>
      <w:r w:rsidR="00066F71">
        <w:rPr>
          <w:rFonts w:eastAsia="Times New Roman"/>
          <w:bCs/>
          <w:iCs/>
        </w:rPr>
        <w:t xml:space="preserve">diversification and </w:t>
      </w:r>
      <w:r w:rsidR="00743E09">
        <w:rPr>
          <w:rFonts w:eastAsia="Times New Roman"/>
          <w:bCs/>
          <w:iCs/>
        </w:rPr>
        <w:t xml:space="preserve">on-shoring. </w:t>
      </w:r>
      <w:r w:rsidR="00D574A0">
        <w:rPr>
          <w:rFonts w:eastAsia="Times New Roman"/>
          <w:bCs/>
          <w:iCs/>
        </w:rPr>
        <w:t>A s</w:t>
      </w:r>
      <w:r w:rsidR="001955EE">
        <w:rPr>
          <w:rFonts w:eastAsia="Times New Roman"/>
          <w:bCs/>
          <w:iCs/>
        </w:rPr>
        <w:t>urvey of</w:t>
      </w:r>
      <w:r w:rsidR="00D574A0">
        <w:rPr>
          <w:rFonts w:eastAsia="Times New Roman"/>
          <w:bCs/>
          <w:iCs/>
        </w:rPr>
        <w:t xml:space="preserve"> </w:t>
      </w:r>
      <w:r w:rsidR="004F1229">
        <w:rPr>
          <w:rFonts w:eastAsia="Times New Roman"/>
          <w:bCs/>
          <w:iCs/>
        </w:rPr>
        <w:t xml:space="preserve">Chief Financial Officers </w:t>
      </w:r>
      <w:r w:rsidR="00F47D56">
        <w:rPr>
          <w:rFonts w:eastAsia="Times New Roman"/>
          <w:bCs/>
          <w:iCs/>
        </w:rPr>
        <w:t xml:space="preserve">(CFOs) </w:t>
      </w:r>
      <w:r w:rsidR="004F1229">
        <w:rPr>
          <w:rFonts w:eastAsia="Times New Roman"/>
          <w:bCs/>
          <w:iCs/>
        </w:rPr>
        <w:t xml:space="preserve">from across North America </w:t>
      </w:r>
      <w:r w:rsidR="00C17A2C">
        <w:rPr>
          <w:rFonts w:eastAsia="Times New Roman"/>
          <w:bCs/>
          <w:iCs/>
        </w:rPr>
        <w:t xml:space="preserve">showed that </w:t>
      </w:r>
      <w:r w:rsidR="00F47D56">
        <w:rPr>
          <w:rFonts w:eastAsia="Times New Roman"/>
          <w:bCs/>
          <w:iCs/>
        </w:rPr>
        <w:t xml:space="preserve">most CFOs </w:t>
      </w:r>
      <w:r w:rsidR="00BF6A66">
        <w:rPr>
          <w:rFonts w:eastAsia="Times New Roman"/>
          <w:bCs/>
          <w:iCs/>
        </w:rPr>
        <w:t>anticipate</w:t>
      </w:r>
      <w:r w:rsidR="00F47D56">
        <w:rPr>
          <w:rFonts w:eastAsia="Times New Roman"/>
          <w:bCs/>
          <w:iCs/>
        </w:rPr>
        <w:t>d</w:t>
      </w:r>
      <w:r w:rsidR="00BF6A66">
        <w:rPr>
          <w:rFonts w:eastAsia="Times New Roman"/>
          <w:bCs/>
          <w:iCs/>
        </w:rPr>
        <w:t xml:space="preserve"> </w:t>
      </w:r>
      <w:r w:rsidR="00F8300A">
        <w:rPr>
          <w:rFonts w:eastAsia="Times New Roman"/>
          <w:bCs/>
          <w:iCs/>
        </w:rPr>
        <w:t xml:space="preserve">increasing the diversification </w:t>
      </w:r>
      <w:r w:rsidR="00D574A0">
        <w:rPr>
          <w:rFonts w:eastAsia="Times New Roman"/>
          <w:bCs/>
          <w:iCs/>
        </w:rPr>
        <w:t xml:space="preserve">of their supply chains </w:t>
      </w:r>
      <w:r w:rsidR="00F47D56">
        <w:rPr>
          <w:rFonts w:eastAsia="Times New Roman"/>
          <w:bCs/>
          <w:iCs/>
        </w:rPr>
        <w:t xml:space="preserve">and </w:t>
      </w:r>
      <w:r w:rsidR="00C97364">
        <w:rPr>
          <w:rFonts w:eastAsia="Times New Roman"/>
          <w:bCs/>
          <w:iCs/>
        </w:rPr>
        <w:t>almost a third</w:t>
      </w:r>
      <w:r w:rsidR="00B94DE7">
        <w:rPr>
          <w:rFonts w:eastAsia="Times New Roman"/>
          <w:bCs/>
          <w:iCs/>
        </w:rPr>
        <w:t xml:space="preserve"> said they would reduce their </w:t>
      </w:r>
      <w:r w:rsidR="008D144B">
        <w:rPr>
          <w:rFonts w:eastAsia="Times New Roman"/>
          <w:bCs/>
          <w:iCs/>
        </w:rPr>
        <w:t>supply chain sourcing from China.</w:t>
      </w:r>
      <w:r w:rsidR="00F85CA4">
        <w:rPr>
          <w:rStyle w:val="FootnoteReference"/>
          <w:rFonts w:eastAsia="Times New Roman"/>
          <w:bCs/>
          <w:iCs/>
        </w:rPr>
        <w:footnoteReference w:id="24"/>
      </w:r>
    </w:p>
    <w:p w14:paraId="056B3E29" w14:textId="46D386E2" w:rsidR="0081092D" w:rsidRDefault="0081092D" w:rsidP="0081092D">
      <w:pPr>
        <w:pStyle w:val="Caption"/>
        <w:keepNext/>
        <w:jc w:val="both"/>
      </w:pPr>
      <w:r>
        <w:t xml:space="preserve">Figure </w:t>
      </w:r>
      <w:r w:rsidR="00351649">
        <w:t>9</w:t>
      </w:r>
    </w:p>
    <w:p w14:paraId="10356FE7" w14:textId="23138C44" w:rsidR="0081092D" w:rsidRPr="008F2818" w:rsidRDefault="0081092D" w:rsidP="00EF7381">
      <w:pPr>
        <w:spacing w:after="240"/>
        <w:jc w:val="both"/>
        <w:rPr>
          <w:rFonts w:eastAsia="Times New Roman"/>
          <w:bCs/>
          <w:iCs/>
        </w:rPr>
      </w:pPr>
      <w:r>
        <w:rPr>
          <w:rFonts w:eastAsia="Times New Roman"/>
          <w:bCs/>
          <w:iCs/>
          <w:noProof/>
        </w:rPr>
        <w:drawing>
          <wp:inline distT="0" distB="0" distL="0" distR="0" wp14:anchorId="68C31B7D" wp14:editId="46198910">
            <wp:extent cx="5715000" cy="396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87"/>
                    <a:stretch/>
                  </pic:blipFill>
                  <pic:spPr bwMode="auto">
                    <a:xfrm>
                      <a:off x="0" y="0"/>
                      <a:ext cx="5715000" cy="3962400"/>
                    </a:xfrm>
                    <a:prstGeom prst="rect">
                      <a:avLst/>
                    </a:prstGeom>
                    <a:noFill/>
                    <a:ln>
                      <a:noFill/>
                    </a:ln>
                    <a:extLst>
                      <a:ext uri="{53640926-AAD7-44D8-BBD7-CCE9431645EC}">
                        <a14:shadowObscured xmlns:a14="http://schemas.microsoft.com/office/drawing/2010/main"/>
                      </a:ext>
                    </a:extLst>
                  </pic:spPr>
                </pic:pic>
              </a:graphicData>
            </a:graphic>
          </wp:inline>
        </w:drawing>
      </w:r>
    </w:p>
    <w:p w14:paraId="46BA8FD3" w14:textId="2AA662DC" w:rsidR="00B435A7" w:rsidRDefault="006D4BA1" w:rsidP="00B435A7">
      <w:pPr>
        <w:spacing w:after="240"/>
        <w:jc w:val="both"/>
      </w:pPr>
      <w:r>
        <w:rPr>
          <w:rFonts w:eastAsia="Times New Roman"/>
          <w:bCs/>
          <w:iCs/>
        </w:rPr>
        <w:t xml:space="preserve">Australia’s supply chain </w:t>
      </w:r>
      <w:r w:rsidR="009628E4">
        <w:rPr>
          <w:rFonts w:eastAsia="Times New Roman"/>
          <w:bCs/>
          <w:iCs/>
        </w:rPr>
        <w:t xml:space="preserve">resilience framework </w:t>
      </w:r>
      <w:r w:rsidR="00A721F6">
        <w:rPr>
          <w:rFonts w:eastAsia="Times New Roman"/>
          <w:bCs/>
          <w:iCs/>
        </w:rPr>
        <w:t xml:space="preserve">led </w:t>
      </w:r>
      <w:r w:rsidR="00A721F6">
        <w:t xml:space="preserve">by </w:t>
      </w:r>
      <w:r w:rsidR="00F2295A">
        <w:t>OSCR</w:t>
      </w:r>
      <w:r w:rsidR="00A721F6">
        <w:rPr>
          <w:rFonts w:eastAsia="Times New Roman"/>
          <w:bCs/>
          <w:iCs/>
        </w:rPr>
        <w:t xml:space="preserve"> </w:t>
      </w:r>
      <w:r w:rsidR="0062172E">
        <w:rPr>
          <w:rFonts w:eastAsia="Times New Roman"/>
          <w:bCs/>
          <w:iCs/>
        </w:rPr>
        <w:t xml:space="preserve">would continue to </w:t>
      </w:r>
      <w:r w:rsidR="007F3104">
        <w:rPr>
          <w:rFonts w:eastAsia="Times New Roman"/>
          <w:bCs/>
          <w:iCs/>
        </w:rPr>
        <w:t>work toward</w:t>
      </w:r>
      <w:r w:rsidR="00FB522B">
        <w:rPr>
          <w:rFonts w:eastAsia="Times New Roman"/>
          <w:bCs/>
          <w:iCs/>
        </w:rPr>
        <w:t xml:space="preserve"> greater supply chain resilience for Australia and</w:t>
      </w:r>
      <w:r w:rsidR="007F3104">
        <w:rPr>
          <w:rFonts w:eastAsia="Times New Roman"/>
          <w:bCs/>
          <w:iCs/>
        </w:rPr>
        <w:t xml:space="preserve"> </w:t>
      </w:r>
      <w:r w:rsidR="000B7204">
        <w:t xml:space="preserve">Australian industry </w:t>
      </w:r>
      <w:r w:rsidR="00FB522B">
        <w:t>would continue</w:t>
      </w:r>
      <w:r w:rsidR="000B7204">
        <w:t xml:space="preserve"> engaging with </w:t>
      </w:r>
      <w:r w:rsidR="006647B7">
        <w:t>OSCR.</w:t>
      </w:r>
      <w:r w:rsidR="00A83B44">
        <w:t xml:space="preserve"> </w:t>
      </w:r>
      <w:r w:rsidR="00A83B44">
        <w:lastRenderedPageBreak/>
        <w:t xml:space="preserve">Australia would seek to </w:t>
      </w:r>
      <w:r w:rsidR="00B435A7">
        <w:t>mitigat</w:t>
      </w:r>
      <w:r w:rsidR="00A83B44">
        <w:t xml:space="preserve">e </w:t>
      </w:r>
      <w:r w:rsidR="00B435A7">
        <w:t>harm</w:t>
      </w:r>
      <w:r w:rsidR="00A83B44">
        <w:t xml:space="preserve"> of supply chain disruptions caused on industry by continuing to </w:t>
      </w:r>
      <w:r w:rsidR="00B435A7">
        <w:t xml:space="preserve">build industry’s capacity to understand and mitigate risks in their supply chains. </w:t>
      </w:r>
      <w:r w:rsidR="00A83B44">
        <w:t xml:space="preserve">As an </w:t>
      </w:r>
      <w:r w:rsidR="00B435A7">
        <w:t>example</w:t>
      </w:r>
      <w:r w:rsidR="002179D4">
        <w:t xml:space="preserve">, </w:t>
      </w:r>
      <w:r w:rsidR="00B435A7">
        <w:t xml:space="preserve">the Supply Chain Roundtable, and ongoing industry engagement, </w:t>
      </w:r>
      <w:r w:rsidR="002179D4">
        <w:t>would continue to seek to</w:t>
      </w:r>
      <w:r w:rsidR="00B435A7">
        <w:t xml:space="preserve"> enga</w:t>
      </w:r>
      <w:r w:rsidR="002179D4">
        <w:t xml:space="preserve">ge </w:t>
      </w:r>
      <w:r w:rsidR="00B435A7">
        <w:t>early with</w:t>
      </w:r>
      <w:r w:rsidR="002179D4">
        <w:t xml:space="preserve"> Australian</w:t>
      </w:r>
      <w:r w:rsidR="00B435A7">
        <w:t xml:space="preserve"> industry – who usually have the information and means to best manage risks. OSCR would become more involved when there is a supply chain disruption too wide of complex for industry to resolve without Government support. OSCR actions, as part of Government, would in such cases seek to assist and support the actions of industry to manage a disruption. </w:t>
      </w:r>
    </w:p>
    <w:p w14:paraId="3A077A1E" w14:textId="6481F096" w:rsidR="000B7204" w:rsidRPr="00865170" w:rsidRDefault="00E8577F" w:rsidP="00B435A7">
      <w:pPr>
        <w:spacing w:after="240"/>
        <w:jc w:val="both"/>
        <w:rPr>
          <w:rFonts w:eastAsia="Times New Roman"/>
          <w:bCs/>
          <w:iCs/>
        </w:rPr>
      </w:pPr>
      <w:r>
        <w:t xml:space="preserve">Australia would </w:t>
      </w:r>
      <w:r w:rsidR="00BC510B">
        <w:t>also likely ramp up its</w:t>
      </w:r>
      <w:r>
        <w:t xml:space="preserve"> to work with partners in the region through existing multilateral and bilateral structures to support the diversification and resilience of </w:t>
      </w:r>
      <w:r w:rsidR="00D47DA5">
        <w:t>critical supply chains.</w:t>
      </w:r>
      <w:r w:rsidR="00BC510B">
        <w:t xml:space="preserve"> This would probably include replicating some of the cooperative </w:t>
      </w:r>
      <w:r w:rsidR="00DC6225">
        <w:t>initiatives</w:t>
      </w:r>
      <w:r w:rsidR="00BC510B">
        <w:t xml:space="preserve"> </w:t>
      </w:r>
      <w:r w:rsidR="00DA5210">
        <w:t xml:space="preserve">in the IPEF Supply Chains Agreement </w:t>
      </w:r>
      <w:r w:rsidR="00852790">
        <w:t>but in a more ad hoc way</w:t>
      </w:r>
      <w:r w:rsidR="0099503A">
        <w:t xml:space="preserve"> and without entering into the full agreement</w:t>
      </w:r>
      <w:r w:rsidR="00852790">
        <w:t>.</w:t>
      </w:r>
    </w:p>
    <w:p w14:paraId="6C43078C" w14:textId="622CF89C" w:rsidR="00EF7381" w:rsidRPr="0095252E" w:rsidRDefault="00D3554E" w:rsidP="00EF7381">
      <w:pPr>
        <w:spacing w:after="240"/>
        <w:jc w:val="both"/>
        <w:rPr>
          <w:rFonts w:eastAsia="Times New Roman"/>
          <w:b/>
          <w:i/>
        </w:rPr>
      </w:pPr>
      <w:r w:rsidRPr="0095252E">
        <w:rPr>
          <w:rFonts w:eastAsia="Times New Roman"/>
          <w:b/>
          <w:i/>
        </w:rPr>
        <w:t xml:space="preserve">Option 2 – </w:t>
      </w:r>
      <w:r w:rsidR="00EF7381" w:rsidRPr="0095252E">
        <w:rPr>
          <w:rFonts w:eastAsia="Times New Roman"/>
          <w:b/>
          <w:i/>
        </w:rPr>
        <w:t>Australia signs the IPEF Supply Chain Agreement</w:t>
      </w:r>
    </w:p>
    <w:p w14:paraId="66D3B959" w14:textId="18E7BC2A" w:rsidR="00C772C1" w:rsidRDefault="00C772C1" w:rsidP="00C772C1">
      <w:pPr>
        <w:spacing w:after="240"/>
        <w:jc w:val="both"/>
      </w:pPr>
      <w:r>
        <w:t xml:space="preserve">DFAT’s qualitative assessment is that signing the proposed IPEF Supply Chain Agreement will result in a net benefit for Australia. It will provide Australia with useful supply chain resilience policy levers in the international context, it will send positive signals to the market of the need to diversify critical supply </w:t>
      </w:r>
      <w:r w:rsidR="004B0831">
        <w:t>chains</w:t>
      </w:r>
      <w:r w:rsidR="00DD3908">
        <w:t xml:space="preserve">, </w:t>
      </w:r>
      <w:r w:rsidR="00C930F9" w:rsidRPr="00C930F9">
        <w:t>promote evidence-based supply chain resilience approaches by our international partners</w:t>
      </w:r>
      <w:r w:rsidR="00DD3908">
        <w:t xml:space="preserve">, and </w:t>
      </w:r>
      <w:r w:rsidR="009D3253" w:rsidRPr="009D3253">
        <w:t xml:space="preserve">make regional </w:t>
      </w:r>
      <w:r w:rsidR="009D3253">
        <w:t>r</w:t>
      </w:r>
      <w:r w:rsidR="009D3253" w:rsidRPr="009D3253">
        <w:t>esponses to supply chain disruptions more systematic and coordinated</w:t>
      </w:r>
      <w:r w:rsidR="0084081B">
        <w:t>.</w:t>
      </w:r>
    </w:p>
    <w:p w14:paraId="637A6E9C" w14:textId="77777777" w:rsidR="00C772C1" w:rsidRDefault="00C772C1" w:rsidP="00C772C1">
      <w:pPr>
        <w:spacing w:after="240"/>
        <w:jc w:val="both"/>
      </w:pPr>
      <w:r>
        <w:t xml:space="preserve">This assessment is supported by studies. In 2018, DFAT commissioned an independent study on business utilisation of Australia's trade agreements. The Free Trade Agreement Utilisation Study undertaken by PricewaterhouseCoopers (PwC) found Australia's trade agreements, focusing on our FTAs with China, </w:t>
      </w:r>
      <w:proofErr w:type="gramStart"/>
      <w:r>
        <w:t>Japan</w:t>
      </w:r>
      <w:proofErr w:type="gramEnd"/>
      <w:r>
        <w:t xml:space="preserve"> and Korea, were having a positive impact on business confidence, activity, strategy, expansion planning, and international investment, including in services sectors. The PwC research highlighted the 'head turning' effect of Australia's trade agreements with China, </w:t>
      </w:r>
      <w:proofErr w:type="gramStart"/>
      <w:r>
        <w:t>Japan</w:t>
      </w:r>
      <w:proofErr w:type="gramEnd"/>
      <w:r>
        <w:t xml:space="preserve"> and Korea, contributing to the positive perception of Australia as a place to invest and do business. </w:t>
      </w:r>
    </w:p>
    <w:p w14:paraId="735D02EA" w14:textId="77777777" w:rsidR="00D41A85" w:rsidRDefault="00D41A85" w:rsidP="00EF7381">
      <w:pPr>
        <w:spacing w:after="240"/>
        <w:jc w:val="both"/>
        <w:rPr>
          <w:rStyle w:val="ui-provider"/>
        </w:rPr>
      </w:pPr>
      <w:r>
        <w:rPr>
          <w:rStyle w:val="ui-provider"/>
        </w:rPr>
        <w:t>In the same way that free trade agreements signal government commitment to market liberalisation, DFAT assesses the proposed IPEF Supply Chain Agreement will send an important market signal about the enduring commitment of regional governments to supply chain resilience and diversification. This will promote industry confidence needed to invest and do business in IPEF-identified critical sectors. </w:t>
      </w:r>
    </w:p>
    <w:p w14:paraId="06D21C51" w14:textId="5D0A68A2" w:rsidR="005D3524" w:rsidRDefault="005D3524" w:rsidP="00EF7381">
      <w:pPr>
        <w:spacing w:after="240"/>
        <w:jc w:val="both"/>
        <w:rPr>
          <w:u w:val="single"/>
        </w:rPr>
      </w:pPr>
      <w:r w:rsidRPr="00104F74">
        <w:rPr>
          <w:u w:val="single"/>
        </w:rPr>
        <w:t>Benefits</w:t>
      </w:r>
    </w:p>
    <w:p w14:paraId="3585A460" w14:textId="121B9BE9" w:rsidR="00CB6540" w:rsidRDefault="00CB6540" w:rsidP="009F27B3">
      <w:pPr>
        <w:rPr>
          <w:rFonts w:eastAsia="Times New Roman"/>
        </w:rPr>
      </w:pPr>
      <w:r>
        <w:rPr>
          <w:rFonts w:eastAsia="Times New Roman"/>
        </w:rPr>
        <w:t xml:space="preserve">DFAT assesses that the benefits of Option 2 </w:t>
      </w:r>
      <w:r w:rsidR="00AA7CAB">
        <w:rPr>
          <w:rFonts w:eastAsia="Times New Roman"/>
        </w:rPr>
        <w:t xml:space="preserve">can be broadly defined as </w:t>
      </w:r>
      <w:r>
        <w:rPr>
          <w:rFonts w:eastAsia="Times New Roman"/>
        </w:rPr>
        <w:t xml:space="preserve">primarily strategic, </w:t>
      </w:r>
      <w:r w:rsidR="00AA7CAB">
        <w:rPr>
          <w:rFonts w:eastAsia="Times New Roman"/>
        </w:rPr>
        <w:t>economic efficiencies and competitiveness, and through information sharing.</w:t>
      </w:r>
    </w:p>
    <w:p w14:paraId="5435CF3B" w14:textId="260F56E7" w:rsidR="009F27B3" w:rsidRPr="00EB6146" w:rsidRDefault="009F27B3" w:rsidP="009F27B3">
      <w:pPr>
        <w:rPr>
          <w:rFonts w:eastAsia="Times New Roman"/>
        </w:rPr>
      </w:pPr>
      <w:r>
        <w:rPr>
          <w:rFonts w:eastAsia="Times New Roman"/>
        </w:rPr>
        <w:t>When other countries</w:t>
      </w:r>
      <w:r w:rsidRPr="00EB6146">
        <w:rPr>
          <w:rFonts w:eastAsia="Times New Roman"/>
        </w:rPr>
        <w:t xml:space="preserve"> identify their “critical sectors or key goods” for the purposes of supply chain cooperation </w:t>
      </w:r>
      <w:r>
        <w:rPr>
          <w:rFonts w:eastAsia="Times New Roman"/>
        </w:rPr>
        <w:t>under IPEF,</w:t>
      </w:r>
      <w:r w:rsidRPr="00EB6146">
        <w:rPr>
          <w:rFonts w:eastAsia="Times New Roman"/>
        </w:rPr>
        <w:t xml:space="preserve"> Australian </w:t>
      </w:r>
      <w:r>
        <w:rPr>
          <w:rFonts w:eastAsia="Times New Roman"/>
        </w:rPr>
        <w:t xml:space="preserve">importers and </w:t>
      </w:r>
      <w:r w:rsidRPr="00EB6146">
        <w:rPr>
          <w:rFonts w:eastAsia="Times New Roman"/>
        </w:rPr>
        <w:t xml:space="preserve">exporters </w:t>
      </w:r>
      <w:r>
        <w:rPr>
          <w:rFonts w:eastAsia="Times New Roman"/>
        </w:rPr>
        <w:t>will</w:t>
      </w:r>
      <w:r w:rsidRPr="00EB6146">
        <w:rPr>
          <w:rFonts w:eastAsia="Times New Roman"/>
        </w:rPr>
        <w:t xml:space="preserve"> have an opportunity to </w:t>
      </w:r>
      <w:r>
        <w:rPr>
          <w:rFonts w:eastAsia="Times New Roman"/>
        </w:rPr>
        <w:t xml:space="preserve">focus </w:t>
      </w:r>
      <w:r w:rsidRPr="00EB6146">
        <w:rPr>
          <w:rFonts w:eastAsia="Times New Roman"/>
        </w:rPr>
        <w:t>produc</w:t>
      </w:r>
      <w:r>
        <w:rPr>
          <w:rFonts w:eastAsia="Times New Roman"/>
        </w:rPr>
        <w:t>tion and build opportunities on</w:t>
      </w:r>
      <w:r w:rsidRPr="00EB6146">
        <w:rPr>
          <w:rFonts w:eastAsia="Times New Roman"/>
        </w:rPr>
        <w:t xml:space="preserve"> th</w:t>
      </w:r>
      <w:r>
        <w:rPr>
          <w:rFonts w:eastAsia="Times New Roman"/>
        </w:rPr>
        <w:t>os</w:t>
      </w:r>
      <w:r w:rsidRPr="00EB6146">
        <w:rPr>
          <w:rFonts w:eastAsia="Times New Roman"/>
        </w:rPr>
        <w:t>e specific critical goods, such as critical minerals or clean energy</w:t>
      </w:r>
      <w:r>
        <w:rPr>
          <w:rFonts w:eastAsia="Times New Roman"/>
        </w:rPr>
        <w:t>.  In addition, identification of “critical sectors or key goods” for Australia will be a signal to other IPEF countries to boost production of those goods, helping to</w:t>
      </w:r>
      <w:r w:rsidRPr="002B4DF8">
        <w:t xml:space="preserve"> reduc</w:t>
      </w:r>
      <w:r>
        <w:t xml:space="preserve">e </w:t>
      </w:r>
      <w:r w:rsidRPr="002B4DF8">
        <w:t>the exposure of the Australian economy to geographic</w:t>
      </w:r>
      <w:r>
        <w:t xml:space="preserve"> c</w:t>
      </w:r>
      <w:r w:rsidRPr="002B4DF8">
        <w:t>hokepoints in critical supply chains.</w:t>
      </w:r>
      <w:r>
        <w:t xml:space="preserve"> Australia already has preferential market access with all members of the IPEF Supply Chain Agreement, </w:t>
      </w:r>
      <w:r w:rsidR="009D3253">
        <w:t>except for</w:t>
      </w:r>
      <w:r>
        <w:t xml:space="preserve"> Fiji. This </w:t>
      </w:r>
      <w:r>
        <w:lastRenderedPageBreak/>
        <w:t>is also an opportunity to attract investment in these critical sectors, to support increased production and export of products to boost supply chain diversification.</w:t>
      </w:r>
    </w:p>
    <w:p w14:paraId="3BB16352" w14:textId="290CC5F0" w:rsidR="009F27B3" w:rsidRDefault="009F27B3" w:rsidP="009F27B3">
      <w:pPr>
        <w:spacing w:after="240"/>
        <w:jc w:val="both"/>
      </w:pPr>
      <w:r>
        <w:t xml:space="preserve">Additionally, by signing the Agreement and continuing to be a part of regional economic policy discussions with IPEF international partners, Australia will be able to influence and </w:t>
      </w:r>
      <w:r w:rsidR="0018621F">
        <w:t>reduce</w:t>
      </w:r>
      <w:r>
        <w:t xml:space="preserve"> the likelihood of unilateral, interventionist market-distorting policies, such as what occurred during the COVID-19 pandemic when countries put in place a range of export controls on critical goods.</w:t>
      </w:r>
    </w:p>
    <w:p w14:paraId="7839FD0C" w14:textId="77777777" w:rsidR="00EB7787" w:rsidRPr="005D24B8" w:rsidRDefault="00EB7787" w:rsidP="00EB7787">
      <w:r w:rsidRPr="00EB6146">
        <w:rPr>
          <w:rFonts w:eastAsia="Times New Roman"/>
        </w:rPr>
        <w:t xml:space="preserve">The IPEF Supply Chain Crisis Response Network provides an emergency mechanism for IPEF countries to draw on to ensure the timely delivery of critical goods during a supply chain disruption or crisis. The mechanism is deliberately flexible about what that support could look like and makes clear that government responses should facilitate </w:t>
      </w:r>
      <w:proofErr w:type="gramStart"/>
      <w:r w:rsidRPr="00EB6146">
        <w:rPr>
          <w:rFonts w:eastAsia="Times New Roman"/>
        </w:rPr>
        <w:t>private-sector</w:t>
      </w:r>
      <w:proofErr w:type="gramEnd"/>
      <w:r w:rsidRPr="00EB6146">
        <w:rPr>
          <w:rFonts w:eastAsia="Times New Roman"/>
        </w:rPr>
        <w:t xml:space="preserve"> driven solutions and minimise market distortions that could flow from government intervention. Significantly, this mechanism also serves as an early warning information sharing facility. This would provide Australia with early information of supply chain disruptions in the region</w:t>
      </w:r>
      <w:r>
        <w:rPr>
          <w:rFonts w:eastAsia="Times New Roman"/>
        </w:rPr>
        <w:t>;</w:t>
      </w:r>
      <w:r w:rsidRPr="00EB6146">
        <w:rPr>
          <w:rFonts w:eastAsia="Times New Roman"/>
        </w:rPr>
        <w:t xml:space="preserve"> information Australia might not receive without this </w:t>
      </w:r>
      <w:r w:rsidRPr="00025928">
        <w:rPr>
          <w:rFonts w:eastAsia="Times New Roman"/>
        </w:rPr>
        <w:t>IPEF Supply Chain Agreement</w:t>
      </w:r>
      <w:r w:rsidRPr="00EB6146">
        <w:rPr>
          <w:rFonts w:eastAsia="Times New Roman"/>
        </w:rPr>
        <w:t>. It is difficult to quantity the value this could provide Australia in the event of a crisis but to contextual</w:t>
      </w:r>
      <w:r>
        <w:rPr>
          <w:rFonts w:eastAsia="Times New Roman"/>
        </w:rPr>
        <w:t>ise</w:t>
      </w:r>
      <w:r w:rsidRPr="00EB6146">
        <w:rPr>
          <w:rFonts w:eastAsia="Times New Roman"/>
        </w:rPr>
        <w:t xml:space="preserve"> the cost of supply chain disruption, supply chain delays cost Australian business $11</w:t>
      </w:r>
      <w:r>
        <w:rPr>
          <w:rFonts w:eastAsia="Times New Roman"/>
        </w:rPr>
        <w:t xml:space="preserve"> billion</w:t>
      </w:r>
      <w:r w:rsidRPr="00EB6146">
        <w:rPr>
          <w:rFonts w:eastAsia="Times New Roman"/>
        </w:rPr>
        <w:t xml:space="preserve"> each year</w:t>
      </w:r>
      <w:r>
        <w:rPr>
          <w:rStyle w:val="FootnoteReference"/>
          <w:rFonts w:eastAsia="Times New Roman"/>
        </w:rPr>
        <w:footnoteReference w:id="25"/>
      </w:r>
      <w:r>
        <w:rPr>
          <w:rFonts w:eastAsia="Times New Roman"/>
        </w:rPr>
        <w:t>.</w:t>
      </w:r>
      <w:r w:rsidRPr="00EB6146">
        <w:rPr>
          <w:rFonts w:eastAsia="Times New Roman"/>
        </w:rPr>
        <w:t xml:space="preserve"> </w:t>
      </w:r>
      <w:r>
        <w:rPr>
          <w:rFonts w:eastAsia="Times New Roman"/>
        </w:rPr>
        <w:t>W</w:t>
      </w:r>
      <w:r w:rsidRPr="00EB6146">
        <w:rPr>
          <w:rFonts w:eastAsia="Times New Roman"/>
        </w:rPr>
        <w:t xml:space="preserve">hen the </w:t>
      </w:r>
      <w:proofErr w:type="gramStart"/>
      <w:r w:rsidRPr="00EB6146">
        <w:rPr>
          <w:rFonts w:eastAsia="Times New Roman"/>
          <w:i/>
          <w:iCs/>
        </w:rPr>
        <w:t>Ever Given</w:t>
      </w:r>
      <w:proofErr w:type="gramEnd"/>
      <w:r w:rsidRPr="00EB6146">
        <w:rPr>
          <w:rFonts w:eastAsia="Times New Roman"/>
        </w:rPr>
        <w:t xml:space="preserve"> container ship ran aground in the Suez Canal for six days in 2021 it is estimated it disrupted the movement </w:t>
      </w:r>
      <w:r>
        <w:rPr>
          <w:rFonts w:eastAsia="Times New Roman"/>
        </w:rPr>
        <w:t xml:space="preserve">of </w:t>
      </w:r>
      <w:r w:rsidRPr="00EB6146">
        <w:rPr>
          <w:rFonts w:eastAsia="Times New Roman"/>
        </w:rPr>
        <w:t xml:space="preserve">$10 billion worth of goods every day </w:t>
      </w:r>
      <w:r>
        <w:rPr>
          <w:rFonts w:eastAsia="Times New Roman"/>
        </w:rPr>
        <w:t>by</w:t>
      </w:r>
      <w:r w:rsidRPr="00EB6146">
        <w:rPr>
          <w:rFonts w:eastAsia="Times New Roman"/>
        </w:rPr>
        <w:t xml:space="preserve"> h</w:t>
      </w:r>
      <w:r>
        <w:rPr>
          <w:rFonts w:eastAsia="Times New Roman"/>
        </w:rPr>
        <w:t>olding</w:t>
      </w:r>
      <w:r w:rsidRPr="00EB6146">
        <w:rPr>
          <w:rFonts w:eastAsia="Times New Roman"/>
        </w:rPr>
        <w:t xml:space="preserve"> up hundreds of </w:t>
      </w:r>
      <w:r>
        <w:rPr>
          <w:rFonts w:eastAsia="Times New Roman"/>
        </w:rPr>
        <w:t xml:space="preserve">cargo </w:t>
      </w:r>
      <w:r w:rsidRPr="00EB6146">
        <w:rPr>
          <w:rFonts w:eastAsia="Times New Roman"/>
        </w:rPr>
        <w:t>ships.</w:t>
      </w:r>
    </w:p>
    <w:p w14:paraId="57BFA689" w14:textId="2E7DF6F6" w:rsidR="00EB7787" w:rsidRPr="00EB6146" w:rsidRDefault="00EB7787" w:rsidP="00EB7787">
      <w:pPr>
        <w:spacing w:line="252" w:lineRule="auto"/>
        <w:jc w:val="both"/>
        <w:rPr>
          <w:rFonts w:eastAsia="Times New Roman"/>
        </w:rPr>
      </w:pPr>
      <w:r>
        <w:rPr>
          <w:rFonts w:eastAsia="Times New Roman"/>
        </w:rPr>
        <w:t>Once</w:t>
      </w:r>
      <w:r w:rsidRPr="00EB6146">
        <w:rPr>
          <w:rFonts w:eastAsia="Times New Roman"/>
        </w:rPr>
        <w:t xml:space="preserve"> commitments under the </w:t>
      </w:r>
      <w:r>
        <w:rPr>
          <w:rFonts w:eastAsia="Times New Roman"/>
        </w:rPr>
        <w:t xml:space="preserve">IPEF </w:t>
      </w:r>
      <w:r w:rsidRPr="00EB6146">
        <w:rPr>
          <w:rFonts w:eastAsia="Times New Roman"/>
        </w:rPr>
        <w:t>Supply Chain Agreement are implemented, Australia w</w:t>
      </w:r>
      <w:r>
        <w:rPr>
          <w:rFonts w:eastAsia="Times New Roman"/>
        </w:rPr>
        <w:t>ould be</w:t>
      </w:r>
      <w:r w:rsidRPr="00EB6146">
        <w:rPr>
          <w:rFonts w:eastAsia="Times New Roman"/>
        </w:rPr>
        <w:t xml:space="preserve"> join</w:t>
      </w:r>
      <w:r>
        <w:rPr>
          <w:rFonts w:eastAsia="Times New Roman"/>
        </w:rPr>
        <w:t>ing</w:t>
      </w:r>
      <w:r w:rsidRPr="00EB6146">
        <w:rPr>
          <w:rFonts w:eastAsia="Times New Roman"/>
        </w:rPr>
        <w:t xml:space="preserve"> a grouping of countries that represents 40 percent of global GDP and 28 percent of global goods and services trade</w:t>
      </w:r>
      <w:r>
        <w:rPr>
          <w:rFonts w:eastAsia="Times New Roman"/>
        </w:rPr>
        <w:t xml:space="preserve">.  Through IPEF, those countries will </w:t>
      </w:r>
      <w:r w:rsidRPr="00EB6146">
        <w:rPr>
          <w:rFonts w:eastAsia="Times New Roman"/>
        </w:rPr>
        <w:t xml:space="preserve">have committed to improving the diversity, </w:t>
      </w:r>
      <w:proofErr w:type="gramStart"/>
      <w:r w:rsidRPr="00EB6146">
        <w:rPr>
          <w:rFonts w:eastAsia="Times New Roman"/>
        </w:rPr>
        <w:t>efficiency</w:t>
      </w:r>
      <w:proofErr w:type="gramEnd"/>
      <w:r w:rsidRPr="00EB6146">
        <w:rPr>
          <w:rFonts w:eastAsia="Times New Roman"/>
        </w:rPr>
        <w:t xml:space="preserve"> and resiliency of regional supply chains. </w:t>
      </w:r>
      <w:r w:rsidRPr="004F06D6">
        <w:t>By 2030, the productivity and other gains associated with widespread supply chain modernisation could increase Australia’s annual real GDP by 1.4% or $32.6 billion in 2020 dollars, investment by 1.6% ($8.8 billion) and exports by 1.2% ($6.6 billion).</w:t>
      </w:r>
      <w:r>
        <w:rPr>
          <w:rStyle w:val="FootnoteReference"/>
        </w:rPr>
        <w:footnoteReference w:id="26"/>
      </w:r>
      <w:r w:rsidRPr="004F06D6">
        <w:t xml:space="preserve"> While some of these economic gains can be achieved through domestic reform and investment, </w:t>
      </w:r>
      <w:r>
        <w:t>70% of international trade involves complex global supply chains</w:t>
      </w:r>
      <w:r>
        <w:rPr>
          <w:rStyle w:val="FootnoteReference"/>
        </w:rPr>
        <w:footnoteReference w:id="27"/>
      </w:r>
      <w:r>
        <w:t xml:space="preserve"> which </w:t>
      </w:r>
      <w:r w:rsidRPr="004F06D6">
        <w:t xml:space="preserve">means regional cooperation and integration will be an essential part of Australia’s supply chain modernisation. </w:t>
      </w:r>
    </w:p>
    <w:p w14:paraId="55A64892" w14:textId="7B5EC149" w:rsidR="005D3524" w:rsidRDefault="00EB7787" w:rsidP="00C772C1">
      <w:pPr>
        <w:jc w:val="both"/>
        <w:rPr>
          <w:rFonts w:eastAsia="Times New Roman"/>
        </w:rPr>
      </w:pPr>
      <w:r>
        <w:rPr>
          <w:rFonts w:eastAsia="Times New Roman"/>
        </w:rPr>
        <w:t xml:space="preserve">The </w:t>
      </w:r>
      <w:r w:rsidRPr="00EB6146">
        <w:rPr>
          <w:rFonts w:eastAsia="Times New Roman"/>
        </w:rPr>
        <w:t xml:space="preserve">IPEF Supply Chain Agreement encourages </w:t>
      </w:r>
      <w:r>
        <w:rPr>
          <w:rFonts w:eastAsia="Times New Roman"/>
        </w:rPr>
        <w:t xml:space="preserve">the </w:t>
      </w:r>
      <w:r w:rsidRPr="00EB6146">
        <w:rPr>
          <w:rFonts w:eastAsia="Times New Roman"/>
        </w:rPr>
        <w:t>lifting</w:t>
      </w:r>
      <w:r>
        <w:rPr>
          <w:rFonts w:eastAsia="Times New Roman"/>
        </w:rPr>
        <w:t xml:space="preserve"> of</w:t>
      </w:r>
      <w:r w:rsidRPr="00EB6146">
        <w:rPr>
          <w:rFonts w:eastAsia="Times New Roman"/>
        </w:rPr>
        <w:t xml:space="preserve"> labour standards within IPEF economies and, through the </w:t>
      </w:r>
      <w:proofErr w:type="spellStart"/>
      <w:r w:rsidRPr="00EB6146">
        <w:rPr>
          <w:rFonts w:eastAsia="Times New Roman"/>
        </w:rPr>
        <w:t>Labor</w:t>
      </w:r>
      <w:proofErr w:type="spellEnd"/>
      <w:r>
        <w:rPr>
          <w:rFonts w:eastAsia="Times New Roman"/>
        </w:rPr>
        <w:t xml:space="preserve"> Rights</w:t>
      </w:r>
      <w:r w:rsidRPr="00EB6146">
        <w:rPr>
          <w:rFonts w:eastAsia="Times New Roman"/>
        </w:rPr>
        <w:t xml:space="preserve"> Advisory Board, includes </w:t>
      </w:r>
      <w:r>
        <w:rPr>
          <w:rFonts w:eastAsia="Times New Roman"/>
        </w:rPr>
        <w:t xml:space="preserve">a </w:t>
      </w:r>
      <w:r w:rsidRPr="00EB6146">
        <w:rPr>
          <w:rFonts w:eastAsia="Times New Roman"/>
        </w:rPr>
        <w:t xml:space="preserve">reporting mechanism to address modern slavery and labour rights abuses. </w:t>
      </w:r>
      <w:proofErr w:type="gramStart"/>
      <w:r w:rsidRPr="00EB6146">
        <w:rPr>
          <w:rFonts w:eastAsia="Times New Roman"/>
        </w:rPr>
        <w:t xml:space="preserve">By lifting </w:t>
      </w:r>
      <w:r>
        <w:rPr>
          <w:rFonts w:eastAsia="Times New Roman"/>
        </w:rPr>
        <w:t>labour</w:t>
      </w:r>
      <w:r w:rsidRPr="00EB6146">
        <w:rPr>
          <w:rFonts w:eastAsia="Times New Roman"/>
        </w:rPr>
        <w:t xml:space="preserve"> standards across the region, there</w:t>
      </w:r>
      <w:proofErr w:type="gramEnd"/>
      <w:r w:rsidRPr="00EB6146">
        <w:rPr>
          <w:rFonts w:eastAsia="Times New Roman"/>
        </w:rPr>
        <w:t xml:space="preserve"> may be a marginal increase in Australian employment levels and a contribution to sectoral growth </w:t>
      </w:r>
      <w:r>
        <w:rPr>
          <w:rFonts w:eastAsia="Times New Roman"/>
        </w:rPr>
        <w:t xml:space="preserve">in some </w:t>
      </w:r>
      <w:r w:rsidRPr="00EB6146">
        <w:rPr>
          <w:rFonts w:eastAsia="Times New Roman"/>
        </w:rPr>
        <w:t>industr</w:t>
      </w:r>
      <w:r>
        <w:rPr>
          <w:rFonts w:eastAsia="Times New Roman"/>
        </w:rPr>
        <w:t>ies</w:t>
      </w:r>
      <w:r w:rsidRPr="00EB6146">
        <w:rPr>
          <w:rFonts w:eastAsia="Times New Roman"/>
        </w:rPr>
        <w:t xml:space="preserve"> (especially in manufacturing)</w:t>
      </w:r>
      <w:r>
        <w:rPr>
          <w:rFonts w:eastAsia="Times New Roman"/>
        </w:rPr>
        <w:t>. This will come about</w:t>
      </w:r>
      <w:r w:rsidRPr="00EB6146">
        <w:rPr>
          <w:rFonts w:eastAsia="Times New Roman"/>
        </w:rPr>
        <w:t xml:space="preserve"> through improved Australian industry competitiveness, over the long-term, </w:t>
      </w:r>
      <w:proofErr w:type="gramStart"/>
      <w:r>
        <w:rPr>
          <w:rFonts w:eastAsia="Times New Roman"/>
        </w:rPr>
        <w:t>as a result of</w:t>
      </w:r>
      <w:proofErr w:type="gramEnd"/>
      <w:r w:rsidRPr="00EB6146">
        <w:rPr>
          <w:rFonts w:eastAsia="Times New Roman"/>
        </w:rPr>
        <w:t xml:space="preserve"> </w:t>
      </w:r>
      <w:r>
        <w:rPr>
          <w:rFonts w:eastAsia="Times New Roman"/>
        </w:rPr>
        <w:t>a</w:t>
      </w:r>
      <w:r w:rsidRPr="00EB6146">
        <w:rPr>
          <w:rFonts w:eastAsia="Times New Roman"/>
        </w:rPr>
        <w:t xml:space="preserve"> reduc</w:t>
      </w:r>
      <w:r>
        <w:rPr>
          <w:rFonts w:eastAsia="Times New Roman"/>
        </w:rPr>
        <w:t>ed</w:t>
      </w:r>
      <w:r w:rsidRPr="00EB6146">
        <w:rPr>
          <w:rFonts w:eastAsia="Times New Roman"/>
        </w:rPr>
        <w:t xml:space="preserve"> </w:t>
      </w:r>
      <w:r>
        <w:rPr>
          <w:rFonts w:eastAsia="Times New Roman"/>
        </w:rPr>
        <w:t>relative</w:t>
      </w:r>
      <w:r w:rsidRPr="00EB6146">
        <w:rPr>
          <w:rFonts w:eastAsia="Times New Roman"/>
        </w:rPr>
        <w:t xml:space="preserve"> cost of labour in Australia </w:t>
      </w:r>
      <w:r>
        <w:rPr>
          <w:rFonts w:eastAsia="Times New Roman"/>
        </w:rPr>
        <w:t>compared to regional countries with improved labour standards</w:t>
      </w:r>
      <w:r w:rsidRPr="00EB6146">
        <w:rPr>
          <w:rFonts w:eastAsia="Times New Roman"/>
        </w:rPr>
        <w:t>.</w:t>
      </w:r>
    </w:p>
    <w:p w14:paraId="1C9EF13C" w14:textId="77777777" w:rsidR="00D10F06" w:rsidRPr="00EB6146" w:rsidRDefault="00D10F06" w:rsidP="00D10F06">
      <w:pPr>
        <w:spacing w:after="240"/>
        <w:jc w:val="both"/>
        <w:rPr>
          <w:rFonts w:eastAsia="Times New Roman"/>
        </w:rPr>
      </w:pPr>
      <w:r w:rsidRPr="00EB6146">
        <w:rPr>
          <w:rFonts w:eastAsia="Times New Roman"/>
        </w:rPr>
        <w:t xml:space="preserve">The implementation of cooperative measures under the </w:t>
      </w:r>
      <w:r>
        <w:rPr>
          <w:rFonts w:eastAsia="Times New Roman"/>
        </w:rPr>
        <w:t xml:space="preserve">IPEF </w:t>
      </w:r>
      <w:r w:rsidRPr="00EB6146">
        <w:rPr>
          <w:rFonts w:eastAsia="Times New Roman"/>
        </w:rPr>
        <w:t xml:space="preserve">Supply Chain Agreement will allow Australia to prepare for and mitigate volatility in supply chains for critical goods, reducing the risk of </w:t>
      </w:r>
      <w:r>
        <w:rPr>
          <w:rFonts w:eastAsia="Times New Roman"/>
        </w:rPr>
        <w:t xml:space="preserve">the types of </w:t>
      </w:r>
      <w:r w:rsidRPr="00EB6146">
        <w:rPr>
          <w:rFonts w:eastAsia="Times New Roman"/>
        </w:rPr>
        <w:t xml:space="preserve">shortages which led to panic buying during the COVID-19 pandemic. Recent </w:t>
      </w:r>
      <w:r>
        <w:rPr>
          <w:rFonts w:eastAsia="Times New Roman"/>
        </w:rPr>
        <w:t xml:space="preserve">reports of </w:t>
      </w:r>
      <w:r w:rsidRPr="00EB6146">
        <w:rPr>
          <w:rFonts w:eastAsia="Times New Roman"/>
        </w:rPr>
        <w:t>supply chain disruptions – for e</w:t>
      </w:r>
      <w:r>
        <w:rPr>
          <w:rFonts w:eastAsia="Times New Roman"/>
        </w:rPr>
        <w:t>xample</w:t>
      </w:r>
      <w:r w:rsidRPr="00EB6146">
        <w:rPr>
          <w:rFonts w:eastAsia="Times New Roman"/>
        </w:rPr>
        <w:t xml:space="preserve"> AdBlue (ABC, 2011 / 2022), building materials (AFR, 2022), </w:t>
      </w:r>
      <w:r w:rsidRPr="00EB6146">
        <w:rPr>
          <w:rFonts w:eastAsia="Times New Roman"/>
        </w:rPr>
        <w:lastRenderedPageBreak/>
        <w:t>cooking oil (ABC, 2022), wooden pallets (Sky News, 2022), non-ionic contrast agents (The Guardian, 2022) and carbon dioxide (</w:t>
      </w:r>
      <w:r>
        <w:rPr>
          <w:rFonts w:eastAsia="Times New Roman"/>
        </w:rPr>
        <w:t xml:space="preserve">The Australian, </w:t>
      </w:r>
      <w:r w:rsidRPr="00EB6146">
        <w:rPr>
          <w:rFonts w:eastAsia="Times New Roman"/>
        </w:rPr>
        <w:t>2023) – demonstrate the ongoing challenge this volatility poses for Australian industry and consumers alike.</w:t>
      </w:r>
    </w:p>
    <w:p w14:paraId="11203BB3" w14:textId="4CDA2715" w:rsidR="00D10F06" w:rsidRDefault="00D10F06" w:rsidP="00D10F06">
      <w:pPr>
        <w:spacing w:after="240"/>
        <w:jc w:val="both"/>
      </w:pPr>
      <w:r>
        <w:t xml:space="preserve">In the event of a supply chain disruption in the future, measuring what would happen if Australia were not a member of the IPEF Supply Chain Agreement is complex. Data considered in isolation may not always reveal the full picture. Hypothetical comparisons between possible disruptions and the responses are challenging and can be inaccurate. In addition, it is difficult to identify how the market will diversify and build resilience without the IPEF Supply Chain Agreement in force for Australia. </w:t>
      </w:r>
    </w:p>
    <w:p w14:paraId="158BB290" w14:textId="511AA87D" w:rsidR="002F41E7" w:rsidRPr="00D10F06" w:rsidRDefault="00383538" w:rsidP="00D10F06">
      <w:pPr>
        <w:spacing w:after="240"/>
        <w:jc w:val="both"/>
      </w:pPr>
      <w:r>
        <w:t>Finally</w:t>
      </w:r>
      <w:r w:rsidR="00B6013B">
        <w:t>,</w:t>
      </w:r>
      <w:r>
        <w:t xml:space="preserve"> </w:t>
      </w:r>
      <w:r w:rsidR="000B7B2A">
        <w:t xml:space="preserve">by signing the </w:t>
      </w:r>
      <w:r w:rsidR="00B6013B">
        <w:t xml:space="preserve">IPEF Supply Chains Agreement, </w:t>
      </w:r>
      <w:r w:rsidR="000B7B2A">
        <w:t xml:space="preserve">Australia would avoid </w:t>
      </w:r>
      <w:r w:rsidR="006F63B8">
        <w:t xml:space="preserve">missing out on the </w:t>
      </w:r>
      <w:r w:rsidR="00284B11">
        <w:t>inter</w:t>
      </w:r>
      <w:r w:rsidR="000529B5">
        <w:t xml:space="preserve">national collaboration </w:t>
      </w:r>
      <w:r w:rsidR="00441804">
        <w:t xml:space="preserve">in supply chains as </w:t>
      </w:r>
      <w:r w:rsidR="00B6013B">
        <w:t xml:space="preserve">we anticipate </w:t>
      </w:r>
      <w:r w:rsidR="00196270">
        <w:t xml:space="preserve">most or </w:t>
      </w:r>
      <w:proofErr w:type="gramStart"/>
      <w:r w:rsidR="00196270">
        <w:t>all of</w:t>
      </w:r>
      <w:proofErr w:type="gramEnd"/>
      <w:r w:rsidR="00196270">
        <w:t xml:space="preserve"> the other IPEF countries </w:t>
      </w:r>
      <w:r w:rsidR="00DA6EDF">
        <w:t xml:space="preserve">will proceed to implement </w:t>
      </w:r>
      <w:r w:rsidR="0035299F">
        <w:t>the agreement</w:t>
      </w:r>
      <w:r w:rsidR="00441804">
        <w:t xml:space="preserve"> without </w:t>
      </w:r>
      <w:r w:rsidR="00C35D09">
        <w:t>Australia.</w:t>
      </w:r>
      <w:r w:rsidR="00271CE8">
        <w:t xml:space="preserve"> </w:t>
      </w:r>
      <w:r w:rsidR="00134070">
        <w:t xml:space="preserve">Australia will also avoid harming its </w:t>
      </w:r>
      <w:r w:rsidR="00E37BDD">
        <w:t xml:space="preserve">international reputation </w:t>
      </w:r>
      <w:r w:rsidR="000B7B2A">
        <w:t xml:space="preserve">amongst </w:t>
      </w:r>
      <w:r w:rsidR="00134070">
        <w:t>IPEF countries (and possibly beyond)</w:t>
      </w:r>
      <w:r w:rsidR="009D1E0C">
        <w:t xml:space="preserve"> as a </w:t>
      </w:r>
      <w:r w:rsidR="00CF7987">
        <w:t>reliable</w:t>
      </w:r>
      <w:r w:rsidR="009D1E0C">
        <w:t xml:space="preserve"> and </w:t>
      </w:r>
      <w:r w:rsidR="00890866">
        <w:t xml:space="preserve">supportive trade and investment </w:t>
      </w:r>
      <w:r w:rsidR="00FA5B9B">
        <w:t>partner.</w:t>
      </w:r>
    </w:p>
    <w:p w14:paraId="227155DA" w14:textId="54EAFAD9" w:rsidR="00104F74" w:rsidRDefault="00104F74" w:rsidP="00EF7381">
      <w:pPr>
        <w:spacing w:after="240"/>
        <w:jc w:val="both"/>
        <w:rPr>
          <w:u w:val="single"/>
        </w:rPr>
      </w:pPr>
      <w:r w:rsidRPr="00104F74">
        <w:rPr>
          <w:u w:val="single"/>
        </w:rPr>
        <w:t>Costs</w:t>
      </w:r>
    </w:p>
    <w:p w14:paraId="54138806" w14:textId="00CBC70C" w:rsidR="00AA7CAB" w:rsidRPr="00AA7CAB" w:rsidRDefault="00AA7CAB" w:rsidP="00EF7381">
      <w:pPr>
        <w:spacing w:after="240"/>
        <w:jc w:val="both"/>
      </w:pPr>
      <w:r>
        <w:t xml:space="preserve">DFAT assesses the overall costs to be low, and primarily absorbed by Government although some </w:t>
      </w:r>
      <w:r w:rsidR="009B294D">
        <w:t xml:space="preserve">minimal </w:t>
      </w:r>
      <w:r>
        <w:t xml:space="preserve">costs </w:t>
      </w:r>
      <w:r w:rsidR="009B294D">
        <w:t xml:space="preserve">will be placed </w:t>
      </w:r>
      <w:r w:rsidR="003C421E">
        <w:t xml:space="preserve">on </w:t>
      </w:r>
      <w:r w:rsidR="009B294D">
        <w:t xml:space="preserve">Australian business. The costs can be broadly defined as additional reporting and compliance </w:t>
      </w:r>
      <w:r w:rsidR="00F679A0">
        <w:t xml:space="preserve">requirements and </w:t>
      </w:r>
      <w:r w:rsidR="00575DB0">
        <w:t>the time required for consultations between Government and industry.</w:t>
      </w:r>
    </w:p>
    <w:p w14:paraId="467EE429" w14:textId="551CC2E2" w:rsidR="00413CD2" w:rsidRDefault="00413CD2" w:rsidP="00EF7381">
      <w:pPr>
        <w:spacing w:after="240"/>
        <w:jc w:val="both"/>
      </w:pPr>
      <w:r>
        <w:t>Because the IPEF Supply Chain Agreement aligns closely with Australia’s own supply chain resilience framework</w:t>
      </w:r>
      <w:r w:rsidR="00E85F1C">
        <w:t xml:space="preserve"> and work</w:t>
      </w:r>
      <w:r>
        <w:t xml:space="preserve">, the burden </w:t>
      </w:r>
      <w:r w:rsidR="00E85F1C">
        <w:t xml:space="preserve">of engaging with Government </w:t>
      </w:r>
      <w:r>
        <w:t xml:space="preserve">on Australian business is likely to be minimal.  Australian industry is already engaging with the work being undertaken domestically by the Office of Supply Chain Resilience, and </w:t>
      </w:r>
      <w:r w:rsidR="004144FD">
        <w:t xml:space="preserve">IPEF participation </w:t>
      </w:r>
      <w:r>
        <w:t>would</w:t>
      </w:r>
      <w:r w:rsidR="00E91E7C">
        <w:t xml:space="preserve"> provide industry with a </w:t>
      </w:r>
      <w:r w:rsidR="004144FD" w:rsidRPr="004144FD">
        <w:t>greater understanding of the regional supply chain risks</w:t>
      </w:r>
      <w:r w:rsidR="00E91E7C">
        <w:t>.</w:t>
      </w:r>
    </w:p>
    <w:p w14:paraId="4534603E" w14:textId="712F2F32" w:rsidR="00EF7381" w:rsidRPr="00E5164F" w:rsidRDefault="00653B5C" w:rsidP="00653B5C">
      <w:pPr>
        <w:spacing w:after="240"/>
        <w:jc w:val="both"/>
      </w:pPr>
      <w:r w:rsidRPr="00EB6146">
        <w:rPr>
          <w:rFonts w:eastAsia="Times New Roman"/>
        </w:rPr>
        <w:t xml:space="preserve">As with any international agreement, the IPEF Supply Chain Agreement will entail reciprocal obligations for Australia. Given ongoing food and energy security challenges in our region, some countries may have unrealistic expectations that </w:t>
      </w:r>
      <w:r w:rsidR="00C200F3">
        <w:rPr>
          <w:rFonts w:eastAsia="Times New Roman"/>
        </w:rPr>
        <w:t xml:space="preserve">the </w:t>
      </w:r>
      <w:r w:rsidRPr="00EB6146">
        <w:rPr>
          <w:rFonts w:eastAsia="Times New Roman"/>
        </w:rPr>
        <w:t>IPEF</w:t>
      </w:r>
      <w:r w:rsidR="00C200F3">
        <w:rPr>
          <w:rFonts w:eastAsia="Times New Roman"/>
        </w:rPr>
        <w:t xml:space="preserve"> Supply Chain Agreement</w:t>
      </w:r>
      <w:r w:rsidRPr="00EB6146">
        <w:rPr>
          <w:rFonts w:eastAsia="Times New Roman"/>
        </w:rPr>
        <w:t xml:space="preserve"> will </w:t>
      </w:r>
      <w:r w:rsidR="00CC6659">
        <w:rPr>
          <w:rFonts w:eastAsia="Times New Roman"/>
        </w:rPr>
        <w:t>provide</w:t>
      </w:r>
      <w:r w:rsidRPr="00EB6146">
        <w:rPr>
          <w:rFonts w:eastAsia="Times New Roman"/>
        </w:rPr>
        <w:t xml:space="preserve"> greater access to Australian exports of commodities such as wheat and gas. While in some instances this may be possible, in many cases the scope for Australian Government intervention in private sector arrangements is likely to be limited. This will need to be managed </w:t>
      </w:r>
      <w:r w:rsidR="00EC0EA6">
        <w:rPr>
          <w:rFonts w:eastAsia="Times New Roman"/>
        </w:rPr>
        <w:t>carefully</w:t>
      </w:r>
      <w:r w:rsidRPr="00EB6146">
        <w:rPr>
          <w:rFonts w:eastAsia="Times New Roman"/>
        </w:rPr>
        <w:t xml:space="preserve"> with IPEF partners, as well as close and ongoing consultation with the private sector.</w:t>
      </w:r>
    </w:p>
    <w:p w14:paraId="28A050C3" w14:textId="046241FC" w:rsidR="006E24F0" w:rsidRPr="006E24F0" w:rsidRDefault="006E24F0" w:rsidP="006E24F0">
      <w:pPr>
        <w:spacing w:after="240"/>
        <w:jc w:val="both"/>
        <w:rPr>
          <w:rFonts w:eastAsia="Times New Roman"/>
        </w:rPr>
      </w:pPr>
      <w:bookmarkStart w:id="2" w:name="_Hlk146198190"/>
      <w:r w:rsidRPr="006E24F0">
        <w:rPr>
          <w:rFonts w:eastAsia="Times New Roman"/>
        </w:rPr>
        <w:t>The IPEF Supply Chain Agreement establishes a mechanism</w:t>
      </w:r>
      <w:r w:rsidR="00736C85">
        <w:rPr>
          <w:rFonts w:eastAsia="Times New Roman"/>
        </w:rPr>
        <w:t xml:space="preserve"> </w:t>
      </w:r>
      <w:r w:rsidR="00BD6172">
        <w:rPr>
          <w:rFonts w:eastAsia="Times New Roman"/>
        </w:rPr>
        <w:t>for</w:t>
      </w:r>
      <w:r w:rsidR="00736C85">
        <w:rPr>
          <w:rFonts w:eastAsia="Times New Roman"/>
        </w:rPr>
        <w:t xml:space="preserve"> IPEF</w:t>
      </w:r>
      <w:r w:rsidR="001E7C2D">
        <w:rPr>
          <w:rFonts w:eastAsia="Times New Roman"/>
        </w:rPr>
        <w:t xml:space="preserve"> members</w:t>
      </w:r>
      <w:r w:rsidRPr="006E24F0">
        <w:rPr>
          <w:rFonts w:eastAsia="Times New Roman"/>
        </w:rPr>
        <w:t xml:space="preserve"> to increase transparency and address </w:t>
      </w:r>
      <w:r w:rsidR="00BE5873">
        <w:rPr>
          <w:rFonts w:eastAsia="Times New Roman"/>
        </w:rPr>
        <w:t xml:space="preserve">alleged instances of </w:t>
      </w:r>
      <w:r w:rsidRPr="006E24F0">
        <w:rPr>
          <w:rFonts w:eastAsia="Times New Roman"/>
        </w:rPr>
        <w:t>inconsistencies with internationally-recognised labour rights – the rights and principles contained within the International Labour Organization’s Declaration on Fundamental Principles and Rights at Work</w:t>
      </w:r>
      <w:r w:rsidR="007B48C4" w:rsidRPr="0035081B">
        <w:rPr>
          <w:rFonts w:eastAsia="Times New Roman"/>
        </w:rPr>
        <w:t>.</w:t>
      </w:r>
      <w:r w:rsidRPr="006E24F0">
        <w:rPr>
          <w:rFonts w:eastAsia="Times New Roman"/>
        </w:rPr>
        <w:t xml:space="preserve"> It will enable an IPEF member, in instances where that member has a substantiated belief of a labour rights inconsistency in the territory of another IPEF member, to bring forward an allegation against that member. Both parties must then cooperate to resolve th</w:t>
      </w:r>
      <w:r w:rsidR="00370D3D">
        <w:rPr>
          <w:rFonts w:eastAsia="Times New Roman"/>
        </w:rPr>
        <w:t>e</w:t>
      </w:r>
      <w:r w:rsidRPr="006E24F0">
        <w:rPr>
          <w:rFonts w:eastAsia="Times New Roman"/>
        </w:rPr>
        <w:t xml:space="preserve"> allegation, and in the instance an allegation is not resolved, high-level and </w:t>
      </w:r>
      <w:proofErr w:type="gramStart"/>
      <w:r w:rsidRPr="006E24F0">
        <w:rPr>
          <w:rFonts w:eastAsia="Times New Roman"/>
        </w:rPr>
        <w:t>factual information</w:t>
      </w:r>
      <w:proofErr w:type="gramEnd"/>
      <w:r w:rsidRPr="006E24F0">
        <w:rPr>
          <w:rFonts w:eastAsia="Times New Roman"/>
        </w:rPr>
        <w:t xml:space="preserve"> relating to the complaint is published online (the date of the allegation, the labour right in question, the relevant sector and IPEF members party to the dispute). The publishing of this </w:t>
      </w:r>
      <w:r w:rsidRPr="006E24F0">
        <w:rPr>
          <w:rFonts w:eastAsia="Times New Roman"/>
        </w:rPr>
        <w:lastRenderedPageBreak/>
        <w:t xml:space="preserve">information does not pose a reputational risk to individual enterprises </w:t>
      </w:r>
      <w:r w:rsidR="004A2C05">
        <w:rPr>
          <w:rFonts w:eastAsia="Times New Roman"/>
        </w:rPr>
        <w:t xml:space="preserve">because they aren’t </w:t>
      </w:r>
      <w:proofErr w:type="gramStart"/>
      <w:r w:rsidR="006566ED">
        <w:rPr>
          <w:rFonts w:eastAsia="Times New Roman"/>
        </w:rPr>
        <w:t>identified</w:t>
      </w:r>
      <w:r w:rsidR="00236AB5">
        <w:rPr>
          <w:rFonts w:eastAsia="Times New Roman"/>
        </w:rPr>
        <w:t>, but</w:t>
      </w:r>
      <w:proofErr w:type="gramEnd"/>
      <w:r w:rsidR="00236AB5">
        <w:rPr>
          <w:rFonts w:eastAsia="Times New Roman"/>
        </w:rPr>
        <w:t xml:space="preserve"> </w:t>
      </w:r>
      <w:r w:rsidR="00633AC3">
        <w:rPr>
          <w:rFonts w:eastAsia="Times New Roman"/>
        </w:rPr>
        <w:t xml:space="preserve">helps </w:t>
      </w:r>
      <w:r w:rsidR="00236AB5">
        <w:rPr>
          <w:rFonts w:eastAsia="Times New Roman"/>
        </w:rPr>
        <w:t xml:space="preserve">maintains pressure on </w:t>
      </w:r>
      <w:r w:rsidR="000F550B">
        <w:rPr>
          <w:rFonts w:eastAsia="Times New Roman"/>
        </w:rPr>
        <w:t xml:space="preserve">the country </w:t>
      </w:r>
      <w:r w:rsidR="00171A36">
        <w:rPr>
          <w:rFonts w:eastAsia="Times New Roman"/>
        </w:rPr>
        <w:t xml:space="preserve">to </w:t>
      </w:r>
      <w:r w:rsidR="00254247">
        <w:rPr>
          <w:rFonts w:eastAsia="Times New Roman"/>
        </w:rPr>
        <w:t>properly resolve the allegation</w:t>
      </w:r>
      <w:r w:rsidRPr="006E24F0">
        <w:rPr>
          <w:rFonts w:eastAsia="Times New Roman"/>
        </w:rPr>
        <w:t xml:space="preserve">. </w:t>
      </w:r>
    </w:p>
    <w:bookmarkEnd w:id="2"/>
    <w:p w14:paraId="2C2E7101" w14:textId="1A778D4F" w:rsidR="14AE7BB5" w:rsidRDefault="14AE7BB5" w:rsidP="50E4ACE3">
      <w:r w:rsidRPr="50E4ACE3">
        <w:t>DFAT’s assessment is that the operation of this mechanism will have minimal, if any, compliance cost impact on Australia’s private sector. This is due to Australia’s regulatory framework already embodying a high standard of labour rights protection. The Australian Government operation of this mechanism may involve a small additional resource impost on government administration that should be largely absorbed within existing available resources.</w:t>
      </w:r>
    </w:p>
    <w:p w14:paraId="04957389" w14:textId="77777777" w:rsidR="00EA4381" w:rsidRPr="00EB6146" w:rsidRDefault="00EA4381" w:rsidP="00EA4381">
      <w:pPr>
        <w:rPr>
          <w:rFonts w:eastAsia="Times New Roman"/>
        </w:rPr>
      </w:pPr>
      <w:r>
        <w:rPr>
          <w:rFonts w:eastAsia="Times New Roman"/>
        </w:rPr>
        <w:t xml:space="preserve">An important consideration in DFAT’s preference for </w:t>
      </w:r>
      <w:r w:rsidRPr="00EB6146">
        <w:rPr>
          <w:rFonts w:eastAsia="Times New Roman"/>
          <w:i/>
          <w:iCs/>
        </w:rPr>
        <w:t xml:space="preserve">Option </w:t>
      </w:r>
      <w:r>
        <w:rPr>
          <w:rFonts w:eastAsia="Times New Roman"/>
          <w:i/>
          <w:iCs/>
        </w:rPr>
        <w:t>2</w:t>
      </w:r>
      <w:r w:rsidRPr="00EB6146">
        <w:rPr>
          <w:rFonts w:eastAsia="Times New Roman"/>
          <w:i/>
          <w:iCs/>
        </w:rPr>
        <w:t xml:space="preserve"> – Australia signs the IPEF Supply Chain Agreement</w:t>
      </w:r>
      <w:r>
        <w:rPr>
          <w:rFonts w:eastAsia="Times New Roman"/>
        </w:rPr>
        <w:t xml:space="preserve"> is that the </w:t>
      </w:r>
      <w:r w:rsidRPr="00EB6146">
        <w:rPr>
          <w:rFonts w:eastAsia="Times New Roman"/>
        </w:rPr>
        <w:t xml:space="preserve">IPEF Supply Chain </w:t>
      </w:r>
      <w:r w:rsidRPr="00E25C67">
        <w:rPr>
          <w:rFonts w:eastAsia="Times New Roman"/>
        </w:rPr>
        <w:t xml:space="preserve">Agreement </w:t>
      </w:r>
      <w:r>
        <w:rPr>
          <w:rFonts w:eastAsia="Times New Roman"/>
        </w:rPr>
        <w:t xml:space="preserve">does not entail regulatory or legislative changes for Australia. </w:t>
      </w:r>
      <w:r w:rsidRPr="00EB6146">
        <w:rPr>
          <w:rFonts w:eastAsia="Times New Roman"/>
        </w:rPr>
        <w:t xml:space="preserve">The </w:t>
      </w:r>
      <w:r w:rsidRPr="00345E9C">
        <w:rPr>
          <w:rFonts w:eastAsia="Times New Roman"/>
        </w:rPr>
        <w:t>IPEF Supply Chain Agreement</w:t>
      </w:r>
      <w:r>
        <w:rPr>
          <w:rFonts w:eastAsia="Times New Roman"/>
        </w:rPr>
        <w:t xml:space="preserve"> </w:t>
      </w:r>
      <w:r w:rsidRPr="00EB6146">
        <w:rPr>
          <w:rFonts w:eastAsia="Times New Roman"/>
        </w:rPr>
        <w:t xml:space="preserve">principally sets out non-binding commitments of member governments to cooperate with one another on the initiatives established. Initiatives under the </w:t>
      </w:r>
      <w:r w:rsidRPr="00345E9C">
        <w:rPr>
          <w:rFonts w:eastAsia="Times New Roman"/>
        </w:rPr>
        <w:t>IPEF Supply Chain Agreement</w:t>
      </w:r>
      <w:r>
        <w:rPr>
          <w:rFonts w:eastAsia="Times New Roman"/>
        </w:rPr>
        <w:t xml:space="preserve"> </w:t>
      </w:r>
      <w:r w:rsidRPr="00EB6146">
        <w:rPr>
          <w:rFonts w:eastAsia="Times New Roman"/>
        </w:rPr>
        <w:t xml:space="preserve">will be delivered within existing resources for measures such as sharing best practice, facilitating investment, promoting interoperability, </w:t>
      </w:r>
      <w:r>
        <w:rPr>
          <w:rFonts w:eastAsia="Times New Roman"/>
        </w:rPr>
        <w:t>ensuring</w:t>
      </w:r>
      <w:r w:rsidRPr="00EB6146">
        <w:rPr>
          <w:rFonts w:eastAsia="Times New Roman"/>
        </w:rPr>
        <w:t xml:space="preserve"> </w:t>
      </w:r>
      <w:r>
        <w:rPr>
          <w:rFonts w:eastAsia="Times New Roman"/>
        </w:rPr>
        <w:t xml:space="preserve">regulatory </w:t>
      </w:r>
      <w:r w:rsidRPr="00EB6146">
        <w:rPr>
          <w:rFonts w:eastAsia="Times New Roman"/>
        </w:rPr>
        <w:t>transparency</w:t>
      </w:r>
      <w:r>
        <w:rPr>
          <w:rFonts w:eastAsia="Times New Roman"/>
        </w:rPr>
        <w:t xml:space="preserve"> (in line with Australia’s existing domestic frameworks)</w:t>
      </w:r>
      <w:r w:rsidRPr="00EB6146">
        <w:rPr>
          <w:rFonts w:eastAsia="Times New Roman"/>
        </w:rPr>
        <w:t xml:space="preserve">, skilling up workers, and monitoring critical supply chains for disruptions. </w:t>
      </w:r>
    </w:p>
    <w:p w14:paraId="747E0CBB" w14:textId="77777777" w:rsidR="00EA4381" w:rsidRPr="00EB6146" w:rsidRDefault="00EA4381" w:rsidP="00EA4381">
      <w:pPr>
        <w:rPr>
          <w:rFonts w:eastAsia="Times New Roman"/>
        </w:rPr>
      </w:pPr>
      <w:r w:rsidRPr="00EB6146">
        <w:rPr>
          <w:rFonts w:eastAsia="Times New Roman"/>
        </w:rPr>
        <w:t xml:space="preserve">The </w:t>
      </w:r>
      <w:r w:rsidRPr="00345E9C">
        <w:rPr>
          <w:rFonts w:eastAsia="Times New Roman"/>
        </w:rPr>
        <w:t>IPEF Supply Chain Agreement</w:t>
      </w:r>
      <w:r>
        <w:rPr>
          <w:rFonts w:eastAsia="Times New Roman"/>
        </w:rPr>
        <w:t xml:space="preserve"> </w:t>
      </w:r>
      <w:r w:rsidRPr="00EB6146">
        <w:rPr>
          <w:rFonts w:eastAsia="Times New Roman"/>
        </w:rPr>
        <w:t xml:space="preserve">will not introduce obligations on business or trade </w:t>
      </w:r>
      <w:proofErr w:type="gramStart"/>
      <w:r w:rsidRPr="00EB6146">
        <w:rPr>
          <w:rFonts w:eastAsia="Times New Roman"/>
        </w:rPr>
        <w:t>unions, but</w:t>
      </w:r>
      <w:proofErr w:type="gramEnd"/>
      <w:r w:rsidRPr="00EB6146">
        <w:rPr>
          <w:rFonts w:eastAsia="Times New Roman"/>
        </w:rPr>
        <w:t xml:space="preserve"> </w:t>
      </w:r>
      <w:r>
        <w:rPr>
          <w:rFonts w:eastAsia="Times New Roman"/>
        </w:rPr>
        <w:t xml:space="preserve">will </w:t>
      </w:r>
      <w:r w:rsidRPr="00EB6146">
        <w:rPr>
          <w:rFonts w:eastAsia="Times New Roman"/>
        </w:rPr>
        <w:t>establish</w:t>
      </w:r>
      <w:r>
        <w:rPr>
          <w:rFonts w:eastAsia="Times New Roman"/>
        </w:rPr>
        <w:t xml:space="preserve"> </w:t>
      </w:r>
      <w:r w:rsidRPr="00EB6146">
        <w:rPr>
          <w:rFonts w:eastAsia="Times New Roman"/>
        </w:rPr>
        <w:t xml:space="preserve">various mechanisms to ensure business and unions are consulted to inform decisions of the IPEF Supply Chain Council and </w:t>
      </w:r>
      <w:proofErr w:type="spellStart"/>
      <w:r w:rsidRPr="00EB6146">
        <w:rPr>
          <w:rFonts w:eastAsia="Times New Roman"/>
        </w:rPr>
        <w:t>Labor</w:t>
      </w:r>
      <w:proofErr w:type="spellEnd"/>
      <w:r w:rsidRPr="00EB6146">
        <w:rPr>
          <w:rFonts w:eastAsia="Times New Roman"/>
        </w:rPr>
        <w:t xml:space="preserve"> Rights Advisory Board. Australian representative business associations and unions will be asked to participate in some of these forums, which would require some degree of (optional) resourcing for business. </w:t>
      </w:r>
    </w:p>
    <w:p w14:paraId="17C53BD7" w14:textId="77777777" w:rsidR="00EA4381" w:rsidRDefault="00EA4381" w:rsidP="00196DFB">
      <w:pPr>
        <w:spacing w:after="240"/>
        <w:jc w:val="both"/>
        <w:rPr>
          <w:rFonts w:eastAsia="Times New Roman"/>
          <w:b/>
          <w:bCs/>
        </w:rPr>
      </w:pPr>
    </w:p>
    <w:p w14:paraId="1302A49B" w14:textId="0D97E8A8" w:rsidR="00EA4381" w:rsidRDefault="00EA4381" w:rsidP="00196DFB">
      <w:pPr>
        <w:spacing w:after="240"/>
        <w:jc w:val="both"/>
        <w:rPr>
          <w:rFonts w:eastAsia="Times New Roman"/>
          <w:b/>
          <w:bCs/>
        </w:rPr>
        <w:sectPr w:rsidR="00EA4381">
          <w:headerReference w:type="default" r:id="rId19"/>
          <w:footerReference w:type="default" r:id="rId20"/>
          <w:pgSz w:w="11906" w:h="16838" w:code="9"/>
          <w:pgMar w:top="1440" w:right="1440" w:bottom="1440" w:left="1440" w:header="720" w:footer="720" w:gutter="0"/>
          <w:cols w:space="720"/>
          <w:docGrid w:linePitch="360"/>
        </w:sectPr>
      </w:pPr>
    </w:p>
    <w:p w14:paraId="05B7C715" w14:textId="2A92BCB9" w:rsidR="00D3554E" w:rsidRPr="00E466FA" w:rsidRDefault="00933E98" w:rsidP="00196DFB">
      <w:pPr>
        <w:spacing w:after="240"/>
        <w:jc w:val="both"/>
        <w:rPr>
          <w:rFonts w:eastAsia="Times New Roman"/>
          <w:b/>
          <w:bCs/>
        </w:rPr>
      </w:pPr>
      <w:r w:rsidRPr="00E466FA">
        <w:rPr>
          <w:rFonts w:eastAsia="Times New Roman"/>
          <w:b/>
          <w:bCs/>
        </w:rPr>
        <w:lastRenderedPageBreak/>
        <w:t>IPEF Supply Chain Agreement Cost Benefit Analysis</w:t>
      </w:r>
    </w:p>
    <w:tbl>
      <w:tblPr>
        <w:tblStyle w:val="TableGrid"/>
        <w:tblW w:w="13948" w:type="dxa"/>
        <w:tblLook w:val="04A0" w:firstRow="1" w:lastRow="0" w:firstColumn="1" w:lastColumn="0" w:noHBand="0" w:noVBand="1"/>
      </w:tblPr>
      <w:tblGrid>
        <w:gridCol w:w="2998"/>
        <w:gridCol w:w="2944"/>
        <w:gridCol w:w="2957"/>
        <w:gridCol w:w="2965"/>
        <w:gridCol w:w="2084"/>
      </w:tblGrid>
      <w:tr w:rsidR="00A47EC6" w14:paraId="0949CEA4" w14:textId="46EFE6E4" w:rsidTr="00A47EC6">
        <w:trPr>
          <w:trHeight w:val="514"/>
        </w:trPr>
        <w:tc>
          <w:tcPr>
            <w:tcW w:w="2998" w:type="dxa"/>
            <w:shd w:val="clear" w:color="auto" w:fill="DBDBDB" w:themeFill="accent3" w:themeFillTint="66"/>
          </w:tcPr>
          <w:p w14:paraId="70C02C6F" w14:textId="202E58EE" w:rsidR="00A47EC6" w:rsidRPr="00797A70" w:rsidRDefault="00A47EC6" w:rsidP="00A47EC6">
            <w:pPr>
              <w:jc w:val="both"/>
              <w:rPr>
                <w:rFonts w:eastAsia="Times New Roman"/>
                <w:b/>
              </w:rPr>
            </w:pPr>
            <w:r w:rsidRPr="00797A70">
              <w:rPr>
                <w:rFonts w:eastAsia="Times New Roman"/>
                <w:b/>
              </w:rPr>
              <w:t>Measure</w:t>
            </w:r>
          </w:p>
        </w:tc>
        <w:tc>
          <w:tcPr>
            <w:tcW w:w="2944" w:type="dxa"/>
            <w:shd w:val="clear" w:color="auto" w:fill="DBDBDB" w:themeFill="accent3" w:themeFillTint="66"/>
          </w:tcPr>
          <w:p w14:paraId="2E7BD946" w14:textId="2FEBD9C4" w:rsidR="00A47EC6" w:rsidRPr="00797A70" w:rsidRDefault="00A47EC6" w:rsidP="00A47EC6">
            <w:pPr>
              <w:jc w:val="both"/>
              <w:rPr>
                <w:rFonts w:eastAsia="Times New Roman"/>
                <w:b/>
              </w:rPr>
            </w:pPr>
            <w:r>
              <w:rPr>
                <w:rFonts w:eastAsia="Times New Roman"/>
                <w:b/>
                <w:bCs/>
              </w:rPr>
              <w:t>I</w:t>
            </w:r>
            <w:r w:rsidRPr="00797A70">
              <w:rPr>
                <w:rFonts w:eastAsia="Times New Roman"/>
                <w:b/>
                <w:bCs/>
              </w:rPr>
              <w:t>mpacted</w:t>
            </w:r>
            <w:r w:rsidRPr="00797A70">
              <w:rPr>
                <w:rFonts w:eastAsia="Times New Roman"/>
                <w:b/>
              </w:rPr>
              <w:t xml:space="preserve"> stakeholders</w:t>
            </w:r>
          </w:p>
        </w:tc>
        <w:tc>
          <w:tcPr>
            <w:tcW w:w="2957" w:type="dxa"/>
            <w:shd w:val="clear" w:color="auto" w:fill="DBDBDB" w:themeFill="accent3" w:themeFillTint="66"/>
          </w:tcPr>
          <w:p w14:paraId="17758C19" w14:textId="66C86458" w:rsidR="00A47EC6" w:rsidRPr="00797A70" w:rsidRDefault="00A47EC6" w:rsidP="00A47EC6">
            <w:pPr>
              <w:jc w:val="both"/>
              <w:rPr>
                <w:rFonts w:eastAsia="Times New Roman"/>
                <w:b/>
              </w:rPr>
            </w:pPr>
            <w:r w:rsidRPr="00797A70">
              <w:rPr>
                <w:rFonts w:eastAsia="Times New Roman"/>
                <w:b/>
              </w:rPr>
              <w:t>Benefit</w:t>
            </w:r>
          </w:p>
        </w:tc>
        <w:tc>
          <w:tcPr>
            <w:tcW w:w="2965" w:type="dxa"/>
            <w:shd w:val="clear" w:color="auto" w:fill="DBDBDB" w:themeFill="accent3" w:themeFillTint="66"/>
          </w:tcPr>
          <w:p w14:paraId="138C529B" w14:textId="3487D6D8" w:rsidR="00A47EC6" w:rsidRPr="00797A70" w:rsidRDefault="00A47EC6" w:rsidP="00A47EC6">
            <w:pPr>
              <w:jc w:val="both"/>
              <w:rPr>
                <w:rFonts w:eastAsia="Times New Roman"/>
                <w:b/>
              </w:rPr>
            </w:pPr>
            <w:r w:rsidRPr="00797A70">
              <w:rPr>
                <w:rFonts w:eastAsia="Times New Roman"/>
                <w:b/>
              </w:rPr>
              <w:t>Cost</w:t>
            </w:r>
          </w:p>
        </w:tc>
        <w:tc>
          <w:tcPr>
            <w:tcW w:w="2084" w:type="dxa"/>
            <w:shd w:val="clear" w:color="auto" w:fill="DBDBDB" w:themeFill="accent3" w:themeFillTint="66"/>
          </w:tcPr>
          <w:p w14:paraId="7C79900B" w14:textId="750E746E" w:rsidR="00A47EC6" w:rsidRDefault="00A47EC6" w:rsidP="00A47EC6">
            <w:pPr>
              <w:jc w:val="both"/>
              <w:rPr>
                <w:rFonts w:eastAsia="Times New Roman"/>
                <w:b/>
                <w:bCs/>
              </w:rPr>
            </w:pPr>
            <w:r>
              <w:rPr>
                <w:rFonts w:eastAsia="Times New Roman"/>
                <w:b/>
                <w:bCs/>
              </w:rPr>
              <w:t>Net Impact of Measure</w:t>
            </w:r>
          </w:p>
        </w:tc>
      </w:tr>
      <w:tr w:rsidR="00A47EC6" w14:paraId="79BB9027" w14:textId="32A799B7" w:rsidTr="003F3E37">
        <w:trPr>
          <w:trHeight w:val="3426"/>
        </w:trPr>
        <w:tc>
          <w:tcPr>
            <w:tcW w:w="2998" w:type="dxa"/>
          </w:tcPr>
          <w:p w14:paraId="6F89243F" w14:textId="07D84664" w:rsidR="00A47EC6" w:rsidRDefault="00A47EC6" w:rsidP="00A47EC6">
            <w:pPr>
              <w:rPr>
                <w:rFonts w:eastAsia="Times New Roman"/>
              </w:rPr>
            </w:pPr>
            <w:r>
              <w:rPr>
                <w:rFonts w:eastAsia="Times New Roman"/>
              </w:rPr>
              <w:t>Agreeing to</w:t>
            </w:r>
            <w:r w:rsidRPr="006B4D4A">
              <w:rPr>
                <w:rFonts w:eastAsia="Times New Roman"/>
              </w:rPr>
              <w:t xml:space="preserve"> a common criterion for critical sectors</w:t>
            </w:r>
            <w:r>
              <w:rPr>
                <w:rFonts w:eastAsia="Times New Roman"/>
              </w:rPr>
              <w:t>.</w:t>
            </w:r>
          </w:p>
        </w:tc>
        <w:tc>
          <w:tcPr>
            <w:tcW w:w="2944" w:type="dxa"/>
          </w:tcPr>
          <w:p w14:paraId="2E665127" w14:textId="060DF4B8" w:rsidR="00A47EC6" w:rsidRDefault="00A47EC6" w:rsidP="00A47EC6">
            <w:pPr>
              <w:rPr>
                <w:rFonts w:eastAsia="Times New Roman"/>
              </w:rPr>
            </w:pPr>
            <w:r>
              <w:rPr>
                <w:rFonts w:eastAsia="Times New Roman"/>
              </w:rPr>
              <w:t>Government.</w:t>
            </w:r>
          </w:p>
        </w:tc>
        <w:tc>
          <w:tcPr>
            <w:tcW w:w="2957" w:type="dxa"/>
            <w:shd w:val="clear" w:color="auto" w:fill="C5E0B3" w:themeFill="accent6" w:themeFillTint="66"/>
          </w:tcPr>
          <w:p w14:paraId="7B406757" w14:textId="4815F467" w:rsidR="00A47EC6" w:rsidRDefault="00A47EC6" w:rsidP="00A47EC6">
            <w:pPr>
              <w:rPr>
                <w:rFonts w:eastAsia="Times New Roman"/>
              </w:rPr>
            </w:pPr>
            <w:r>
              <w:rPr>
                <w:rFonts w:eastAsia="Times New Roman"/>
              </w:rPr>
              <w:t xml:space="preserve">Reduces the space for Government intervention in the market unless necessary. </w:t>
            </w:r>
          </w:p>
        </w:tc>
        <w:tc>
          <w:tcPr>
            <w:tcW w:w="2965" w:type="dxa"/>
            <w:shd w:val="clear" w:color="auto" w:fill="C5E0B3" w:themeFill="accent6" w:themeFillTint="66"/>
          </w:tcPr>
          <w:p w14:paraId="70C96884" w14:textId="12B4DE83" w:rsidR="00A47EC6" w:rsidRDefault="00A47EC6" w:rsidP="00A47EC6">
            <w:pPr>
              <w:rPr>
                <w:rFonts w:eastAsia="Times New Roman"/>
              </w:rPr>
            </w:pPr>
            <w:r>
              <w:rPr>
                <w:rFonts w:eastAsia="Times New Roman"/>
              </w:rPr>
              <w:t xml:space="preserve">Nil costs to </w:t>
            </w:r>
            <w:r w:rsidR="00AF31C1">
              <w:rPr>
                <w:rFonts w:eastAsia="Times New Roman"/>
              </w:rPr>
              <w:t xml:space="preserve">Australia </w:t>
            </w:r>
            <w:r>
              <w:rPr>
                <w:rFonts w:eastAsia="Times New Roman"/>
              </w:rPr>
              <w:t xml:space="preserve">as Australia already </w:t>
            </w:r>
            <w:proofErr w:type="gramStart"/>
            <w:r>
              <w:rPr>
                <w:rFonts w:eastAsia="Times New Roman"/>
              </w:rPr>
              <w:t>has</w:t>
            </w:r>
            <w:proofErr w:type="gramEnd"/>
            <w:r>
              <w:rPr>
                <w:rFonts w:eastAsia="Times New Roman"/>
              </w:rPr>
              <w:t xml:space="preserve"> well-functioning, evidence-based criteria which have effectively been incorporated into the </w:t>
            </w:r>
            <w:r w:rsidRPr="00074D81">
              <w:rPr>
                <w:rFonts w:eastAsia="Times New Roman"/>
              </w:rPr>
              <w:t>IPEF Supply Chain Agreement</w:t>
            </w:r>
            <w:r>
              <w:rPr>
                <w:rFonts w:eastAsia="Times New Roman"/>
              </w:rPr>
              <w:t>.</w:t>
            </w:r>
          </w:p>
        </w:tc>
        <w:tc>
          <w:tcPr>
            <w:tcW w:w="2084" w:type="dxa"/>
            <w:shd w:val="clear" w:color="auto" w:fill="C5E0B3" w:themeFill="accent6" w:themeFillTint="66"/>
          </w:tcPr>
          <w:p w14:paraId="4DDABF32" w14:textId="2661D653" w:rsidR="00A47EC6" w:rsidRDefault="00A47EC6" w:rsidP="00A47EC6">
            <w:pPr>
              <w:rPr>
                <w:rFonts w:eastAsia="Times New Roman"/>
              </w:rPr>
            </w:pPr>
            <w:r>
              <w:rPr>
                <w:rFonts w:eastAsia="Times New Roman"/>
              </w:rPr>
              <w:t>Net benefit</w:t>
            </w:r>
          </w:p>
          <w:p w14:paraId="1AC1DED1" w14:textId="77777777" w:rsidR="00A47EC6" w:rsidRDefault="00A47EC6" w:rsidP="00A47EC6">
            <w:pPr>
              <w:rPr>
                <w:rFonts w:eastAsia="Times New Roman"/>
              </w:rPr>
            </w:pPr>
          </w:p>
          <w:p w14:paraId="4B4B19AE" w14:textId="77777777" w:rsidR="00A47EC6" w:rsidRDefault="00A47EC6" w:rsidP="00A47EC6">
            <w:pPr>
              <w:rPr>
                <w:rFonts w:eastAsia="Times New Roman"/>
              </w:rPr>
            </w:pPr>
          </w:p>
          <w:p w14:paraId="62C0D147" w14:textId="1A8DC1A8" w:rsidR="00A47EC6" w:rsidRPr="007430DC" w:rsidRDefault="00A47EC6" w:rsidP="00A47EC6">
            <w:pPr>
              <w:ind w:firstLine="720"/>
              <w:rPr>
                <w:rFonts w:eastAsia="Times New Roman"/>
              </w:rPr>
            </w:pPr>
          </w:p>
        </w:tc>
      </w:tr>
      <w:tr w:rsidR="00A47EC6" w14:paraId="4407D173" w14:textId="51ED9908" w:rsidTr="003F3E37">
        <w:trPr>
          <w:trHeight w:val="2632"/>
        </w:trPr>
        <w:tc>
          <w:tcPr>
            <w:tcW w:w="2998" w:type="dxa"/>
          </w:tcPr>
          <w:p w14:paraId="2B962048" w14:textId="54D9E604" w:rsidR="00A47EC6" w:rsidRDefault="00A47EC6" w:rsidP="00A47EC6">
            <w:pPr>
              <w:rPr>
                <w:rFonts w:eastAsia="Times New Roman"/>
              </w:rPr>
            </w:pPr>
            <w:r>
              <w:rPr>
                <w:rFonts w:eastAsia="Times New Roman"/>
              </w:rPr>
              <w:t>Establishing a</w:t>
            </w:r>
            <w:r w:rsidRPr="00AC4E0A">
              <w:rPr>
                <w:rFonts w:eastAsia="Times New Roman"/>
              </w:rPr>
              <w:t xml:space="preserve"> Supply Chains Council focused on delivering Action Plans in identified critical sectors</w:t>
            </w:r>
            <w:r>
              <w:rPr>
                <w:rFonts w:eastAsia="Times New Roman"/>
              </w:rPr>
              <w:t>.</w:t>
            </w:r>
          </w:p>
        </w:tc>
        <w:tc>
          <w:tcPr>
            <w:tcW w:w="2944" w:type="dxa"/>
          </w:tcPr>
          <w:p w14:paraId="6D53C6FD" w14:textId="6071F961" w:rsidR="00A47EC6" w:rsidRDefault="00A47EC6" w:rsidP="00A47EC6">
            <w:pPr>
              <w:rPr>
                <w:rFonts w:eastAsia="Times New Roman"/>
              </w:rPr>
            </w:pPr>
            <w:r>
              <w:rPr>
                <w:rFonts w:eastAsia="Times New Roman"/>
              </w:rPr>
              <w:t>Government, industry groups and business.</w:t>
            </w:r>
          </w:p>
        </w:tc>
        <w:tc>
          <w:tcPr>
            <w:tcW w:w="2957" w:type="dxa"/>
            <w:shd w:val="clear" w:color="auto" w:fill="C5E0B3" w:themeFill="accent6" w:themeFillTint="66"/>
          </w:tcPr>
          <w:p w14:paraId="3961243A" w14:textId="288DEDEE" w:rsidR="00A47EC6" w:rsidRDefault="00A47EC6" w:rsidP="00A47EC6">
            <w:pPr>
              <w:rPr>
                <w:rFonts w:eastAsia="Times New Roman"/>
              </w:rPr>
            </w:pPr>
            <w:r>
              <w:rPr>
                <w:rFonts w:eastAsia="Times New Roman"/>
              </w:rPr>
              <w:t>Creates a targeted stream of work to reduce critical supply chain vulnerabilities in the Indo-Pacific.</w:t>
            </w:r>
          </w:p>
        </w:tc>
        <w:tc>
          <w:tcPr>
            <w:tcW w:w="2965" w:type="dxa"/>
            <w:shd w:val="clear" w:color="auto" w:fill="FBE4D5" w:themeFill="accent2" w:themeFillTint="33"/>
          </w:tcPr>
          <w:p w14:paraId="5EB79624" w14:textId="713CBFA4" w:rsidR="00A47EC6" w:rsidRDefault="00A47EC6" w:rsidP="00A47EC6">
            <w:pPr>
              <w:rPr>
                <w:rFonts w:eastAsia="Times New Roman"/>
              </w:rPr>
            </w:pPr>
            <w:r>
              <w:rPr>
                <w:rFonts w:eastAsia="Times New Roman"/>
              </w:rPr>
              <w:t>Industry consultations will be essential in informing this work, and a minimal time cost would be required for meaningful consultations with industry.</w:t>
            </w:r>
          </w:p>
        </w:tc>
        <w:tc>
          <w:tcPr>
            <w:tcW w:w="2084" w:type="dxa"/>
            <w:shd w:val="clear" w:color="auto" w:fill="C5E0B3" w:themeFill="accent6" w:themeFillTint="66"/>
          </w:tcPr>
          <w:p w14:paraId="2F768A35" w14:textId="77777777" w:rsidR="00A47EC6" w:rsidRDefault="00A47EC6" w:rsidP="00A47EC6">
            <w:pPr>
              <w:rPr>
                <w:rFonts w:eastAsia="Times New Roman"/>
              </w:rPr>
            </w:pPr>
            <w:r>
              <w:rPr>
                <w:rFonts w:eastAsia="Times New Roman"/>
              </w:rPr>
              <w:t>Net benefit</w:t>
            </w:r>
          </w:p>
          <w:p w14:paraId="23149F33" w14:textId="77777777" w:rsidR="00A47EC6" w:rsidRDefault="00A47EC6" w:rsidP="00A47EC6">
            <w:pPr>
              <w:rPr>
                <w:rFonts w:eastAsia="Times New Roman"/>
              </w:rPr>
            </w:pPr>
          </w:p>
        </w:tc>
      </w:tr>
      <w:tr w:rsidR="00A47EC6" w14:paraId="7AB17A87" w14:textId="783BF56F" w:rsidTr="003F3E37">
        <w:trPr>
          <w:trHeight w:val="1558"/>
        </w:trPr>
        <w:tc>
          <w:tcPr>
            <w:tcW w:w="2998" w:type="dxa"/>
          </w:tcPr>
          <w:p w14:paraId="7AFAF19B" w14:textId="4D02CF35" w:rsidR="00A47EC6" w:rsidRDefault="00A47EC6" w:rsidP="00A47EC6">
            <w:pPr>
              <w:jc w:val="both"/>
              <w:rPr>
                <w:rFonts w:eastAsia="Times New Roman"/>
              </w:rPr>
            </w:pPr>
            <w:r>
              <w:rPr>
                <w:rFonts w:eastAsia="Times New Roman"/>
              </w:rPr>
              <w:t>Establishing a</w:t>
            </w:r>
            <w:r w:rsidRPr="00AC4E0A">
              <w:rPr>
                <w:rFonts w:eastAsia="Times New Roman"/>
              </w:rPr>
              <w:t xml:space="preserve"> Supply Chain Crisis Response Network</w:t>
            </w:r>
            <w:r>
              <w:rPr>
                <w:rFonts w:eastAsia="Times New Roman"/>
              </w:rPr>
              <w:t>.</w:t>
            </w:r>
          </w:p>
        </w:tc>
        <w:tc>
          <w:tcPr>
            <w:tcW w:w="2944" w:type="dxa"/>
          </w:tcPr>
          <w:p w14:paraId="6EB499CA" w14:textId="0F78E378" w:rsidR="00A47EC6" w:rsidRDefault="00A47EC6" w:rsidP="00A47EC6">
            <w:pPr>
              <w:rPr>
                <w:rFonts w:eastAsia="Times New Roman"/>
              </w:rPr>
            </w:pPr>
            <w:r>
              <w:rPr>
                <w:rFonts w:eastAsia="Times New Roman"/>
              </w:rPr>
              <w:t>Government, industry groups and business.</w:t>
            </w:r>
          </w:p>
        </w:tc>
        <w:tc>
          <w:tcPr>
            <w:tcW w:w="2957" w:type="dxa"/>
            <w:shd w:val="clear" w:color="auto" w:fill="C5E0B3" w:themeFill="accent6" w:themeFillTint="66"/>
          </w:tcPr>
          <w:p w14:paraId="0813B66E" w14:textId="0438BBAD" w:rsidR="00A47EC6" w:rsidRDefault="00A47EC6" w:rsidP="00A47EC6">
            <w:pPr>
              <w:rPr>
                <w:rFonts w:eastAsia="Times New Roman"/>
              </w:rPr>
            </w:pPr>
            <w:r>
              <w:rPr>
                <w:rFonts w:eastAsia="Times New Roman"/>
              </w:rPr>
              <w:t xml:space="preserve">An emergency network to respond more effectively to the next supply chain crisis will benefit business and the Australian community. </w:t>
            </w:r>
          </w:p>
        </w:tc>
        <w:tc>
          <w:tcPr>
            <w:tcW w:w="2965" w:type="dxa"/>
            <w:shd w:val="clear" w:color="auto" w:fill="FBE4D5" w:themeFill="accent2" w:themeFillTint="33"/>
          </w:tcPr>
          <w:p w14:paraId="774A5BD2" w14:textId="28BC58A0" w:rsidR="00A47EC6" w:rsidRDefault="00A47EC6" w:rsidP="00A47EC6">
            <w:pPr>
              <w:rPr>
                <w:rFonts w:eastAsia="Times New Roman"/>
              </w:rPr>
            </w:pPr>
            <w:r>
              <w:rPr>
                <w:rFonts w:eastAsia="Times New Roman"/>
              </w:rPr>
              <w:t xml:space="preserve">Urgent industry consultations will be essential in informing this work, and the requirement for the urgent attention of industry would </w:t>
            </w:r>
            <w:r>
              <w:rPr>
                <w:rFonts w:eastAsia="Times New Roman"/>
              </w:rPr>
              <w:lastRenderedPageBreak/>
              <w:t>likely impose some minimal costs in the event of a crisis.</w:t>
            </w:r>
          </w:p>
        </w:tc>
        <w:tc>
          <w:tcPr>
            <w:tcW w:w="2084" w:type="dxa"/>
            <w:shd w:val="clear" w:color="auto" w:fill="C5E0B3" w:themeFill="accent6" w:themeFillTint="66"/>
          </w:tcPr>
          <w:p w14:paraId="4316C186" w14:textId="77777777" w:rsidR="00A47EC6" w:rsidRDefault="00A47EC6" w:rsidP="00A47EC6">
            <w:pPr>
              <w:rPr>
                <w:rFonts w:eastAsia="Times New Roman"/>
              </w:rPr>
            </w:pPr>
            <w:r>
              <w:rPr>
                <w:rFonts w:eastAsia="Times New Roman"/>
              </w:rPr>
              <w:lastRenderedPageBreak/>
              <w:t>Net benefit</w:t>
            </w:r>
          </w:p>
          <w:p w14:paraId="2F439A16" w14:textId="77777777" w:rsidR="00A47EC6" w:rsidRDefault="00A47EC6" w:rsidP="00A47EC6">
            <w:pPr>
              <w:rPr>
                <w:rFonts w:eastAsia="Times New Roman"/>
              </w:rPr>
            </w:pPr>
          </w:p>
        </w:tc>
      </w:tr>
      <w:tr w:rsidR="00A47EC6" w14:paraId="31B51E07" w14:textId="053CD595" w:rsidTr="003F3E37">
        <w:trPr>
          <w:trHeight w:val="141"/>
        </w:trPr>
        <w:tc>
          <w:tcPr>
            <w:tcW w:w="2998" w:type="dxa"/>
          </w:tcPr>
          <w:p w14:paraId="05B674F9" w14:textId="5CA0B449" w:rsidR="00A47EC6" w:rsidRDefault="00A47EC6" w:rsidP="00A47EC6">
            <w:pPr>
              <w:rPr>
                <w:rFonts w:eastAsia="Times New Roman"/>
              </w:rPr>
            </w:pPr>
            <w:r>
              <w:rPr>
                <w:rFonts w:eastAsia="Times New Roman"/>
              </w:rPr>
              <w:t xml:space="preserve">Establishing a </w:t>
            </w:r>
            <w:proofErr w:type="spellStart"/>
            <w:r w:rsidRPr="00AC4E0A">
              <w:rPr>
                <w:rFonts w:eastAsia="Times New Roman"/>
              </w:rPr>
              <w:t>Labor</w:t>
            </w:r>
            <w:proofErr w:type="spellEnd"/>
            <w:r w:rsidRPr="00AC4E0A">
              <w:rPr>
                <w:rFonts w:eastAsia="Times New Roman"/>
              </w:rPr>
              <w:t xml:space="preserve"> Rights Advisory Board</w:t>
            </w:r>
            <w:r>
              <w:rPr>
                <w:rFonts w:eastAsia="Times New Roman"/>
              </w:rPr>
              <w:t xml:space="preserve"> </w:t>
            </w:r>
            <w:r w:rsidRPr="00EB6146">
              <w:rPr>
                <w:rFonts w:eastAsia="Times New Roman"/>
              </w:rPr>
              <w:t>includ</w:t>
            </w:r>
            <w:r>
              <w:rPr>
                <w:rFonts w:eastAsia="Times New Roman"/>
              </w:rPr>
              <w:t>ing</w:t>
            </w:r>
            <w:r w:rsidRPr="00EB6146">
              <w:rPr>
                <w:rFonts w:eastAsia="Times New Roman"/>
              </w:rPr>
              <w:t xml:space="preserve"> </w:t>
            </w:r>
            <w:r>
              <w:rPr>
                <w:rFonts w:eastAsia="Times New Roman"/>
              </w:rPr>
              <w:t xml:space="preserve">a </w:t>
            </w:r>
            <w:r w:rsidRPr="00EB6146">
              <w:rPr>
                <w:rFonts w:eastAsia="Times New Roman"/>
              </w:rPr>
              <w:t>reporting mechanism to address modern slavery and labour rights abuses</w:t>
            </w:r>
            <w:r>
              <w:rPr>
                <w:rFonts w:eastAsia="Times New Roman"/>
              </w:rPr>
              <w:t>.</w:t>
            </w:r>
          </w:p>
        </w:tc>
        <w:tc>
          <w:tcPr>
            <w:tcW w:w="2944" w:type="dxa"/>
          </w:tcPr>
          <w:p w14:paraId="6E8457E9" w14:textId="2BBB3548" w:rsidR="00A47EC6" w:rsidRDefault="00A47EC6" w:rsidP="00A47EC6">
            <w:pPr>
              <w:rPr>
                <w:rFonts w:eastAsia="Times New Roman"/>
              </w:rPr>
            </w:pPr>
            <w:r>
              <w:rPr>
                <w:rFonts w:eastAsia="Times New Roman"/>
              </w:rPr>
              <w:t xml:space="preserve">Government, business, </w:t>
            </w:r>
            <w:proofErr w:type="gramStart"/>
            <w:r>
              <w:rPr>
                <w:rFonts w:eastAsia="Times New Roman"/>
              </w:rPr>
              <w:t>unions</w:t>
            </w:r>
            <w:proofErr w:type="gramEnd"/>
            <w:r>
              <w:rPr>
                <w:rFonts w:eastAsia="Times New Roman"/>
              </w:rPr>
              <w:t xml:space="preserve"> and Australian workers.</w:t>
            </w:r>
          </w:p>
        </w:tc>
        <w:tc>
          <w:tcPr>
            <w:tcW w:w="2957" w:type="dxa"/>
            <w:shd w:val="clear" w:color="auto" w:fill="C5E0B3" w:themeFill="accent6" w:themeFillTint="66"/>
          </w:tcPr>
          <w:p w14:paraId="43B22589" w14:textId="6A299404" w:rsidR="00A47EC6" w:rsidRDefault="00A47EC6" w:rsidP="00A47EC6">
            <w:pPr>
              <w:rPr>
                <w:rFonts w:eastAsia="Times New Roman"/>
              </w:rPr>
            </w:pPr>
            <w:r>
              <w:rPr>
                <w:rFonts w:eastAsia="Times New Roman"/>
              </w:rPr>
              <w:t>Lifting labour standards in the region helps make Australian labour more competitive.</w:t>
            </w:r>
          </w:p>
        </w:tc>
        <w:tc>
          <w:tcPr>
            <w:tcW w:w="2965" w:type="dxa"/>
            <w:shd w:val="clear" w:color="auto" w:fill="F4B083" w:themeFill="accent2" w:themeFillTint="99"/>
          </w:tcPr>
          <w:p w14:paraId="2456D1A3" w14:textId="5A492E20" w:rsidR="00A47EC6" w:rsidRDefault="00A47EC6" w:rsidP="00A47EC6">
            <w:pPr>
              <w:rPr>
                <w:rFonts w:eastAsia="Times New Roman"/>
              </w:rPr>
            </w:pPr>
            <w:r>
              <w:rPr>
                <w:rFonts w:eastAsia="Times New Roman"/>
              </w:rPr>
              <w:t xml:space="preserve">Reporting can be time </w:t>
            </w:r>
            <w:proofErr w:type="gramStart"/>
            <w:r>
              <w:rPr>
                <w:rFonts w:eastAsia="Times New Roman"/>
              </w:rPr>
              <w:t>consuming</w:t>
            </w:r>
            <w:proofErr w:type="gramEnd"/>
            <w:r>
              <w:rPr>
                <w:rFonts w:eastAsia="Times New Roman"/>
              </w:rPr>
              <w:t xml:space="preserve"> and business will need to have visibility throughout their supply chain, imposing some additional costs on business. This is estimated to be minimal as the reporting does not go beyond existing reporting requirements.</w:t>
            </w:r>
          </w:p>
        </w:tc>
        <w:tc>
          <w:tcPr>
            <w:tcW w:w="2084" w:type="dxa"/>
            <w:shd w:val="clear" w:color="auto" w:fill="C5E0B3" w:themeFill="accent6" w:themeFillTint="66"/>
          </w:tcPr>
          <w:p w14:paraId="51E27DB2" w14:textId="77777777" w:rsidR="00A47EC6" w:rsidRDefault="00A47EC6" w:rsidP="00A47EC6">
            <w:pPr>
              <w:rPr>
                <w:rFonts w:eastAsia="Times New Roman"/>
              </w:rPr>
            </w:pPr>
            <w:r>
              <w:rPr>
                <w:rFonts w:eastAsia="Times New Roman"/>
              </w:rPr>
              <w:t>Net benefit</w:t>
            </w:r>
          </w:p>
          <w:p w14:paraId="09DA70A0" w14:textId="77777777" w:rsidR="00A47EC6" w:rsidRDefault="00A47EC6" w:rsidP="00A47EC6">
            <w:pPr>
              <w:rPr>
                <w:rFonts w:eastAsia="Times New Roman"/>
              </w:rPr>
            </w:pPr>
          </w:p>
        </w:tc>
      </w:tr>
      <w:tr w:rsidR="00A47EC6" w14:paraId="651A68AA" w14:textId="05D0E454" w:rsidTr="003F3E37">
        <w:trPr>
          <w:trHeight w:val="2617"/>
        </w:trPr>
        <w:tc>
          <w:tcPr>
            <w:tcW w:w="2998" w:type="dxa"/>
          </w:tcPr>
          <w:p w14:paraId="3E6A9779" w14:textId="0DA9BAC0" w:rsidR="00A47EC6" w:rsidRDefault="00A47EC6" w:rsidP="00A47EC6">
            <w:pPr>
              <w:rPr>
                <w:rFonts w:eastAsia="Times New Roman"/>
              </w:rPr>
            </w:pPr>
            <w:r w:rsidRPr="00872915">
              <w:rPr>
                <w:rFonts w:eastAsia="Times New Roman"/>
              </w:rPr>
              <w:t>Unde</w:t>
            </w:r>
            <w:r>
              <w:rPr>
                <w:rFonts w:eastAsia="Times New Roman"/>
              </w:rPr>
              <w:t>r</w:t>
            </w:r>
            <w:r w:rsidRPr="00872915">
              <w:rPr>
                <w:rFonts w:eastAsia="Times New Roman"/>
              </w:rPr>
              <w:t>take cooperative activities to increase the resilience, efficiency, productivity, sustainability, transparency, diversification, security, fairness, and inclusivity of IPEF supply chains</w:t>
            </w:r>
            <w:r>
              <w:rPr>
                <w:rFonts w:eastAsia="Times New Roman"/>
              </w:rPr>
              <w:t>.</w:t>
            </w:r>
          </w:p>
        </w:tc>
        <w:tc>
          <w:tcPr>
            <w:tcW w:w="2944" w:type="dxa"/>
          </w:tcPr>
          <w:p w14:paraId="40A1973D" w14:textId="47F7D7F5" w:rsidR="00A47EC6" w:rsidRDefault="00A47EC6" w:rsidP="00A47EC6">
            <w:pPr>
              <w:rPr>
                <w:rFonts w:eastAsia="Times New Roman"/>
              </w:rPr>
            </w:pPr>
            <w:r>
              <w:rPr>
                <w:rFonts w:eastAsia="Times New Roman"/>
              </w:rPr>
              <w:t>Businesses that trade internationally will benefit from a more secure and efficient operating environment. Consumers will be able to access goods more cheapy and more quickly.</w:t>
            </w:r>
          </w:p>
        </w:tc>
        <w:tc>
          <w:tcPr>
            <w:tcW w:w="2957" w:type="dxa"/>
            <w:shd w:val="clear" w:color="auto" w:fill="C5E0B3" w:themeFill="accent6" w:themeFillTint="66"/>
          </w:tcPr>
          <w:p w14:paraId="1A41D034" w14:textId="11314AFB" w:rsidR="00A47EC6" w:rsidRDefault="00A47EC6" w:rsidP="00A47EC6">
            <w:pPr>
              <w:rPr>
                <w:rFonts w:eastAsia="Times New Roman"/>
              </w:rPr>
            </w:pPr>
            <w:r>
              <w:rPr>
                <w:rFonts w:eastAsia="Times New Roman"/>
              </w:rPr>
              <w:t>More efficient and productive supply chains.</w:t>
            </w:r>
          </w:p>
        </w:tc>
        <w:tc>
          <w:tcPr>
            <w:tcW w:w="2965" w:type="dxa"/>
            <w:shd w:val="clear" w:color="auto" w:fill="FBE4D5" w:themeFill="accent2" w:themeFillTint="33"/>
          </w:tcPr>
          <w:p w14:paraId="69DD2D29" w14:textId="5EF40D3B" w:rsidR="00A47EC6" w:rsidRDefault="00A47EC6" w:rsidP="00A47EC6">
            <w:pPr>
              <w:rPr>
                <w:rFonts w:eastAsia="Times New Roman"/>
              </w:rPr>
            </w:pPr>
            <w:r>
              <w:rPr>
                <w:rFonts w:eastAsia="Times New Roman"/>
              </w:rPr>
              <w:t>Minimal costs on business and the community as these are non-binding commitments that Australia will assess on a case-by-case basis, with the aim of minimising disruption for business and maximising economic efficiencies.</w:t>
            </w:r>
          </w:p>
        </w:tc>
        <w:tc>
          <w:tcPr>
            <w:tcW w:w="2084" w:type="dxa"/>
            <w:shd w:val="clear" w:color="auto" w:fill="C5E0B3" w:themeFill="accent6" w:themeFillTint="66"/>
          </w:tcPr>
          <w:p w14:paraId="19FE7F3A" w14:textId="77777777" w:rsidR="00A47EC6" w:rsidRDefault="00A47EC6" w:rsidP="00A47EC6">
            <w:pPr>
              <w:rPr>
                <w:rFonts w:eastAsia="Times New Roman"/>
              </w:rPr>
            </w:pPr>
            <w:r>
              <w:rPr>
                <w:rFonts w:eastAsia="Times New Roman"/>
              </w:rPr>
              <w:t>Net benefit</w:t>
            </w:r>
          </w:p>
          <w:p w14:paraId="39D416CD" w14:textId="77777777" w:rsidR="00A47EC6" w:rsidRDefault="00A47EC6" w:rsidP="00A47EC6">
            <w:pPr>
              <w:rPr>
                <w:rFonts w:eastAsia="Times New Roman"/>
              </w:rPr>
            </w:pPr>
          </w:p>
        </w:tc>
      </w:tr>
      <w:tr w:rsidR="00A47EC6" w14:paraId="13A0B494" w14:textId="127C2E19" w:rsidTr="003F3E37">
        <w:trPr>
          <w:trHeight w:val="141"/>
        </w:trPr>
        <w:tc>
          <w:tcPr>
            <w:tcW w:w="2998" w:type="dxa"/>
          </w:tcPr>
          <w:p w14:paraId="412E3BBE" w14:textId="4DBBDF72" w:rsidR="00A47EC6" w:rsidRDefault="00A47EC6" w:rsidP="00A47EC6">
            <w:pPr>
              <w:rPr>
                <w:rFonts w:eastAsia="Times New Roman"/>
              </w:rPr>
            </w:pPr>
            <w:r w:rsidRPr="005158D6">
              <w:rPr>
                <w:rFonts w:eastAsia="Times New Roman"/>
              </w:rPr>
              <w:t xml:space="preserve">Work collaboratively across the IPEF membership to minimise unnecessary restrictions or impediments creating barriers to trade affecting the resilience, efficiency, productivity, </w:t>
            </w:r>
            <w:r w:rsidRPr="005158D6">
              <w:rPr>
                <w:rFonts w:eastAsia="Times New Roman"/>
              </w:rPr>
              <w:lastRenderedPageBreak/>
              <w:t>sustainability, transparency, diversification, security, fairness, and inclusivity of IPEF supply chains.</w:t>
            </w:r>
          </w:p>
        </w:tc>
        <w:tc>
          <w:tcPr>
            <w:tcW w:w="2944" w:type="dxa"/>
          </w:tcPr>
          <w:p w14:paraId="45F504B6" w14:textId="0A24B2D1" w:rsidR="00A47EC6" w:rsidRDefault="00A47EC6" w:rsidP="00A47EC6">
            <w:pPr>
              <w:rPr>
                <w:rFonts w:eastAsia="Times New Roman"/>
              </w:rPr>
            </w:pPr>
            <w:r>
              <w:rPr>
                <w:rFonts w:eastAsia="Times New Roman"/>
              </w:rPr>
              <w:lastRenderedPageBreak/>
              <w:t>Businesses that trade internationally will benefit from a more secure and efficient operating environment. Consumers will be able to access goods more cheaply and quickly.</w:t>
            </w:r>
          </w:p>
        </w:tc>
        <w:tc>
          <w:tcPr>
            <w:tcW w:w="2957" w:type="dxa"/>
            <w:shd w:val="clear" w:color="auto" w:fill="C5E0B3" w:themeFill="accent6" w:themeFillTint="66"/>
          </w:tcPr>
          <w:p w14:paraId="25B6B6C6" w14:textId="7059C42E" w:rsidR="00A47EC6" w:rsidRDefault="00A47EC6" w:rsidP="00A47EC6">
            <w:pPr>
              <w:rPr>
                <w:rFonts w:eastAsia="Times New Roman"/>
              </w:rPr>
            </w:pPr>
            <w:r>
              <w:rPr>
                <w:rFonts w:eastAsia="Times New Roman"/>
              </w:rPr>
              <w:t>More efficient and productive supply chains.</w:t>
            </w:r>
          </w:p>
        </w:tc>
        <w:tc>
          <w:tcPr>
            <w:tcW w:w="2965" w:type="dxa"/>
            <w:shd w:val="clear" w:color="auto" w:fill="FBE4D5" w:themeFill="accent2" w:themeFillTint="33"/>
          </w:tcPr>
          <w:p w14:paraId="6D8EA018" w14:textId="0222C512" w:rsidR="00A47EC6" w:rsidRDefault="00A47EC6" w:rsidP="00A47EC6">
            <w:pPr>
              <w:rPr>
                <w:rFonts w:eastAsia="Times New Roman"/>
              </w:rPr>
            </w:pPr>
            <w:r>
              <w:rPr>
                <w:rFonts w:eastAsia="Times New Roman"/>
              </w:rPr>
              <w:t xml:space="preserve">Minimal costs on business and the community as these are non-binding commitments that Australia will assess on a case-by-case basis, with the aim of minimising disruption </w:t>
            </w:r>
            <w:r>
              <w:rPr>
                <w:rFonts w:eastAsia="Times New Roman"/>
              </w:rPr>
              <w:lastRenderedPageBreak/>
              <w:t>for business and maximising economic efficiencies.</w:t>
            </w:r>
          </w:p>
        </w:tc>
        <w:tc>
          <w:tcPr>
            <w:tcW w:w="2084" w:type="dxa"/>
            <w:shd w:val="clear" w:color="auto" w:fill="C5E0B3" w:themeFill="accent6" w:themeFillTint="66"/>
          </w:tcPr>
          <w:p w14:paraId="3075A7F1" w14:textId="77777777" w:rsidR="00A47EC6" w:rsidRDefault="00A47EC6" w:rsidP="00A47EC6">
            <w:pPr>
              <w:rPr>
                <w:rFonts w:eastAsia="Times New Roman"/>
              </w:rPr>
            </w:pPr>
            <w:r>
              <w:rPr>
                <w:rFonts w:eastAsia="Times New Roman"/>
              </w:rPr>
              <w:lastRenderedPageBreak/>
              <w:t>Net benefit</w:t>
            </w:r>
          </w:p>
          <w:p w14:paraId="410139A4" w14:textId="77777777" w:rsidR="00A47EC6" w:rsidRDefault="00A47EC6" w:rsidP="00A47EC6">
            <w:pPr>
              <w:rPr>
                <w:rFonts w:eastAsia="Times New Roman"/>
              </w:rPr>
            </w:pPr>
          </w:p>
        </w:tc>
      </w:tr>
    </w:tbl>
    <w:p w14:paraId="765D2AB2" w14:textId="77777777" w:rsidR="00D3554E" w:rsidRPr="00B40C2D" w:rsidRDefault="00D3554E" w:rsidP="00D3554E">
      <w:pPr>
        <w:rPr>
          <w:rFonts w:eastAsia="Times New Roman"/>
        </w:rPr>
      </w:pPr>
    </w:p>
    <w:p w14:paraId="67719843" w14:textId="77777777" w:rsidR="00F475AF" w:rsidRDefault="00D3554E" w:rsidP="00E31116">
      <w:pPr>
        <w:rPr>
          <w:b/>
          <w:bCs/>
        </w:rPr>
        <w:sectPr w:rsidR="00F475AF" w:rsidSect="00F475AF">
          <w:headerReference w:type="default" r:id="rId21"/>
          <w:pgSz w:w="16838" w:h="11906" w:orient="landscape" w:code="9"/>
          <w:pgMar w:top="1440" w:right="1440" w:bottom="1440" w:left="1440" w:header="720" w:footer="720" w:gutter="0"/>
          <w:cols w:space="720"/>
          <w:docGrid w:linePitch="360"/>
        </w:sectPr>
      </w:pPr>
      <w:r>
        <w:rPr>
          <w:b/>
          <w:bCs/>
        </w:rPr>
        <w:br w:type="page"/>
      </w:r>
    </w:p>
    <w:p w14:paraId="67F73B99" w14:textId="621D9ED6" w:rsidR="00D3554E" w:rsidRPr="00E31116" w:rsidRDefault="00D3554E" w:rsidP="00E31116">
      <w:pPr>
        <w:rPr>
          <w:rFonts w:ascii="Calibri" w:hAnsi="Calibri" w:cs="Calibri"/>
          <w:b/>
          <w:bCs/>
          <w:lang w:val="en-AU"/>
        </w:rPr>
      </w:pPr>
      <w:r>
        <w:rPr>
          <w:rFonts w:ascii="Calibri" w:hAnsi="Calibri" w:cs="Calibri"/>
          <w:b/>
          <w:bCs/>
          <w:lang w:val="en-AU"/>
        </w:rPr>
        <w:lastRenderedPageBreak/>
        <w:t xml:space="preserve">Question 5 - </w:t>
      </w:r>
      <w:r w:rsidRPr="00975A93">
        <w:rPr>
          <w:b/>
          <w:bCs/>
        </w:rPr>
        <w:t xml:space="preserve">Who will you consult about these options and how will you consult them? </w:t>
      </w:r>
    </w:p>
    <w:p w14:paraId="12B659CA" w14:textId="3824EA70" w:rsidR="00D3554E" w:rsidRDefault="00D3554E" w:rsidP="00EB6146">
      <w:r>
        <w:t>In negotiating the IPEF Supply Chain Agreement, DFAT ha</w:t>
      </w:r>
      <w:r w:rsidR="00952645">
        <w:t>s</w:t>
      </w:r>
      <w:r>
        <w:t xml:space="preserve"> consulted extensively across Government, </w:t>
      </w:r>
      <w:proofErr w:type="gramStart"/>
      <w:r>
        <w:t>industry</w:t>
      </w:r>
      <w:proofErr w:type="gramEnd"/>
      <w:r>
        <w:t xml:space="preserve"> and civil society to ensure Australia’s interests were reflected in the final agreement. DFAT </w:t>
      </w:r>
      <w:r w:rsidR="00235FA2">
        <w:t>consulted</w:t>
      </w:r>
      <w:r>
        <w:t xml:space="preserve"> </w:t>
      </w:r>
      <w:r w:rsidR="001742BA">
        <w:t>extensively</w:t>
      </w:r>
      <w:r>
        <w:t xml:space="preserve"> with 21 agencies across </w:t>
      </w:r>
      <w:r w:rsidR="004712C1">
        <w:t>g</w:t>
      </w:r>
      <w:r>
        <w:t>overnmen</w:t>
      </w:r>
      <w:r w:rsidR="004712C1">
        <w:t>t</w:t>
      </w:r>
      <w:r>
        <w:t xml:space="preserve"> and ensured policy matter experts were part of the negotiation process.</w:t>
      </w:r>
    </w:p>
    <w:p w14:paraId="6C62EDC4" w14:textId="6AB7C80D" w:rsidR="00002544" w:rsidRDefault="00002544" w:rsidP="00EB6146">
      <w:r>
        <w:t xml:space="preserve">Broadly, DFAT found stakeholders were strongly supportive of the strategic intent of the IPEF Supply Chain </w:t>
      </w:r>
      <w:proofErr w:type="gramStart"/>
      <w:r>
        <w:t>Agreement, and</w:t>
      </w:r>
      <w:proofErr w:type="gramEnd"/>
      <w:r>
        <w:t xml:space="preserve"> saw the value in the </w:t>
      </w:r>
      <w:r w:rsidR="000427E8" w:rsidRPr="000427E8">
        <w:t>IPEF Supply Chain Agreement</w:t>
      </w:r>
      <w:r w:rsidR="004E4955">
        <w:t xml:space="preserve"> </w:t>
      </w:r>
      <w:r>
        <w:t xml:space="preserve">as an ongoing vehicle for strategic </w:t>
      </w:r>
      <w:r w:rsidR="00574682">
        <w:t xml:space="preserve">economic </w:t>
      </w:r>
      <w:r>
        <w:t>engagement in the Indo-Pacific region</w:t>
      </w:r>
      <w:r w:rsidR="00FA247A">
        <w:t xml:space="preserve"> particularly </w:t>
      </w:r>
      <w:r w:rsidR="00503888">
        <w:t>by encouraging ongoing engagement from the United States</w:t>
      </w:r>
      <w:r>
        <w:t xml:space="preserve">. Stakeholders were wary </w:t>
      </w:r>
      <w:r w:rsidR="002743C1">
        <w:t xml:space="preserve">of </w:t>
      </w:r>
      <w:r w:rsidR="00104496">
        <w:t xml:space="preserve">any provisions that </w:t>
      </w:r>
      <w:r w:rsidR="00BE4412">
        <w:t>c</w:t>
      </w:r>
      <w:r w:rsidR="002743C1">
        <w:t>ould</w:t>
      </w:r>
      <w:r w:rsidR="00104496">
        <w:t xml:space="preserve"> add additional burdens on businesses in meeting regulatory reporting requirements</w:t>
      </w:r>
      <w:r w:rsidR="00404CC8">
        <w:t xml:space="preserve">, which the IPEF Supply Chain Agreement </w:t>
      </w:r>
      <w:r w:rsidR="005A18EA">
        <w:t xml:space="preserve">has </w:t>
      </w:r>
      <w:r w:rsidR="00F4153A">
        <w:t>avoided</w:t>
      </w:r>
      <w:r w:rsidR="00104496">
        <w:t xml:space="preserve">. </w:t>
      </w:r>
    </w:p>
    <w:p w14:paraId="157A4011" w14:textId="3390E81E" w:rsidR="00D3554E" w:rsidRDefault="00D3554E" w:rsidP="00EB6146">
      <w:r>
        <w:t xml:space="preserve">Supply chains are managed by the private sector and function through the labour of workers. DFAT placed a priority on engaging with industry peak body groups and trade union representatives early and </w:t>
      </w:r>
      <w:r w:rsidR="003B0603">
        <w:t xml:space="preserve">regularly </w:t>
      </w:r>
      <w:r>
        <w:t>in seeking to reflect their interests in Australia’s negotiating position</w:t>
      </w:r>
      <w:r w:rsidR="00A21D28">
        <w:t xml:space="preserve"> on a potential IPEF Supply Chain Agreement</w:t>
      </w:r>
      <w:r>
        <w:t>.</w:t>
      </w:r>
      <w:r w:rsidR="00536832">
        <w:t xml:space="preserve"> Consultation was an important part of the negotiation process for DFAT. It assisted with </w:t>
      </w:r>
      <w:r w:rsidR="00147255">
        <w:t xml:space="preserve">DFAT gaining a better understanding of </w:t>
      </w:r>
      <w:r w:rsidR="00EE7969">
        <w:t xml:space="preserve">the need to find tangible benefits in negotiations and </w:t>
      </w:r>
      <w:r w:rsidR="00723637">
        <w:t xml:space="preserve">to guard against the potential costs of excessive additional </w:t>
      </w:r>
      <w:r w:rsidR="00EF78F6">
        <w:t xml:space="preserve">reporting burdens </w:t>
      </w:r>
      <w:r w:rsidR="00AB1AAA">
        <w:t>on business</w:t>
      </w:r>
      <w:r w:rsidR="00D95892">
        <w:t xml:space="preserve"> that would reduce the utility of any </w:t>
      </w:r>
      <w:r w:rsidR="0068531A">
        <w:t>agreement.</w:t>
      </w:r>
    </w:p>
    <w:p w14:paraId="130C26E9" w14:textId="538B449D" w:rsidR="00D3554E" w:rsidRDefault="00D3554E" w:rsidP="00EB6146">
      <w:r>
        <w:t xml:space="preserve">DFAT provided stakeholders the ongoing opportunity to provide written submissions on the IPEF negotiations. Table 2 below outlines submissions received, which are also published on DFAT’s website. Calls for submissions </w:t>
      </w:r>
      <w:r w:rsidR="007A1CF9">
        <w:t>were</w:t>
      </w:r>
      <w:r>
        <w:t xml:space="preserve"> advertised on DFAT’s website and social media channels.</w:t>
      </w:r>
    </w:p>
    <w:tbl>
      <w:tblPr>
        <w:tblStyle w:val="TableGrid"/>
        <w:tblW w:w="0" w:type="auto"/>
        <w:tblLook w:val="04A0" w:firstRow="1" w:lastRow="0" w:firstColumn="1" w:lastColumn="0" w:noHBand="0" w:noVBand="1"/>
      </w:tblPr>
      <w:tblGrid>
        <w:gridCol w:w="1958"/>
        <w:gridCol w:w="4416"/>
        <w:gridCol w:w="2552"/>
      </w:tblGrid>
      <w:tr w:rsidR="00D3554E" w14:paraId="4D60C7F5" w14:textId="77777777" w:rsidTr="00C22637">
        <w:tc>
          <w:tcPr>
            <w:tcW w:w="1958" w:type="dxa"/>
            <w:shd w:val="clear" w:color="auto" w:fill="DBDBDB" w:themeFill="accent3" w:themeFillTint="66"/>
          </w:tcPr>
          <w:p w14:paraId="5380B1E6" w14:textId="77777777" w:rsidR="00D3554E" w:rsidRPr="006362A7" w:rsidRDefault="00D3554E">
            <w:pPr>
              <w:rPr>
                <w:b/>
                <w:bCs/>
              </w:rPr>
            </w:pPr>
            <w:r w:rsidRPr="006362A7">
              <w:rPr>
                <w:b/>
                <w:bCs/>
              </w:rPr>
              <w:t>Stakeholder</w:t>
            </w:r>
          </w:p>
        </w:tc>
        <w:tc>
          <w:tcPr>
            <w:tcW w:w="4416" w:type="dxa"/>
            <w:shd w:val="clear" w:color="auto" w:fill="DBDBDB" w:themeFill="accent3" w:themeFillTint="66"/>
          </w:tcPr>
          <w:p w14:paraId="0B35A358" w14:textId="77777777" w:rsidR="00D3554E" w:rsidRPr="006362A7" w:rsidRDefault="00D3554E">
            <w:pPr>
              <w:rPr>
                <w:b/>
                <w:bCs/>
              </w:rPr>
            </w:pPr>
            <w:r w:rsidRPr="006362A7">
              <w:rPr>
                <w:b/>
                <w:bCs/>
              </w:rPr>
              <w:t>Key concerns and recommendations</w:t>
            </w:r>
            <w:r>
              <w:rPr>
                <w:b/>
                <w:bCs/>
              </w:rPr>
              <w:t xml:space="preserve"> relating to supply chains</w:t>
            </w:r>
          </w:p>
        </w:tc>
        <w:tc>
          <w:tcPr>
            <w:tcW w:w="2552" w:type="dxa"/>
            <w:shd w:val="clear" w:color="auto" w:fill="DBDBDB" w:themeFill="accent3" w:themeFillTint="66"/>
          </w:tcPr>
          <w:p w14:paraId="23C811D4" w14:textId="77777777" w:rsidR="00D3554E" w:rsidRPr="006362A7" w:rsidRDefault="00D3554E">
            <w:pPr>
              <w:rPr>
                <w:b/>
                <w:bCs/>
              </w:rPr>
            </w:pPr>
            <w:r w:rsidRPr="006362A7">
              <w:rPr>
                <w:b/>
                <w:bCs/>
              </w:rPr>
              <w:t xml:space="preserve">Addressed in </w:t>
            </w:r>
            <w:r>
              <w:rPr>
                <w:b/>
                <w:bCs/>
              </w:rPr>
              <w:t>IPEF Supply Chain Agreement</w:t>
            </w:r>
          </w:p>
        </w:tc>
      </w:tr>
      <w:tr w:rsidR="00D3554E" w14:paraId="56941A4D" w14:textId="77777777" w:rsidTr="00C22637">
        <w:trPr>
          <w:trHeight w:val="1613"/>
        </w:trPr>
        <w:tc>
          <w:tcPr>
            <w:tcW w:w="1958" w:type="dxa"/>
            <w:vMerge w:val="restart"/>
          </w:tcPr>
          <w:p w14:paraId="14E3E8F5" w14:textId="77777777" w:rsidR="00D3554E" w:rsidRDefault="00D3554E">
            <w:r>
              <w:t>Australian Council of Trade Unions</w:t>
            </w:r>
          </w:p>
        </w:tc>
        <w:tc>
          <w:tcPr>
            <w:tcW w:w="4416" w:type="dxa"/>
          </w:tcPr>
          <w:p w14:paraId="066CC883" w14:textId="2E51D8E8" w:rsidR="00D3554E" w:rsidRDefault="00D3554E">
            <w:r w:rsidRPr="00F341C6">
              <w:t xml:space="preserve">Ensure the supply chain pillar addresses violations of workers’ rights in company supply chains by embedding the requirement for companies in IPEF countries to undertake human rights due </w:t>
            </w:r>
            <w:r w:rsidR="00EF0128" w:rsidRPr="00F341C6">
              <w:t>diligence</w:t>
            </w:r>
            <w:r w:rsidRPr="00F341C6">
              <w:t xml:space="preserve"> to identify, prevent and address risks to worker’s rights, and enable workers in supply chains to seek redress when harm is caused by a company’s failure to conduct due diligence.</w:t>
            </w:r>
          </w:p>
        </w:tc>
        <w:tc>
          <w:tcPr>
            <w:tcW w:w="2552" w:type="dxa"/>
            <w:shd w:val="clear" w:color="auto" w:fill="F7CAAC" w:themeFill="accent2" w:themeFillTint="66"/>
          </w:tcPr>
          <w:p w14:paraId="16550456" w14:textId="77777777" w:rsidR="00D3554E" w:rsidRDefault="00D3554E">
            <w:r>
              <w:t>Somewhat</w:t>
            </w:r>
          </w:p>
        </w:tc>
      </w:tr>
      <w:tr w:rsidR="00D3554E" w14:paraId="353013AB" w14:textId="77777777" w:rsidTr="003E0114">
        <w:trPr>
          <w:trHeight w:val="910"/>
        </w:trPr>
        <w:tc>
          <w:tcPr>
            <w:tcW w:w="1958" w:type="dxa"/>
            <w:vMerge/>
          </w:tcPr>
          <w:p w14:paraId="0AC1EB9F" w14:textId="77777777" w:rsidR="00D3554E" w:rsidRDefault="00D3554E"/>
        </w:tc>
        <w:tc>
          <w:tcPr>
            <w:tcW w:w="4416" w:type="dxa"/>
          </w:tcPr>
          <w:p w14:paraId="4C78D89A" w14:textId="77777777" w:rsidR="00D3554E" w:rsidRDefault="00D3554E">
            <w:r>
              <w:t>Ensure IPEF contains commitments to phase out the use of asbestos in supply chains across the region.</w:t>
            </w:r>
          </w:p>
        </w:tc>
        <w:tc>
          <w:tcPr>
            <w:tcW w:w="2552" w:type="dxa"/>
            <w:shd w:val="clear" w:color="auto" w:fill="F7CAAC" w:themeFill="accent2" w:themeFillTint="66"/>
          </w:tcPr>
          <w:p w14:paraId="531A5B5E" w14:textId="77777777" w:rsidR="00D3554E" w:rsidRDefault="00D3554E">
            <w:r>
              <w:t>Somewhat</w:t>
            </w:r>
          </w:p>
        </w:tc>
      </w:tr>
      <w:tr w:rsidR="00D3554E" w14:paraId="17A37818" w14:textId="77777777" w:rsidTr="00C22637">
        <w:tc>
          <w:tcPr>
            <w:tcW w:w="1958" w:type="dxa"/>
            <w:vMerge w:val="restart"/>
          </w:tcPr>
          <w:p w14:paraId="106F5DE4" w14:textId="77777777" w:rsidR="00D3554E" w:rsidRDefault="00D3554E">
            <w:r>
              <w:t>Australian Fair Trade and Investment Network</w:t>
            </w:r>
          </w:p>
        </w:tc>
        <w:tc>
          <w:tcPr>
            <w:tcW w:w="4416" w:type="dxa"/>
          </w:tcPr>
          <w:p w14:paraId="1B71B458" w14:textId="23D1E242" w:rsidR="00D3554E" w:rsidRDefault="00D3554E">
            <w:r>
              <w:t xml:space="preserve">IPEF should establish a work program to assist all members to phase out production of, trade in, or use of all forms of asbestos fibres, </w:t>
            </w:r>
            <w:proofErr w:type="gramStart"/>
            <w:r>
              <w:t>whether or not</w:t>
            </w:r>
            <w:proofErr w:type="gramEnd"/>
            <w:r>
              <w:t xml:space="preserve"> bonded. This program should include target dates, </w:t>
            </w:r>
            <w:proofErr w:type="gramStart"/>
            <w:r>
              <w:t>education</w:t>
            </w:r>
            <w:proofErr w:type="gramEnd"/>
            <w:r>
              <w:t xml:space="preserve"> and funding programs to assist developing countries to meet these goals</w:t>
            </w:r>
            <w:r w:rsidR="00AE0499">
              <w:t>.</w:t>
            </w:r>
          </w:p>
        </w:tc>
        <w:tc>
          <w:tcPr>
            <w:tcW w:w="2552" w:type="dxa"/>
            <w:shd w:val="clear" w:color="auto" w:fill="F7CAAC" w:themeFill="accent2" w:themeFillTint="66"/>
          </w:tcPr>
          <w:p w14:paraId="74205681" w14:textId="77777777" w:rsidR="00D3554E" w:rsidRDefault="00D3554E">
            <w:r>
              <w:t>Somewhat</w:t>
            </w:r>
          </w:p>
        </w:tc>
      </w:tr>
      <w:tr w:rsidR="00D3554E" w14:paraId="70CE69AE" w14:textId="77777777" w:rsidTr="00C22637">
        <w:tc>
          <w:tcPr>
            <w:tcW w:w="1958" w:type="dxa"/>
            <w:vMerge/>
          </w:tcPr>
          <w:p w14:paraId="7542F37A" w14:textId="77777777" w:rsidR="00D3554E" w:rsidRDefault="00D3554E"/>
        </w:tc>
        <w:tc>
          <w:tcPr>
            <w:tcW w:w="4416" w:type="dxa"/>
          </w:tcPr>
          <w:p w14:paraId="24838975" w14:textId="77777777" w:rsidR="00D3554E" w:rsidRDefault="00D3554E">
            <w:r>
              <w:t>Australia should maintain its own independent trade and foreign policy in the region and work with others in IPEF to both diversify supply chains and avoid polarisation and instability in the region.</w:t>
            </w:r>
          </w:p>
        </w:tc>
        <w:tc>
          <w:tcPr>
            <w:tcW w:w="2552" w:type="dxa"/>
            <w:shd w:val="clear" w:color="auto" w:fill="C5E0B3" w:themeFill="accent6" w:themeFillTint="66"/>
          </w:tcPr>
          <w:p w14:paraId="653D03FA" w14:textId="77777777" w:rsidR="00D3554E" w:rsidRDefault="00D3554E">
            <w:r>
              <w:t>Addressed</w:t>
            </w:r>
          </w:p>
        </w:tc>
      </w:tr>
      <w:tr w:rsidR="00D3554E" w14:paraId="07690F87" w14:textId="77777777" w:rsidTr="00C22637">
        <w:tc>
          <w:tcPr>
            <w:tcW w:w="1958" w:type="dxa"/>
          </w:tcPr>
          <w:p w14:paraId="39B92C93" w14:textId="77777777" w:rsidR="00D3554E" w:rsidRDefault="00D3554E">
            <w:r>
              <w:t>Consumers Association of Penang</w:t>
            </w:r>
          </w:p>
        </w:tc>
        <w:tc>
          <w:tcPr>
            <w:tcW w:w="4416" w:type="dxa"/>
          </w:tcPr>
          <w:p w14:paraId="0FEFE0B1" w14:textId="77777777" w:rsidR="00D3554E" w:rsidRDefault="00D3554E">
            <w:r>
              <w:t>Nil</w:t>
            </w:r>
          </w:p>
        </w:tc>
        <w:tc>
          <w:tcPr>
            <w:tcW w:w="2552" w:type="dxa"/>
          </w:tcPr>
          <w:p w14:paraId="008B9F40" w14:textId="77777777" w:rsidR="00D3554E" w:rsidRDefault="00D3554E">
            <w:r>
              <w:t>n/a</w:t>
            </w:r>
          </w:p>
        </w:tc>
      </w:tr>
      <w:tr w:rsidR="00D3554E" w14:paraId="342C788F" w14:textId="77777777" w:rsidTr="00C22637">
        <w:tc>
          <w:tcPr>
            <w:tcW w:w="1958" w:type="dxa"/>
            <w:vMerge w:val="restart"/>
          </w:tcPr>
          <w:p w14:paraId="64856723" w14:textId="77777777" w:rsidR="00D3554E" w:rsidRDefault="00D3554E">
            <w:r>
              <w:t>Microsoft</w:t>
            </w:r>
          </w:p>
        </w:tc>
        <w:tc>
          <w:tcPr>
            <w:tcW w:w="4416" w:type="dxa"/>
          </w:tcPr>
          <w:p w14:paraId="6CD29ECA" w14:textId="77777777" w:rsidR="00D3554E" w:rsidRDefault="00D3554E">
            <w:r>
              <w:t>Security &amp; Integrity: Ensuring components and systems protect against intentional malware, trojans, and defects. Security in critical infrastructure such as financial systems, healthcare systems, and national security systems is rooted in authentication at the layer of underlying hardware.</w:t>
            </w:r>
          </w:p>
        </w:tc>
        <w:tc>
          <w:tcPr>
            <w:tcW w:w="2552" w:type="dxa"/>
            <w:shd w:val="clear" w:color="auto" w:fill="F7CAAC" w:themeFill="accent2" w:themeFillTint="66"/>
          </w:tcPr>
          <w:p w14:paraId="67229149" w14:textId="77777777" w:rsidR="00D3554E" w:rsidRDefault="00D3554E">
            <w:r>
              <w:t>Somewhat</w:t>
            </w:r>
          </w:p>
        </w:tc>
      </w:tr>
      <w:tr w:rsidR="00D3554E" w14:paraId="40353AB6" w14:textId="77777777" w:rsidTr="00C22637">
        <w:tc>
          <w:tcPr>
            <w:tcW w:w="1958" w:type="dxa"/>
            <w:vMerge/>
          </w:tcPr>
          <w:p w14:paraId="2919D407" w14:textId="77777777" w:rsidR="00D3554E" w:rsidRDefault="00D3554E"/>
        </w:tc>
        <w:tc>
          <w:tcPr>
            <w:tcW w:w="4416" w:type="dxa"/>
          </w:tcPr>
          <w:p w14:paraId="5EE7CE5B" w14:textId="77777777" w:rsidR="00D3554E" w:rsidRDefault="00D3554E">
            <w:r>
              <w:t>Continuity: Ensuring that bottlenecks in the supply chain have limited exposure to disruptions caused by geopolitical, natural disaster, or other location-specific risks.</w:t>
            </w:r>
          </w:p>
        </w:tc>
        <w:tc>
          <w:tcPr>
            <w:tcW w:w="2552" w:type="dxa"/>
            <w:shd w:val="clear" w:color="auto" w:fill="C5E0B3" w:themeFill="accent6" w:themeFillTint="66"/>
          </w:tcPr>
          <w:p w14:paraId="7DE473A3" w14:textId="77777777" w:rsidR="00D3554E" w:rsidRDefault="00D3554E">
            <w:r>
              <w:t>Addressed</w:t>
            </w:r>
          </w:p>
        </w:tc>
      </w:tr>
      <w:tr w:rsidR="00D3554E" w14:paraId="6ECE2240" w14:textId="77777777" w:rsidTr="00C22637">
        <w:tc>
          <w:tcPr>
            <w:tcW w:w="1958" w:type="dxa"/>
            <w:vMerge/>
          </w:tcPr>
          <w:p w14:paraId="551A33C1" w14:textId="77777777" w:rsidR="00D3554E" w:rsidRDefault="00D3554E"/>
        </w:tc>
        <w:tc>
          <w:tcPr>
            <w:tcW w:w="4416" w:type="dxa"/>
          </w:tcPr>
          <w:p w14:paraId="69405292" w14:textId="77777777" w:rsidR="00D3554E" w:rsidRDefault="00D3554E">
            <w:r>
              <w:t>Visibility: Assign/update risk factors like manufacturing output, shipping slowdowns, or other unexpected events that can cause economic harm and then running what/if scenarios.</w:t>
            </w:r>
          </w:p>
        </w:tc>
        <w:tc>
          <w:tcPr>
            <w:tcW w:w="2552" w:type="dxa"/>
            <w:shd w:val="clear" w:color="auto" w:fill="C5E0B3" w:themeFill="accent6" w:themeFillTint="66"/>
          </w:tcPr>
          <w:p w14:paraId="63AC949C" w14:textId="77777777" w:rsidR="00D3554E" w:rsidRDefault="00D3554E">
            <w:r>
              <w:t>Addressed</w:t>
            </w:r>
          </w:p>
        </w:tc>
      </w:tr>
      <w:tr w:rsidR="00D3554E" w14:paraId="19C2616C" w14:textId="77777777" w:rsidTr="00C22637">
        <w:tc>
          <w:tcPr>
            <w:tcW w:w="1958" w:type="dxa"/>
          </w:tcPr>
          <w:p w14:paraId="7504DB92" w14:textId="77777777" w:rsidR="00D3554E" w:rsidRDefault="00D3554E">
            <w:r>
              <w:t>Motion Picture Association Asia Pacific</w:t>
            </w:r>
          </w:p>
        </w:tc>
        <w:tc>
          <w:tcPr>
            <w:tcW w:w="4416" w:type="dxa"/>
          </w:tcPr>
          <w:p w14:paraId="566866A6" w14:textId="77777777" w:rsidR="00D3554E" w:rsidRDefault="00D3554E">
            <w:r>
              <w:t>Nil</w:t>
            </w:r>
          </w:p>
        </w:tc>
        <w:tc>
          <w:tcPr>
            <w:tcW w:w="2552" w:type="dxa"/>
          </w:tcPr>
          <w:p w14:paraId="7E36DCD2" w14:textId="77777777" w:rsidR="00D3554E" w:rsidRDefault="00D3554E">
            <w:r>
              <w:t>n/a</w:t>
            </w:r>
          </w:p>
        </w:tc>
      </w:tr>
      <w:tr w:rsidR="00D3554E" w14:paraId="740D2DD7" w14:textId="77777777" w:rsidTr="00C22637">
        <w:tc>
          <w:tcPr>
            <w:tcW w:w="1958" w:type="dxa"/>
          </w:tcPr>
          <w:p w14:paraId="51202CE6" w14:textId="77777777" w:rsidR="00D3554E" w:rsidRDefault="00D3554E">
            <w:r>
              <w:t>The Software Alliance</w:t>
            </w:r>
          </w:p>
        </w:tc>
        <w:tc>
          <w:tcPr>
            <w:tcW w:w="4416" w:type="dxa"/>
          </w:tcPr>
          <w:p w14:paraId="5A674407" w14:textId="77777777" w:rsidR="00D3554E" w:rsidRDefault="00D3554E">
            <w:r>
              <w:t>Nil</w:t>
            </w:r>
          </w:p>
        </w:tc>
        <w:tc>
          <w:tcPr>
            <w:tcW w:w="2552" w:type="dxa"/>
          </w:tcPr>
          <w:p w14:paraId="46A99D87" w14:textId="77777777" w:rsidR="00D3554E" w:rsidRDefault="00D3554E">
            <w:r>
              <w:t>n/a</w:t>
            </w:r>
          </w:p>
        </w:tc>
      </w:tr>
      <w:tr w:rsidR="00D3554E" w14:paraId="75693DB0" w14:textId="77777777" w:rsidTr="00C22637">
        <w:tc>
          <w:tcPr>
            <w:tcW w:w="1958" w:type="dxa"/>
          </w:tcPr>
          <w:p w14:paraId="38A47D3A" w14:textId="77777777" w:rsidR="00D3554E" w:rsidRDefault="00D3554E">
            <w:r>
              <w:t>Trade Justice Education Fund</w:t>
            </w:r>
          </w:p>
        </w:tc>
        <w:tc>
          <w:tcPr>
            <w:tcW w:w="4416" w:type="dxa"/>
          </w:tcPr>
          <w:p w14:paraId="1964F81C" w14:textId="77777777" w:rsidR="00D3554E" w:rsidRDefault="00D3554E">
            <w:r>
              <w:t>Nil</w:t>
            </w:r>
          </w:p>
        </w:tc>
        <w:tc>
          <w:tcPr>
            <w:tcW w:w="2552" w:type="dxa"/>
          </w:tcPr>
          <w:p w14:paraId="518EFC13" w14:textId="77777777" w:rsidR="00D3554E" w:rsidRDefault="00D3554E">
            <w:r>
              <w:t>n/a</w:t>
            </w:r>
          </w:p>
        </w:tc>
      </w:tr>
      <w:tr w:rsidR="00D3554E" w14:paraId="7D7332A5" w14:textId="77777777" w:rsidTr="00C22637">
        <w:tc>
          <w:tcPr>
            <w:tcW w:w="1958" w:type="dxa"/>
          </w:tcPr>
          <w:p w14:paraId="61709281" w14:textId="77777777" w:rsidR="00D3554E" w:rsidRDefault="00D3554E">
            <w:r>
              <w:t>Uniting Church in Australia</w:t>
            </w:r>
          </w:p>
        </w:tc>
        <w:tc>
          <w:tcPr>
            <w:tcW w:w="4416" w:type="dxa"/>
          </w:tcPr>
          <w:p w14:paraId="36B14B96" w14:textId="77777777" w:rsidR="00D3554E" w:rsidRDefault="00D3554E">
            <w:r>
              <w:t>Nil</w:t>
            </w:r>
          </w:p>
        </w:tc>
        <w:tc>
          <w:tcPr>
            <w:tcW w:w="2552" w:type="dxa"/>
          </w:tcPr>
          <w:p w14:paraId="4AAD8279" w14:textId="77777777" w:rsidR="00D3554E" w:rsidRDefault="00D3554E">
            <w:r>
              <w:t>n/a</w:t>
            </w:r>
          </w:p>
        </w:tc>
      </w:tr>
      <w:tr w:rsidR="00D3554E" w14:paraId="0F24F8E6" w14:textId="77777777" w:rsidTr="00C22637">
        <w:tc>
          <w:tcPr>
            <w:tcW w:w="1958" w:type="dxa"/>
          </w:tcPr>
          <w:p w14:paraId="476AEA36" w14:textId="77777777" w:rsidR="00D3554E" w:rsidRDefault="00D3554E">
            <w:r>
              <w:t>Australian Services Roundtable</w:t>
            </w:r>
          </w:p>
        </w:tc>
        <w:tc>
          <w:tcPr>
            <w:tcW w:w="4416" w:type="dxa"/>
          </w:tcPr>
          <w:p w14:paraId="6BA806A3" w14:textId="77777777" w:rsidR="00D3554E" w:rsidRDefault="00D3554E">
            <w:r>
              <w:t>Nil</w:t>
            </w:r>
          </w:p>
        </w:tc>
        <w:tc>
          <w:tcPr>
            <w:tcW w:w="2552" w:type="dxa"/>
          </w:tcPr>
          <w:p w14:paraId="28138012" w14:textId="77777777" w:rsidR="00D3554E" w:rsidRDefault="00D3554E">
            <w:r>
              <w:t>n/a</w:t>
            </w:r>
          </w:p>
        </w:tc>
      </w:tr>
    </w:tbl>
    <w:p w14:paraId="186D588A" w14:textId="77777777" w:rsidR="00D3554E" w:rsidRDefault="00D3554E" w:rsidP="00D3554E"/>
    <w:p w14:paraId="4AD1607F" w14:textId="398F9661" w:rsidR="007E358F" w:rsidRDefault="00AC55FE" w:rsidP="00EB6146">
      <w:r>
        <w:t xml:space="preserve">DFAT sought to reflect stakeholder interests </w:t>
      </w:r>
      <w:r w:rsidR="002754BB">
        <w:t xml:space="preserve">on supply chain issues </w:t>
      </w:r>
      <w:r>
        <w:t xml:space="preserve">as much as possible in the negotiations. </w:t>
      </w:r>
      <w:r w:rsidR="00194256">
        <w:t xml:space="preserve">As noted above, </w:t>
      </w:r>
      <w:r w:rsidR="009D2178">
        <w:t xml:space="preserve">however, </w:t>
      </w:r>
      <w:r w:rsidR="00D3554E">
        <w:t xml:space="preserve">DFAT was limited in its ability to fully deliver </w:t>
      </w:r>
      <w:r w:rsidR="00AF0285">
        <w:t xml:space="preserve">in the IPEF Supply Chain Agreement </w:t>
      </w:r>
      <w:r w:rsidR="00D3554E">
        <w:t xml:space="preserve">on </w:t>
      </w:r>
      <w:proofErr w:type="gramStart"/>
      <w:r w:rsidR="00FA375A">
        <w:t>all</w:t>
      </w:r>
      <w:r w:rsidR="00D3554E">
        <w:t xml:space="preserve"> </w:t>
      </w:r>
      <w:r w:rsidR="00B35523">
        <w:t>of</w:t>
      </w:r>
      <w:proofErr w:type="gramEnd"/>
      <w:r w:rsidR="00B35523">
        <w:t xml:space="preserve"> the stakeholder </w:t>
      </w:r>
      <w:r w:rsidR="00D3554E">
        <w:t>recommendations</w:t>
      </w:r>
      <w:r w:rsidR="00194256">
        <w:t xml:space="preserve">, </w:t>
      </w:r>
      <w:r w:rsidR="00D3554E">
        <w:t xml:space="preserve">due to </w:t>
      </w:r>
      <w:r w:rsidR="00194256">
        <w:t xml:space="preserve">the </w:t>
      </w:r>
      <w:r w:rsidR="00D3554E">
        <w:t>limitations</w:t>
      </w:r>
      <w:r w:rsidR="00194256">
        <w:t xml:space="preserve"> of </w:t>
      </w:r>
      <w:r w:rsidR="00AF0285">
        <w:t xml:space="preserve">the issues covered </w:t>
      </w:r>
      <w:r w:rsidR="004E5325">
        <w:t xml:space="preserve">in </w:t>
      </w:r>
      <w:r w:rsidR="00D3554E">
        <w:t>negotiations</w:t>
      </w:r>
      <w:r w:rsidR="00AF0285">
        <w:t xml:space="preserve"> and the give and take of an international multiparty agreement</w:t>
      </w:r>
      <w:r w:rsidR="00D3554E">
        <w:t>.</w:t>
      </w:r>
    </w:p>
    <w:p w14:paraId="35EA5676" w14:textId="42C0DD81" w:rsidR="00D3554E" w:rsidRDefault="004472C5" w:rsidP="00EB6146">
      <w:r>
        <w:t>Based on stakeholder requests, Australia</w:t>
      </w:r>
      <w:r w:rsidR="00B569DB">
        <w:t xml:space="preserve"> </w:t>
      </w:r>
      <w:r w:rsidR="001B267A">
        <w:t>advocated extensively to incorporate</w:t>
      </w:r>
      <w:r w:rsidR="00B569DB">
        <w:t xml:space="preserve"> a </w:t>
      </w:r>
      <w:r w:rsidR="00D3554E">
        <w:t xml:space="preserve">‘phase out’ </w:t>
      </w:r>
      <w:r w:rsidR="00FA375A">
        <w:t>of</w:t>
      </w:r>
      <w:r w:rsidR="00D3554E">
        <w:t xml:space="preserve"> </w:t>
      </w:r>
      <w:r w:rsidR="001B267A">
        <w:t xml:space="preserve">all forms of </w:t>
      </w:r>
      <w:r w:rsidR="00D3554E">
        <w:t xml:space="preserve">asbestos </w:t>
      </w:r>
      <w:r w:rsidR="001B267A">
        <w:t>(</w:t>
      </w:r>
      <w:proofErr w:type="gramStart"/>
      <w:r w:rsidR="001B267A">
        <w:t>i.e.</w:t>
      </w:r>
      <w:proofErr w:type="gramEnd"/>
      <w:r w:rsidR="001B267A">
        <w:t xml:space="preserve"> including chrysotile asbestos) throughout negotiations. However,</w:t>
      </w:r>
      <w:r w:rsidR="00B569DB">
        <w:t xml:space="preserve"> </w:t>
      </w:r>
      <w:r w:rsidR="00D3554E">
        <w:t xml:space="preserve">this was a significant sensitivity </w:t>
      </w:r>
      <w:r w:rsidR="00766D36">
        <w:t>that</w:t>
      </w:r>
      <w:r w:rsidR="00D3554E">
        <w:t xml:space="preserve"> some international partners </w:t>
      </w:r>
      <w:r w:rsidR="00766D36">
        <w:t>were unable to agree to;</w:t>
      </w:r>
      <w:r w:rsidR="00D3554E">
        <w:t xml:space="preserve"> compromise </w:t>
      </w:r>
      <w:r w:rsidR="0081052E">
        <w:t xml:space="preserve">was ultimately reached on </w:t>
      </w:r>
      <w:r w:rsidR="00BD6CFC">
        <w:t xml:space="preserve">a </w:t>
      </w:r>
      <w:r w:rsidR="00D3554E">
        <w:t xml:space="preserve">non-binding </w:t>
      </w:r>
      <w:r w:rsidR="00BD6CFC">
        <w:t>commitment</w:t>
      </w:r>
      <w:r w:rsidR="00D3554E">
        <w:t xml:space="preserve"> to </w:t>
      </w:r>
      <w:r w:rsidR="005A62F5">
        <w:t>“</w:t>
      </w:r>
      <w:r w:rsidR="00D3554E" w:rsidRPr="005B62CA">
        <w:t>promote transition from the use of asbestos to safer alternative products in IPEF supply chains</w:t>
      </w:r>
      <w:r w:rsidR="00704BE9">
        <w:t xml:space="preserve">” </w:t>
      </w:r>
      <w:proofErr w:type="gramStart"/>
      <w:r w:rsidR="00704BE9">
        <w:t>through t</w:t>
      </w:r>
      <w:r w:rsidR="006C3907">
        <w:t xml:space="preserve">he </w:t>
      </w:r>
      <w:r w:rsidR="003261F2">
        <w:t>use of</w:t>
      </w:r>
      <w:proofErr w:type="gramEnd"/>
      <w:r w:rsidR="003261F2">
        <w:t xml:space="preserve"> technical assistance </w:t>
      </w:r>
      <w:r w:rsidR="00D4323A">
        <w:t>and capacity</w:t>
      </w:r>
      <w:r w:rsidR="00551E2F">
        <w:t xml:space="preserve"> building</w:t>
      </w:r>
      <w:r w:rsidR="00D4323A">
        <w:t>.</w:t>
      </w:r>
      <w:r w:rsidR="00EE3273">
        <w:t xml:space="preserve"> </w:t>
      </w:r>
      <w:r w:rsidR="003A13B7">
        <w:t xml:space="preserve">DFAT consulted extensively </w:t>
      </w:r>
      <w:r w:rsidR="00212655">
        <w:t xml:space="preserve">with relevant agencies, especially the Asbestos Safety </w:t>
      </w:r>
      <w:r w:rsidR="00212655">
        <w:lastRenderedPageBreak/>
        <w:t xml:space="preserve">and Eradication Agency, to ensure this closely aligned with </w:t>
      </w:r>
      <w:r w:rsidR="00BC3187">
        <w:t>Australia’s</w:t>
      </w:r>
      <w:r w:rsidR="00425BA8">
        <w:t xml:space="preserve"> </w:t>
      </w:r>
      <w:r w:rsidR="007F156F">
        <w:t xml:space="preserve">international </w:t>
      </w:r>
      <w:r w:rsidR="00BC3187">
        <w:t>engagement on the eradication of asbestos.</w:t>
      </w:r>
      <w:r w:rsidR="008A6695">
        <w:t xml:space="preserve">  While not </w:t>
      </w:r>
      <w:r w:rsidR="00A47FD3">
        <w:t xml:space="preserve">the full </w:t>
      </w:r>
      <w:r w:rsidR="00637E8C">
        <w:t>eradication</w:t>
      </w:r>
      <w:r w:rsidR="00810762">
        <w:t xml:space="preserve"> that some stakeholders </w:t>
      </w:r>
      <w:r w:rsidR="00130054">
        <w:t>were seeking, what we have achieved is a significant outcome</w:t>
      </w:r>
      <w:r w:rsidR="0041124D">
        <w:t xml:space="preserve"> that goes beyond </w:t>
      </w:r>
      <w:r w:rsidR="003375CD">
        <w:t>existing international commitments.</w:t>
      </w:r>
    </w:p>
    <w:p w14:paraId="33AA2EE4" w14:textId="5EBD6A90" w:rsidR="00D9665D" w:rsidRDefault="00C61120" w:rsidP="00EB6146">
      <w:r>
        <w:t xml:space="preserve">Stakeholders </w:t>
      </w:r>
      <w:r w:rsidR="005B3BE0">
        <w:t xml:space="preserve">asked for the </w:t>
      </w:r>
      <w:r w:rsidR="00D1014A" w:rsidRPr="00D1014A">
        <w:t>IPEF Supply Chain Agreement</w:t>
      </w:r>
      <w:r w:rsidR="004E4955">
        <w:t xml:space="preserve"> </w:t>
      </w:r>
      <w:r w:rsidR="005B3BE0">
        <w:t xml:space="preserve">to require </w:t>
      </w:r>
      <w:r w:rsidR="00422ECB">
        <w:t xml:space="preserve">companies to </w:t>
      </w:r>
      <w:r w:rsidR="005B3BE0" w:rsidRPr="00F341C6">
        <w:t>undertake human rights due diligence</w:t>
      </w:r>
      <w:r w:rsidR="00422ECB">
        <w:t xml:space="preserve"> in their supply chains. This is somewhat addressed in</w:t>
      </w:r>
      <w:r w:rsidR="00D1571C">
        <w:t xml:space="preserve"> the </w:t>
      </w:r>
      <w:r w:rsidR="00D1014A" w:rsidRPr="00D1014A">
        <w:t>IPEF Supply Chain Agreement</w:t>
      </w:r>
      <w:r w:rsidR="003D7C44">
        <w:t xml:space="preserve">. </w:t>
      </w:r>
      <w:r w:rsidR="00352436">
        <w:t xml:space="preserve">Negotiations on labour related matters in the </w:t>
      </w:r>
      <w:r w:rsidR="00D1014A" w:rsidRPr="00D1014A">
        <w:t>IPEF Supply Chain Agreement</w:t>
      </w:r>
      <w:r w:rsidR="004E4955">
        <w:t xml:space="preserve"> </w:t>
      </w:r>
      <w:r w:rsidR="00352436">
        <w:t>were some of the most sensitive discussions for international partners. Without the significant economic benefits of market access</w:t>
      </w:r>
      <w:r w:rsidR="00897D25">
        <w:t xml:space="preserve"> that </w:t>
      </w:r>
      <w:r w:rsidR="00120FD9">
        <w:t>are included in a traditional-style FTA</w:t>
      </w:r>
      <w:r w:rsidR="00352436">
        <w:t xml:space="preserve">, </w:t>
      </w:r>
      <w:r w:rsidR="00120FD9">
        <w:t xml:space="preserve">some IPEF </w:t>
      </w:r>
      <w:r w:rsidR="00352436">
        <w:t>partners were reluctant to</w:t>
      </w:r>
      <w:r w:rsidR="001C0111">
        <w:t xml:space="preserve"> </w:t>
      </w:r>
      <w:r w:rsidR="006924EF">
        <w:t>go as far</w:t>
      </w:r>
      <w:r w:rsidR="007505D7">
        <w:t xml:space="preserve"> as </w:t>
      </w:r>
      <w:r w:rsidR="006924EF">
        <w:t>some stakeholders were seeking</w:t>
      </w:r>
      <w:r w:rsidR="007D45F3">
        <w:t xml:space="preserve"> on </w:t>
      </w:r>
      <w:r w:rsidR="009F01D2">
        <w:t>labour rights</w:t>
      </w:r>
      <w:r w:rsidR="007505D7">
        <w:t xml:space="preserve">. </w:t>
      </w:r>
      <w:r w:rsidR="009F01D2">
        <w:t>Nevertheless, t</w:t>
      </w:r>
      <w:r w:rsidR="00D95DF2">
        <w:t>he labour rights outcome</w:t>
      </w:r>
      <w:r w:rsidR="009F01D2">
        <w:t>s</w:t>
      </w:r>
      <w:r w:rsidR="00D95DF2">
        <w:t xml:space="preserve"> are </w:t>
      </w:r>
      <w:r w:rsidR="00CE2DB0">
        <w:t xml:space="preserve">among </w:t>
      </w:r>
      <w:r w:rsidR="00D95DF2">
        <w:t xml:space="preserve">the most comprehensive Australia has </w:t>
      </w:r>
      <w:r w:rsidR="000A1387">
        <w:t>concluded</w:t>
      </w:r>
      <w:r w:rsidR="0075616D">
        <w:t xml:space="preserve"> in a trade agreement</w:t>
      </w:r>
      <w:r w:rsidR="00D95DF2">
        <w:t>.</w:t>
      </w:r>
    </w:p>
    <w:p w14:paraId="14768E79" w14:textId="2C695785" w:rsidR="00D95DF2" w:rsidRDefault="00D95DF2" w:rsidP="00EB6146">
      <w:r>
        <w:t xml:space="preserve">Stakeholders called for security and integrity measures in IPEF supply </w:t>
      </w:r>
      <w:proofErr w:type="gramStart"/>
      <w:r>
        <w:t>chains</w:t>
      </w:r>
      <w:proofErr w:type="gramEnd"/>
      <w:r>
        <w:t xml:space="preserve"> and this is somewhat achieved. The </w:t>
      </w:r>
      <w:r w:rsidR="00D1014A" w:rsidRPr="00D1014A">
        <w:t>IPEF Supply Chain Agreement</w:t>
      </w:r>
      <w:r w:rsidR="00FD362E">
        <w:t xml:space="preserve"> </w:t>
      </w:r>
      <w:r>
        <w:t xml:space="preserve">calls for parties to </w:t>
      </w:r>
      <w:r w:rsidR="00685824">
        <w:t xml:space="preserve">work cooperatively to </w:t>
      </w:r>
      <w:r w:rsidR="00F400CD">
        <w:t xml:space="preserve">lift the security and integrity measures related to supply </w:t>
      </w:r>
      <w:proofErr w:type="gramStart"/>
      <w:r w:rsidR="00F400CD">
        <w:t>chains</w:t>
      </w:r>
      <w:proofErr w:type="gramEnd"/>
      <w:r w:rsidR="00F400CD">
        <w:t xml:space="preserve"> but the </w:t>
      </w:r>
      <w:r w:rsidR="00D1014A" w:rsidRPr="00D1014A">
        <w:t>IPEF Supply Chain Agreement</w:t>
      </w:r>
      <w:r w:rsidR="00FD362E">
        <w:t xml:space="preserve"> </w:t>
      </w:r>
      <w:r w:rsidR="00F400CD">
        <w:t>does not secure specific or hard measures. These kind</w:t>
      </w:r>
      <w:r w:rsidR="0066157E">
        <w:t>s</w:t>
      </w:r>
      <w:r w:rsidR="00F400CD">
        <w:t xml:space="preserve"> of </w:t>
      </w:r>
      <w:r w:rsidR="0009260B">
        <w:t xml:space="preserve">measures are expected to be discussed as part of the </w:t>
      </w:r>
      <w:r w:rsidR="00642EF9">
        <w:t xml:space="preserve">committee structures established under the </w:t>
      </w:r>
      <w:r w:rsidR="00D1014A" w:rsidRPr="00D1014A">
        <w:t>IPEF Supply Chain Agreement</w:t>
      </w:r>
      <w:r w:rsidR="00642EF9">
        <w:t>.</w:t>
      </w:r>
    </w:p>
    <w:p w14:paraId="4DE77F96" w14:textId="43E77900" w:rsidR="00637F84" w:rsidRDefault="00D3554E" w:rsidP="00EB6146">
      <w:r>
        <w:t xml:space="preserve">In addition to receiving written submissions DFAT conducted stakeholder consultations after each negotiation round. This was an opportunity for DFAT to update stakeholders on negotiations, hear the key concerns and recommendations from stakeholders and answer any questions stakeholders had. </w:t>
      </w:r>
      <w:r w:rsidRPr="007614A3">
        <w:t>The following list of stakeholders were invited to these briefings,</w:t>
      </w:r>
      <w:r w:rsidR="008F1DE8">
        <w:t xml:space="preserve"> not</w:t>
      </w:r>
      <w:r w:rsidRPr="007614A3">
        <w:t>ing that participation varied</w:t>
      </w:r>
      <w:r w:rsidR="008F1DE8">
        <w:t xml:space="preserve"> from </w:t>
      </w:r>
      <w:r w:rsidR="00885944">
        <w:t xml:space="preserve">one </w:t>
      </w:r>
      <w:r w:rsidR="008F1DE8">
        <w:t xml:space="preserve">briefing to </w:t>
      </w:r>
      <w:r w:rsidR="00885944">
        <w:t>another</w:t>
      </w:r>
      <w:r w:rsidRPr="007614A3">
        <w:t>, and stakeholders changed throughout the process</w:t>
      </w:r>
      <w:r>
        <w:t>.</w:t>
      </w:r>
    </w:p>
    <w:p w14:paraId="64B67A66" w14:textId="16BF70D1" w:rsidR="00D3554E" w:rsidRDefault="00D3554E" w:rsidP="00EB6146">
      <w:r>
        <w:t>DFAT also held in-person stakeholder consultations in Sydney (October 2022) and Melbourne (October 2022) and Brisbane (November 2022) and virtually in other states and territories, and ad-hoc briefings to stakeholders on request to discuss any areas of interest or concern.</w:t>
      </w:r>
    </w:p>
    <w:p w14:paraId="2B8D0028" w14:textId="77777777" w:rsidR="00637F84" w:rsidRDefault="00D3554E" w:rsidP="00637F84">
      <w:r>
        <w:t xml:space="preserve">During the Australia-hosted IPEF Brisbane negotiating round in (December 2022), Australia launched the first in-person stakeholder session, inviting stakeholders </w:t>
      </w:r>
      <w:proofErr w:type="gramStart"/>
      <w:r>
        <w:t>from business, academia and civil society,</w:t>
      </w:r>
      <w:proofErr w:type="gramEnd"/>
      <w:r>
        <w:t xml:space="preserve"> to present views directly to IPEF negotiators. This model has since been replicated at each subsequent round of negotiations by the IPEF country host.</w:t>
      </w:r>
      <w:r w:rsidR="00637F84" w:rsidRPr="00637F84">
        <w:t xml:space="preserve"> </w:t>
      </w:r>
    </w:p>
    <w:p w14:paraId="1AF9B533" w14:textId="28359B21" w:rsidR="00637F84" w:rsidRPr="00637F84" w:rsidRDefault="00637F84" w:rsidP="00637F84">
      <w:r>
        <w:t>A list of stakeholders can be found under Appendix A.</w:t>
      </w:r>
    </w:p>
    <w:p w14:paraId="47828334" w14:textId="78A922E4" w:rsidR="00E31116" w:rsidRDefault="00E31116" w:rsidP="00D3554E"/>
    <w:p w14:paraId="7BEC4423" w14:textId="7253577E" w:rsidR="00D3554E" w:rsidRPr="00823011" w:rsidRDefault="00823011" w:rsidP="00D3554E">
      <w:r>
        <w:br w:type="page"/>
      </w:r>
      <w:r w:rsidR="00D3554E">
        <w:rPr>
          <w:b/>
          <w:bCs/>
        </w:rPr>
        <w:lastRenderedPageBreak/>
        <w:t xml:space="preserve">Question 6 - </w:t>
      </w:r>
      <w:r w:rsidR="00D3554E" w:rsidRPr="00011308">
        <w:rPr>
          <w:b/>
          <w:bCs/>
        </w:rPr>
        <w:t xml:space="preserve">What is the best option from those you have considered and how will it be implemented? </w:t>
      </w:r>
    </w:p>
    <w:p w14:paraId="2F73E0C5" w14:textId="2C5C47AB" w:rsidR="00273F2E" w:rsidRDefault="00D3554E" w:rsidP="00AB6BB9">
      <w:pPr>
        <w:rPr>
          <w:rFonts w:eastAsia="Times New Roman"/>
        </w:rPr>
      </w:pPr>
      <w:r w:rsidRPr="00EB6146">
        <w:rPr>
          <w:rFonts w:eastAsia="Times New Roman"/>
        </w:rPr>
        <w:t xml:space="preserve">DFAT recommends </w:t>
      </w:r>
      <w:r w:rsidRPr="00EB6146">
        <w:rPr>
          <w:rFonts w:eastAsia="Times New Roman"/>
          <w:i/>
          <w:iCs/>
        </w:rPr>
        <w:t xml:space="preserve">Option </w:t>
      </w:r>
      <w:r w:rsidR="00134813">
        <w:rPr>
          <w:rFonts w:eastAsia="Times New Roman"/>
          <w:i/>
          <w:iCs/>
        </w:rPr>
        <w:t>2</w:t>
      </w:r>
      <w:r w:rsidRPr="00EB6146">
        <w:rPr>
          <w:rFonts w:eastAsia="Times New Roman"/>
          <w:i/>
          <w:iCs/>
        </w:rPr>
        <w:t xml:space="preserve"> – Australia signs the IPEF Supply Chain Agreement</w:t>
      </w:r>
      <w:r w:rsidR="00AB6BB9">
        <w:rPr>
          <w:rFonts w:eastAsia="Times New Roman"/>
        </w:rPr>
        <w:t xml:space="preserve"> because </w:t>
      </w:r>
      <w:r w:rsidR="00C90D01">
        <w:rPr>
          <w:rFonts w:eastAsia="Times New Roman"/>
        </w:rPr>
        <w:t xml:space="preserve">this option provides the greater </w:t>
      </w:r>
      <w:r w:rsidR="00C1714B">
        <w:rPr>
          <w:rFonts w:eastAsia="Times New Roman"/>
        </w:rPr>
        <w:t>net benefit</w:t>
      </w:r>
      <w:r w:rsidR="004A5AC2">
        <w:rPr>
          <w:rFonts w:eastAsia="Times New Roman"/>
        </w:rPr>
        <w:t xml:space="preserve">, along with the greater achievement of </w:t>
      </w:r>
      <w:r w:rsidR="00DF12CE">
        <w:rPr>
          <w:rFonts w:eastAsia="Times New Roman"/>
        </w:rPr>
        <w:t xml:space="preserve">the objectives </w:t>
      </w:r>
      <w:r w:rsidR="00C95D00">
        <w:rPr>
          <w:rFonts w:eastAsia="Times New Roman"/>
        </w:rPr>
        <w:t>when compared with Option 1.</w:t>
      </w:r>
    </w:p>
    <w:p w14:paraId="73ED3D96" w14:textId="2F5528B7" w:rsidR="00D3554E" w:rsidRPr="00EB6146" w:rsidRDefault="00273F2E" w:rsidP="00AB6BB9">
      <w:pPr>
        <w:rPr>
          <w:rFonts w:eastAsia="Times New Roman"/>
        </w:rPr>
      </w:pPr>
      <w:r>
        <w:rPr>
          <w:rFonts w:eastAsia="Times New Roman"/>
        </w:rPr>
        <w:t>T</w:t>
      </w:r>
      <w:r w:rsidR="00A34E90">
        <w:rPr>
          <w:rFonts w:eastAsia="Times New Roman"/>
        </w:rPr>
        <w:t xml:space="preserve">he IPEF Supply Chain Agreement broadly adopts </w:t>
      </w:r>
      <w:r w:rsidR="0084792A">
        <w:rPr>
          <w:rFonts w:eastAsia="Times New Roman"/>
        </w:rPr>
        <w:t>a</w:t>
      </w:r>
      <w:r w:rsidR="00A34E90">
        <w:rPr>
          <w:rFonts w:eastAsia="Times New Roman"/>
        </w:rPr>
        <w:t xml:space="preserve"> balanced approach of centring supply chain resilience on </w:t>
      </w:r>
      <w:r w:rsidR="00A34E90" w:rsidRPr="169CB04D">
        <w:rPr>
          <w:rFonts w:eastAsia="Times New Roman"/>
        </w:rPr>
        <w:t>market principles and open, rules-based trade</w:t>
      </w:r>
      <w:r w:rsidR="00A34E90">
        <w:rPr>
          <w:rFonts w:eastAsia="Times New Roman"/>
        </w:rPr>
        <w:t xml:space="preserve">, but supplements this with a carefully risk-triaged role for </w:t>
      </w:r>
      <w:r w:rsidR="00A5599F">
        <w:rPr>
          <w:rFonts w:eastAsia="Times New Roman"/>
        </w:rPr>
        <w:t>governments</w:t>
      </w:r>
      <w:r w:rsidR="00A34E90">
        <w:rPr>
          <w:rFonts w:eastAsia="Times New Roman"/>
        </w:rPr>
        <w:t xml:space="preserve"> </w:t>
      </w:r>
      <w:r w:rsidR="0084792A">
        <w:rPr>
          <w:rFonts w:eastAsia="Times New Roman"/>
        </w:rPr>
        <w:t>to</w:t>
      </w:r>
      <w:r w:rsidR="00A34E90">
        <w:rPr>
          <w:rFonts w:eastAsia="Times New Roman"/>
        </w:rPr>
        <w:t xml:space="preserve"> identify and act on common supply chain vulnerabilities. </w:t>
      </w:r>
      <w:r w:rsidR="00D3554E" w:rsidRPr="00EB6146">
        <w:rPr>
          <w:rFonts w:eastAsia="Times New Roman"/>
        </w:rPr>
        <w:t xml:space="preserve">Beyond economic disruption, supply chains are increasingly a vehicle for geopolitical influence. The IPEF Supply </w:t>
      </w:r>
      <w:r w:rsidR="0075616D">
        <w:rPr>
          <w:rFonts w:eastAsia="Times New Roman"/>
        </w:rPr>
        <w:t xml:space="preserve">Chain </w:t>
      </w:r>
      <w:r w:rsidR="00D3554E" w:rsidRPr="00EB6146">
        <w:rPr>
          <w:rFonts w:eastAsia="Times New Roman"/>
        </w:rPr>
        <w:t xml:space="preserve">Agreement and the economic architecture it establishes seeks to position the Indo-Pacific region for the challenges and opportunities of global supply chain restructuring, while maximally preserving the benefits of open markets that have underpinned decades of economic growth in the region. Importantly for Australia, and for much of the IPEF membership, it provides an anchor for long-term US engagement in the region’s supply chain resilience. For these reasons, it is recommended that Australia signs </w:t>
      </w:r>
      <w:r w:rsidR="00D1014A">
        <w:rPr>
          <w:rFonts w:eastAsia="Times New Roman"/>
        </w:rPr>
        <w:t>the</w:t>
      </w:r>
      <w:r w:rsidR="00D1014A" w:rsidRPr="00EB6146">
        <w:rPr>
          <w:rFonts w:eastAsia="Times New Roman"/>
        </w:rPr>
        <w:t xml:space="preserve"> </w:t>
      </w:r>
      <w:r w:rsidR="00D1014A" w:rsidRPr="00D1014A">
        <w:rPr>
          <w:rFonts w:eastAsia="Times New Roman"/>
        </w:rPr>
        <w:t>IPEF Supply Chain Agreement</w:t>
      </w:r>
      <w:r w:rsidR="00D3554E" w:rsidRPr="00EB6146">
        <w:rPr>
          <w:rFonts w:eastAsia="Times New Roman"/>
        </w:rPr>
        <w:t>.</w:t>
      </w:r>
    </w:p>
    <w:p w14:paraId="6A4F2B94" w14:textId="77777777" w:rsidR="00D3554E" w:rsidRPr="00EB6146" w:rsidRDefault="00D3554E" w:rsidP="00EB6146">
      <w:pPr>
        <w:jc w:val="both"/>
        <w:rPr>
          <w:rFonts w:eastAsia="Times New Roman"/>
        </w:rPr>
      </w:pPr>
      <w:r w:rsidRPr="00EB6146">
        <w:rPr>
          <w:rFonts w:eastAsia="Times New Roman"/>
        </w:rPr>
        <w:t>A comparison of the two options set out in this Impact Analysis against the objectives is outlined below.</w:t>
      </w:r>
    </w:p>
    <w:p w14:paraId="7A47CD44" w14:textId="77777777" w:rsidR="00D3554E" w:rsidRPr="00BF33E7" w:rsidRDefault="00D3554E" w:rsidP="00D3554E">
      <w:pPr>
        <w:pStyle w:val="ListParagraph"/>
        <w:rPr>
          <w:rFonts w:eastAsia="Times New Roman"/>
        </w:rPr>
      </w:pPr>
    </w:p>
    <w:tbl>
      <w:tblPr>
        <w:tblStyle w:val="TableGrid"/>
        <w:tblW w:w="0" w:type="auto"/>
        <w:tblLook w:val="04A0" w:firstRow="1" w:lastRow="0" w:firstColumn="1" w:lastColumn="0" w:noHBand="0" w:noVBand="1"/>
      </w:tblPr>
      <w:tblGrid>
        <w:gridCol w:w="3005"/>
        <w:gridCol w:w="3005"/>
        <w:gridCol w:w="3005"/>
      </w:tblGrid>
      <w:tr w:rsidR="000807DD" w14:paraId="2A7A9E6D" w14:textId="77777777" w:rsidTr="00431CC6">
        <w:tc>
          <w:tcPr>
            <w:tcW w:w="3005" w:type="dxa"/>
            <w:shd w:val="clear" w:color="auto" w:fill="D9D9D9" w:themeFill="background1" w:themeFillShade="D9"/>
          </w:tcPr>
          <w:p w14:paraId="2F9A9740" w14:textId="77777777" w:rsidR="000807DD" w:rsidRPr="00B5496D" w:rsidRDefault="000807DD">
            <w:pPr>
              <w:jc w:val="both"/>
              <w:rPr>
                <w:rFonts w:eastAsia="Times New Roman"/>
                <w:b/>
                <w:bCs/>
              </w:rPr>
            </w:pPr>
            <w:r w:rsidRPr="00B5496D">
              <w:rPr>
                <w:rFonts w:eastAsia="Times New Roman"/>
                <w:b/>
                <w:bCs/>
              </w:rPr>
              <w:t>Objectives</w:t>
            </w:r>
          </w:p>
        </w:tc>
        <w:tc>
          <w:tcPr>
            <w:tcW w:w="3005" w:type="dxa"/>
            <w:shd w:val="clear" w:color="auto" w:fill="D9D9D9" w:themeFill="background1" w:themeFillShade="D9"/>
          </w:tcPr>
          <w:p w14:paraId="271DB157" w14:textId="5500A7C0" w:rsidR="000807DD" w:rsidRPr="00B5496D" w:rsidRDefault="00EE7C2D">
            <w:pPr>
              <w:jc w:val="both"/>
              <w:rPr>
                <w:rFonts w:eastAsia="Times New Roman"/>
                <w:b/>
                <w:bCs/>
              </w:rPr>
            </w:pPr>
            <w:r w:rsidRPr="00B5496D">
              <w:rPr>
                <w:rFonts w:eastAsia="Times New Roman"/>
                <w:b/>
                <w:bCs/>
              </w:rPr>
              <w:t xml:space="preserve">Option </w:t>
            </w:r>
            <w:r>
              <w:rPr>
                <w:rFonts w:eastAsia="Times New Roman"/>
                <w:b/>
                <w:bCs/>
              </w:rPr>
              <w:t>1</w:t>
            </w:r>
            <w:r w:rsidRPr="00B5496D">
              <w:rPr>
                <w:rFonts w:eastAsia="Times New Roman"/>
                <w:b/>
                <w:bCs/>
              </w:rPr>
              <w:t xml:space="preserve"> – Australia does not sign the IPEF Supply Chain Agreement</w:t>
            </w:r>
          </w:p>
        </w:tc>
        <w:tc>
          <w:tcPr>
            <w:tcW w:w="3005" w:type="dxa"/>
            <w:shd w:val="clear" w:color="auto" w:fill="D9D9D9" w:themeFill="background1" w:themeFillShade="D9"/>
          </w:tcPr>
          <w:p w14:paraId="58A93B4E" w14:textId="076ACBEB" w:rsidR="000807DD" w:rsidRPr="00B5496D" w:rsidRDefault="000807DD">
            <w:pPr>
              <w:jc w:val="both"/>
              <w:rPr>
                <w:rFonts w:eastAsia="Times New Roman"/>
                <w:b/>
                <w:bCs/>
              </w:rPr>
            </w:pPr>
            <w:r w:rsidRPr="00B5496D">
              <w:rPr>
                <w:rFonts w:eastAsia="Times New Roman"/>
                <w:b/>
                <w:bCs/>
              </w:rPr>
              <w:t xml:space="preserve">Option </w:t>
            </w:r>
            <w:r>
              <w:rPr>
                <w:rFonts w:eastAsia="Times New Roman"/>
                <w:b/>
                <w:bCs/>
              </w:rPr>
              <w:t>2</w:t>
            </w:r>
            <w:r w:rsidRPr="00B5496D">
              <w:rPr>
                <w:rFonts w:eastAsia="Times New Roman"/>
                <w:b/>
                <w:bCs/>
              </w:rPr>
              <w:t xml:space="preserve"> – Australia signs the IPEF Supply Chain Agreement</w:t>
            </w:r>
          </w:p>
        </w:tc>
      </w:tr>
      <w:tr w:rsidR="000807DD" w14:paraId="0A1720D2" w14:textId="77777777" w:rsidTr="00EE7C2D">
        <w:tc>
          <w:tcPr>
            <w:tcW w:w="3005" w:type="dxa"/>
          </w:tcPr>
          <w:p w14:paraId="71B80CE2" w14:textId="72E1CA23" w:rsidR="000807DD" w:rsidRDefault="00A13032">
            <w:pPr>
              <w:jc w:val="both"/>
              <w:rPr>
                <w:rFonts w:eastAsia="Times New Roman"/>
              </w:rPr>
            </w:pPr>
            <w:r>
              <w:rPr>
                <w:rFonts w:eastAsia="Times New Roman"/>
              </w:rPr>
              <w:t>A</w:t>
            </w:r>
            <w:r w:rsidR="000807DD" w:rsidRPr="006B13B8">
              <w:rPr>
                <w:rFonts w:eastAsia="Times New Roman"/>
              </w:rPr>
              <w:t>ccelerate the diversification of critical supply chains</w:t>
            </w:r>
          </w:p>
        </w:tc>
        <w:tc>
          <w:tcPr>
            <w:tcW w:w="3005" w:type="dxa"/>
            <w:shd w:val="clear" w:color="auto" w:fill="F7CAAC" w:themeFill="accent2" w:themeFillTint="66"/>
          </w:tcPr>
          <w:p w14:paraId="66BC71AE" w14:textId="7EC6D1F1" w:rsidR="000807DD" w:rsidRDefault="00EE7C2D">
            <w:pPr>
              <w:jc w:val="both"/>
              <w:rPr>
                <w:rFonts w:eastAsia="Times New Roman"/>
              </w:rPr>
            </w:pPr>
            <w:r>
              <w:rPr>
                <w:rFonts w:eastAsia="Times New Roman"/>
              </w:rPr>
              <w:t>Somewhat achieved over the medium to long term</w:t>
            </w:r>
          </w:p>
        </w:tc>
        <w:tc>
          <w:tcPr>
            <w:tcW w:w="3005" w:type="dxa"/>
            <w:shd w:val="clear" w:color="auto" w:fill="E2EFD9" w:themeFill="accent6" w:themeFillTint="33"/>
          </w:tcPr>
          <w:p w14:paraId="3CD33715" w14:textId="77777777" w:rsidR="000807DD" w:rsidRDefault="000807DD">
            <w:pPr>
              <w:jc w:val="both"/>
              <w:rPr>
                <w:rFonts w:eastAsia="Times New Roman"/>
              </w:rPr>
            </w:pPr>
            <w:r>
              <w:rPr>
                <w:rFonts w:eastAsia="Times New Roman"/>
              </w:rPr>
              <w:t>Achieved over the medium to long term</w:t>
            </w:r>
          </w:p>
        </w:tc>
      </w:tr>
      <w:tr w:rsidR="000807DD" w14:paraId="01DCD33A" w14:textId="77777777" w:rsidTr="00EE7C2D">
        <w:tc>
          <w:tcPr>
            <w:tcW w:w="3005" w:type="dxa"/>
          </w:tcPr>
          <w:p w14:paraId="3452D668" w14:textId="40F28E9B" w:rsidR="000807DD" w:rsidRDefault="00A13032">
            <w:pPr>
              <w:jc w:val="both"/>
              <w:rPr>
                <w:rFonts w:eastAsia="Times New Roman"/>
              </w:rPr>
            </w:pPr>
            <w:r>
              <w:rPr>
                <w:rFonts w:eastAsia="Times New Roman"/>
              </w:rPr>
              <w:t>S</w:t>
            </w:r>
            <w:r w:rsidR="00871E08" w:rsidRPr="00871E08">
              <w:rPr>
                <w:rFonts w:eastAsia="Times New Roman"/>
              </w:rPr>
              <w:t>eek commercial opportunities for Australian industries</w:t>
            </w:r>
          </w:p>
        </w:tc>
        <w:tc>
          <w:tcPr>
            <w:tcW w:w="3005" w:type="dxa"/>
            <w:shd w:val="clear" w:color="auto" w:fill="F7CAAC" w:themeFill="accent2" w:themeFillTint="66"/>
          </w:tcPr>
          <w:p w14:paraId="47A0F8E5" w14:textId="7AA9CC98" w:rsidR="000807DD" w:rsidRDefault="00EE7C2D">
            <w:pPr>
              <w:jc w:val="both"/>
              <w:rPr>
                <w:rFonts w:eastAsia="Times New Roman"/>
              </w:rPr>
            </w:pPr>
            <w:r>
              <w:rPr>
                <w:rFonts w:eastAsia="Times New Roman"/>
              </w:rPr>
              <w:t>Somewhat achieved over the medium to long term</w:t>
            </w:r>
          </w:p>
        </w:tc>
        <w:tc>
          <w:tcPr>
            <w:tcW w:w="3005" w:type="dxa"/>
            <w:shd w:val="clear" w:color="auto" w:fill="A8D08D" w:themeFill="accent6" w:themeFillTint="99"/>
          </w:tcPr>
          <w:p w14:paraId="68F81D82" w14:textId="77777777" w:rsidR="000807DD" w:rsidRDefault="000807DD">
            <w:pPr>
              <w:jc w:val="both"/>
              <w:rPr>
                <w:rFonts w:eastAsia="Times New Roman"/>
              </w:rPr>
            </w:pPr>
            <w:r>
              <w:rPr>
                <w:rFonts w:eastAsia="Times New Roman"/>
              </w:rPr>
              <w:t>Achieved over the short term</w:t>
            </w:r>
          </w:p>
        </w:tc>
      </w:tr>
      <w:tr w:rsidR="000807DD" w14:paraId="1DC0C3DD" w14:textId="77777777" w:rsidTr="00EE7C2D">
        <w:tc>
          <w:tcPr>
            <w:tcW w:w="3005" w:type="dxa"/>
          </w:tcPr>
          <w:p w14:paraId="0F9FFC1D" w14:textId="532B7F78" w:rsidR="000807DD" w:rsidRDefault="00A13032">
            <w:pPr>
              <w:rPr>
                <w:rFonts w:eastAsia="Times New Roman"/>
              </w:rPr>
            </w:pPr>
            <w:r>
              <w:rPr>
                <w:rFonts w:eastAsia="Times New Roman"/>
              </w:rPr>
              <w:t>P</w:t>
            </w:r>
            <w:r w:rsidR="003E1553" w:rsidRPr="003E1553">
              <w:rPr>
                <w:rFonts w:eastAsia="Times New Roman"/>
              </w:rPr>
              <w:t>romote evidence-based supply chain resilience approaches by our international partners so to limit government intervention to where it is genuinely needed</w:t>
            </w:r>
          </w:p>
        </w:tc>
        <w:tc>
          <w:tcPr>
            <w:tcW w:w="3005" w:type="dxa"/>
            <w:shd w:val="clear" w:color="auto" w:fill="FF0000"/>
          </w:tcPr>
          <w:p w14:paraId="7D8ED551" w14:textId="3EB9DF0D" w:rsidR="000807DD" w:rsidRDefault="000807DD">
            <w:pPr>
              <w:jc w:val="both"/>
              <w:rPr>
                <w:rFonts w:eastAsia="Times New Roman"/>
              </w:rPr>
            </w:pPr>
            <w:r>
              <w:rPr>
                <w:rFonts w:eastAsia="Times New Roman"/>
              </w:rPr>
              <w:t>Not achieved</w:t>
            </w:r>
          </w:p>
        </w:tc>
        <w:tc>
          <w:tcPr>
            <w:tcW w:w="3005" w:type="dxa"/>
            <w:shd w:val="clear" w:color="auto" w:fill="A8D08D" w:themeFill="accent6" w:themeFillTint="99"/>
          </w:tcPr>
          <w:p w14:paraId="0797A62E" w14:textId="77777777" w:rsidR="000807DD" w:rsidRDefault="000807DD">
            <w:pPr>
              <w:jc w:val="both"/>
              <w:rPr>
                <w:rFonts w:eastAsia="Times New Roman"/>
              </w:rPr>
            </w:pPr>
            <w:r>
              <w:rPr>
                <w:rFonts w:eastAsia="Times New Roman"/>
              </w:rPr>
              <w:t>Achieved over the short term</w:t>
            </w:r>
          </w:p>
        </w:tc>
      </w:tr>
      <w:tr w:rsidR="000807DD" w14:paraId="23A66A29" w14:textId="77777777" w:rsidTr="00EE7C2D">
        <w:tc>
          <w:tcPr>
            <w:tcW w:w="3005" w:type="dxa"/>
          </w:tcPr>
          <w:p w14:paraId="0726BE6B" w14:textId="5F33EAAA" w:rsidR="000807DD" w:rsidRDefault="00496BED">
            <w:pPr>
              <w:jc w:val="both"/>
              <w:rPr>
                <w:rFonts w:eastAsia="Times New Roman"/>
              </w:rPr>
            </w:pPr>
            <w:r>
              <w:rPr>
                <w:rFonts w:eastAsia="Times New Roman"/>
              </w:rPr>
              <w:t>M</w:t>
            </w:r>
            <w:r w:rsidR="00850C4B" w:rsidRPr="00850C4B">
              <w:rPr>
                <w:rFonts w:eastAsia="Times New Roman"/>
              </w:rPr>
              <w:t>ake regional responses to supply chain disruptions more systematic and coordinated</w:t>
            </w:r>
          </w:p>
        </w:tc>
        <w:tc>
          <w:tcPr>
            <w:tcW w:w="3005" w:type="dxa"/>
            <w:shd w:val="clear" w:color="auto" w:fill="FF0000"/>
          </w:tcPr>
          <w:p w14:paraId="4A2755A4" w14:textId="07408482" w:rsidR="000807DD" w:rsidRDefault="000807DD">
            <w:pPr>
              <w:jc w:val="both"/>
              <w:rPr>
                <w:rFonts w:eastAsia="Times New Roman"/>
              </w:rPr>
            </w:pPr>
            <w:r>
              <w:rPr>
                <w:rFonts w:eastAsia="Times New Roman"/>
              </w:rPr>
              <w:t>Not achieved</w:t>
            </w:r>
          </w:p>
        </w:tc>
        <w:tc>
          <w:tcPr>
            <w:tcW w:w="3005" w:type="dxa"/>
            <w:shd w:val="clear" w:color="auto" w:fill="A8D08D" w:themeFill="accent6" w:themeFillTint="99"/>
          </w:tcPr>
          <w:p w14:paraId="7463CD22" w14:textId="77777777" w:rsidR="000807DD" w:rsidRDefault="000807DD">
            <w:pPr>
              <w:jc w:val="both"/>
              <w:rPr>
                <w:rFonts w:eastAsia="Times New Roman"/>
              </w:rPr>
            </w:pPr>
            <w:r>
              <w:rPr>
                <w:rFonts w:eastAsia="Times New Roman"/>
              </w:rPr>
              <w:t>Achieved over the short term</w:t>
            </w:r>
          </w:p>
        </w:tc>
      </w:tr>
    </w:tbl>
    <w:p w14:paraId="66366072" w14:textId="77777777" w:rsidR="00D3554E" w:rsidRPr="00BF33E7" w:rsidRDefault="00D3554E" w:rsidP="00D3554E">
      <w:pPr>
        <w:jc w:val="both"/>
        <w:rPr>
          <w:rFonts w:eastAsia="Times New Roman"/>
        </w:rPr>
      </w:pPr>
    </w:p>
    <w:p w14:paraId="6D8E7070" w14:textId="2CBB110D" w:rsidR="00D3554E" w:rsidRPr="00EB6146" w:rsidRDefault="00D3554E" w:rsidP="00EB6146">
      <w:pPr>
        <w:rPr>
          <w:rFonts w:eastAsia="Times New Roman"/>
        </w:rPr>
      </w:pPr>
      <w:r>
        <w:t xml:space="preserve">In line with Australia’s treaty making processes, once signed, the text of the IPEF Supply Chain Agreement will be tabled in Parliament. The Joint Standing Committee on Treaties (JSCOT) will then conduct an inquiry into the </w:t>
      </w:r>
      <w:r w:rsidR="00345E9C" w:rsidRPr="00345E9C">
        <w:t>IPEF Supply Chain Agreement</w:t>
      </w:r>
      <w:r w:rsidR="00C35CD5">
        <w:t xml:space="preserve"> </w:t>
      </w:r>
      <w:r>
        <w:t xml:space="preserve">and report back to the Parliament. </w:t>
      </w:r>
    </w:p>
    <w:p w14:paraId="60004B7E" w14:textId="400A87AC" w:rsidR="00D3554E" w:rsidRPr="00EB6146" w:rsidRDefault="00D3554E" w:rsidP="00EB6146">
      <w:pPr>
        <w:rPr>
          <w:rFonts w:eastAsia="Times New Roman"/>
        </w:rPr>
      </w:pPr>
      <w:r>
        <w:t xml:space="preserve">Following the signatures from the parties and the ratification of five parties, entry into force of the </w:t>
      </w:r>
      <w:r w:rsidR="00345E9C" w:rsidRPr="00345E9C">
        <w:t>IPEF Supply Chain Agreement</w:t>
      </w:r>
      <w:r w:rsidR="004E4955">
        <w:t xml:space="preserve"> </w:t>
      </w:r>
      <w:r>
        <w:t xml:space="preserve">will be triggered. </w:t>
      </w:r>
      <w:r w:rsidR="00A66957">
        <w:t xml:space="preserve">Should Australia sign the </w:t>
      </w:r>
      <w:r w:rsidR="00345E9C" w:rsidRPr="00345E9C">
        <w:t>IPEF Supply Chain Agreement</w:t>
      </w:r>
      <w:r w:rsidR="00A66957">
        <w:t xml:space="preserve">, </w:t>
      </w:r>
      <w:r w:rsidR="009846B2">
        <w:t xml:space="preserve">Australia will have the opportunity to participate in some of the </w:t>
      </w:r>
      <w:r w:rsidR="006202D8">
        <w:t xml:space="preserve">IPEF Supply Chain </w:t>
      </w:r>
      <w:r w:rsidR="006202D8">
        <w:lastRenderedPageBreak/>
        <w:t>Agreement discussions</w:t>
      </w:r>
      <w:r w:rsidR="009F38FD">
        <w:t xml:space="preserve"> </w:t>
      </w:r>
      <w:r>
        <w:t xml:space="preserve">– regardless </w:t>
      </w:r>
      <w:r w:rsidR="5D2B4E20">
        <w:t xml:space="preserve">of </w:t>
      </w:r>
      <w:r>
        <w:t>whether our ratification processes have been completed</w:t>
      </w:r>
      <w:r w:rsidR="008E61C5">
        <w:t>. T</w:t>
      </w:r>
      <w:r w:rsidR="00062600">
        <w:t xml:space="preserve">his will </w:t>
      </w:r>
      <w:r w:rsidR="004055CD">
        <w:t xml:space="preserve">present some </w:t>
      </w:r>
      <w:r w:rsidR="009F38FD">
        <w:t>administrative costs for Australia</w:t>
      </w:r>
      <w:r>
        <w:t>.</w:t>
      </w:r>
    </w:p>
    <w:p w14:paraId="0156A746" w14:textId="2AB36A87" w:rsidR="00D3554E" w:rsidRPr="00EB6146" w:rsidRDefault="00D3554E" w:rsidP="00EB6146">
      <w:pPr>
        <w:rPr>
          <w:rFonts w:eastAsia="Times New Roman"/>
        </w:rPr>
      </w:pPr>
      <w:r>
        <w:t xml:space="preserve">The </w:t>
      </w:r>
      <w:r w:rsidR="00345E9C" w:rsidRPr="00345E9C">
        <w:t>IPEF Supply Chain Agreement</w:t>
      </w:r>
      <w:r w:rsidR="004E4955">
        <w:t xml:space="preserve"> </w:t>
      </w:r>
      <w:r>
        <w:t xml:space="preserve">establishes </w:t>
      </w:r>
      <w:proofErr w:type="gramStart"/>
      <w:r>
        <w:t>a number of</w:t>
      </w:r>
      <w:proofErr w:type="gramEnd"/>
      <w:r>
        <w:t xml:space="preserve"> committees to conduct the work set out in the </w:t>
      </w:r>
      <w:r w:rsidR="00345E9C" w:rsidRPr="00345E9C">
        <w:t>IPEF Supply Chain Agreement</w:t>
      </w:r>
      <w:r>
        <w:t>. Australia will be required to nominate senior government officials to be Australia’s representatives in these committees.</w:t>
      </w:r>
    </w:p>
    <w:p w14:paraId="745BC653" w14:textId="77777777" w:rsidR="00D3554E" w:rsidRPr="00332652" w:rsidRDefault="00D3554E" w:rsidP="00D3554E">
      <w:pPr>
        <w:pStyle w:val="ListParagraph"/>
        <w:ind w:left="1440"/>
        <w:rPr>
          <w:rFonts w:eastAsia="Times New Roman"/>
        </w:rPr>
      </w:pPr>
    </w:p>
    <w:tbl>
      <w:tblPr>
        <w:tblStyle w:val="TableGrid"/>
        <w:tblW w:w="0" w:type="auto"/>
        <w:tblLook w:val="04A0" w:firstRow="1" w:lastRow="0" w:firstColumn="1" w:lastColumn="0" w:noHBand="0" w:noVBand="1"/>
      </w:tblPr>
      <w:tblGrid>
        <w:gridCol w:w="7576"/>
      </w:tblGrid>
      <w:tr w:rsidR="00D3554E" w14:paraId="0E2F6910" w14:textId="77777777" w:rsidTr="00823011">
        <w:tc>
          <w:tcPr>
            <w:tcW w:w="7576" w:type="dxa"/>
            <w:shd w:val="clear" w:color="auto" w:fill="DBDBDB" w:themeFill="accent3" w:themeFillTint="66"/>
          </w:tcPr>
          <w:p w14:paraId="7FD44A32" w14:textId="77777777" w:rsidR="00D3554E" w:rsidRPr="006B7852" w:rsidRDefault="00D3554E">
            <w:pPr>
              <w:rPr>
                <w:rFonts w:eastAsia="Times New Roman"/>
                <w:b/>
                <w:bCs/>
              </w:rPr>
            </w:pPr>
            <w:r w:rsidRPr="006B7852">
              <w:rPr>
                <w:rFonts w:eastAsia="Times New Roman"/>
                <w:b/>
                <w:bCs/>
              </w:rPr>
              <w:t>Committees established in the IPEF Supply Chain Agreement</w:t>
            </w:r>
          </w:p>
        </w:tc>
      </w:tr>
      <w:tr w:rsidR="00D3554E" w14:paraId="273977DE" w14:textId="77777777" w:rsidTr="00EB6146">
        <w:tc>
          <w:tcPr>
            <w:tcW w:w="7576" w:type="dxa"/>
          </w:tcPr>
          <w:p w14:paraId="4BDE38E5" w14:textId="77777777" w:rsidR="00D3554E" w:rsidRPr="00332652" w:rsidRDefault="00D3554E">
            <w:pPr>
              <w:rPr>
                <w:rFonts w:eastAsia="Times New Roman"/>
              </w:rPr>
            </w:pPr>
            <w:r>
              <w:rPr>
                <w:rFonts w:eastAsia="Times New Roman"/>
              </w:rPr>
              <w:t>IPEF Supply Chain Council</w:t>
            </w:r>
          </w:p>
        </w:tc>
      </w:tr>
      <w:tr w:rsidR="00D3554E" w14:paraId="53B5B472" w14:textId="77777777" w:rsidTr="00EB6146">
        <w:tc>
          <w:tcPr>
            <w:tcW w:w="7576" w:type="dxa"/>
          </w:tcPr>
          <w:p w14:paraId="62B84ED9" w14:textId="77777777" w:rsidR="00D3554E" w:rsidRPr="00332652" w:rsidRDefault="00D3554E">
            <w:pPr>
              <w:tabs>
                <w:tab w:val="left" w:pos="918"/>
              </w:tabs>
              <w:rPr>
                <w:rFonts w:eastAsia="Times New Roman"/>
              </w:rPr>
            </w:pPr>
            <w:r>
              <w:rPr>
                <w:rFonts w:eastAsia="Times New Roman"/>
              </w:rPr>
              <w:t>IPEF Supply Chain Crisis Response Network</w:t>
            </w:r>
          </w:p>
        </w:tc>
      </w:tr>
      <w:tr w:rsidR="00D3554E" w14:paraId="13632640" w14:textId="77777777" w:rsidTr="00EB6146">
        <w:tc>
          <w:tcPr>
            <w:tcW w:w="7576" w:type="dxa"/>
          </w:tcPr>
          <w:p w14:paraId="7CD85C8A" w14:textId="77777777" w:rsidR="00D3554E" w:rsidRPr="00332652" w:rsidRDefault="00D3554E">
            <w:pPr>
              <w:rPr>
                <w:rFonts w:eastAsia="Times New Roman"/>
              </w:rPr>
            </w:pPr>
            <w:r>
              <w:rPr>
                <w:rFonts w:eastAsia="Times New Roman"/>
              </w:rPr>
              <w:t xml:space="preserve">IPEF </w:t>
            </w:r>
            <w:proofErr w:type="spellStart"/>
            <w:r>
              <w:rPr>
                <w:rFonts w:eastAsia="Times New Roman"/>
              </w:rPr>
              <w:t>Labor</w:t>
            </w:r>
            <w:proofErr w:type="spellEnd"/>
            <w:r>
              <w:rPr>
                <w:rFonts w:eastAsia="Times New Roman"/>
              </w:rPr>
              <w:t xml:space="preserve"> Rights Advisory Board and subcommittee</w:t>
            </w:r>
          </w:p>
        </w:tc>
      </w:tr>
    </w:tbl>
    <w:p w14:paraId="5DBF3280" w14:textId="77777777" w:rsidR="00D3554E" w:rsidRPr="00DC1B82" w:rsidRDefault="00D3554E" w:rsidP="00D3554E">
      <w:pPr>
        <w:pStyle w:val="ListParagraph"/>
        <w:ind w:left="1440"/>
        <w:rPr>
          <w:rFonts w:eastAsia="Times New Roman"/>
        </w:rPr>
      </w:pPr>
    </w:p>
    <w:p w14:paraId="0B013CC2" w14:textId="77777777" w:rsidR="00D3554E" w:rsidRPr="00734D1D" w:rsidRDefault="00D3554E" w:rsidP="001C343B">
      <w:pPr>
        <w:pStyle w:val="ListParagraph"/>
        <w:numPr>
          <w:ilvl w:val="0"/>
          <w:numId w:val="3"/>
        </w:numPr>
        <w:rPr>
          <w:rFonts w:eastAsia="Times New Roman"/>
        </w:rPr>
      </w:pPr>
      <w:r w:rsidRPr="00734D1D">
        <w:rPr>
          <w:b/>
          <w:bCs/>
        </w:rPr>
        <w:br w:type="page"/>
      </w:r>
    </w:p>
    <w:p w14:paraId="4984934D" w14:textId="77777777" w:rsidR="00D3554E" w:rsidRPr="008B115D" w:rsidRDefault="00D3554E" w:rsidP="00D3554E">
      <w:pPr>
        <w:rPr>
          <w:b/>
          <w:bCs/>
        </w:rPr>
      </w:pPr>
      <w:r>
        <w:rPr>
          <w:b/>
          <w:bCs/>
        </w:rPr>
        <w:lastRenderedPageBreak/>
        <w:t xml:space="preserve">Question 7 - </w:t>
      </w:r>
      <w:r w:rsidRPr="00270F44">
        <w:rPr>
          <w:b/>
          <w:bCs/>
        </w:rPr>
        <w:t xml:space="preserve">How will you evaluate the chosen option against the success metrics? </w:t>
      </w:r>
    </w:p>
    <w:p w14:paraId="7E13CCFB" w14:textId="39BB267E" w:rsidR="00D3554E" w:rsidRPr="00EB6146" w:rsidRDefault="00D3554E" w:rsidP="00EB6146">
      <w:pPr>
        <w:jc w:val="both"/>
        <w:rPr>
          <w:rFonts w:eastAsia="Times New Roman"/>
        </w:rPr>
      </w:pPr>
      <w:r>
        <w:t>DFAT will continue to internally review and evaluate the IPEF Supply Chain Agreement’s implementation in Australia.</w:t>
      </w:r>
      <w:r w:rsidR="0003007E">
        <w:t xml:space="preserve"> DFAT’s proposed evaluation plan is set out </w:t>
      </w:r>
      <w:r w:rsidR="00590FFD">
        <w:t>on the following pages.</w:t>
      </w:r>
    </w:p>
    <w:p w14:paraId="038DF31A" w14:textId="218C82D9" w:rsidR="006E7DEE" w:rsidRDefault="001320E9" w:rsidP="00EB6146">
      <w:pPr>
        <w:jc w:val="both"/>
        <w:rPr>
          <w:rFonts w:eastAsia="Times New Roman"/>
        </w:rPr>
      </w:pPr>
      <w:r>
        <w:rPr>
          <w:rFonts w:eastAsia="Times New Roman"/>
        </w:rPr>
        <w:t xml:space="preserve">In </w:t>
      </w:r>
      <w:r w:rsidR="00E75345">
        <w:rPr>
          <w:rFonts w:eastAsia="Times New Roman"/>
        </w:rPr>
        <w:t>addition, in</w:t>
      </w:r>
      <w:r w:rsidR="00D3554E" w:rsidRPr="00EB6146">
        <w:rPr>
          <w:rFonts w:eastAsia="Times New Roman"/>
        </w:rPr>
        <w:t xml:space="preserve"> accordance with Article 27 of the IPEF Supply Chain Agreement, every five years the Parties </w:t>
      </w:r>
      <w:r w:rsidR="00542F63">
        <w:rPr>
          <w:rFonts w:eastAsia="Times New Roman"/>
        </w:rPr>
        <w:t xml:space="preserve">to the agreement </w:t>
      </w:r>
      <w:r w:rsidR="00590FFD">
        <w:rPr>
          <w:rFonts w:eastAsia="Times New Roman"/>
        </w:rPr>
        <w:t>will conduct</w:t>
      </w:r>
      <w:r w:rsidR="00D3554E" w:rsidRPr="00EB6146">
        <w:rPr>
          <w:rFonts w:eastAsia="Times New Roman"/>
        </w:rPr>
        <w:t xml:space="preserve"> a general review with a view to updating and enhancing the </w:t>
      </w:r>
      <w:r w:rsidR="00345E9C" w:rsidRPr="00345E9C">
        <w:rPr>
          <w:rFonts w:eastAsia="Times New Roman"/>
        </w:rPr>
        <w:t>IPEF Supply Chain Agreement</w:t>
      </w:r>
      <w:r w:rsidR="00D3554E" w:rsidRPr="00EB6146">
        <w:rPr>
          <w:rFonts w:eastAsia="Times New Roman"/>
        </w:rPr>
        <w:t>.</w:t>
      </w:r>
    </w:p>
    <w:p w14:paraId="7B3BCE14" w14:textId="77777777" w:rsidR="003639B2" w:rsidRDefault="003639B2">
      <w:pPr>
        <w:rPr>
          <w:b/>
          <w:iCs/>
          <w:color w:val="000000" w:themeColor="text1"/>
          <w:szCs w:val="18"/>
          <w:lang w:val="en-AU"/>
        </w:rPr>
      </w:pPr>
      <w:r>
        <w:br w:type="page"/>
      </w:r>
    </w:p>
    <w:p w14:paraId="09A9A0CD" w14:textId="77777777" w:rsidR="00E044D3" w:rsidRDefault="00E044D3" w:rsidP="001D55D3">
      <w:pPr>
        <w:pStyle w:val="Caption"/>
        <w:sectPr w:rsidR="00E044D3" w:rsidSect="003A3955">
          <w:headerReference w:type="default" r:id="rId22"/>
          <w:pgSz w:w="11906" w:h="16838" w:code="9"/>
          <w:pgMar w:top="1440" w:right="1440" w:bottom="1440" w:left="1440" w:header="720" w:footer="720" w:gutter="0"/>
          <w:cols w:space="720"/>
          <w:docGrid w:linePitch="360"/>
        </w:sectPr>
      </w:pPr>
    </w:p>
    <w:p w14:paraId="35AEA08D" w14:textId="7B215FF8" w:rsidR="001D55D3" w:rsidRDefault="001D55D3" w:rsidP="001D55D3">
      <w:pPr>
        <w:pStyle w:val="Caption"/>
      </w:pPr>
      <w:r>
        <w:lastRenderedPageBreak/>
        <w:t xml:space="preserve">DFAT </w:t>
      </w:r>
      <w:r w:rsidR="00983962">
        <w:t>Evaluation Plan</w:t>
      </w:r>
    </w:p>
    <w:tbl>
      <w:tblPr>
        <w:tblStyle w:val="CET1"/>
        <w:tblW w:w="13948" w:type="dxa"/>
        <w:tblInd w:w="0" w:type="dxa"/>
        <w:tblBorders>
          <w:left w:val="single" w:sz="4" w:space="0" w:color="auto"/>
          <w:right w:val="single" w:sz="4" w:space="0" w:color="auto"/>
          <w:insideV w:val="single" w:sz="4" w:space="0" w:color="auto"/>
        </w:tblBorders>
        <w:tblLook w:val="04A0" w:firstRow="1" w:lastRow="0" w:firstColumn="1" w:lastColumn="0" w:noHBand="0" w:noVBand="1"/>
      </w:tblPr>
      <w:tblGrid>
        <w:gridCol w:w="2874"/>
        <w:gridCol w:w="4475"/>
        <w:gridCol w:w="2259"/>
        <w:gridCol w:w="2078"/>
        <w:gridCol w:w="2262"/>
      </w:tblGrid>
      <w:tr w:rsidR="00EA0FFA" w:rsidRPr="00AE3435" w14:paraId="2433F36C" w14:textId="2E012601" w:rsidTr="00EA0FFA">
        <w:trPr>
          <w:cnfStyle w:val="100000000000" w:firstRow="1" w:lastRow="0" w:firstColumn="0" w:lastColumn="0" w:oddVBand="0" w:evenVBand="0" w:oddHBand="0" w:evenHBand="0" w:firstRowFirstColumn="0" w:firstRowLastColumn="0" w:lastRowFirstColumn="0" w:lastRowLastColumn="0"/>
          <w:trHeight w:val="291"/>
          <w:tblHeader/>
        </w:trPr>
        <w:tc>
          <w:tcPr>
            <w:tcW w:w="2874" w:type="dxa"/>
            <w:shd w:val="clear" w:color="auto" w:fill="DBDBDB" w:themeFill="accent3" w:themeFillTint="66"/>
            <w:hideMark/>
          </w:tcPr>
          <w:p w14:paraId="07520E8D" w14:textId="77777777" w:rsidR="00EA0FFA" w:rsidRPr="00AE3435" w:rsidRDefault="00EA0FFA">
            <w:pPr>
              <w:rPr>
                <w:rFonts w:eastAsia="Times New Roman" w:cstheme="minorHAnsi"/>
                <w:b/>
                <w:bCs/>
                <w:color w:val="auto"/>
                <w:sz w:val="22"/>
              </w:rPr>
            </w:pPr>
            <w:r w:rsidRPr="00AE3435">
              <w:rPr>
                <w:rFonts w:eastAsia="Times New Roman" w:cstheme="minorHAnsi"/>
                <w:b/>
                <w:bCs/>
                <w:color w:val="auto"/>
                <w:sz w:val="22"/>
              </w:rPr>
              <w:t>Task</w:t>
            </w:r>
          </w:p>
        </w:tc>
        <w:tc>
          <w:tcPr>
            <w:tcW w:w="4475" w:type="dxa"/>
            <w:shd w:val="clear" w:color="auto" w:fill="DBDBDB" w:themeFill="accent3" w:themeFillTint="66"/>
            <w:hideMark/>
          </w:tcPr>
          <w:p w14:paraId="7204FC14" w14:textId="0C6E9E1B" w:rsidR="00EA0FFA" w:rsidRPr="00AE3435" w:rsidRDefault="00EA0FFA">
            <w:pPr>
              <w:rPr>
                <w:rFonts w:eastAsia="Times New Roman" w:cstheme="minorHAnsi"/>
                <w:b/>
                <w:bCs/>
                <w:color w:val="auto"/>
                <w:sz w:val="22"/>
              </w:rPr>
            </w:pPr>
            <w:r w:rsidRPr="00AE3435">
              <w:rPr>
                <w:rFonts w:eastAsia="Times New Roman" w:cstheme="minorHAnsi"/>
                <w:b/>
                <w:bCs/>
                <w:color w:val="auto"/>
                <w:sz w:val="22"/>
              </w:rPr>
              <w:t>Description</w:t>
            </w:r>
          </w:p>
        </w:tc>
        <w:tc>
          <w:tcPr>
            <w:tcW w:w="2259" w:type="dxa"/>
            <w:shd w:val="clear" w:color="auto" w:fill="DBDBDB" w:themeFill="accent3" w:themeFillTint="66"/>
            <w:hideMark/>
          </w:tcPr>
          <w:p w14:paraId="06F5F13A" w14:textId="4303D2C7" w:rsidR="00EA0FFA" w:rsidRPr="00AE3435" w:rsidRDefault="00EA0FFA">
            <w:pPr>
              <w:rPr>
                <w:rFonts w:eastAsia="Times New Roman" w:cstheme="minorHAnsi"/>
                <w:b/>
                <w:bCs/>
                <w:color w:val="auto"/>
                <w:sz w:val="22"/>
              </w:rPr>
            </w:pPr>
            <w:r w:rsidRPr="00AE3435">
              <w:rPr>
                <w:rFonts w:eastAsia="Times New Roman" w:cstheme="minorHAnsi"/>
                <w:b/>
                <w:bCs/>
                <w:color w:val="auto"/>
                <w:sz w:val="22"/>
              </w:rPr>
              <w:t>Timing</w:t>
            </w:r>
          </w:p>
        </w:tc>
        <w:tc>
          <w:tcPr>
            <w:tcW w:w="2078" w:type="dxa"/>
            <w:shd w:val="clear" w:color="auto" w:fill="DBDBDB" w:themeFill="accent3" w:themeFillTint="66"/>
          </w:tcPr>
          <w:p w14:paraId="7077FC25" w14:textId="24645010" w:rsidR="00EA0FFA" w:rsidRPr="00AE3435" w:rsidRDefault="00EA0FFA">
            <w:pPr>
              <w:rPr>
                <w:rFonts w:eastAsia="Times New Roman" w:cstheme="minorHAnsi"/>
                <w:b/>
                <w:bCs/>
                <w:color w:val="000000" w:themeColor="text1"/>
                <w:sz w:val="22"/>
              </w:rPr>
            </w:pPr>
            <w:r w:rsidRPr="00AE3435">
              <w:rPr>
                <w:rFonts w:eastAsia="Times New Roman" w:cstheme="minorHAnsi"/>
                <w:b/>
                <w:bCs/>
                <w:color w:val="000000" w:themeColor="text1"/>
                <w:sz w:val="22"/>
              </w:rPr>
              <w:t>Objectives</w:t>
            </w:r>
          </w:p>
        </w:tc>
        <w:tc>
          <w:tcPr>
            <w:tcW w:w="2262" w:type="dxa"/>
            <w:shd w:val="clear" w:color="auto" w:fill="DBDBDB" w:themeFill="accent3" w:themeFillTint="66"/>
          </w:tcPr>
          <w:p w14:paraId="7D1BCA3A" w14:textId="5D0E5599" w:rsidR="00EA0FFA" w:rsidRPr="00AE3435" w:rsidRDefault="008D2990">
            <w:pPr>
              <w:rPr>
                <w:rFonts w:eastAsia="Times New Roman" w:cstheme="minorHAnsi"/>
                <w:b/>
                <w:bCs/>
                <w:sz w:val="22"/>
              </w:rPr>
            </w:pPr>
            <w:r w:rsidRPr="00AE3435">
              <w:rPr>
                <w:rFonts w:eastAsia="Times New Roman" w:cstheme="minorHAnsi"/>
                <w:b/>
                <w:bCs/>
                <w:color w:val="000000" w:themeColor="text1"/>
                <w:sz w:val="22"/>
              </w:rPr>
              <w:t>Data collected to assess against objective</w:t>
            </w:r>
          </w:p>
        </w:tc>
      </w:tr>
      <w:tr w:rsidR="00EA0FFA" w:rsidRPr="00AE3435" w14:paraId="70F1A46C" w14:textId="36E327BE" w:rsidTr="00EA0FFA">
        <w:trPr>
          <w:cnfStyle w:val="000000100000" w:firstRow="0" w:lastRow="0" w:firstColumn="0" w:lastColumn="0" w:oddVBand="0" w:evenVBand="0" w:oddHBand="1" w:evenHBand="0" w:firstRowFirstColumn="0" w:firstRowLastColumn="0" w:lastRowFirstColumn="0" w:lastRowLastColumn="0"/>
          <w:trHeight w:val="3594"/>
        </w:trPr>
        <w:tc>
          <w:tcPr>
            <w:tcW w:w="287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80E364C" w14:textId="7777777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Preliminary phase</w:t>
            </w:r>
          </w:p>
          <w:p w14:paraId="5445E710" w14:textId="3F917648"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-Comment upon and endorse Terms of Reference of the Agreement</w:t>
            </w:r>
          </w:p>
          <w:p w14:paraId="52269DF6" w14:textId="14CFAB14"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-Consultation with stakeholders</w:t>
            </w:r>
          </w:p>
        </w:tc>
        <w:tc>
          <w:tcPr>
            <w:tcW w:w="447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E86C00F" w14:textId="4869DA80"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Following the entry into force of the agreement and the ratification of the agreement, draft Terms of Reference (</w:t>
            </w:r>
            <w:proofErr w:type="spellStart"/>
            <w:r w:rsidRPr="00AE3435">
              <w:rPr>
                <w:rFonts w:eastAsia="Times New Roman" w:cstheme="minorHAnsi"/>
                <w:sz w:val="22"/>
                <w:lang w:val="en-GB"/>
              </w:rPr>
              <w:t>ToR</w:t>
            </w:r>
            <w:proofErr w:type="spellEnd"/>
            <w:r w:rsidRPr="00AE3435">
              <w:rPr>
                <w:rFonts w:eastAsia="Times New Roman" w:cstheme="minorHAnsi"/>
                <w:sz w:val="22"/>
                <w:lang w:val="en-GB"/>
              </w:rPr>
              <w:t xml:space="preserve">) for each of the committees created in the Agreement will be circulated by the US. DFAT will assess these </w:t>
            </w:r>
            <w:proofErr w:type="spellStart"/>
            <w:r w:rsidRPr="00AE3435">
              <w:rPr>
                <w:rFonts w:eastAsia="Times New Roman" w:cstheme="minorHAnsi"/>
                <w:sz w:val="22"/>
                <w:lang w:val="en-GB"/>
              </w:rPr>
              <w:t>ToR</w:t>
            </w:r>
            <w:proofErr w:type="spellEnd"/>
            <w:r w:rsidRPr="00AE3435">
              <w:rPr>
                <w:rFonts w:eastAsia="Times New Roman" w:cstheme="minorHAnsi"/>
                <w:sz w:val="22"/>
                <w:lang w:val="en-GB"/>
              </w:rPr>
              <w:t xml:space="preserve">, both at the initial stage and following negotiations, as to whether they will allow for the Agreement to meeting Australia’s identified objectives in this IA. DFAT will engage closely with relevant stakeholders to ensure their views form part of this assessment.   </w:t>
            </w:r>
          </w:p>
        </w:tc>
        <w:tc>
          <w:tcPr>
            <w:tcW w:w="225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F8AF54E" w14:textId="272F1FC2"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6 months following entry into force.</w:t>
            </w:r>
          </w:p>
        </w:tc>
        <w:tc>
          <w:tcPr>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1F6528" w14:textId="0A92D86B" w:rsidR="00EA0FFA" w:rsidRPr="00AE3435" w:rsidRDefault="00817098">
            <w:pPr>
              <w:pStyle w:val="TableText"/>
              <w:spacing w:line="240" w:lineRule="auto"/>
              <w:rPr>
                <w:rFonts w:eastAsia="Times New Roman" w:cstheme="minorHAnsi"/>
                <w:sz w:val="22"/>
                <w:lang w:val="en-GB"/>
              </w:rPr>
            </w:pPr>
            <w:r w:rsidRPr="00AE3435">
              <w:rPr>
                <w:rFonts w:eastAsia="Times New Roman" w:cstheme="minorHAnsi"/>
                <w:i/>
                <w:iCs/>
                <w:sz w:val="22"/>
                <w:u w:val="single"/>
              </w:rPr>
              <w:t>(ii)</w:t>
            </w:r>
            <w:r w:rsidRPr="00AE3435">
              <w:rPr>
                <w:rFonts w:eastAsia="Times New Roman" w:cstheme="minorHAnsi"/>
                <w:sz w:val="22"/>
                <w:lang w:val="en-GB"/>
              </w:rPr>
              <w:t xml:space="preserve"> </w:t>
            </w:r>
            <w:r w:rsidRPr="00AE3435">
              <w:rPr>
                <w:rFonts w:eastAsia="Times New Roman" w:cstheme="minorHAnsi"/>
                <w:i/>
                <w:iCs/>
                <w:sz w:val="22"/>
                <w:u w:val="single"/>
              </w:rPr>
              <w:t xml:space="preserve">The IPEF Supply Chain Agreement creates new commercial opportunities for Australian importers, </w:t>
            </w:r>
            <w:proofErr w:type="gramStart"/>
            <w:r w:rsidRPr="00AE3435">
              <w:rPr>
                <w:rFonts w:eastAsia="Times New Roman" w:cstheme="minorHAnsi"/>
                <w:i/>
                <w:iCs/>
                <w:sz w:val="22"/>
                <w:u w:val="single"/>
              </w:rPr>
              <w:t>exporters</w:t>
            </w:r>
            <w:proofErr w:type="gramEnd"/>
            <w:r w:rsidRPr="00AE3435">
              <w:rPr>
                <w:rFonts w:eastAsia="Times New Roman" w:cstheme="minorHAnsi"/>
                <w:i/>
                <w:iCs/>
                <w:sz w:val="22"/>
                <w:u w:val="single"/>
              </w:rPr>
              <w:t xml:space="preserve"> and investors</w:t>
            </w:r>
            <w:r w:rsidRPr="00AE3435">
              <w:rPr>
                <w:rFonts w:eastAsia="Times New Roman" w:cstheme="minorHAnsi"/>
                <w:i/>
                <w:iCs/>
                <w:sz w:val="22"/>
              </w:rPr>
              <w:t>.</w:t>
            </w:r>
          </w:p>
        </w:tc>
        <w:tc>
          <w:tcPr>
            <w:tcW w:w="22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78667C" w14:textId="7FFA6417" w:rsidR="00EA0FFA" w:rsidRPr="00AE3435" w:rsidRDefault="003C1C15">
            <w:pPr>
              <w:pStyle w:val="TableText"/>
              <w:spacing w:line="240" w:lineRule="auto"/>
              <w:rPr>
                <w:rFonts w:eastAsia="Times New Roman" w:cstheme="minorHAnsi"/>
                <w:sz w:val="22"/>
                <w:lang w:val="en-GB"/>
              </w:rPr>
            </w:pPr>
            <w:r w:rsidRPr="00AE3435">
              <w:rPr>
                <w:rFonts w:eastAsia="Times New Roman" w:cstheme="minorHAnsi"/>
                <w:sz w:val="22"/>
                <w:lang w:val="en-GB"/>
              </w:rPr>
              <w:t>Qualitative feedback from Australian industry on the relevance and utility of the IPEF Supply Chain Agreement in generating new trade and investment opportunities.</w:t>
            </w:r>
          </w:p>
        </w:tc>
      </w:tr>
      <w:tr w:rsidR="00E31622" w:rsidRPr="00AE3435" w14:paraId="214B129D" w14:textId="5E0199BA" w:rsidTr="00EA0FFA">
        <w:trPr>
          <w:trHeight w:val="2736"/>
        </w:trPr>
        <w:tc>
          <w:tcPr>
            <w:tcW w:w="2874" w:type="dxa"/>
            <w:vMerge w:val="restart"/>
            <w:hideMark/>
          </w:tcPr>
          <w:p w14:paraId="013DC371" w14:textId="77777777"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Evaluation plan</w:t>
            </w:r>
          </w:p>
          <w:p w14:paraId="397F716F" w14:textId="77777777"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-Draft evaluation plan including:</w:t>
            </w:r>
          </w:p>
          <w:p w14:paraId="692F8FAE" w14:textId="77777777"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 xml:space="preserve">  *Matrix of questions</w:t>
            </w:r>
          </w:p>
          <w:p w14:paraId="60A80224" w14:textId="77777777"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 xml:space="preserve">  *Description of method</w:t>
            </w:r>
          </w:p>
          <w:p w14:paraId="2867098E" w14:textId="77777777"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 xml:space="preserve">  *Data gathering tools^ </w:t>
            </w:r>
          </w:p>
          <w:p w14:paraId="13E64456" w14:textId="77777777"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 xml:space="preserve">  *Detailed work schedule</w:t>
            </w:r>
          </w:p>
        </w:tc>
        <w:tc>
          <w:tcPr>
            <w:tcW w:w="4475" w:type="dxa"/>
            <w:vMerge w:val="restart"/>
            <w:hideMark/>
          </w:tcPr>
          <w:p w14:paraId="03D8501E" w14:textId="7CD29B83"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Following the full operationalisation of the committees and other initiatives of the Agreement, DFAT will draft an evaluation plan to provide an ongoing evaluation of the Agreement. This is designed to assess the effectiveness of the Agreement in achieving what was intended and how successful it is in meeting Australia’s objectives as outlined in this IA.</w:t>
            </w:r>
          </w:p>
        </w:tc>
        <w:tc>
          <w:tcPr>
            <w:tcW w:w="2259" w:type="dxa"/>
            <w:vMerge w:val="restart"/>
            <w:hideMark/>
          </w:tcPr>
          <w:p w14:paraId="1A35E97D" w14:textId="6DDE62C2" w:rsidR="00E31622" w:rsidRPr="00AE3435" w:rsidRDefault="00E31622">
            <w:pPr>
              <w:pStyle w:val="TableText"/>
              <w:spacing w:line="240" w:lineRule="auto"/>
              <w:rPr>
                <w:rFonts w:eastAsia="Times New Roman" w:cstheme="minorHAnsi"/>
                <w:sz w:val="22"/>
                <w:lang w:val="en-GB"/>
              </w:rPr>
            </w:pPr>
            <w:r w:rsidRPr="00AE3435">
              <w:rPr>
                <w:rFonts w:eastAsia="Times New Roman" w:cstheme="minorHAnsi"/>
                <w:sz w:val="22"/>
                <w:lang w:val="en-GB"/>
              </w:rPr>
              <w:t>24 months following entry into force.</w:t>
            </w:r>
          </w:p>
        </w:tc>
        <w:tc>
          <w:tcPr>
            <w:tcW w:w="2078" w:type="dxa"/>
          </w:tcPr>
          <w:p w14:paraId="3406A01A" w14:textId="785340CE" w:rsidR="00E31622" w:rsidRPr="00AE3435" w:rsidRDefault="00E31622" w:rsidP="00E0687B">
            <w:pPr>
              <w:pStyle w:val="TableText"/>
              <w:spacing w:line="240" w:lineRule="auto"/>
              <w:rPr>
                <w:rFonts w:eastAsia="Times New Roman" w:cstheme="minorHAnsi"/>
                <w:i/>
                <w:iCs/>
                <w:sz w:val="22"/>
                <w:u w:val="single"/>
              </w:rPr>
            </w:pPr>
            <w:r w:rsidRPr="00AE3435">
              <w:rPr>
                <w:rFonts w:eastAsia="Times New Roman" w:cstheme="minorHAnsi"/>
                <w:i/>
                <w:iCs/>
                <w:sz w:val="22"/>
                <w:u w:val="single"/>
              </w:rPr>
              <w:t>(</w:t>
            </w:r>
            <w:proofErr w:type="spellStart"/>
            <w:r w:rsidRPr="00AE3435">
              <w:rPr>
                <w:rFonts w:eastAsia="Times New Roman" w:cstheme="minorHAnsi"/>
                <w:i/>
                <w:iCs/>
                <w:sz w:val="22"/>
                <w:u w:val="single"/>
              </w:rPr>
              <w:t>i</w:t>
            </w:r>
            <w:proofErr w:type="spellEnd"/>
            <w:r w:rsidRPr="00AE3435">
              <w:rPr>
                <w:rFonts w:eastAsia="Times New Roman" w:cstheme="minorHAnsi"/>
                <w:i/>
                <w:iCs/>
                <w:sz w:val="22"/>
                <w:u w:val="single"/>
              </w:rPr>
              <w:t>) The supply chains of IPEF members, including Australia, become more resilient to external shocks through new diversification initiatives</w:t>
            </w:r>
          </w:p>
          <w:p w14:paraId="524D39CD" w14:textId="56638973" w:rsidR="00E31622" w:rsidRPr="00AE3435" w:rsidRDefault="00E31622" w:rsidP="00E0687B">
            <w:pPr>
              <w:pStyle w:val="TableText"/>
              <w:spacing w:line="240" w:lineRule="auto"/>
              <w:rPr>
                <w:rFonts w:eastAsia="Times New Roman" w:cstheme="minorHAnsi"/>
                <w:sz w:val="22"/>
                <w:lang w:val="en-GB"/>
              </w:rPr>
            </w:pPr>
          </w:p>
        </w:tc>
        <w:tc>
          <w:tcPr>
            <w:tcW w:w="2262" w:type="dxa"/>
          </w:tcPr>
          <w:p w14:paraId="7A637A50" w14:textId="7B8193AE" w:rsidR="00E31622" w:rsidRPr="00AE3435" w:rsidRDefault="00E31622">
            <w:pPr>
              <w:pStyle w:val="TableText"/>
              <w:spacing w:line="240" w:lineRule="auto"/>
              <w:rPr>
                <w:rFonts w:eastAsia="Times New Roman" w:cstheme="minorHAnsi"/>
                <w:sz w:val="22"/>
              </w:rPr>
            </w:pPr>
            <w:r w:rsidRPr="00AE3435">
              <w:rPr>
                <w:rFonts w:eastAsia="Times New Roman" w:cstheme="minorHAnsi"/>
                <w:sz w:val="22"/>
              </w:rPr>
              <w:t>Import and global market diversification / concentration</w:t>
            </w:r>
            <w:r w:rsidR="00A64393" w:rsidRPr="00AE3435">
              <w:rPr>
                <w:rFonts w:eastAsia="Times New Roman" w:cstheme="minorHAnsi"/>
                <w:sz w:val="22"/>
              </w:rPr>
              <w:t xml:space="preserve"> analysis</w:t>
            </w:r>
            <w:r w:rsidRPr="00AE3435">
              <w:rPr>
                <w:rFonts w:eastAsia="Times New Roman" w:cstheme="minorHAnsi"/>
                <w:sz w:val="22"/>
              </w:rPr>
              <w:t>, such as the Herfindahl-Hirschman index (HHI).</w:t>
            </w:r>
          </w:p>
          <w:p w14:paraId="34425F5A" w14:textId="77777777" w:rsidR="00E31622" w:rsidRPr="00AE3435" w:rsidRDefault="00E31622">
            <w:pPr>
              <w:pStyle w:val="TableText"/>
              <w:spacing w:line="240" w:lineRule="auto"/>
              <w:rPr>
                <w:rFonts w:eastAsia="Times New Roman" w:cstheme="minorHAnsi"/>
                <w:sz w:val="22"/>
                <w:lang w:val="en-GB"/>
              </w:rPr>
            </w:pPr>
          </w:p>
          <w:p w14:paraId="7E735FDD" w14:textId="555836FD" w:rsidR="00E31622" w:rsidRPr="00AE3435" w:rsidRDefault="00E31622">
            <w:pPr>
              <w:pStyle w:val="TableText"/>
              <w:spacing w:line="240" w:lineRule="auto"/>
              <w:rPr>
                <w:rFonts w:eastAsia="Times New Roman" w:cstheme="minorHAnsi"/>
                <w:sz w:val="22"/>
                <w:lang w:val="en-GB"/>
              </w:rPr>
            </w:pPr>
          </w:p>
        </w:tc>
      </w:tr>
      <w:tr w:rsidR="00E31622" w:rsidRPr="00AE3435" w14:paraId="4386BCDB" w14:textId="77777777" w:rsidTr="00E31622">
        <w:trPr>
          <w:cnfStyle w:val="000000100000" w:firstRow="0" w:lastRow="0" w:firstColumn="0" w:lastColumn="0" w:oddVBand="0" w:evenVBand="0" w:oddHBand="1" w:evenHBand="0" w:firstRowFirstColumn="0" w:firstRowLastColumn="0" w:lastRowFirstColumn="0" w:lastRowLastColumn="0"/>
          <w:trHeight w:val="2736"/>
        </w:trPr>
        <w:tc>
          <w:tcPr>
            <w:tcW w:w="2874"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7B483" w14:textId="77777777" w:rsidR="00E31622" w:rsidRPr="00AE3435" w:rsidRDefault="00E31622">
            <w:pPr>
              <w:pStyle w:val="TableText"/>
              <w:spacing w:line="240" w:lineRule="auto"/>
              <w:rPr>
                <w:rFonts w:eastAsia="Times New Roman" w:cstheme="minorHAnsi"/>
                <w:sz w:val="22"/>
                <w:lang w:val="en-GB"/>
              </w:rPr>
            </w:pPr>
          </w:p>
        </w:tc>
        <w:tc>
          <w:tcPr>
            <w:tcW w:w="4475"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4F9A7" w14:textId="77777777" w:rsidR="00E31622" w:rsidRPr="00AE3435" w:rsidRDefault="00E31622">
            <w:pPr>
              <w:pStyle w:val="TableText"/>
              <w:spacing w:line="240" w:lineRule="auto"/>
              <w:rPr>
                <w:rFonts w:eastAsia="Times New Roman" w:cstheme="minorHAnsi"/>
                <w:sz w:val="22"/>
                <w:lang w:val="en-GB"/>
              </w:rPr>
            </w:pPr>
          </w:p>
        </w:tc>
        <w:tc>
          <w:tcPr>
            <w:tcW w:w="2259"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CA6372" w14:textId="77777777" w:rsidR="00E31622" w:rsidRPr="00AE3435" w:rsidRDefault="00E31622">
            <w:pPr>
              <w:pStyle w:val="TableText"/>
              <w:spacing w:line="240" w:lineRule="auto"/>
              <w:rPr>
                <w:rFonts w:eastAsia="Times New Roman" w:cstheme="minorHAnsi"/>
                <w:sz w:val="22"/>
                <w:lang w:val="en-GB"/>
              </w:rPr>
            </w:pPr>
          </w:p>
        </w:tc>
        <w:tc>
          <w:tcPr>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55D5D8" w14:textId="439CEEB2" w:rsidR="00E31622" w:rsidRPr="00AE3435" w:rsidRDefault="00E31622" w:rsidP="00E0687B">
            <w:pPr>
              <w:pStyle w:val="TableText"/>
              <w:spacing w:line="240" w:lineRule="auto"/>
              <w:rPr>
                <w:rFonts w:eastAsia="Times New Roman" w:cstheme="minorHAnsi"/>
                <w:i/>
                <w:iCs/>
                <w:sz w:val="22"/>
                <w:u w:val="single"/>
              </w:rPr>
            </w:pPr>
            <w:r w:rsidRPr="00AE3435">
              <w:rPr>
                <w:rFonts w:eastAsia="Times New Roman" w:cstheme="minorHAnsi"/>
                <w:i/>
                <w:iCs/>
                <w:sz w:val="22"/>
                <w:u w:val="single"/>
              </w:rPr>
              <w:t>(iii) IPEF countries increasingly adopt evidence-based and proportionate approaches to identify, monitor and address critical supply chain vulnerabilities</w:t>
            </w:r>
            <w:r w:rsidRPr="00AE3435">
              <w:rPr>
                <w:rFonts w:eastAsia="Times New Roman" w:cstheme="minorHAnsi"/>
                <w:i/>
                <w:iCs/>
                <w:sz w:val="22"/>
              </w:rPr>
              <w:t>.</w:t>
            </w:r>
          </w:p>
        </w:tc>
        <w:tc>
          <w:tcPr>
            <w:tcW w:w="22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F9999C" w14:textId="0A0EB95A" w:rsidR="00E31622" w:rsidRPr="00AE3435" w:rsidRDefault="000B1587">
            <w:pPr>
              <w:pStyle w:val="TableText"/>
              <w:spacing w:line="240" w:lineRule="auto"/>
              <w:rPr>
                <w:rFonts w:eastAsia="Times New Roman" w:cstheme="minorHAnsi"/>
                <w:sz w:val="22"/>
              </w:rPr>
            </w:pPr>
            <w:r w:rsidRPr="00AE3435">
              <w:rPr>
                <w:rFonts w:eastAsia="Times New Roman" w:cstheme="minorHAnsi"/>
                <w:sz w:val="22"/>
              </w:rPr>
              <w:t>Number of</w:t>
            </w:r>
            <w:r w:rsidR="00E31622" w:rsidRPr="00AE3435">
              <w:rPr>
                <w:rFonts w:eastAsia="Times New Roman" w:cstheme="minorHAnsi"/>
                <w:sz w:val="22"/>
              </w:rPr>
              <w:t xml:space="preserve"> countries adopting </w:t>
            </w:r>
            <w:r w:rsidRPr="00AE3435">
              <w:rPr>
                <w:rFonts w:eastAsia="Times New Roman" w:cstheme="minorHAnsi"/>
                <w:sz w:val="22"/>
              </w:rPr>
              <w:t>a data driven supply chain</w:t>
            </w:r>
            <w:r w:rsidR="00E31622" w:rsidRPr="00AE3435">
              <w:rPr>
                <w:rFonts w:eastAsia="Times New Roman" w:cstheme="minorHAnsi"/>
                <w:sz w:val="22"/>
              </w:rPr>
              <w:t xml:space="preserve"> methodolog</w:t>
            </w:r>
            <w:r w:rsidRPr="00AE3435">
              <w:rPr>
                <w:rFonts w:eastAsia="Times New Roman" w:cstheme="minorHAnsi"/>
                <w:sz w:val="22"/>
              </w:rPr>
              <w:t>y.</w:t>
            </w:r>
          </w:p>
        </w:tc>
      </w:tr>
      <w:tr w:rsidR="00EA0FFA" w:rsidRPr="00AE3435" w14:paraId="3BB5C4B3" w14:textId="70B2AAC3" w:rsidTr="00EA0FFA">
        <w:trPr>
          <w:trHeight w:val="2412"/>
        </w:trPr>
        <w:tc>
          <w:tcPr>
            <w:tcW w:w="2874" w:type="dxa"/>
            <w:hideMark/>
          </w:tcPr>
          <w:p w14:paraId="5338C094" w14:textId="7777777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Draft evaluation report</w:t>
            </w:r>
          </w:p>
          <w:p w14:paraId="4340E188" w14:textId="7777777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-Prepare document outline</w:t>
            </w:r>
          </w:p>
          <w:p w14:paraId="2B18EA3C" w14:textId="7777777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-Draft sections of the report</w:t>
            </w:r>
          </w:p>
          <w:p w14:paraId="2CABD119" w14:textId="7777777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-Consolidate sections into draft</w:t>
            </w:r>
          </w:p>
          <w:p w14:paraId="75DED2BD" w14:textId="29A12E98"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-Stakeholder consultations</w:t>
            </w:r>
          </w:p>
        </w:tc>
        <w:tc>
          <w:tcPr>
            <w:tcW w:w="4475" w:type="dxa"/>
            <w:hideMark/>
          </w:tcPr>
          <w:p w14:paraId="00479FCA" w14:textId="22762802"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DFAT intends to prepare an evaluation report four years following the entry into force of the Agreement. This timing is intended to help inform Australia’s position in preparation for the formal Agreement review process outlined in Article 27 of the Agreement. This evaluation report and consequently Australia’s position in the general view will be informed by trade data indicated whether Australian import concentrations in critical sectors has moved toward a more diversified position. This data will be cross-checked with qualitative data collected from industry consultations with stakeholders.</w:t>
            </w:r>
          </w:p>
        </w:tc>
        <w:tc>
          <w:tcPr>
            <w:tcW w:w="2259" w:type="dxa"/>
            <w:hideMark/>
          </w:tcPr>
          <w:p w14:paraId="7849A116" w14:textId="7777777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48 months following entry into force.</w:t>
            </w:r>
          </w:p>
        </w:tc>
        <w:tc>
          <w:tcPr>
            <w:tcW w:w="2078" w:type="dxa"/>
          </w:tcPr>
          <w:p w14:paraId="70336BD9" w14:textId="2F222C59" w:rsidR="00EA0FFA" w:rsidRPr="00AE3435" w:rsidRDefault="0043072B">
            <w:pPr>
              <w:pStyle w:val="TableText"/>
              <w:spacing w:line="240" w:lineRule="auto"/>
              <w:rPr>
                <w:rFonts w:eastAsia="Times New Roman" w:cstheme="minorHAnsi"/>
                <w:sz w:val="22"/>
                <w:lang w:val="en-GB"/>
              </w:rPr>
            </w:pPr>
            <w:r w:rsidRPr="00AE3435">
              <w:rPr>
                <w:rFonts w:eastAsia="Times New Roman" w:cstheme="minorHAnsi"/>
                <w:i/>
                <w:iCs/>
                <w:sz w:val="22"/>
                <w:u w:val="single"/>
              </w:rPr>
              <w:t>All objectives</w:t>
            </w:r>
          </w:p>
        </w:tc>
        <w:tc>
          <w:tcPr>
            <w:tcW w:w="2262" w:type="dxa"/>
          </w:tcPr>
          <w:p w14:paraId="114E004A" w14:textId="0CA4BC3E" w:rsidR="00EA0FFA" w:rsidRPr="00AE3435" w:rsidRDefault="0043072B">
            <w:pPr>
              <w:pStyle w:val="TableText"/>
              <w:spacing w:line="240" w:lineRule="auto"/>
              <w:rPr>
                <w:rFonts w:eastAsia="Times New Roman" w:cstheme="minorHAnsi"/>
                <w:sz w:val="22"/>
                <w:lang w:val="en-GB"/>
              </w:rPr>
            </w:pPr>
            <w:r w:rsidRPr="00AE3435">
              <w:rPr>
                <w:rFonts w:eastAsia="Times New Roman" w:cstheme="minorHAnsi"/>
                <w:sz w:val="22"/>
                <w:lang w:val="en-GB"/>
              </w:rPr>
              <w:t>All metrics</w:t>
            </w:r>
          </w:p>
        </w:tc>
      </w:tr>
      <w:tr w:rsidR="00EA0FFA" w:rsidRPr="00AE3435" w14:paraId="7952C1CD" w14:textId="5C0912E6" w:rsidTr="00E31622">
        <w:trPr>
          <w:cnfStyle w:val="000000100000" w:firstRow="0" w:lastRow="0" w:firstColumn="0" w:lastColumn="0" w:oddVBand="0" w:evenVBand="0" w:oddHBand="1" w:evenHBand="0" w:firstRowFirstColumn="0" w:firstRowLastColumn="0" w:lastRowFirstColumn="0" w:lastRowLastColumn="0"/>
          <w:trHeight w:val="2153"/>
        </w:trPr>
        <w:tc>
          <w:tcPr>
            <w:tcW w:w="287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832DD5" w14:textId="03FAA427"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lastRenderedPageBreak/>
              <w:t>IPEF Supply Chain Agreement General Review</w:t>
            </w:r>
          </w:p>
        </w:tc>
        <w:tc>
          <w:tcPr>
            <w:tcW w:w="447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820E7D" w14:textId="0A5E5B59"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 xml:space="preserve">A general review of the Agreement will occur as per Article 27 of the Agreement. Details of the review will be finalised in the </w:t>
            </w:r>
            <w:proofErr w:type="spellStart"/>
            <w:proofErr w:type="gramStart"/>
            <w:r w:rsidRPr="00AE3435">
              <w:rPr>
                <w:rFonts w:eastAsia="Times New Roman" w:cstheme="minorHAnsi"/>
                <w:sz w:val="22"/>
                <w:lang w:val="en-GB"/>
              </w:rPr>
              <w:t>ToR</w:t>
            </w:r>
            <w:proofErr w:type="spellEnd"/>
            <w:proofErr w:type="gramEnd"/>
            <w:r w:rsidRPr="00AE3435">
              <w:rPr>
                <w:rFonts w:eastAsia="Times New Roman" w:cstheme="minorHAnsi"/>
                <w:sz w:val="22"/>
                <w:lang w:val="en-GB"/>
              </w:rPr>
              <w:t xml:space="preserve"> but the review will take place with a view to updating and enhancing the Agreement in furtherance of its objectives. The review must be completed within six months.</w:t>
            </w:r>
          </w:p>
        </w:tc>
        <w:tc>
          <w:tcPr>
            <w:tcW w:w="22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72772D" w14:textId="2B1182F3" w:rsidR="00EA0FFA" w:rsidRPr="00AE3435" w:rsidRDefault="00EA0FFA">
            <w:pPr>
              <w:pStyle w:val="TableText"/>
              <w:spacing w:line="240" w:lineRule="auto"/>
              <w:rPr>
                <w:rFonts w:eastAsia="Times New Roman" w:cstheme="minorHAnsi"/>
                <w:sz w:val="22"/>
                <w:lang w:val="en-GB"/>
              </w:rPr>
            </w:pPr>
            <w:r w:rsidRPr="00AE3435">
              <w:rPr>
                <w:rFonts w:eastAsia="Times New Roman" w:cstheme="minorHAnsi"/>
                <w:sz w:val="22"/>
                <w:lang w:val="en-GB"/>
              </w:rPr>
              <w:t>60 months following entry into force.</w:t>
            </w:r>
          </w:p>
        </w:tc>
        <w:tc>
          <w:tcPr>
            <w:tcW w:w="20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1287F3" w14:textId="7CEFF5AE" w:rsidR="00EA0FFA" w:rsidRPr="00AE3435" w:rsidRDefault="00B54F36" w:rsidP="00B54F36">
            <w:pPr>
              <w:pStyle w:val="TableText"/>
              <w:spacing w:line="240" w:lineRule="auto"/>
              <w:rPr>
                <w:rFonts w:eastAsia="Times New Roman" w:cstheme="minorHAnsi"/>
                <w:sz w:val="22"/>
                <w:lang w:val="en-GB"/>
              </w:rPr>
            </w:pPr>
            <w:r w:rsidRPr="00AE3435">
              <w:rPr>
                <w:rFonts w:eastAsia="Times New Roman" w:cstheme="minorHAnsi"/>
                <w:i/>
                <w:iCs/>
                <w:sz w:val="22"/>
                <w:u w:val="single"/>
              </w:rPr>
              <w:t>(iv) IPEF countries become more coordinated and effective in responding to supply chain crises and disruptions.</w:t>
            </w:r>
          </w:p>
        </w:tc>
        <w:tc>
          <w:tcPr>
            <w:tcW w:w="22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EF5134" w14:textId="02A781B9" w:rsidR="002D3343" w:rsidRPr="00AE3435" w:rsidRDefault="002D3343" w:rsidP="002D3343">
            <w:pPr>
              <w:jc w:val="both"/>
              <w:rPr>
                <w:rFonts w:eastAsia="Times New Roman" w:cstheme="minorHAnsi"/>
                <w:sz w:val="22"/>
                <w:u w:val="single"/>
              </w:rPr>
            </w:pPr>
            <w:r w:rsidRPr="00AE3435">
              <w:rPr>
                <w:rFonts w:eastAsia="Times New Roman" w:cstheme="minorHAnsi"/>
                <w:sz w:val="22"/>
              </w:rPr>
              <w:t>The number of crisis preparation tabletop exercise jointly undertaken under the Agreement</w:t>
            </w:r>
            <w:r w:rsidR="000B1587" w:rsidRPr="00AE3435">
              <w:rPr>
                <w:rFonts w:eastAsia="Times New Roman" w:cstheme="minorHAnsi"/>
                <w:sz w:val="22"/>
              </w:rPr>
              <w:t>.</w:t>
            </w:r>
            <w:r w:rsidRPr="00AE3435">
              <w:rPr>
                <w:rFonts w:eastAsia="Times New Roman" w:cstheme="minorHAnsi"/>
                <w:sz w:val="22"/>
              </w:rPr>
              <w:t xml:space="preserve"> </w:t>
            </w:r>
            <w:r w:rsidR="000B1587" w:rsidRPr="00AE3435">
              <w:rPr>
                <w:rFonts w:eastAsia="Times New Roman" w:cstheme="minorHAnsi"/>
                <w:sz w:val="22"/>
              </w:rPr>
              <w:t>Q</w:t>
            </w:r>
            <w:r w:rsidRPr="00AE3435">
              <w:rPr>
                <w:rFonts w:eastAsia="Times New Roman" w:cstheme="minorHAnsi"/>
                <w:sz w:val="22"/>
              </w:rPr>
              <w:t>ualitative feedback from the Office of Supply Chain Resilience</w:t>
            </w:r>
            <w:r w:rsidR="000B1587" w:rsidRPr="00AE3435">
              <w:rPr>
                <w:rFonts w:eastAsia="Times New Roman" w:cstheme="minorHAnsi"/>
                <w:sz w:val="22"/>
              </w:rPr>
              <w:t>.</w:t>
            </w:r>
          </w:p>
          <w:p w14:paraId="6326E3B5" w14:textId="6DFF23EF" w:rsidR="00EA0FFA" w:rsidRPr="00AE3435" w:rsidRDefault="00EA0FFA">
            <w:pPr>
              <w:pStyle w:val="TableText"/>
              <w:spacing w:line="240" w:lineRule="auto"/>
              <w:rPr>
                <w:rFonts w:eastAsia="Times New Roman" w:cstheme="minorHAnsi"/>
                <w:sz w:val="22"/>
                <w:lang w:val="en-GB"/>
              </w:rPr>
            </w:pPr>
          </w:p>
        </w:tc>
      </w:tr>
    </w:tbl>
    <w:p w14:paraId="4E80C833" w14:textId="77777777" w:rsidR="0006744F" w:rsidRDefault="0006744F">
      <w:pPr>
        <w:rPr>
          <w:b/>
          <w:bCs/>
        </w:rPr>
        <w:sectPr w:rsidR="0006744F" w:rsidSect="002F69F0">
          <w:headerReference w:type="default" r:id="rId23"/>
          <w:footerReference w:type="default" r:id="rId24"/>
          <w:pgSz w:w="16838" w:h="11906" w:orient="landscape" w:code="9"/>
          <w:pgMar w:top="1440" w:right="1440" w:bottom="1440" w:left="1440" w:header="720" w:footer="720" w:gutter="0"/>
          <w:cols w:space="720"/>
          <w:docGrid w:linePitch="360"/>
        </w:sectPr>
      </w:pPr>
    </w:p>
    <w:p w14:paraId="02ADE041" w14:textId="727F1FE9" w:rsidR="00AC7C17" w:rsidRPr="00637F84" w:rsidRDefault="00637F84">
      <w:pPr>
        <w:rPr>
          <w:b/>
          <w:bCs/>
        </w:rPr>
      </w:pPr>
      <w:r w:rsidRPr="00637F84">
        <w:rPr>
          <w:b/>
          <w:bCs/>
        </w:rPr>
        <w:lastRenderedPageBreak/>
        <w:t>Appendix A</w:t>
      </w:r>
    </w:p>
    <w:tbl>
      <w:tblPr>
        <w:tblStyle w:val="TableGrid"/>
        <w:tblW w:w="0" w:type="auto"/>
        <w:tblLook w:val="04A0" w:firstRow="1" w:lastRow="0" w:firstColumn="1" w:lastColumn="0" w:noHBand="0" w:noVBand="1"/>
      </w:tblPr>
      <w:tblGrid>
        <w:gridCol w:w="7000"/>
      </w:tblGrid>
      <w:tr w:rsidR="00637F84" w:rsidRPr="0071424F" w14:paraId="48E71C45" w14:textId="77777777" w:rsidTr="008F5FA7">
        <w:trPr>
          <w:trHeight w:val="300"/>
        </w:trPr>
        <w:tc>
          <w:tcPr>
            <w:tcW w:w="7000" w:type="dxa"/>
            <w:shd w:val="clear" w:color="auto" w:fill="DBDBDB" w:themeFill="accent3" w:themeFillTint="66"/>
            <w:noWrap/>
          </w:tcPr>
          <w:p w14:paraId="1A444A67" w14:textId="77777777" w:rsidR="00637F84" w:rsidRPr="0071424F" w:rsidRDefault="00637F84" w:rsidP="008F5FA7">
            <w:pPr>
              <w:rPr>
                <w:b/>
                <w:bCs/>
              </w:rPr>
            </w:pPr>
            <w:r w:rsidRPr="0071424F">
              <w:rPr>
                <w:b/>
                <w:bCs/>
              </w:rPr>
              <w:t>Stakeholder</w:t>
            </w:r>
          </w:p>
        </w:tc>
      </w:tr>
      <w:tr w:rsidR="00637F84" w:rsidRPr="00C74C9D" w14:paraId="27808390" w14:textId="77777777" w:rsidTr="008F5FA7">
        <w:trPr>
          <w:trHeight w:val="300"/>
        </w:trPr>
        <w:tc>
          <w:tcPr>
            <w:tcW w:w="7000" w:type="dxa"/>
            <w:noWrap/>
            <w:hideMark/>
          </w:tcPr>
          <w:p w14:paraId="65346E8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 Touch of Madness Studios</w:t>
            </w:r>
          </w:p>
        </w:tc>
      </w:tr>
      <w:tr w:rsidR="00637F84" w:rsidRPr="00C74C9D" w14:paraId="330DEBC8" w14:textId="77777777" w:rsidTr="008F5FA7">
        <w:trPr>
          <w:trHeight w:val="300"/>
        </w:trPr>
        <w:tc>
          <w:tcPr>
            <w:tcW w:w="7000" w:type="dxa"/>
            <w:noWrap/>
            <w:hideMark/>
          </w:tcPr>
          <w:p w14:paraId="0843FB5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Accord Australasia Limited</w:t>
            </w:r>
          </w:p>
        </w:tc>
      </w:tr>
      <w:tr w:rsidR="00637F84" w:rsidRPr="00C74C9D" w14:paraId="069FC2CE" w14:textId="77777777" w:rsidTr="008F5FA7">
        <w:trPr>
          <w:trHeight w:val="300"/>
        </w:trPr>
        <w:tc>
          <w:tcPr>
            <w:tcW w:w="7000" w:type="dxa"/>
            <w:hideMark/>
          </w:tcPr>
          <w:p w14:paraId="381B33D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ActionAid</w:t>
            </w:r>
          </w:p>
        </w:tc>
      </w:tr>
      <w:tr w:rsidR="00637F84" w:rsidRPr="00C74C9D" w14:paraId="534B215E" w14:textId="77777777" w:rsidTr="008F5FA7">
        <w:trPr>
          <w:trHeight w:val="300"/>
        </w:trPr>
        <w:tc>
          <w:tcPr>
            <w:tcW w:w="7000" w:type="dxa"/>
            <w:noWrap/>
            <w:hideMark/>
          </w:tcPr>
          <w:p w14:paraId="3A00FF3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AFTINET</w:t>
            </w:r>
          </w:p>
        </w:tc>
      </w:tr>
      <w:tr w:rsidR="00637F84" w:rsidRPr="00C74C9D" w14:paraId="6E9625AD" w14:textId="77777777" w:rsidTr="008F5FA7">
        <w:trPr>
          <w:trHeight w:val="300"/>
        </w:trPr>
        <w:tc>
          <w:tcPr>
            <w:tcW w:w="7000" w:type="dxa"/>
            <w:noWrap/>
            <w:hideMark/>
          </w:tcPr>
          <w:p w14:paraId="044BE4D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Amazon Web Services</w:t>
            </w:r>
          </w:p>
        </w:tc>
      </w:tr>
      <w:tr w:rsidR="00637F84" w:rsidRPr="00C74C9D" w14:paraId="05D75E72" w14:textId="77777777" w:rsidTr="008F5FA7">
        <w:trPr>
          <w:trHeight w:val="300"/>
        </w:trPr>
        <w:tc>
          <w:tcPr>
            <w:tcW w:w="7000" w:type="dxa"/>
            <w:noWrap/>
            <w:hideMark/>
          </w:tcPr>
          <w:p w14:paraId="1130527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American Chamber of Commerce in Australia</w:t>
            </w:r>
          </w:p>
        </w:tc>
      </w:tr>
      <w:tr w:rsidR="00637F84" w:rsidRPr="00C74C9D" w14:paraId="171BAA6E" w14:textId="77777777" w:rsidTr="008F5FA7">
        <w:trPr>
          <w:trHeight w:val="300"/>
        </w:trPr>
        <w:tc>
          <w:tcPr>
            <w:tcW w:w="7000" w:type="dxa"/>
            <w:noWrap/>
            <w:hideMark/>
          </w:tcPr>
          <w:p w14:paraId="324EE10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ANU's Asian Bureau of Economic Research</w:t>
            </w:r>
          </w:p>
        </w:tc>
      </w:tr>
      <w:tr w:rsidR="00637F84" w:rsidRPr="00C74C9D" w14:paraId="3020108B" w14:textId="77777777" w:rsidTr="008F5FA7">
        <w:trPr>
          <w:trHeight w:val="300"/>
        </w:trPr>
        <w:tc>
          <w:tcPr>
            <w:tcW w:w="7000" w:type="dxa"/>
            <w:noWrap/>
            <w:hideMark/>
          </w:tcPr>
          <w:p w14:paraId="1B65EC1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Asia Natural Gas and Energy Association (ANGEA)</w:t>
            </w:r>
          </w:p>
        </w:tc>
      </w:tr>
      <w:tr w:rsidR="00637F84" w:rsidRPr="00C74C9D" w14:paraId="58F03464" w14:textId="77777777" w:rsidTr="008F5FA7">
        <w:trPr>
          <w:trHeight w:val="300"/>
        </w:trPr>
        <w:tc>
          <w:tcPr>
            <w:tcW w:w="7000" w:type="dxa"/>
            <w:noWrap/>
            <w:hideMark/>
          </w:tcPr>
          <w:p w14:paraId="59276F9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Asia Pacific Forum on Women, Law, and Development (APWLD)</w:t>
            </w:r>
          </w:p>
        </w:tc>
      </w:tr>
      <w:tr w:rsidR="00637F84" w:rsidRPr="00C74C9D" w14:paraId="0DCE2B57" w14:textId="77777777" w:rsidTr="008F5FA7">
        <w:trPr>
          <w:trHeight w:val="300"/>
        </w:trPr>
        <w:tc>
          <w:tcPr>
            <w:tcW w:w="7000" w:type="dxa"/>
            <w:noWrap/>
            <w:hideMark/>
          </w:tcPr>
          <w:p w14:paraId="1216BFF1"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Asia Society Australia</w:t>
            </w:r>
          </w:p>
        </w:tc>
      </w:tr>
      <w:tr w:rsidR="00637F84" w:rsidRPr="00C74C9D" w14:paraId="6575960D" w14:textId="77777777" w:rsidTr="008F5FA7">
        <w:trPr>
          <w:trHeight w:val="300"/>
        </w:trPr>
        <w:tc>
          <w:tcPr>
            <w:tcW w:w="7000" w:type="dxa"/>
            <w:noWrap/>
            <w:hideMark/>
          </w:tcPr>
          <w:p w14:paraId="39615138"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Asialink</w:t>
            </w:r>
            <w:proofErr w:type="spellEnd"/>
          </w:p>
        </w:tc>
      </w:tr>
      <w:tr w:rsidR="00637F84" w:rsidRPr="00C74C9D" w14:paraId="081A029D" w14:textId="77777777" w:rsidTr="008F5FA7">
        <w:trPr>
          <w:trHeight w:val="300"/>
        </w:trPr>
        <w:tc>
          <w:tcPr>
            <w:tcW w:w="7000" w:type="dxa"/>
            <w:noWrap/>
            <w:hideMark/>
          </w:tcPr>
          <w:p w14:paraId="6B0A6037"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Astryx</w:t>
            </w:r>
            <w:proofErr w:type="spellEnd"/>
            <w:r w:rsidRPr="00C74C9D">
              <w:rPr>
                <w:rFonts w:asciiTheme="minorHAnsi" w:hAnsiTheme="minorHAnsi" w:cstheme="minorHAnsi"/>
              </w:rPr>
              <w:t xml:space="preserve"> </w:t>
            </w:r>
          </w:p>
        </w:tc>
      </w:tr>
      <w:tr w:rsidR="00637F84" w:rsidRPr="00C74C9D" w14:paraId="657A9AE1" w14:textId="77777777" w:rsidTr="008F5FA7">
        <w:trPr>
          <w:trHeight w:val="300"/>
        </w:trPr>
        <w:tc>
          <w:tcPr>
            <w:tcW w:w="7000" w:type="dxa"/>
            <w:noWrap/>
            <w:hideMark/>
          </w:tcPr>
          <w:p w14:paraId="68E2F269"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Ausgold</w:t>
            </w:r>
            <w:proofErr w:type="spellEnd"/>
            <w:r w:rsidRPr="00C74C9D">
              <w:rPr>
                <w:rFonts w:asciiTheme="minorHAnsi" w:hAnsiTheme="minorHAnsi" w:cstheme="minorHAnsi"/>
              </w:rPr>
              <w:t xml:space="preserve"> Sport &amp; Tourism Agency</w:t>
            </w:r>
          </w:p>
        </w:tc>
      </w:tr>
      <w:tr w:rsidR="00637F84" w:rsidRPr="00C74C9D" w14:paraId="0142947C" w14:textId="77777777" w:rsidTr="008F5FA7">
        <w:trPr>
          <w:trHeight w:val="300"/>
        </w:trPr>
        <w:tc>
          <w:tcPr>
            <w:tcW w:w="7000" w:type="dxa"/>
            <w:noWrap/>
            <w:hideMark/>
          </w:tcPr>
          <w:p w14:paraId="2B94A9CB"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Austmine</w:t>
            </w:r>
            <w:proofErr w:type="spellEnd"/>
          </w:p>
        </w:tc>
      </w:tr>
      <w:tr w:rsidR="00637F84" w:rsidRPr="00C74C9D" w14:paraId="2BE334E8" w14:textId="77777777" w:rsidTr="008F5FA7">
        <w:trPr>
          <w:trHeight w:val="300"/>
        </w:trPr>
        <w:tc>
          <w:tcPr>
            <w:tcW w:w="7000" w:type="dxa"/>
            <w:noWrap/>
            <w:hideMark/>
          </w:tcPr>
          <w:p w14:paraId="7247145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Australasian Supply Chain Institute          </w:t>
            </w:r>
          </w:p>
        </w:tc>
      </w:tr>
      <w:tr w:rsidR="00637F84" w:rsidRPr="00C74C9D" w14:paraId="06866B65" w14:textId="77777777" w:rsidTr="008F5FA7">
        <w:trPr>
          <w:trHeight w:val="300"/>
        </w:trPr>
        <w:tc>
          <w:tcPr>
            <w:tcW w:w="7000" w:type="dxa"/>
            <w:noWrap/>
            <w:hideMark/>
          </w:tcPr>
          <w:p w14:paraId="46716041"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Fiji/PNG/Pacific Islands Business Councils </w:t>
            </w:r>
          </w:p>
        </w:tc>
      </w:tr>
      <w:tr w:rsidR="00637F84" w:rsidRPr="00C74C9D" w14:paraId="44DC628E" w14:textId="77777777" w:rsidTr="008F5FA7">
        <w:trPr>
          <w:trHeight w:val="300"/>
        </w:trPr>
        <w:tc>
          <w:tcPr>
            <w:tcW w:w="7000" w:type="dxa"/>
            <w:noWrap/>
            <w:hideMark/>
          </w:tcPr>
          <w:p w14:paraId="6DD2A3A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India Business Council</w:t>
            </w:r>
          </w:p>
        </w:tc>
      </w:tr>
      <w:tr w:rsidR="00637F84" w:rsidRPr="00C74C9D" w14:paraId="6B840DFE" w14:textId="77777777" w:rsidTr="008F5FA7">
        <w:trPr>
          <w:trHeight w:val="300"/>
        </w:trPr>
        <w:tc>
          <w:tcPr>
            <w:tcW w:w="7000" w:type="dxa"/>
            <w:noWrap/>
            <w:hideMark/>
          </w:tcPr>
          <w:p w14:paraId="55BDC038"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India Chamber of Commerce</w:t>
            </w:r>
          </w:p>
        </w:tc>
      </w:tr>
      <w:tr w:rsidR="00637F84" w:rsidRPr="00C74C9D" w14:paraId="273A19C8" w14:textId="77777777" w:rsidTr="008F5FA7">
        <w:trPr>
          <w:trHeight w:val="300"/>
        </w:trPr>
        <w:tc>
          <w:tcPr>
            <w:tcW w:w="7000" w:type="dxa"/>
            <w:noWrap/>
            <w:hideMark/>
          </w:tcPr>
          <w:p w14:paraId="4419A775"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India Institute</w:t>
            </w:r>
          </w:p>
        </w:tc>
      </w:tr>
      <w:tr w:rsidR="00637F84" w:rsidRPr="00C74C9D" w14:paraId="2C93A8D2" w14:textId="77777777" w:rsidTr="008F5FA7">
        <w:trPr>
          <w:trHeight w:val="300"/>
        </w:trPr>
        <w:tc>
          <w:tcPr>
            <w:tcW w:w="7000" w:type="dxa"/>
            <w:noWrap/>
            <w:hideMark/>
          </w:tcPr>
          <w:p w14:paraId="7AFBE52B"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Indonesia Business Council</w:t>
            </w:r>
          </w:p>
        </w:tc>
      </w:tr>
      <w:tr w:rsidR="00637F84" w:rsidRPr="00C74C9D" w14:paraId="656622AA" w14:textId="77777777" w:rsidTr="008F5FA7">
        <w:trPr>
          <w:trHeight w:val="300"/>
        </w:trPr>
        <w:tc>
          <w:tcPr>
            <w:tcW w:w="7000" w:type="dxa"/>
            <w:noWrap/>
            <w:hideMark/>
          </w:tcPr>
          <w:p w14:paraId="37C0400E"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Japan Business Co-operation Committee</w:t>
            </w:r>
          </w:p>
        </w:tc>
      </w:tr>
      <w:tr w:rsidR="00637F84" w:rsidRPr="00C74C9D" w14:paraId="0CCEBFAF" w14:textId="77777777" w:rsidTr="008F5FA7">
        <w:trPr>
          <w:trHeight w:val="300"/>
        </w:trPr>
        <w:tc>
          <w:tcPr>
            <w:tcW w:w="7000" w:type="dxa"/>
            <w:noWrap/>
            <w:hideMark/>
          </w:tcPr>
          <w:p w14:paraId="1A4CBBD6"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Australia Japan Society </w:t>
            </w:r>
          </w:p>
        </w:tc>
      </w:tr>
      <w:tr w:rsidR="00637F84" w:rsidRPr="00C74C9D" w14:paraId="750AAE1C" w14:textId="77777777" w:rsidTr="008F5FA7">
        <w:trPr>
          <w:trHeight w:val="300"/>
        </w:trPr>
        <w:tc>
          <w:tcPr>
            <w:tcW w:w="7000" w:type="dxa"/>
            <w:noWrap/>
            <w:hideMark/>
          </w:tcPr>
          <w:p w14:paraId="729C663A"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Malaysia Business Council</w:t>
            </w:r>
          </w:p>
        </w:tc>
      </w:tr>
      <w:tr w:rsidR="00637F84" w:rsidRPr="00C74C9D" w14:paraId="18BE6FB1" w14:textId="77777777" w:rsidTr="008F5FA7">
        <w:trPr>
          <w:trHeight w:val="300"/>
        </w:trPr>
        <w:tc>
          <w:tcPr>
            <w:tcW w:w="7000" w:type="dxa"/>
            <w:noWrap/>
            <w:hideMark/>
          </w:tcPr>
          <w:p w14:paraId="35C66FDE"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 Pacific Business Council</w:t>
            </w:r>
          </w:p>
        </w:tc>
      </w:tr>
      <w:tr w:rsidR="00637F84" w:rsidRPr="00C74C9D" w14:paraId="23CE03A5" w14:textId="77777777" w:rsidTr="008F5FA7">
        <w:trPr>
          <w:trHeight w:val="300"/>
        </w:trPr>
        <w:tc>
          <w:tcPr>
            <w:tcW w:w="7000" w:type="dxa"/>
            <w:noWrap/>
            <w:hideMark/>
          </w:tcPr>
          <w:p w14:paraId="5CCF9D2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Australia-India Council</w:t>
            </w:r>
          </w:p>
        </w:tc>
      </w:tr>
      <w:tr w:rsidR="00637F84" w:rsidRPr="00C74C9D" w14:paraId="7A840FE4" w14:textId="77777777" w:rsidTr="008F5FA7">
        <w:trPr>
          <w:trHeight w:val="300"/>
        </w:trPr>
        <w:tc>
          <w:tcPr>
            <w:tcW w:w="7000" w:type="dxa"/>
            <w:noWrap/>
            <w:hideMark/>
          </w:tcPr>
          <w:p w14:paraId="316E962D"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Australia-Korea Business Council</w:t>
            </w:r>
          </w:p>
        </w:tc>
      </w:tr>
      <w:tr w:rsidR="00637F84" w:rsidRPr="00C74C9D" w14:paraId="5AA0A9E5" w14:textId="77777777" w:rsidTr="008F5FA7">
        <w:trPr>
          <w:trHeight w:val="300"/>
        </w:trPr>
        <w:tc>
          <w:tcPr>
            <w:tcW w:w="7000" w:type="dxa"/>
            <w:noWrap/>
            <w:hideMark/>
          </w:tcPr>
          <w:p w14:paraId="37628BF9"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Australian Aluminium Council     </w:t>
            </w:r>
          </w:p>
        </w:tc>
      </w:tr>
      <w:tr w:rsidR="00637F84" w:rsidRPr="00C74C9D" w14:paraId="58DDE4AB" w14:textId="77777777" w:rsidTr="008F5FA7">
        <w:trPr>
          <w:trHeight w:val="300"/>
        </w:trPr>
        <w:tc>
          <w:tcPr>
            <w:tcW w:w="7000" w:type="dxa"/>
            <w:noWrap/>
            <w:hideMark/>
          </w:tcPr>
          <w:p w14:paraId="60A2993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APEC Study Centre</w:t>
            </w:r>
          </w:p>
        </w:tc>
      </w:tr>
      <w:tr w:rsidR="00637F84" w:rsidRPr="00C74C9D" w14:paraId="6622D4B2" w14:textId="77777777" w:rsidTr="008F5FA7">
        <w:trPr>
          <w:trHeight w:val="300"/>
        </w:trPr>
        <w:tc>
          <w:tcPr>
            <w:tcW w:w="7000" w:type="dxa"/>
            <w:noWrap/>
            <w:hideMark/>
          </w:tcPr>
          <w:p w14:paraId="539A6BB5"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Centre for International Trade and Investment</w:t>
            </w:r>
          </w:p>
        </w:tc>
      </w:tr>
      <w:tr w:rsidR="00637F84" w:rsidRPr="00C74C9D" w14:paraId="6C3351E7" w14:textId="77777777" w:rsidTr="008F5FA7">
        <w:trPr>
          <w:trHeight w:val="300"/>
        </w:trPr>
        <w:tc>
          <w:tcPr>
            <w:tcW w:w="7000" w:type="dxa"/>
            <w:noWrap/>
            <w:hideMark/>
          </w:tcPr>
          <w:p w14:paraId="6146979D"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Chamber of Commerce and Industry</w:t>
            </w:r>
          </w:p>
        </w:tc>
      </w:tr>
      <w:tr w:rsidR="00637F84" w:rsidRPr="00C74C9D" w14:paraId="4E408B9A" w14:textId="77777777" w:rsidTr="008F5FA7">
        <w:trPr>
          <w:trHeight w:val="300"/>
        </w:trPr>
        <w:tc>
          <w:tcPr>
            <w:tcW w:w="7000" w:type="dxa"/>
            <w:noWrap/>
            <w:hideMark/>
          </w:tcPr>
          <w:p w14:paraId="07D9EC0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Conservation Foundation</w:t>
            </w:r>
          </w:p>
        </w:tc>
      </w:tr>
      <w:tr w:rsidR="00637F84" w:rsidRPr="00C74C9D" w14:paraId="1BF6A70F" w14:textId="77777777" w:rsidTr="008F5FA7">
        <w:trPr>
          <w:trHeight w:val="300"/>
        </w:trPr>
        <w:tc>
          <w:tcPr>
            <w:tcW w:w="7000" w:type="dxa"/>
            <w:noWrap/>
            <w:hideMark/>
          </w:tcPr>
          <w:p w14:paraId="1D38829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Council of Trade Unions</w:t>
            </w:r>
          </w:p>
        </w:tc>
      </w:tr>
      <w:tr w:rsidR="00637F84" w:rsidRPr="00C74C9D" w14:paraId="52AE8E88" w14:textId="77777777" w:rsidTr="008F5FA7">
        <w:trPr>
          <w:trHeight w:val="300"/>
        </w:trPr>
        <w:tc>
          <w:tcPr>
            <w:tcW w:w="7000" w:type="dxa"/>
            <w:noWrap/>
            <w:hideMark/>
          </w:tcPr>
          <w:p w14:paraId="6073B9D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Digital and Telecommunications Industry Association</w:t>
            </w:r>
          </w:p>
        </w:tc>
      </w:tr>
      <w:tr w:rsidR="00637F84" w:rsidRPr="00C74C9D" w14:paraId="205854DD" w14:textId="77777777" w:rsidTr="008F5FA7">
        <w:trPr>
          <w:trHeight w:val="300"/>
        </w:trPr>
        <w:tc>
          <w:tcPr>
            <w:tcW w:w="7000" w:type="dxa"/>
            <w:noWrap/>
            <w:hideMark/>
          </w:tcPr>
          <w:p w14:paraId="0D9ECE2D"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Australian Food and Grocery Council       </w:t>
            </w:r>
          </w:p>
        </w:tc>
      </w:tr>
      <w:tr w:rsidR="00637F84" w:rsidRPr="00C74C9D" w14:paraId="1174B185" w14:textId="77777777" w:rsidTr="008F5FA7">
        <w:trPr>
          <w:trHeight w:val="300"/>
        </w:trPr>
        <w:tc>
          <w:tcPr>
            <w:tcW w:w="7000" w:type="dxa"/>
            <w:noWrap/>
            <w:hideMark/>
          </w:tcPr>
          <w:p w14:paraId="77BC64D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Grape and Wine</w:t>
            </w:r>
          </w:p>
        </w:tc>
      </w:tr>
      <w:tr w:rsidR="00637F84" w:rsidRPr="00C74C9D" w14:paraId="3A821909" w14:textId="77777777" w:rsidTr="008F5FA7">
        <w:trPr>
          <w:trHeight w:val="300"/>
        </w:trPr>
        <w:tc>
          <w:tcPr>
            <w:tcW w:w="7000" w:type="dxa"/>
            <w:noWrap/>
            <w:hideMark/>
          </w:tcPr>
          <w:p w14:paraId="44CAFE14"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Industry Group</w:t>
            </w:r>
          </w:p>
        </w:tc>
      </w:tr>
      <w:tr w:rsidR="00637F84" w:rsidRPr="00C74C9D" w14:paraId="2ED366EE" w14:textId="77777777" w:rsidTr="008F5FA7">
        <w:trPr>
          <w:trHeight w:val="300"/>
        </w:trPr>
        <w:tc>
          <w:tcPr>
            <w:tcW w:w="7000" w:type="dxa"/>
            <w:noWrap/>
            <w:hideMark/>
          </w:tcPr>
          <w:p w14:paraId="2C074AF5"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Institute for International Affairs</w:t>
            </w:r>
          </w:p>
        </w:tc>
      </w:tr>
      <w:tr w:rsidR="00637F84" w:rsidRPr="00C74C9D" w14:paraId="1F0F6BDB" w14:textId="77777777" w:rsidTr="008F5FA7">
        <w:trPr>
          <w:trHeight w:val="300"/>
        </w:trPr>
        <w:tc>
          <w:tcPr>
            <w:tcW w:w="7000" w:type="dxa"/>
            <w:noWrap/>
            <w:hideMark/>
          </w:tcPr>
          <w:p w14:paraId="7F208EB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Logistics Council</w:t>
            </w:r>
          </w:p>
        </w:tc>
      </w:tr>
      <w:tr w:rsidR="00637F84" w:rsidRPr="00C74C9D" w14:paraId="5749F51D" w14:textId="77777777" w:rsidTr="008F5FA7">
        <w:trPr>
          <w:trHeight w:val="300"/>
        </w:trPr>
        <w:tc>
          <w:tcPr>
            <w:tcW w:w="7000" w:type="dxa"/>
            <w:noWrap/>
            <w:hideMark/>
          </w:tcPr>
          <w:p w14:paraId="2DA969BB"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Manufacturing Workers Union</w:t>
            </w:r>
          </w:p>
        </w:tc>
      </w:tr>
      <w:tr w:rsidR="00637F84" w:rsidRPr="00C74C9D" w14:paraId="6AB6072F" w14:textId="77777777" w:rsidTr="008F5FA7">
        <w:trPr>
          <w:trHeight w:val="300"/>
        </w:trPr>
        <w:tc>
          <w:tcPr>
            <w:tcW w:w="7000" w:type="dxa"/>
            <w:noWrap/>
            <w:hideMark/>
          </w:tcPr>
          <w:p w14:paraId="4B4D2CA1"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lastRenderedPageBreak/>
              <w:t>Australian Meat Industry Council</w:t>
            </w:r>
          </w:p>
        </w:tc>
      </w:tr>
      <w:tr w:rsidR="00637F84" w:rsidRPr="00C74C9D" w14:paraId="4E1E0A3A" w14:textId="77777777" w:rsidTr="008F5FA7">
        <w:trPr>
          <w:trHeight w:val="300"/>
        </w:trPr>
        <w:tc>
          <w:tcPr>
            <w:tcW w:w="7000" w:type="dxa"/>
            <w:noWrap/>
            <w:hideMark/>
          </w:tcPr>
          <w:p w14:paraId="643E8916"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Organic Limited</w:t>
            </w:r>
          </w:p>
        </w:tc>
      </w:tr>
      <w:tr w:rsidR="00637F84" w:rsidRPr="00C74C9D" w14:paraId="1CDB7F4D" w14:textId="77777777" w:rsidTr="008F5FA7">
        <w:trPr>
          <w:trHeight w:val="300"/>
        </w:trPr>
        <w:tc>
          <w:tcPr>
            <w:tcW w:w="7000" w:type="dxa"/>
            <w:noWrap/>
            <w:hideMark/>
          </w:tcPr>
          <w:p w14:paraId="717B28DC"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Retailers Association </w:t>
            </w:r>
          </w:p>
        </w:tc>
      </w:tr>
      <w:tr w:rsidR="00637F84" w:rsidRPr="00C74C9D" w14:paraId="069D3935" w14:textId="77777777" w:rsidTr="008F5FA7">
        <w:trPr>
          <w:trHeight w:val="300"/>
        </w:trPr>
        <w:tc>
          <w:tcPr>
            <w:tcW w:w="7000" w:type="dxa"/>
            <w:noWrap/>
            <w:hideMark/>
          </w:tcPr>
          <w:p w14:paraId="2BAF7EB9"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Services Roundtable</w:t>
            </w:r>
          </w:p>
        </w:tc>
      </w:tr>
      <w:tr w:rsidR="00637F84" w:rsidRPr="00C74C9D" w14:paraId="4B2B87C3" w14:textId="77777777" w:rsidTr="008F5FA7">
        <w:trPr>
          <w:trHeight w:val="300"/>
        </w:trPr>
        <w:tc>
          <w:tcPr>
            <w:tcW w:w="7000" w:type="dxa"/>
            <w:hideMark/>
          </w:tcPr>
          <w:p w14:paraId="58A849FE"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Services Union</w:t>
            </w:r>
          </w:p>
        </w:tc>
      </w:tr>
      <w:tr w:rsidR="00637F84" w:rsidRPr="00C74C9D" w14:paraId="1C1849AD" w14:textId="77777777" w:rsidTr="008F5FA7">
        <w:trPr>
          <w:trHeight w:val="300"/>
        </w:trPr>
        <w:tc>
          <w:tcPr>
            <w:tcW w:w="7000" w:type="dxa"/>
            <w:noWrap/>
            <w:hideMark/>
          </w:tcPr>
          <w:p w14:paraId="600432A8"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Sugar Milling Council</w:t>
            </w:r>
          </w:p>
        </w:tc>
      </w:tr>
      <w:tr w:rsidR="00637F84" w:rsidRPr="00C74C9D" w14:paraId="275378C6" w14:textId="77777777" w:rsidTr="008F5FA7">
        <w:trPr>
          <w:trHeight w:val="300"/>
        </w:trPr>
        <w:tc>
          <w:tcPr>
            <w:tcW w:w="7000" w:type="dxa"/>
            <w:noWrap/>
            <w:hideMark/>
          </w:tcPr>
          <w:p w14:paraId="6ACF21E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Sustainable Finance Initiative</w:t>
            </w:r>
          </w:p>
        </w:tc>
      </w:tr>
      <w:tr w:rsidR="00637F84" w:rsidRPr="00C74C9D" w14:paraId="511464E5" w14:textId="77777777" w:rsidTr="008F5FA7">
        <w:trPr>
          <w:trHeight w:val="300"/>
        </w:trPr>
        <w:tc>
          <w:tcPr>
            <w:tcW w:w="7000" w:type="dxa"/>
            <w:noWrap/>
            <w:hideMark/>
          </w:tcPr>
          <w:p w14:paraId="484D1B1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Australian Sustainable Finance Institute</w:t>
            </w:r>
          </w:p>
        </w:tc>
      </w:tr>
      <w:tr w:rsidR="00637F84" w:rsidRPr="00C74C9D" w14:paraId="4D947126" w14:textId="77777777" w:rsidTr="008F5FA7">
        <w:trPr>
          <w:trHeight w:val="300"/>
        </w:trPr>
        <w:tc>
          <w:tcPr>
            <w:tcW w:w="7000" w:type="dxa"/>
            <w:noWrap/>
            <w:hideMark/>
          </w:tcPr>
          <w:p w14:paraId="166F797D"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BDO</w:t>
            </w:r>
          </w:p>
        </w:tc>
      </w:tr>
      <w:tr w:rsidR="00637F84" w:rsidRPr="00C74C9D" w14:paraId="0121C7C1" w14:textId="77777777" w:rsidTr="008F5FA7">
        <w:trPr>
          <w:trHeight w:val="300"/>
        </w:trPr>
        <w:tc>
          <w:tcPr>
            <w:tcW w:w="7000" w:type="dxa"/>
            <w:noWrap/>
            <w:hideMark/>
          </w:tcPr>
          <w:p w14:paraId="52C5963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BHP Group</w:t>
            </w:r>
          </w:p>
        </w:tc>
      </w:tr>
      <w:tr w:rsidR="00637F84" w:rsidRPr="00C74C9D" w14:paraId="75BF1855" w14:textId="77777777" w:rsidTr="008F5FA7">
        <w:trPr>
          <w:trHeight w:val="300"/>
        </w:trPr>
        <w:tc>
          <w:tcPr>
            <w:tcW w:w="7000" w:type="dxa"/>
            <w:noWrap/>
            <w:hideMark/>
          </w:tcPr>
          <w:p w14:paraId="07F8FAED"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BSA | The Software Alliance</w:t>
            </w:r>
          </w:p>
        </w:tc>
      </w:tr>
      <w:tr w:rsidR="00637F84" w:rsidRPr="00C74C9D" w14:paraId="347A5104" w14:textId="77777777" w:rsidTr="008F5FA7">
        <w:trPr>
          <w:trHeight w:val="300"/>
        </w:trPr>
        <w:tc>
          <w:tcPr>
            <w:tcW w:w="7000" w:type="dxa"/>
            <w:noWrap/>
            <w:hideMark/>
          </w:tcPr>
          <w:p w14:paraId="3F157019"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Business Council of Australia</w:t>
            </w:r>
          </w:p>
        </w:tc>
      </w:tr>
      <w:tr w:rsidR="00637F84" w:rsidRPr="00C74C9D" w14:paraId="5B76B65C" w14:textId="77777777" w:rsidTr="008F5FA7">
        <w:trPr>
          <w:trHeight w:val="300"/>
        </w:trPr>
        <w:tc>
          <w:tcPr>
            <w:tcW w:w="7000" w:type="dxa"/>
            <w:noWrap/>
            <w:hideMark/>
          </w:tcPr>
          <w:p w14:paraId="5382C97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Business Council of Co-operatives and Mutuals</w:t>
            </w:r>
          </w:p>
        </w:tc>
      </w:tr>
      <w:tr w:rsidR="00637F84" w:rsidRPr="00C74C9D" w14:paraId="2ADBA739" w14:textId="77777777" w:rsidTr="008F5FA7">
        <w:trPr>
          <w:trHeight w:val="300"/>
        </w:trPr>
        <w:tc>
          <w:tcPr>
            <w:tcW w:w="7000" w:type="dxa"/>
            <w:noWrap/>
            <w:hideMark/>
          </w:tcPr>
          <w:p w14:paraId="743EDE1B"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Business NSW</w:t>
            </w:r>
          </w:p>
        </w:tc>
      </w:tr>
      <w:tr w:rsidR="00637F84" w:rsidRPr="00C74C9D" w14:paraId="0663D7D9" w14:textId="77777777" w:rsidTr="008F5FA7">
        <w:trPr>
          <w:trHeight w:val="300"/>
        </w:trPr>
        <w:tc>
          <w:tcPr>
            <w:tcW w:w="7000" w:type="dxa"/>
            <w:noWrap/>
            <w:hideMark/>
          </w:tcPr>
          <w:p w14:paraId="47AB0176"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Canegrowers </w:t>
            </w:r>
          </w:p>
        </w:tc>
      </w:tr>
      <w:tr w:rsidR="00637F84" w:rsidRPr="00C74C9D" w14:paraId="55030337" w14:textId="77777777" w:rsidTr="008F5FA7">
        <w:trPr>
          <w:trHeight w:val="300"/>
        </w:trPr>
        <w:tc>
          <w:tcPr>
            <w:tcW w:w="7000" w:type="dxa"/>
            <w:noWrap/>
            <w:hideMark/>
          </w:tcPr>
          <w:p w14:paraId="3F5C5A5A"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CapralLimited</w:t>
            </w:r>
            <w:proofErr w:type="spellEnd"/>
          </w:p>
        </w:tc>
      </w:tr>
      <w:tr w:rsidR="00637F84" w:rsidRPr="00C74C9D" w14:paraId="48330734" w14:textId="77777777" w:rsidTr="008F5FA7">
        <w:trPr>
          <w:trHeight w:val="300"/>
        </w:trPr>
        <w:tc>
          <w:tcPr>
            <w:tcW w:w="7000" w:type="dxa"/>
            <w:noWrap/>
            <w:hideMark/>
          </w:tcPr>
          <w:p w14:paraId="6F9F2A9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Carbon Disclosure Project</w:t>
            </w:r>
          </w:p>
        </w:tc>
      </w:tr>
      <w:tr w:rsidR="00637F84" w:rsidRPr="00C74C9D" w14:paraId="17476A17" w14:textId="77777777" w:rsidTr="008F5FA7">
        <w:trPr>
          <w:trHeight w:val="300"/>
        </w:trPr>
        <w:tc>
          <w:tcPr>
            <w:tcW w:w="7000" w:type="dxa"/>
            <w:noWrap/>
            <w:hideMark/>
          </w:tcPr>
          <w:p w14:paraId="68A8300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CBH Group</w:t>
            </w:r>
          </w:p>
        </w:tc>
      </w:tr>
      <w:tr w:rsidR="00637F84" w:rsidRPr="00C74C9D" w14:paraId="6F128310" w14:textId="77777777" w:rsidTr="008F5FA7">
        <w:trPr>
          <w:trHeight w:val="300"/>
        </w:trPr>
        <w:tc>
          <w:tcPr>
            <w:tcW w:w="7000" w:type="dxa"/>
            <w:noWrap/>
            <w:hideMark/>
          </w:tcPr>
          <w:p w14:paraId="29BDBD4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CFMEU</w:t>
            </w:r>
          </w:p>
        </w:tc>
      </w:tr>
      <w:tr w:rsidR="00637F84" w:rsidRPr="00C74C9D" w14:paraId="51D084D3" w14:textId="77777777" w:rsidTr="008F5FA7">
        <w:trPr>
          <w:trHeight w:val="300"/>
        </w:trPr>
        <w:tc>
          <w:tcPr>
            <w:tcW w:w="7000" w:type="dxa"/>
            <w:noWrap/>
            <w:hideMark/>
          </w:tcPr>
          <w:p w14:paraId="343AE0D8"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Chamber of Commerce and Industry Australia Philippines</w:t>
            </w:r>
          </w:p>
        </w:tc>
      </w:tr>
      <w:tr w:rsidR="00637F84" w:rsidRPr="00C74C9D" w14:paraId="417BEA54" w14:textId="77777777" w:rsidTr="008F5FA7">
        <w:trPr>
          <w:trHeight w:val="300"/>
        </w:trPr>
        <w:tc>
          <w:tcPr>
            <w:tcW w:w="7000" w:type="dxa"/>
            <w:noWrap/>
            <w:hideMark/>
          </w:tcPr>
          <w:p w14:paraId="478481F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Chamber of Commerce and Industry WA</w:t>
            </w:r>
          </w:p>
        </w:tc>
      </w:tr>
      <w:tr w:rsidR="00637F84" w:rsidRPr="00C74C9D" w14:paraId="36EDB442" w14:textId="77777777" w:rsidTr="008F5FA7">
        <w:trPr>
          <w:trHeight w:val="300"/>
        </w:trPr>
        <w:tc>
          <w:tcPr>
            <w:tcW w:w="7000" w:type="dxa"/>
            <w:noWrap/>
            <w:hideMark/>
          </w:tcPr>
          <w:p w14:paraId="49D9786C"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Chartered Institute of Procurement and Supply</w:t>
            </w:r>
          </w:p>
        </w:tc>
      </w:tr>
      <w:tr w:rsidR="00637F84" w:rsidRPr="00C74C9D" w14:paraId="38E9EFCD" w14:textId="77777777" w:rsidTr="008F5FA7">
        <w:trPr>
          <w:trHeight w:val="300"/>
        </w:trPr>
        <w:tc>
          <w:tcPr>
            <w:tcW w:w="7000" w:type="dxa"/>
            <w:noWrap/>
            <w:hideMark/>
          </w:tcPr>
          <w:p w14:paraId="5829067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Cicada Innovation</w:t>
            </w:r>
          </w:p>
        </w:tc>
      </w:tr>
      <w:tr w:rsidR="00637F84" w:rsidRPr="00C74C9D" w14:paraId="28DAD2AD" w14:textId="77777777" w:rsidTr="008F5FA7">
        <w:trPr>
          <w:trHeight w:val="300"/>
        </w:trPr>
        <w:tc>
          <w:tcPr>
            <w:tcW w:w="7000" w:type="dxa"/>
            <w:hideMark/>
          </w:tcPr>
          <w:p w14:paraId="01A16CE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Clean Energy Council </w:t>
            </w:r>
          </w:p>
        </w:tc>
      </w:tr>
      <w:tr w:rsidR="00637F84" w:rsidRPr="00C74C9D" w14:paraId="03866626" w14:textId="77777777" w:rsidTr="008F5FA7">
        <w:trPr>
          <w:trHeight w:val="300"/>
        </w:trPr>
        <w:tc>
          <w:tcPr>
            <w:tcW w:w="7000" w:type="dxa"/>
            <w:noWrap/>
            <w:hideMark/>
          </w:tcPr>
          <w:p w14:paraId="6DD0EFA4"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Climateworks</w:t>
            </w:r>
            <w:proofErr w:type="spellEnd"/>
            <w:r w:rsidRPr="00C74C9D">
              <w:rPr>
                <w:rFonts w:asciiTheme="minorHAnsi" w:hAnsiTheme="minorHAnsi" w:cstheme="minorHAnsi"/>
              </w:rPr>
              <w:t xml:space="preserve"> Australia</w:t>
            </w:r>
          </w:p>
        </w:tc>
      </w:tr>
      <w:tr w:rsidR="00637F84" w:rsidRPr="00C74C9D" w14:paraId="4222B3A4" w14:textId="77777777" w:rsidTr="008F5FA7">
        <w:trPr>
          <w:trHeight w:val="300"/>
        </w:trPr>
        <w:tc>
          <w:tcPr>
            <w:tcW w:w="7000" w:type="dxa"/>
            <w:noWrap/>
            <w:hideMark/>
          </w:tcPr>
          <w:p w14:paraId="5609698A"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Community and Public Sector Union</w:t>
            </w:r>
          </w:p>
        </w:tc>
      </w:tr>
      <w:tr w:rsidR="00637F84" w:rsidRPr="00C74C9D" w14:paraId="1E0401A6" w14:textId="77777777" w:rsidTr="008F5FA7">
        <w:trPr>
          <w:trHeight w:val="300"/>
        </w:trPr>
        <w:tc>
          <w:tcPr>
            <w:tcW w:w="7000" w:type="dxa"/>
            <w:noWrap/>
            <w:hideMark/>
          </w:tcPr>
          <w:p w14:paraId="4852729E"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Complementary Medicines Australia</w:t>
            </w:r>
          </w:p>
        </w:tc>
      </w:tr>
      <w:tr w:rsidR="00637F84" w:rsidRPr="00C74C9D" w14:paraId="53C694D3" w14:textId="77777777" w:rsidTr="008F5FA7">
        <w:trPr>
          <w:trHeight w:val="300"/>
        </w:trPr>
        <w:tc>
          <w:tcPr>
            <w:tcW w:w="7000" w:type="dxa"/>
            <w:noWrap/>
            <w:hideMark/>
          </w:tcPr>
          <w:p w14:paraId="1AC0068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Consumer Healthcare Products Australia</w:t>
            </w:r>
          </w:p>
        </w:tc>
      </w:tr>
      <w:tr w:rsidR="00637F84" w:rsidRPr="00C74C9D" w14:paraId="61540A4F" w14:textId="77777777" w:rsidTr="008F5FA7">
        <w:trPr>
          <w:trHeight w:val="300"/>
        </w:trPr>
        <w:tc>
          <w:tcPr>
            <w:tcW w:w="7000" w:type="dxa"/>
            <w:noWrap/>
            <w:hideMark/>
          </w:tcPr>
          <w:p w14:paraId="04483634"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COSBOA</w:t>
            </w:r>
          </w:p>
        </w:tc>
      </w:tr>
      <w:tr w:rsidR="00637F84" w:rsidRPr="00C74C9D" w14:paraId="09A88908" w14:textId="77777777" w:rsidTr="008F5FA7">
        <w:trPr>
          <w:trHeight w:val="300"/>
        </w:trPr>
        <w:tc>
          <w:tcPr>
            <w:tcW w:w="7000" w:type="dxa"/>
            <w:noWrap/>
            <w:hideMark/>
          </w:tcPr>
          <w:p w14:paraId="701C52FC"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Crawford School of Public Policy, ANU</w:t>
            </w:r>
          </w:p>
        </w:tc>
      </w:tr>
      <w:tr w:rsidR="00637F84" w:rsidRPr="00C74C9D" w14:paraId="3ABE8983" w14:textId="77777777" w:rsidTr="008F5FA7">
        <w:trPr>
          <w:trHeight w:val="300"/>
        </w:trPr>
        <w:tc>
          <w:tcPr>
            <w:tcW w:w="7000" w:type="dxa"/>
            <w:noWrap/>
            <w:hideMark/>
          </w:tcPr>
          <w:p w14:paraId="219DB89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Crop Life</w:t>
            </w:r>
          </w:p>
        </w:tc>
      </w:tr>
      <w:tr w:rsidR="00637F84" w:rsidRPr="00C74C9D" w14:paraId="4A634833" w14:textId="77777777" w:rsidTr="008F5FA7">
        <w:trPr>
          <w:trHeight w:val="300"/>
        </w:trPr>
        <w:tc>
          <w:tcPr>
            <w:tcW w:w="7000" w:type="dxa"/>
            <w:noWrap/>
            <w:hideMark/>
          </w:tcPr>
          <w:p w14:paraId="3AAE4394"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CSL Behring</w:t>
            </w:r>
          </w:p>
        </w:tc>
      </w:tr>
      <w:tr w:rsidR="00637F84" w:rsidRPr="00C74C9D" w14:paraId="6B199643" w14:textId="77777777" w:rsidTr="008F5FA7">
        <w:trPr>
          <w:trHeight w:val="300"/>
        </w:trPr>
        <w:tc>
          <w:tcPr>
            <w:tcW w:w="7000" w:type="dxa"/>
            <w:noWrap/>
            <w:hideMark/>
          </w:tcPr>
          <w:p w14:paraId="5DD5B8A6"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Dairy Australia</w:t>
            </w:r>
          </w:p>
        </w:tc>
      </w:tr>
      <w:tr w:rsidR="00637F84" w:rsidRPr="00C74C9D" w14:paraId="41895CFC" w14:textId="77777777" w:rsidTr="008F5FA7">
        <w:trPr>
          <w:trHeight w:val="300"/>
        </w:trPr>
        <w:tc>
          <w:tcPr>
            <w:tcW w:w="7000" w:type="dxa"/>
            <w:noWrap/>
            <w:hideMark/>
          </w:tcPr>
          <w:p w14:paraId="4FA6800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Deloitte</w:t>
            </w:r>
          </w:p>
        </w:tc>
      </w:tr>
      <w:tr w:rsidR="00637F84" w:rsidRPr="00C74C9D" w14:paraId="03F63118" w14:textId="77777777" w:rsidTr="008F5FA7">
        <w:trPr>
          <w:trHeight w:val="300"/>
        </w:trPr>
        <w:tc>
          <w:tcPr>
            <w:tcW w:w="7000" w:type="dxa"/>
            <w:noWrap/>
            <w:hideMark/>
          </w:tcPr>
          <w:p w14:paraId="4DC11958"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Entrepreneurs’ Programme, </w:t>
            </w:r>
            <w:proofErr w:type="spellStart"/>
            <w:r w:rsidRPr="00C74C9D">
              <w:rPr>
                <w:rFonts w:asciiTheme="minorHAnsi" w:hAnsiTheme="minorHAnsi" w:cstheme="minorHAnsi"/>
              </w:rPr>
              <w:t>AusIndustry</w:t>
            </w:r>
            <w:proofErr w:type="spellEnd"/>
          </w:p>
        </w:tc>
      </w:tr>
      <w:tr w:rsidR="00637F84" w:rsidRPr="00C74C9D" w14:paraId="495F7DB9" w14:textId="77777777" w:rsidTr="008F5FA7">
        <w:trPr>
          <w:trHeight w:val="300"/>
        </w:trPr>
        <w:tc>
          <w:tcPr>
            <w:tcW w:w="7000" w:type="dxa"/>
            <w:noWrap/>
            <w:hideMark/>
          </w:tcPr>
          <w:p w14:paraId="16C61D52"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Exemplar</w:t>
            </w:r>
          </w:p>
        </w:tc>
      </w:tr>
      <w:tr w:rsidR="00637F84" w:rsidRPr="00C74C9D" w14:paraId="5D5604BA" w14:textId="77777777" w:rsidTr="008F5FA7">
        <w:trPr>
          <w:trHeight w:val="300"/>
        </w:trPr>
        <w:tc>
          <w:tcPr>
            <w:tcW w:w="7000" w:type="dxa"/>
            <w:hideMark/>
          </w:tcPr>
          <w:p w14:paraId="6F66FF1E"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Export Council of Australia</w:t>
            </w:r>
          </w:p>
        </w:tc>
      </w:tr>
      <w:tr w:rsidR="00637F84" w:rsidRPr="00C74C9D" w14:paraId="4D394005" w14:textId="77777777" w:rsidTr="008F5FA7">
        <w:trPr>
          <w:trHeight w:val="300"/>
        </w:trPr>
        <w:tc>
          <w:tcPr>
            <w:tcW w:w="7000" w:type="dxa"/>
            <w:noWrap/>
            <w:hideMark/>
          </w:tcPr>
          <w:p w14:paraId="480043E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EY</w:t>
            </w:r>
          </w:p>
        </w:tc>
      </w:tr>
      <w:tr w:rsidR="00637F84" w:rsidRPr="00C74C9D" w14:paraId="18A1237C" w14:textId="77777777" w:rsidTr="008F5FA7">
        <w:trPr>
          <w:trHeight w:val="300"/>
        </w:trPr>
        <w:tc>
          <w:tcPr>
            <w:tcW w:w="7000" w:type="dxa"/>
            <w:noWrap/>
            <w:hideMark/>
          </w:tcPr>
          <w:p w14:paraId="2859D084"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 xml:space="preserve">Fairtrade Australia </w:t>
            </w:r>
            <w:proofErr w:type="spellStart"/>
            <w:r w:rsidRPr="00C74C9D">
              <w:rPr>
                <w:rFonts w:asciiTheme="minorHAnsi" w:hAnsiTheme="minorHAnsi" w:cstheme="minorHAnsi"/>
              </w:rPr>
              <w:t>ad</w:t>
            </w:r>
            <w:proofErr w:type="spellEnd"/>
            <w:r w:rsidRPr="00C74C9D">
              <w:rPr>
                <w:rFonts w:asciiTheme="minorHAnsi" w:hAnsiTheme="minorHAnsi" w:cstheme="minorHAnsi"/>
              </w:rPr>
              <w:t xml:space="preserve"> New Zealand</w:t>
            </w:r>
          </w:p>
        </w:tc>
      </w:tr>
      <w:tr w:rsidR="00637F84" w:rsidRPr="00C74C9D" w14:paraId="05138326" w14:textId="77777777" w:rsidTr="008F5FA7">
        <w:trPr>
          <w:trHeight w:val="300"/>
        </w:trPr>
        <w:tc>
          <w:tcPr>
            <w:tcW w:w="7000" w:type="dxa"/>
            <w:hideMark/>
          </w:tcPr>
          <w:p w14:paraId="78DB031E"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FinTech Australia</w:t>
            </w:r>
          </w:p>
        </w:tc>
      </w:tr>
      <w:tr w:rsidR="00637F84" w:rsidRPr="00C74C9D" w14:paraId="4BDBB2B1" w14:textId="77777777" w:rsidTr="008F5FA7">
        <w:trPr>
          <w:trHeight w:val="300"/>
        </w:trPr>
        <w:tc>
          <w:tcPr>
            <w:tcW w:w="7000" w:type="dxa"/>
            <w:noWrap/>
            <w:hideMark/>
          </w:tcPr>
          <w:p w14:paraId="589AF5FC"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Freight &amp; Trade Alliance / Australian Peak Shippers Association</w:t>
            </w:r>
          </w:p>
        </w:tc>
      </w:tr>
      <w:tr w:rsidR="00637F84" w:rsidRPr="00C74C9D" w14:paraId="609A17F9" w14:textId="77777777" w:rsidTr="008F5FA7">
        <w:trPr>
          <w:trHeight w:val="300"/>
        </w:trPr>
        <w:tc>
          <w:tcPr>
            <w:tcW w:w="7000" w:type="dxa"/>
            <w:noWrap/>
            <w:hideMark/>
          </w:tcPr>
          <w:p w14:paraId="46630A9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Friends of the Earth</w:t>
            </w:r>
          </w:p>
        </w:tc>
      </w:tr>
      <w:tr w:rsidR="00637F84" w:rsidRPr="00C74C9D" w14:paraId="357E6F85" w14:textId="77777777" w:rsidTr="008F5FA7">
        <w:trPr>
          <w:trHeight w:val="300"/>
        </w:trPr>
        <w:tc>
          <w:tcPr>
            <w:tcW w:w="7000" w:type="dxa"/>
            <w:noWrap/>
            <w:hideMark/>
          </w:tcPr>
          <w:p w14:paraId="1296927D"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lastRenderedPageBreak/>
              <w:t>FundWA</w:t>
            </w:r>
            <w:proofErr w:type="spellEnd"/>
          </w:p>
        </w:tc>
      </w:tr>
      <w:tr w:rsidR="00637F84" w:rsidRPr="00C74C9D" w14:paraId="7D5C59C5" w14:textId="77777777" w:rsidTr="008F5FA7">
        <w:trPr>
          <w:trHeight w:val="300"/>
        </w:trPr>
        <w:tc>
          <w:tcPr>
            <w:tcW w:w="7000" w:type="dxa"/>
            <w:noWrap/>
            <w:hideMark/>
          </w:tcPr>
          <w:p w14:paraId="4E891E4D"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Future Battery Industries</w:t>
            </w:r>
          </w:p>
        </w:tc>
      </w:tr>
      <w:tr w:rsidR="00637F84" w:rsidRPr="00C74C9D" w14:paraId="488F2BF9" w14:textId="77777777" w:rsidTr="008F5FA7">
        <w:trPr>
          <w:trHeight w:val="300"/>
        </w:trPr>
        <w:tc>
          <w:tcPr>
            <w:tcW w:w="7000" w:type="dxa"/>
            <w:noWrap/>
            <w:hideMark/>
          </w:tcPr>
          <w:p w14:paraId="5AECC6B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Gladstone Ports Corporation </w:t>
            </w:r>
          </w:p>
        </w:tc>
      </w:tr>
      <w:tr w:rsidR="00637F84" w:rsidRPr="00C74C9D" w14:paraId="2E78DD00" w14:textId="77777777" w:rsidTr="008F5FA7">
        <w:trPr>
          <w:trHeight w:val="300"/>
        </w:trPr>
        <w:tc>
          <w:tcPr>
            <w:tcW w:w="7000" w:type="dxa"/>
            <w:noWrap/>
            <w:hideMark/>
          </w:tcPr>
          <w:p w14:paraId="3796C7B9"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Global Union Federation, Public Services International (PSI)</w:t>
            </w:r>
          </w:p>
        </w:tc>
      </w:tr>
      <w:tr w:rsidR="00637F84" w:rsidRPr="00C74C9D" w14:paraId="6DC3F5D3" w14:textId="77777777" w:rsidTr="008F5FA7">
        <w:trPr>
          <w:trHeight w:val="300"/>
        </w:trPr>
        <w:tc>
          <w:tcPr>
            <w:tcW w:w="7000" w:type="dxa"/>
            <w:noWrap/>
            <w:hideMark/>
          </w:tcPr>
          <w:p w14:paraId="6DC305D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Grant Thornton</w:t>
            </w:r>
          </w:p>
        </w:tc>
      </w:tr>
      <w:tr w:rsidR="00637F84" w:rsidRPr="00C74C9D" w14:paraId="3D0F8346" w14:textId="77777777" w:rsidTr="008F5FA7">
        <w:trPr>
          <w:trHeight w:val="300"/>
        </w:trPr>
        <w:tc>
          <w:tcPr>
            <w:tcW w:w="7000" w:type="dxa"/>
            <w:noWrap/>
            <w:hideMark/>
          </w:tcPr>
          <w:p w14:paraId="11BA8F1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Group of Eight</w:t>
            </w:r>
          </w:p>
        </w:tc>
      </w:tr>
      <w:tr w:rsidR="00637F84" w:rsidRPr="00C74C9D" w14:paraId="0CB6AF5A" w14:textId="77777777" w:rsidTr="008F5FA7">
        <w:trPr>
          <w:trHeight w:val="300"/>
        </w:trPr>
        <w:tc>
          <w:tcPr>
            <w:tcW w:w="7000" w:type="dxa"/>
            <w:noWrap/>
            <w:hideMark/>
          </w:tcPr>
          <w:p w14:paraId="172BF730"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H2Q Hydrogen Queensland </w:t>
            </w:r>
          </w:p>
        </w:tc>
      </w:tr>
      <w:tr w:rsidR="00637F84" w:rsidRPr="00C74C9D" w14:paraId="43871314" w14:textId="77777777" w:rsidTr="008F5FA7">
        <w:trPr>
          <w:trHeight w:val="300"/>
        </w:trPr>
        <w:tc>
          <w:tcPr>
            <w:tcW w:w="7000" w:type="dxa"/>
            <w:noWrap/>
            <w:hideMark/>
          </w:tcPr>
          <w:p w14:paraId="5771CB0A"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HH Global</w:t>
            </w:r>
          </w:p>
        </w:tc>
      </w:tr>
      <w:tr w:rsidR="00637F84" w:rsidRPr="00C74C9D" w14:paraId="337150C0" w14:textId="77777777" w:rsidTr="008F5FA7">
        <w:trPr>
          <w:trHeight w:val="300"/>
        </w:trPr>
        <w:tc>
          <w:tcPr>
            <w:tcW w:w="7000" w:type="dxa"/>
            <w:noWrap/>
            <w:hideMark/>
          </w:tcPr>
          <w:p w14:paraId="2FF3B4F1"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Indigenous Network for Investment, Trade and Export</w:t>
            </w:r>
          </w:p>
        </w:tc>
      </w:tr>
      <w:tr w:rsidR="00637F84" w:rsidRPr="00C74C9D" w14:paraId="62DB65EA" w14:textId="77777777" w:rsidTr="008F5FA7">
        <w:trPr>
          <w:trHeight w:val="300"/>
        </w:trPr>
        <w:tc>
          <w:tcPr>
            <w:tcW w:w="7000" w:type="dxa"/>
            <w:noWrap/>
            <w:hideMark/>
          </w:tcPr>
          <w:p w14:paraId="1D33AF5E"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InfraBuild</w:t>
            </w:r>
            <w:proofErr w:type="spellEnd"/>
            <w:r w:rsidRPr="00C74C9D">
              <w:rPr>
                <w:rFonts w:asciiTheme="minorHAnsi" w:hAnsiTheme="minorHAnsi" w:cstheme="minorHAnsi"/>
              </w:rPr>
              <w:t xml:space="preserve"> Steel (Representing Manufacturers’ Trade Alliance)</w:t>
            </w:r>
          </w:p>
        </w:tc>
      </w:tr>
      <w:tr w:rsidR="00637F84" w:rsidRPr="00C74C9D" w14:paraId="0CEDB0F2" w14:textId="77777777" w:rsidTr="008F5FA7">
        <w:trPr>
          <w:trHeight w:val="300"/>
        </w:trPr>
        <w:tc>
          <w:tcPr>
            <w:tcW w:w="7000" w:type="dxa"/>
            <w:noWrap/>
            <w:hideMark/>
          </w:tcPr>
          <w:p w14:paraId="15E1A7C3"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INSEAD Business School</w:t>
            </w:r>
          </w:p>
        </w:tc>
      </w:tr>
      <w:tr w:rsidR="00637F84" w:rsidRPr="00C74C9D" w14:paraId="31979F14" w14:textId="77777777" w:rsidTr="008F5FA7">
        <w:trPr>
          <w:trHeight w:val="300"/>
        </w:trPr>
        <w:tc>
          <w:tcPr>
            <w:tcW w:w="7000" w:type="dxa"/>
            <w:noWrap/>
            <w:hideMark/>
          </w:tcPr>
          <w:p w14:paraId="15A9E3DF"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International Forwarders &amp; Customs Brokers Association of Australia Ltd.</w:t>
            </w:r>
          </w:p>
        </w:tc>
      </w:tr>
      <w:tr w:rsidR="00637F84" w:rsidRPr="00C74C9D" w14:paraId="4BAE2706" w14:textId="77777777" w:rsidTr="008F5FA7">
        <w:trPr>
          <w:trHeight w:val="300"/>
        </w:trPr>
        <w:tc>
          <w:tcPr>
            <w:tcW w:w="7000" w:type="dxa"/>
            <w:noWrap/>
            <w:hideMark/>
          </w:tcPr>
          <w:p w14:paraId="20BE9D88"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IQ Energy Australia</w:t>
            </w:r>
          </w:p>
        </w:tc>
      </w:tr>
      <w:tr w:rsidR="00637F84" w:rsidRPr="00C74C9D" w14:paraId="10C653FC" w14:textId="77777777" w:rsidTr="008F5FA7">
        <w:trPr>
          <w:trHeight w:val="300"/>
        </w:trPr>
        <w:tc>
          <w:tcPr>
            <w:tcW w:w="7000" w:type="dxa"/>
            <w:noWrap/>
            <w:hideMark/>
          </w:tcPr>
          <w:p w14:paraId="731BE8FE" w14:textId="77777777" w:rsidR="00637F84" w:rsidRPr="00C74C9D" w:rsidRDefault="00637F84" w:rsidP="001C343B">
            <w:pPr>
              <w:pStyle w:val="ListParagraph"/>
              <w:numPr>
                <w:ilvl w:val="0"/>
                <w:numId w:val="4"/>
              </w:numPr>
              <w:rPr>
                <w:rFonts w:asciiTheme="minorHAnsi" w:hAnsiTheme="minorHAnsi" w:cstheme="minorHAnsi"/>
              </w:rPr>
            </w:pPr>
            <w:proofErr w:type="spellStart"/>
            <w:r w:rsidRPr="00C74C9D">
              <w:rPr>
                <w:rFonts w:asciiTheme="minorHAnsi" w:hAnsiTheme="minorHAnsi" w:cstheme="minorHAnsi"/>
              </w:rPr>
              <w:t>Lifespace</w:t>
            </w:r>
            <w:proofErr w:type="spellEnd"/>
            <w:r w:rsidRPr="00C74C9D">
              <w:rPr>
                <w:rFonts w:asciiTheme="minorHAnsi" w:hAnsiTheme="minorHAnsi" w:cstheme="minorHAnsi"/>
              </w:rPr>
              <w:t xml:space="preserve"> Australia</w:t>
            </w:r>
          </w:p>
        </w:tc>
      </w:tr>
      <w:tr w:rsidR="00637F84" w:rsidRPr="00C74C9D" w14:paraId="7D6A2517" w14:textId="77777777" w:rsidTr="008F5FA7">
        <w:trPr>
          <w:trHeight w:val="300"/>
        </w:trPr>
        <w:tc>
          <w:tcPr>
            <w:tcW w:w="7000" w:type="dxa"/>
            <w:noWrap/>
            <w:hideMark/>
          </w:tcPr>
          <w:p w14:paraId="239099D4"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Lowy Institute</w:t>
            </w:r>
          </w:p>
        </w:tc>
      </w:tr>
      <w:tr w:rsidR="00637F84" w:rsidRPr="00C74C9D" w14:paraId="51B57670" w14:textId="77777777" w:rsidTr="008F5FA7">
        <w:trPr>
          <w:trHeight w:val="300"/>
        </w:trPr>
        <w:tc>
          <w:tcPr>
            <w:tcW w:w="7000" w:type="dxa"/>
            <w:noWrap/>
            <w:hideMark/>
          </w:tcPr>
          <w:p w14:paraId="6C1DE3B5"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Manufacturing Australia</w:t>
            </w:r>
          </w:p>
        </w:tc>
      </w:tr>
      <w:tr w:rsidR="00637F84" w:rsidRPr="00C74C9D" w14:paraId="04494F90" w14:textId="77777777" w:rsidTr="008F5FA7">
        <w:trPr>
          <w:trHeight w:val="300"/>
        </w:trPr>
        <w:tc>
          <w:tcPr>
            <w:tcW w:w="7000" w:type="dxa"/>
            <w:noWrap/>
            <w:hideMark/>
          </w:tcPr>
          <w:p w14:paraId="398D7EE1"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Maritime Industry Australia</w:t>
            </w:r>
          </w:p>
        </w:tc>
      </w:tr>
      <w:tr w:rsidR="00637F84" w:rsidRPr="00C74C9D" w14:paraId="7D1051C6" w14:textId="77777777" w:rsidTr="008F5FA7">
        <w:trPr>
          <w:trHeight w:val="300"/>
        </w:trPr>
        <w:tc>
          <w:tcPr>
            <w:tcW w:w="7000" w:type="dxa"/>
            <w:noWrap/>
            <w:hideMark/>
          </w:tcPr>
          <w:p w14:paraId="0B7E0847" w14:textId="77777777" w:rsidR="00637F84" w:rsidRPr="00C74C9D" w:rsidRDefault="00637F84" w:rsidP="001C343B">
            <w:pPr>
              <w:pStyle w:val="ListParagraph"/>
              <w:numPr>
                <w:ilvl w:val="0"/>
                <w:numId w:val="4"/>
              </w:numPr>
              <w:rPr>
                <w:rFonts w:asciiTheme="minorHAnsi" w:hAnsiTheme="minorHAnsi" w:cstheme="minorHAnsi"/>
              </w:rPr>
            </w:pPr>
            <w:r w:rsidRPr="00C74C9D">
              <w:rPr>
                <w:rFonts w:asciiTheme="minorHAnsi" w:hAnsiTheme="minorHAnsi" w:cstheme="minorHAnsi"/>
              </w:rPr>
              <w:t>Meat and Livestock Australia (MLA)</w:t>
            </w:r>
          </w:p>
        </w:tc>
      </w:tr>
      <w:tr w:rsidR="00637F84" w:rsidRPr="00EB6146" w14:paraId="79B7561D" w14:textId="77777777" w:rsidTr="008F5FA7">
        <w:trPr>
          <w:trHeight w:val="300"/>
        </w:trPr>
        <w:tc>
          <w:tcPr>
            <w:tcW w:w="7000" w:type="dxa"/>
            <w:noWrap/>
            <w:hideMark/>
          </w:tcPr>
          <w:p w14:paraId="761E0BCB" w14:textId="77777777" w:rsidR="00637F84" w:rsidRPr="00EB6146" w:rsidRDefault="00637F84" w:rsidP="001C343B">
            <w:pPr>
              <w:pStyle w:val="ListParagraph"/>
              <w:numPr>
                <w:ilvl w:val="0"/>
                <w:numId w:val="4"/>
              </w:numPr>
              <w:ind w:left="600"/>
              <w:rPr>
                <w:rFonts w:cstheme="minorHAnsi"/>
              </w:rPr>
            </w:pPr>
            <w:r w:rsidRPr="00EB6146">
              <w:rPr>
                <w:rFonts w:cstheme="minorHAnsi"/>
              </w:rPr>
              <w:t>Medical Technology Association of Australia</w:t>
            </w:r>
          </w:p>
        </w:tc>
      </w:tr>
      <w:tr w:rsidR="00637F84" w:rsidRPr="00C74C9D" w14:paraId="1AA5CF03" w14:textId="77777777" w:rsidTr="008F5FA7">
        <w:trPr>
          <w:trHeight w:val="300"/>
        </w:trPr>
        <w:tc>
          <w:tcPr>
            <w:tcW w:w="7000" w:type="dxa"/>
            <w:noWrap/>
            <w:hideMark/>
          </w:tcPr>
          <w:p w14:paraId="096FA1FB"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Medtronic</w:t>
            </w:r>
          </w:p>
        </w:tc>
      </w:tr>
      <w:tr w:rsidR="00637F84" w:rsidRPr="00C74C9D" w14:paraId="29E33D99" w14:textId="77777777" w:rsidTr="008F5FA7">
        <w:trPr>
          <w:trHeight w:val="300"/>
        </w:trPr>
        <w:tc>
          <w:tcPr>
            <w:tcW w:w="7000" w:type="dxa"/>
            <w:noWrap/>
            <w:hideMark/>
          </w:tcPr>
          <w:p w14:paraId="66035BBD"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MetLife</w:t>
            </w:r>
          </w:p>
        </w:tc>
      </w:tr>
      <w:tr w:rsidR="00637F84" w:rsidRPr="00C74C9D" w14:paraId="705F594F" w14:textId="77777777" w:rsidTr="008F5FA7">
        <w:trPr>
          <w:trHeight w:val="300"/>
        </w:trPr>
        <w:tc>
          <w:tcPr>
            <w:tcW w:w="7000" w:type="dxa"/>
            <w:noWrap/>
            <w:hideMark/>
          </w:tcPr>
          <w:p w14:paraId="0DBEEB8E"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Microsoft</w:t>
            </w:r>
          </w:p>
        </w:tc>
      </w:tr>
      <w:tr w:rsidR="00637F84" w:rsidRPr="00C74C9D" w14:paraId="295FF088" w14:textId="77777777" w:rsidTr="008F5FA7">
        <w:trPr>
          <w:trHeight w:val="300"/>
        </w:trPr>
        <w:tc>
          <w:tcPr>
            <w:tcW w:w="7000" w:type="dxa"/>
            <w:noWrap/>
            <w:hideMark/>
          </w:tcPr>
          <w:p w14:paraId="14F22AC8"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Minerals Council of Australia</w:t>
            </w:r>
          </w:p>
        </w:tc>
      </w:tr>
      <w:tr w:rsidR="00637F84" w:rsidRPr="00C74C9D" w14:paraId="4320DC12" w14:textId="77777777" w:rsidTr="008F5FA7">
        <w:trPr>
          <w:trHeight w:val="300"/>
        </w:trPr>
        <w:tc>
          <w:tcPr>
            <w:tcW w:w="7000" w:type="dxa"/>
            <w:noWrap/>
            <w:hideMark/>
          </w:tcPr>
          <w:p w14:paraId="609B5BE2"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Monash University</w:t>
            </w:r>
          </w:p>
        </w:tc>
      </w:tr>
      <w:tr w:rsidR="00637F84" w:rsidRPr="00C74C9D" w14:paraId="59D05243" w14:textId="77777777" w:rsidTr="008F5FA7">
        <w:trPr>
          <w:trHeight w:val="300"/>
        </w:trPr>
        <w:tc>
          <w:tcPr>
            <w:tcW w:w="7000" w:type="dxa"/>
            <w:noWrap/>
            <w:hideMark/>
          </w:tcPr>
          <w:p w14:paraId="5EA778C0"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Murdoch International</w:t>
            </w:r>
          </w:p>
        </w:tc>
      </w:tr>
      <w:tr w:rsidR="00637F84" w:rsidRPr="00C74C9D" w14:paraId="59EEEE82" w14:textId="77777777" w:rsidTr="008F5FA7">
        <w:trPr>
          <w:trHeight w:val="300"/>
        </w:trPr>
        <w:tc>
          <w:tcPr>
            <w:tcW w:w="7000" w:type="dxa"/>
            <w:noWrap/>
            <w:hideMark/>
          </w:tcPr>
          <w:p w14:paraId="27F0BF7D"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National Farmers Federation</w:t>
            </w:r>
          </w:p>
        </w:tc>
      </w:tr>
      <w:tr w:rsidR="00637F84" w:rsidRPr="00C74C9D" w14:paraId="57BAF156" w14:textId="77777777" w:rsidTr="008F5FA7">
        <w:trPr>
          <w:trHeight w:val="300"/>
        </w:trPr>
        <w:tc>
          <w:tcPr>
            <w:tcW w:w="7000" w:type="dxa"/>
            <w:noWrap/>
            <w:hideMark/>
          </w:tcPr>
          <w:p w14:paraId="3E40D1BC"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National Foreign Trade Council</w:t>
            </w:r>
          </w:p>
        </w:tc>
      </w:tr>
      <w:tr w:rsidR="00637F84" w:rsidRPr="00C74C9D" w14:paraId="7CA15CFA" w14:textId="77777777" w:rsidTr="008F5FA7">
        <w:trPr>
          <w:trHeight w:val="300"/>
        </w:trPr>
        <w:tc>
          <w:tcPr>
            <w:tcW w:w="7000" w:type="dxa"/>
            <w:noWrap/>
            <w:hideMark/>
          </w:tcPr>
          <w:p w14:paraId="39C95A7E"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North Queensland Airports </w:t>
            </w:r>
          </w:p>
        </w:tc>
      </w:tr>
      <w:tr w:rsidR="00637F84" w:rsidRPr="00C74C9D" w14:paraId="1693B26B" w14:textId="77777777" w:rsidTr="008F5FA7">
        <w:trPr>
          <w:trHeight w:val="300"/>
        </w:trPr>
        <w:tc>
          <w:tcPr>
            <w:tcW w:w="7000" w:type="dxa"/>
            <w:noWrap/>
            <w:hideMark/>
          </w:tcPr>
          <w:p w14:paraId="5578CE6B"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t>Northstar</w:t>
            </w:r>
            <w:proofErr w:type="spellEnd"/>
            <w:r w:rsidRPr="00C74C9D">
              <w:rPr>
                <w:rFonts w:asciiTheme="minorHAnsi" w:hAnsiTheme="minorHAnsi" w:cstheme="minorHAnsi"/>
              </w:rPr>
              <w:t xml:space="preserve"> Public Affairs</w:t>
            </w:r>
          </w:p>
        </w:tc>
      </w:tr>
      <w:tr w:rsidR="00637F84" w:rsidRPr="00C74C9D" w14:paraId="4DDE32F5" w14:textId="77777777" w:rsidTr="008F5FA7">
        <w:trPr>
          <w:trHeight w:val="300"/>
        </w:trPr>
        <w:tc>
          <w:tcPr>
            <w:tcW w:w="7000" w:type="dxa"/>
            <w:noWrap/>
            <w:hideMark/>
          </w:tcPr>
          <w:p w14:paraId="3B307AA7"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NSW Indigenous Business Chamber</w:t>
            </w:r>
          </w:p>
        </w:tc>
      </w:tr>
      <w:tr w:rsidR="00637F84" w:rsidRPr="00C74C9D" w14:paraId="5338AA4A" w14:textId="77777777" w:rsidTr="008F5FA7">
        <w:trPr>
          <w:trHeight w:val="600"/>
        </w:trPr>
        <w:tc>
          <w:tcPr>
            <w:tcW w:w="7000" w:type="dxa"/>
            <w:hideMark/>
          </w:tcPr>
          <w:p w14:paraId="6055B61F"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NSW Nurses and Midwives Association; Australian Nursing and Midwifery Federation – NSW Branch</w:t>
            </w:r>
          </w:p>
        </w:tc>
      </w:tr>
      <w:tr w:rsidR="00637F84" w:rsidRPr="00C74C9D" w14:paraId="0212E50C" w14:textId="77777777" w:rsidTr="008F5FA7">
        <w:trPr>
          <w:trHeight w:val="300"/>
        </w:trPr>
        <w:tc>
          <w:tcPr>
            <w:tcW w:w="7000" w:type="dxa"/>
            <w:noWrap/>
            <w:hideMark/>
          </w:tcPr>
          <w:p w14:paraId="3FE9A95B"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OBE Organic </w:t>
            </w:r>
          </w:p>
        </w:tc>
      </w:tr>
      <w:tr w:rsidR="00637F84" w:rsidRPr="00C74C9D" w14:paraId="079617E0" w14:textId="77777777" w:rsidTr="008F5FA7">
        <w:trPr>
          <w:trHeight w:val="300"/>
        </w:trPr>
        <w:tc>
          <w:tcPr>
            <w:tcW w:w="7000" w:type="dxa"/>
            <w:noWrap/>
            <w:hideMark/>
          </w:tcPr>
          <w:p w14:paraId="29E9C0CC"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Perth US Asia Centra</w:t>
            </w:r>
          </w:p>
        </w:tc>
      </w:tr>
      <w:tr w:rsidR="00637F84" w:rsidRPr="00C74C9D" w14:paraId="44381344" w14:textId="77777777" w:rsidTr="008F5FA7">
        <w:trPr>
          <w:trHeight w:val="300"/>
        </w:trPr>
        <w:tc>
          <w:tcPr>
            <w:tcW w:w="7000" w:type="dxa"/>
            <w:noWrap/>
            <w:hideMark/>
          </w:tcPr>
          <w:p w14:paraId="241E949D"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Port of Brisbane </w:t>
            </w:r>
          </w:p>
        </w:tc>
      </w:tr>
      <w:tr w:rsidR="00637F84" w:rsidRPr="00C74C9D" w14:paraId="019FAC72" w14:textId="77777777" w:rsidTr="008F5FA7">
        <w:trPr>
          <w:trHeight w:val="300"/>
        </w:trPr>
        <w:tc>
          <w:tcPr>
            <w:tcW w:w="7000" w:type="dxa"/>
            <w:noWrap/>
            <w:hideMark/>
          </w:tcPr>
          <w:p w14:paraId="3647F570"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Port of Melbourne</w:t>
            </w:r>
          </w:p>
        </w:tc>
      </w:tr>
      <w:tr w:rsidR="00637F84" w:rsidRPr="00C74C9D" w14:paraId="5F5AD5DC" w14:textId="77777777" w:rsidTr="008F5FA7">
        <w:trPr>
          <w:trHeight w:val="300"/>
        </w:trPr>
        <w:tc>
          <w:tcPr>
            <w:tcW w:w="7000" w:type="dxa"/>
            <w:noWrap/>
            <w:hideMark/>
          </w:tcPr>
          <w:p w14:paraId="65A75453"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Ports Australia</w:t>
            </w:r>
          </w:p>
        </w:tc>
      </w:tr>
      <w:tr w:rsidR="00637F84" w:rsidRPr="00C74C9D" w14:paraId="21500A0A" w14:textId="77777777" w:rsidTr="008F5FA7">
        <w:trPr>
          <w:trHeight w:val="300"/>
        </w:trPr>
        <w:tc>
          <w:tcPr>
            <w:tcW w:w="7000" w:type="dxa"/>
            <w:noWrap/>
            <w:hideMark/>
          </w:tcPr>
          <w:p w14:paraId="3ACB38D5"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Qantas Freight  </w:t>
            </w:r>
          </w:p>
        </w:tc>
      </w:tr>
      <w:tr w:rsidR="00637F84" w:rsidRPr="00C74C9D" w14:paraId="41ABF1D5" w14:textId="77777777" w:rsidTr="008F5FA7">
        <w:trPr>
          <w:trHeight w:val="300"/>
        </w:trPr>
        <w:tc>
          <w:tcPr>
            <w:tcW w:w="7000" w:type="dxa"/>
            <w:noWrap/>
            <w:hideMark/>
          </w:tcPr>
          <w:p w14:paraId="169DE020"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Queensland Farmers Federation</w:t>
            </w:r>
          </w:p>
        </w:tc>
      </w:tr>
      <w:tr w:rsidR="00637F84" w:rsidRPr="00C74C9D" w14:paraId="70A652F3" w14:textId="77777777" w:rsidTr="008F5FA7">
        <w:trPr>
          <w:trHeight w:val="300"/>
        </w:trPr>
        <w:tc>
          <w:tcPr>
            <w:tcW w:w="7000" w:type="dxa"/>
            <w:noWrap/>
            <w:hideMark/>
          </w:tcPr>
          <w:p w14:paraId="7C6959C8"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Queensland Japan Chamber of Commerce &amp; Industry (QJCCI) </w:t>
            </w:r>
          </w:p>
        </w:tc>
      </w:tr>
      <w:tr w:rsidR="00637F84" w:rsidRPr="00C74C9D" w14:paraId="3DBE1B1F" w14:textId="77777777" w:rsidTr="008F5FA7">
        <w:trPr>
          <w:trHeight w:val="300"/>
        </w:trPr>
        <w:tc>
          <w:tcPr>
            <w:tcW w:w="7000" w:type="dxa"/>
            <w:noWrap/>
            <w:hideMark/>
          </w:tcPr>
          <w:p w14:paraId="37C939E0"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Queensland Resource Council </w:t>
            </w:r>
          </w:p>
        </w:tc>
      </w:tr>
      <w:tr w:rsidR="00637F84" w:rsidRPr="00C74C9D" w14:paraId="7F39527D" w14:textId="77777777" w:rsidTr="008F5FA7">
        <w:trPr>
          <w:trHeight w:val="300"/>
        </w:trPr>
        <w:tc>
          <w:tcPr>
            <w:tcW w:w="7000" w:type="dxa"/>
            <w:noWrap/>
            <w:hideMark/>
          </w:tcPr>
          <w:p w14:paraId="41233872"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lastRenderedPageBreak/>
              <w:t>RegTech</w:t>
            </w:r>
            <w:proofErr w:type="spellEnd"/>
            <w:r w:rsidRPr="00C74C9D">
              <w:rPr>
                <w:rFonts w:asciiTheme="minorHAnsi" w:hAnsiTheme="minorHAnsi" w:cstheme="minorHAnsi"/>
              </w:rPr>
              <w:t xml:space="preserve"> Australia</w:t>
            </w:r>
          </w:p>
        </w:tc>
      </w:tr>
      <w:tr w:rsidR="00637F84" w:rsidRPr="00C74C9D" w14:paraId="0F298783" w14:textId="77777777" w:rsidTr="008F5FA7">
        <w:trPr>
          <w:trHeight w:val="300"/>
        </w:trPr>
        <w:tc>
          <w:tcPr>
            <w:tcW w:w="7000" w:type="dxa"/>
            <w:noWrap/>
            <w:hideMark/>
          </w:tcPr>
          <w:p w14:paraId="551E86E3"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Rigby Cooke Lawyers</w:t>
            </w:r>
          </w:p>
        </w:tc>
      </w:tr>
      <w:tr w:rsidR="00637F84" w:rsidRPr="00C74C9D" w14:paraId="0CA0D31E" w14:textId="77777777" w:rsidTr="008F5FA7">
        <w:trPr>
          <w:trHeight w:val="300"/>
        </w:trPr>
        <w:tc>
          <w:tcPr>
            <w:tcW w:w="7000" w:type="dxa"/>
            <w:noWrap/>
            <w:hideMark/>
          </w:tcPr>
          <w:p w14:paraId="47406649"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RSPCA Australia</w:t>
            </w:r>
          </w:p>
        </w:tc>
      </w:tr>
      <w:tr w:rsidR="00637F84" w:rsidRPr="00C74C9D" w14:paraId="113D64C4" w14:textId="77777777" w:rsidTr="008F5FA7">
        <w:trPr>
          <w:trHeight w:val="300"/>
        </w:trPr>
        <w:tc>
          <w:tcPr>
            <w:tcW w:w="7000" w:type="dxa"/>
            <w:noWrap/>
            <w:hideMark/>
          </w:tcPr>
          <w:p w14:paraId="10CFDC26"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Seafood Industry Australia</w:t>
            </w:r>
          </w:p>
        </w:tc>
      </w:tr>
      <w:tr w:rsidR="00637F84" w:rsidRPr="00C74C9D" w14:paraId="303711FB" w14:textId="77777777" w:rsidTr="008F5FA7">
        <w:trPr>
          <w:trHeight w:val="300"/>
        </w:trPr>
        <w:tc>
          <w:tcPr>
            <w:tcW w:w="7000" w:type="dxa"/>
            <w:noWrap/>
            <w:hideMark/>
          </w:tcPr>
          <w:p w14:paraId="7B4F6733"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Shipping Australia Limited</w:t>
            </w:r>
          </w:p>
        </w:tc>
      </w:tr>
      <w:tr w:rsidR="00637F84" w:rsidRPr="00C74C9D" w14:paraId="27753E4A" w14:textId="77777777" w:rsidTr="008F5FA7">
        <w:trPr>
          <w:trHeight w:val="300"/>
        </w:trPr>
        <w:tc>
          <w:tcPr>
            <w:tcW w:w="7000" w:type="dxa"/>
            <w:noWrap/>
            <w:hideMark/>
          </w:tcPr>
          <w:p w14:paraId="4BB986CD"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Standards Australia</w:t>
            </w:r>
          </w:p>
        </w:tc>
      </w:tr>
      <w:tr w:rsidR="00637F84" w:rsidRPr="00C74C9D" w14:paraId="4BA1F0A3" w14:textId="77777777" w:rsidTr="008F5FA7">
        <w:trPr>
          <w:trHeight w:val="300"/>
        </w:trPr>
        <w:tc>
          <w:tcPr>
            <w:tcW w:w="7000" w:type="dxa"/>
            <w:noWrap/>
            <w:hideMark/>
          </w:tcPr>
          <w:p w14:paraId="57E3723A"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 xml:space="preserve">Stone &amp; Chalk / </w:t>
            </w:r>
            <w:proofErr w:type="spellStart"/>
            <w:r w:rsidRPr="00C74C9D">
              <w:rPr>
                <w:rFonts w:asciiTheme="minorHAnsi" w:hAnsiTheme="minorHAnsi" w:cstheme="minorHAnsi"/>
              </w:rPr>
              <w:t>AustCyber</w:t>
            </w:r>
            <w:proofErr w:type="spellEnd"/>
          </w:p>
        </w:tc>
      </w:tr>
      <w:tr w:rsidR="00637F84" w:rsidRPr="00C74C9D" w14:paraId="02F7490D" w14:textId="77777777" w:rsidTr="008F5FA7">
        <w:trPr>
          <w:trHeight w:val="300"/>
        </w:trPr>
        <w:tc>
          <w:tcPr>
            <w:tcW w:w="7000" w:type="dxa"/>
            <w:noWrap/>
            <w:hideMark/>
          </w:tcPr>
          <w:p w14:paraId="1E9987B1"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t>Suncable</w:t>
            </w:r>
            <w:proofErr w:type="spellEnd"/>
            <w:r w:rsidRPr="00C74C9D">
              <w:rPr>
                <w:rFonts w:asciiTheme="minorHAnsi" w:hAnsiTheme="minorHAnsi" w:cstheme="minorHAnsi"/>
              </w:rPr>
              <w:t xml:space="preserve"> Energy</w:t>
            </w:r>
          </w:p>
        </w:tc>
      </w:tr>
      <w:tr w:rsidR="00637F84" w:rsidRPr="00C74C9D" w14:paraId="78E70BE3" w14:textId="77777777" w:rsidTr="008F5FA7">
        <w:trPr>
          <w:trHeight w:val="300"/>
        </w:trPr>
        <w:tc>
          <w:tcPr>
            <w:tcW w:w="7000" w:type="dxa"/>
            <w:noWrap/>
            <w:hideMark/>
          </w:tcPr>
          <w:p w14:paraId="63BA3097"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Supply Nation</w:t>
            </w:r>
          </w:p>
        </w:tc>
      </w:tr>
      <w:tr w:rsidR="00637F84" w:rsidRPr="00C74C9D" w14:paraId="2A81F27E" w14:textId="77777777" w:rsidTr="008F5FA7">
        <w:trPr>
          <w:trHeight w:val="300"/>
        </w:trPr>
        <w:tc>
          <w:tcPr>
            <w:tcW w:w="7000" w:type="dxa"/>
            <w:noWrap/>
            <w:hideMark/>
          </w:tcPr>
          <w:p w14:paraId="52BFFE0C"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Synod of Victoria and Tasmania, Uniting Church in Australia</w:t>
            </w:r>
          </w:p>
        </w:tc>
      </w:tr>
      <w:tr w:rsidR="00637F84" w:rsidRPr="00C74C9D" w14:paraId="096066BC" w14:textId="77777777" w:rsidTr="008F5FA7">
        <w:trPr>
          <w:trHeight w:val="300"/>
        </w:trPr>
        <w:tc>
          <w:tcPr>
            <w:tcW w:w="7000" w:type="dxa"/>
            <w:noWrap/>
            <w:hideMark/>
          </w:tcPr>
          <w:p w14:paraId="5640A756"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t>TasRex</w:t>
            </w:r>
            <w:proofErr w:type="spellEnd"/>
          </w:p>
        </w:tc>
      </w:tr>
      <w:tr w:rsidR="00637F84" w:rsidRPr="00C74C9D" w14:paraId="2F155455" w14:textId="77777777" w:rsidTr="008F5FA7">
        <w:trPr>
          <w:trHeight w:val="300"/>
        </w:trPr>
        <w:tc>
          <w:tcPr>
            <w:tcW w:w="7000" w:type="dxa"/>
            <w:noWrap/>
            <w:hideMark/>
          </w:tcPr>
          <w:p w14:paraId="525201A1"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 xml:space="preserve">TC </w:t>
            </w:r>
            <w:proofErr w:type="spellStart"/>
            <w:r w:rsidRPr="00C74C9D">
              <w:rPr>
                <w:rFonts w:asciiTheme="minorHAnsi" w:hAnsiTheme="minorHAnsi" w:cstheme="minorHAnsi"/>
              </w:rPr>
              <w:t>Beirne</w:t>
            </w:r>
            <w:proofErr w:type="spellEnd"/>
            <w:r w:rsidRPr="00C74C9D">
              <w:rPr>
                <w:rFonts w:asciiTheme="minorHAnsi" w:hAnsiTheme="minorHAnsi" w:cstheme="minorHAnsi"/>
              </w:rPr>
              <w:t xml:space="preserve"> School of Law, University of Queensland</w:t>
            </w:r>
          </w:p>
        </w:tc>
      </w:tr>
      <w:tr w:rsidR="00637F84" w:rsidRPr="00C74C9D" w14:paraId="1FBA9634" w14:textId="77777777" w:rsidTr="008F5FA7">
        <w:trPr>
          <w:trHeight w:val="300"/>
        </w:trPr>
        <w:tc>
          <w:tcPr>
            <w:tcW w:w="7000" w:type="dxa"/>
            <w:noWrap/>
            <w:hideMark/>
          </w:tcPr>
          <w:p w14:paraId="6051085C"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Technology Council of Australia</w:t>
            </w:r>
          </w:p>
        </w:tc>
      </w:tr>
      <w:tr w:rsidR="00637F84" w:rsidRPr="00C74C9D" w14:paraId="1241BF85" w14:textId="77777777" w:rsidTr="008F5FA7">
        <w:trPr>
          <w:trHeight w:val="300"/>
        </w:trPr>
        <w:tc>
          <w:tcPr>
            <w:tcW w:w="7000" w:type="dxa"/>
            <w:noWrap/>
            <w:hideMark/>
          </w:tcPr>
          <w:p w14:paraId="54210821"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The American Association of the Indo-Pacific (AAIP)</w:t>
            </w:r>
          </w:p>
        </w:tc>
      </w:tr>
      <w:tr w:rsidR="00637F84" w:rsidRPr="00C74C9D" w14:paraId="2F42C946" w14:textId="77777777" w:rsidTr="008F5FA7">
        <w:trPr>
          <w:trHeight w:val="300"/>
        </w:trPr>
        <w:tc>
          <w:tcPr>
            <w:tcW w:w="7000" w:type="dxa"/>
            <w:noWrap/>
            <w:hideMark/>
          </w:tcPr>
          <w:p w14:paraId="7F5D0982"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The Australasian Institute of Mining and Metallurgy</w:t>
            </w:r>
          </w:p>
        </w:tc>
      </w:tr>
      <w:tr w:rsidR="00637F84" w:rsidRPr="00C74C9D" w14:paraId="45D88836" w14:textId="77777777" w:rsidTr="008F5FA7">
        <w:trPr>
          <w:trHeight w:val="300"/>
        </w:trPr>
        <w:tc>
          <w:tcPr>
            <w:tcW w:w="7000" w:type="dxa"/>
            <w:hideMark/>
          </w:tcPr>
          <w:p w14:paraId="30303E73"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The Australian Worker's Union</w:t>
            </w:r>
          </w:p>
        </w:tc>
      </w:tr>
      <w:tr w:rsidR="00637F84" w:rsidRPr="00C74C9D" w14:paraId="376F403F" w14:textId="77777777" w:rsidTr="008F5FA7">
        <w:trPr>
          <w:trHeight w:val="300"/>
        </w:trPr>
        <w:tc>
          <w:tcPr>
            <w:tcW w:w="7000" w:type="dxa"/>
            <w:noWrap/>
            <w:hideMark/>
          </w:tcPr>
          <w:p w14:paraId="1EEE4F91"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TOLL Group</w:t>
            </w:r>
          </w:p>
        </w:tc>
      </w:tr>
      <w:tr w:rsidR="00637F84" w:rsidRPr="00C74C9D" w14:paraId="2ACE081F" w14:textId="77777777" w:rsidTr="008F5FA7">
        <w:trPr>
          <w:trHeight w:val="300"/>
        </w:trPr>
        <w:tc>
          <w:tcPr>
            <w:tcW w:w="7000" w:type="dxa"/>
            <w:noWrap/>
            <w:hideMark/>
          </w:tcPr>
          <w:p w14:paraId="4200912B"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Toowoomba Airport</w:t>
            </w:r>
          </w:p>
        </w:tc>
      </w:tr>
      <w:tr w:rsidR="00637F84" w:rsidRPr="00C74C9D" w14:paraId="378232AC" w14:textId="77777777" w:rsidTr="008F5FA7">
        <w:trPr>
          <w:trHeight w:val="300"/>
        </w:trPr>
        <w:tc>
          <w:tcPr>
            <w:tcW w:w="7000" w:type="dxa"/>
            <w:noWrap/>
            <w:hideMark/>
          </w:tcPr>
          <w:p w14:paraId="3D1A5D83"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Trade Justice Education Fund</w:t>
            </w:r>
          </w:p>
        </w:tc>
      </w:tr>
      <w:tr w:rsidR="00637F84" w:rsidRPr="00C74C9D" w14:paraId="34837528" w14:textId="77777777" w:rsidTr="008F5FA7">
        <w:trPr>
          <w:trHeight w:val="300"/>
        </w:trPr>
        <w:tc>
          <w:tcPr>
            <w:tcW w:w="7000" w:type="dxa"/>
            <w:noWrap/>
            <w:hideMark/>
          </w:tcPr>
          <w:p w14:paraId="18DEC049"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Transparency International Australia</w:t>
            </w:r>
          </w:p>
        </w:tc>
      </w:tr>
      <w:tr w:rsidR="00637F84" w:rsidRPr="00C74C9D" w14:paraId="4D0F0C0D" w14:textId="77777777" w:rsidTr="008F5FA7">
        <w:trPr>
          <w:trHeight w:val="300"/>
        </w:trPr>
        <w:tc>
          <w:tcPr>
            <w:tcW w:w="7000" w:type="dxa"/>
            <w:hideMark/>
          </w:tcPr>
          <w:p w14:paraId="323241B2"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t>UnionsWA</w:t>
            </w:r>
            <w:proofErr w:type="spellEnd"/>
          </w:p>
        </w:tc>
      </w:tr>
      <w:tr w:rsidR="00637F84" w:rsidRPr="00C74C9D" w14:paraId="32153262" w14:textId="77777777" w:rsidTr="008F5FA7">
        <w:trPr>
          <w:trHeight w:val="300"/>
        </w:trPr>
        <w:tc>
          <w:tcPr>
            <w:tcW w:w="7000" w:type="dxa"/>
            <w:noWrap/>
            <w:hideMark/>
          </w:tcPr>
          <w:p w14:paraId="554E2603"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Universities Australia</w:t>
            </w:r>
          </w:p>
        </w:tc>
      </w:tr>
      <w:tr w:rsidR="00637F84" w:rsidRPr="00C74C9D" w14:paraId="4EF1DF85" w14:textId="77777777" w:rsidTr="008F5FA7">
        <w:trPr>
          <w:trHeight w:val="300"/>
        </w:trPr>
        <w:tc>
          <w:tcPr>
            <w:tcW w:w="7000" w:type="dxa"/>
            <w:hideMark/>
          </w:tcPr>
          <w:p w14:paraId="723AA5A7"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University of Adelaide</w:t>
            </w:r>
          </w:p>
        </w:tc>
      </w:tr>
      <w:tr w:rsidR="00637F84" w:rsidRPr="00C74C9D" w14:paraId="40D21F3D" w14:textId="77777777" w:rsidTr="008F5FA7">
        <w:trPr>
          <w:trHeight w:val="300"/>
        </w:trPr>
        <w:tc>
          <w:tcPr>
            <w:tcW w:w="7000" w:type="dxa"/>
            <w:noWrap/>
            <w:hideMark/>
          </w:tcPr>
          <w:p w14:paraId="3018C1DE"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US Studies Centre, University of Sydney</w:t>
            </w:r>
          </w:p>
        </w:tc>
      </w:tr>
      <w:tr w:rsidR="00637F84" w:rsidRPr="00C74C9D" w14:paraId="5E619A3D" w14:textId="77777777" w:rsidTr="008F5FA7">
        <w:trPr>
          <w:trHeight w:val="300"/>
        </w:trPr>
        <w:tc>
          <w:tcPr>
            <w:tcW w:w="7000" w:type="dxa"/>
            <w:noWrap/>
            <w:hideMark/>
          </w:tcPr>
          <w:p w14:paraId="58054CD6"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Victorian Chamber of Commerce and Industry</w:t>
            </w:r>
          </w:p>
        </w:tc>
      </w:tr>
      <w:tr w:rsidR="00637F84" w:rsidRPr="00C74C9D" w14:paraId="452900A3" w14:textId="77777777" w:rsidTr="008F5FA7">
        <w:trPr>
          <w:trHeight w:val="300"/>
        </w:trPr>
        <w:tc>
          <w:tcPr>
            <w:tcW w:w="7000" w:type="dxa"/>
            <w:noWrap/>
            <w:hideMark/>
          </w:tcPr>
          <w:p w14:paraId="6166F099"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Virgin Australia  </w:t>
            </w:r>
          </w:p>
        </w:tc>
      </w:tr>
      <w:tr w:rsidR="00637F84" w:rsidRPr="00C74C9D" w14:paraId="13126D3A" w14:textId="77777777" w:rsidTr="008F5FA7">
        <w:trPr>
          <w:trHeight w:val="300"/>
        </w:trPr>
        <w:tc>
          <w:tcPr>
            <w:tcW w:w="7000" w:type="dxa"/>
            <w:noWrap/>
            <w:hideMark/>
          </w:tcPr>
          <w:p w14:paraId="510A4C00"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t>Vriens</w:t>
            </w:r>
            <w:proofErr w:type="spellEnd"/>
            <w:r w:rsidRPr="00C74C9D">
              <w:rPr>
                <w:rFonts w:asciiTheme="minorHAnsi" w:hAnsiTheme="minorHAnsi" w:cstheme="minorHAnsi"/>
              </w:rPr>
              <w:t xml:space="preserve"> &amp; Partners</w:t>
            </w:r>
          </w:p>
        </w:tc>
      </w:tr>
      <w:tr w:rsidR="00637F84" w:rsidRPr="00C74C9D" w14:paraId="051A3C43" w14:textId="77777777" w:rsidTr="008F5FA7">
        <w:trPr>
          <w:trHeight w:val="300"/>
        </w:trPr>
        <w:tc>
          <w:tcPr>
            <w:tcW w:w="7000" w:type="dxa"/>
            <w:noWrap/>
            <w:hideMark/>
          </w:tcPr>
          <w:p w14:paraId="44F4F9A6" w14:textId="77777777" w:rsidR="00637F84" w:rsidRPr="00C74C9D" w:rsidRDefault="00637F84" w:rsidP="001C343B">
            <w:pPr>
              <w:pStyle w:val="ListParagraph"/>
              <w:numPr>
                <w:ilvl w:val="0"/>
                <w:numId w:val="4"/>
              </w:numPr>
              <w:ind w:left="600"/>
              <w:rPr>
                <w:rFonts w:asciiTheme="minorHAnsi" w:hAnsiTheme="minorHAnsi" w:cstheme="minorHAnsi"/>
              </w:rPr>
            </w:pPr>
            <w:proofErr w:type="spellStart"/>
            <w:r w:rsidRPr="00C74C9D">
              <w:rPr>
                <w:rFonts w:asciiTheme="minorHAnsi" w:hAnsiTheme="minorHAnsi" w:cstheme="minorHAnsi"/>
              </w:rPr>
              <w:t>VTara</w:t>
            </w:r>
            <w:proofErr w:type="spellEnd"/>
            <w:r w:rsidRPr="00C74C9D">
              <w:rPr>
                <w:rFonts w:asciiTheme="minorHAnsi" w:hAnsiTheme="minorHAnsi" w:cstheme="minorHAnsi"/>
              </w:rPr>
              <w:t xml:space="preserve"> Energy Group</w:t>
            </w:r>
          </w:p>
        </w:tc>
      </w:tr>
      <w:tr w:rsidR="00637F84" w:rsidRPr="00C74C9D" w14:paraId="73EF44CA" w14:textId="77777777" w:rsidTr="008F5FA7">
        <w:trPr>
          <w:trHeight w:val="300"/>
        </w:trPr>
        <w:tc>
          <w:tcPr>
            <w:tcW w:w="7000" w:type="dxa"/>
            <w:noWrap/>
            <w:hideMark/>
          </w:tcPr>
          <w:p w14:paraId="5A86797B"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Wellcamp Airport </w:t>
            </w:r>
          </w:p>
        </w:tc>
      </w:tr>
      <w:tr w:rsidR="00637F84" w:rsidRPr="00C74C9D" w14:paraId="4ABFE88E" w14:textId="77777777" w:rsidTr="008F5FA7">
        <w:trPr>
          <w:trHeight w:val="300"/>
        </w:trPr>
        <w:tc>
          <w:tcPr>
            <w:tcW w:w="7000" w:type="dxa"/>
            <w:noWrap/>
            <w:hideMark/>
          </w:tcPr>
          <w:p w14:paraId="3D2EE2CF"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Westpac</w:t>
            </w:r>
          </w:p>
        </w:tc>
      </w:tr>
      <w:tr w:rsidR="00637F84" w:rsidRPr="00C74C9D" w14:paraId="7D5E77C7" w14:textId="77777777" w:rsidTr="008F5FA7">
        <w:trPr>
          <w:trHeight w:val="300"/>
        </w:trPr>
        <w:tc>
          <w:tcPr>
            <w:tcW w:w="7000" w:type="dxa"/>
            <w:noWrap/>
            <w:hideMark/>
          </w:tcPr>
          <w:p w14:paraId="3F4962C2"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Wine Australia</w:t>
            </w:r>
          </w:p>
        </w:tc>
      </w:tr>
      <w:tr w:rsidR="00637F84" w:rsidRPr="00C74C9D" w14:paraId="484890AF" w14:textId="77777777" w:rsidTr="008F5FA7">
        <w:trPr>
          <w:trHeight w:val="300"/>
        </w:trPr>
        <w:tc>
          <w:tcPr>
            <w:tcW w:w="7000" w:type="dxa"/>
            <w:noWrap/>
            <w:hideMark/>
          </w:tcPr>
          <w:p w14:paraId="2C25FC30"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Woodside Energy</w:t>
            </w:r>
          </w:p>
        </w:tc>
      </w:tr>
      <w:tr w:rsidR="00637F84" w:rsidRPr="00C74C9D" w14:paraId="0747583F" w14:textId="77777777" w:rsidTr="008F5FA7">
        <w:trPr>
          <w:trHeight w:val="300"/>
        </w:trPr>
        <w:tc>
          <w:tcPr>
            <w:tcW w:w="7000" w:type="dxa"/>
            <w:noWrap/>
            <w:hideMark/>
          </w:tcPr>
          <w:p w14:paraId="22E35BD9"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Wool Industries Australia</w:t>
            </w:r>
          </w:p>
        </w:tc>
      </w:tr>
      <w:tr w:rsidR="00637F84" w:rsidRPr="00C74C9D" w14:paraId="458B5831" w14:textId="77777777" w:rsidTr="008F5FA7">
        <w:trPr>
          <w:trHeight w:val="300"/>
        </w:trPr>
        <w:tc>
          <w:tcPr>
            <w:tcW w:w="7000" w:type="dxa"/>
            <w:noWrap/>
            <w:hideMark/>
          </w:tcPr>
          <w:p w14:paraId="57111624"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Wool Producers Australia</w:t>
            </w:r>
          </w:p>
        </w:tc>
      </w:tr>
      <w:tr w:rsidR="00637F84" w:rsidRPr="00C74C9D" w14:paraId="12947097" w14:textId="77777777" w:rsidTr="008F5FA7">
        <w:trPr>
          <w:trHeight w:val="300"/>
        </w:trPr>
        <w:tc>
          <w:tcPr>
            <w:tcW w:w="7000" w:type="dxa"/>
            <w:noWrap/>
            <w:hideMark/>
          </w:tcPr>
          <w:p w14:paraId="0DC325F9" w14:textId="77777777" w:rsidR="00637F84" w:rsidRPr="00C74C9D" w:rsidRDefault="00637F84" w:rsidP="001C343B">
            <w:pPr>
              <w:pStyle w:val="ListParagraph"/>
              <w:numPr>
                <w:ilvl w:val="0"/>
                <w:numId w:val="4"/>
              </w:numPr>
              <w:ind w:left="600"/>
              <w:rPr>
                <w:rFonts w:asciiTheme="minorHAnsi" w:hAnsiTheme="minorHAnsi" w:cstheme="minorHAnsi"/>
              </w:rPr>
            </w:pPr>
            <w:r w:rsidRPr="00C74C9D">
              <w:rPr>
                <w:rFonts w:asciiTheme="minorHAnsi" w:hAnsiTheme="minorHAnsi" w:cstheme="minorHAnsi"/>
              </w:rPr>
              <w:t xml:space="preserve">ZENAIDA GLOBAL </w:t>
            </w:r>
          </w:p>
        </w:tc>
      </w:tr>
    </w:tbl>
    <w:p w14:paraId="34646DA0" w14:textId="72810E16" w:rsidR="00637F84" w:rsidRDefault="00637F84"/>
    <w:sectPr w:rsidR="00637F84">
      <w:headerReference w:type="default" r:id="rId25"/>
      <w:footerReference w:type="default" r:id="rId2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6881F" w14:textId="77777777" w:rsidR="00BC51AB" w:rsidRDefault="00BC51AB" w:rsidP="00D3554E">
      <w:pPr>
        <w:spacing w:after="0" w:line="240" w:lineRule="auto"/>
      </w:pPr>
      <w:r>
        <w:separator/>
      </w:r>
    </w:p>
  </w:endnote>
  <w:endnote w:type="continuationSeparator" w:id="0">
    <w:p w14:paraId="323D587E" w14:textId="77777777" w:rsidR="00BC51AB" w:rsidRDefault="00BC51AB" w:rsidP="00D3554E">
      <w:pPr>
        <w:spacing w:after="0" w:line="240" w:lineRule="auto"/>
      </w:pPr>
      <w:r>
        <w:continuationSeparator/>
      </w:r>
    </w:p>
  </w:endnote>
  <w:endnote w:type="continuationNotice" w:id="1">
    <w:p w14:paraId="0D19DC08" w14:textId="77777777" w:rsidR="00BC51AB" w:rsidRDefault="00BC5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977619"/>
      <w:docPartObj>
        <w:docPartGallery w:val="Page Numbers (Bottom of Page)"/>
        <w:docPartUnique/>
      </w:docPartObj>
    </w:sdtPr>
    <w:sdtEndPr>
      <w:rPr>
        <w:noProof/>
      </w:rPr>
    </w:sdtEndPr>
    <w:sdtContent>
      <w:p w14:paraId="2F1A01AA" w14:textId="1674A96C" w:rsidR="00B446EF" w:rsidRDefault="00B446E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244875" w14:textId="14945520" w:rsidR="006649EA" w:rsidRDefault="002F69F0">
    <w:pPr>
      <w:pStyle w:val="Footer"/>
    </w:pPr>
    <w:r>
      <w:rPr>
        <w:noProof/>
      </w:rPr>
      <w:drawing>
        <wp:anchor distT="0" distB="0" distL="114300" distR="114300" simplePos="0" relativeHeight="251658241" behindDoc="1" locked="0" layoutInCell="1" allowOverlap="1" wp14:anchorId="4779A0F4" wp14:editId="19926BA4">
          <wp:simplePos x="0" y="0"/>
          <wp:positionH relativeFrom="page">
            <wp:align>right</wp:align>
          </wp:positionH>
          <wp:positionV relativeFrom="paragraph">
            <wp:posOffset>80010</wp:posOffset>
          </wp:positionV>
          <wp:extent cx="10677525" cy="528320"/>
          <wp:effectExtent l="0" t="0" r="952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7525" cy="528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805824"/>
      <w:docPartObj>
        <w:docPartGallery w:val="Page Numbers (Bottom of Page)"/>
        <w:docPartUnique/>
      </w:docPartObj>
    </w:sdtPr>
    <w:sdtEndPr>
      <w:rPr>
        <w:noProof/>
      </w:rPr>
    </w:sdtEndPr>
    <w:sdtContent>
      <w:p w14:paraId="0495418E" w14:textId="4A9245D0" w:rsidR="00745534" w:rsidRDefault="007455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00A7F2" w14:textId="688D2203" w:rsidR="00745534" w:rsidRDefault="006D3A76">
    <w:pPr>
      <w:pStyle w:val="Footer"/>
    </w:pPr>
    <w:r>
      <w:rPr>
        <w:noProof/>
      </w:rPr>
      <w:drawing>
        <wp:anchor distT="0" distB="0" distL="114300" distR="114300" simplePos="0" relativeHeight="251658244" behindDoc="1" locked="0" layoutInCell="1" allowOverlap="1" wp14:anchorId="49493A47" wp14:editId="7FD0873B">
          <wp:simplePos x="0" y="0"/>
          <wp:positionH relativeFrom="page">
            <wp:align>left</wp:align>
          </wp:positionH>
          <wp:positionV relativeFrom="paragraph">
            <wp:posOffset>144780</wp:posOffset>
          </wp:positionV>
          <wp:extent cx="10695771" cy="534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5771" cy="534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15FB785" wp14:editId="7094DFA7">
          <wp:simplePos x="0" y="0"/>
          <wp:positionH relativeFrom="page">
            <wp:posOffset>704850</wp:posOffset>
          </wp:positionH>
          <wp:positionV relativeFrom="paragraph">
            <wp:posOffset>3150870</wp:posOffset>
          </wp:positionV>
          <wp:extent cx="7562850" cy="528525"/>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28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200719"/>
      <w:docPartObj>
        <w:docPartGallery w:val="Page Numbers (Bottom of Page)"/>
        <w:docPartUnique/>
      </w:docPartObj>
    </w:sdtPr>
    <w:sdtEndPr>
      <w:rPr>
        <w:noProof/>
      </w:rPr>
    </w:sdtEndPr>
    <w:sdtContent>
      <w:p w14:paraId="4BB6C777" w14:textId="64ECE6EF" w:rsidR="006D3A76" w:rsidRDefault="006D3A76">
        <w:pPr>
          <w:pStyle w:val="Footer"/>
          <w:jc w:val="center"/>
        </w:pPr>
        <w:r>
          <w:rPr>
            <w:noProof/>
          </w:rPr>
          <w:drawing>
            <wp:anchor distT="0" distB="0" distL="114300" distR="114300" simplePos="0" relativeHeight="251658246" behindDoc="1" locked="0" layoutInCell="1" allowOverlap="1" wp14:anchorId="6A6D359C" wp14:editId="47220EDA">
              <wp:simplePos x="0" y="0"/>
              <wp:positionH relativeFrom="page">
                <wp:posOffset>0</wp:posOffset>
              </wp:positionH>
              <wp:positionV relativeFrom="paragraph">
                <wp:posOffset>274955</wp:posOffset>
              </wp:positionV>
              <wp:extent cx="7562850" cy="528525"/>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285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E0F0AC7" w14:textId="01C45B3D" w:rsidR="006D3A76" w:rsidRDefault="006D3A76">
    <w:pPr>
      <w:pStyle w:val="Footer"/>
    </w:pPr>
    <w:r>
      <w:rPr>
        <w:noProof/>
      </w:rPr>
      <w:drawing>
        <wp:anchor distT="0" distB="0" distL="114300" distR="114300" simplePos="0" relativeHeight="251658245" behindDoc="1" locked="0" layoutInCell="1" allowOverlap="1" wp14:anchorId="14260B2C" wp14:editId="6AA63D7B">
          <wp:simplePos x="0" y="0"/>
          <wp:positionH relativeFrom="page">
            <wp:posOffset>704850</wp:posOffset>
          </wp:positionH>
          <wp:positionV relativeFrom="paragraph">
            <wp:posOffset>3150870</wp:posOffset>
          </wp:positionV>
          <wp:extent cx="7562850" cy="528525"/>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28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F2F3" w14:textId="77777777" w:rsidR="00BC51AB" w:rsidRDefault="00BC51AB" w:rsidP="00D3554E">
      <w:pPr>
        <w:spacing w:after="0" w:line="240" w:lineRule="auto"/>
      </w:pPr>
      <w:bookmarkStart w:id="0" w:name="_Hlk146870933"/>
      <w:bookmarkEnd w:id="0"/>
      <w:r>
        <w:separator/>
      </w:r>
    </w:p>
  </w:footnote>
  <w:footnote w:type="continuationSeparator" w:id="0">
    <w:p w14:paraId="05F23D94" w14:textId="77777777" w:rsidR="00BC51AB" w:rsidRDefault="00BC51AB" w:rsidP="00D3554E">
      <w:pPr>
        <w:spacing w:after="0" w:line="240" w:lineRule="auto"/>
      </w:pPr>
      <w:r>
        <w:continuationSeparator/>
      </w:r>
    </w:p>
  </w:footnote>
  <w:footnote w:type="continuationNotice" w:id="1">
    <w:p w14:paraId="2903E277" w14:textId="77777777" w:rsidR="00BC51AB" w:rsidRDefault="00BC51AB">
      <w:pPr>
        <w:spacing w:after="0" w:line="240" w:lineRule="auto"/>
      </w:pPr>
    </w:p>
  </w:footnote>
  <w:footnote w:id="2">
    <w:p w14:paraId="6C48EE5C" w14:textId="6869CEE8" w:rsidR="00351649" w:rsidRPr="00DE186C" w:rsidRDefault="00351649" w:rsidP="00351649">
      <w:pPr>
        <w:pStyle w:val="FootnoteText"/>
        <w:rPr>
          <w:lang w:val="en-AU"/>
        </w:rPr>
      </w:pPr>
      <w:r>
        <w:rPr>
          <w:rStyle w:val="FootnoteReference"/>
        </w:rPr>
        <w:footnoteRef/>
      </w:r>
      <w:r>
        <w:t xml:space="preserve"> McKinsey Global Institute, Risk Resilience and Rebalancing in Global Value Chains Report, page 2</w:t>
      </w:r>
    </w:p>
  </w:footnote>
  <w:footnote w:id="3">
    <w:p w14:paraId="73F1087A" w14:textId="08CC3DE1" w:rsidR="00351649" w:rsidRPr="00DE186C" w:rsidRDefault="00351649" w:rsidP="00351649">
      <w:pPr>
        <w:pStyle w:val="FootnoteText"/>
        <w:rPr>
          <w:lang w:val="en-AU"/>
        </w:rPr>
      </w:pPr>
      <w:r>
        <w:rPr>
          <w:rStyle w:val="FootnoteReference"/>
        </w:rPr>
        <w:footnoteRef/>
      </w:r>
      <w:r>
        <w:t xml:space="preserve"> McKinsey Global Institute, Risk Resilience and Rebalancing in Global Value Chains Report, page 5</w:t>
      </w:r>
    </w:p>
  </w:footnote>
  <w:footnote w:id="4">
    <w:p w14:paraId="0F1E8955" w14:textId="523AF348" w:rsidR="00351649" w:rsidRPr="00D4561C" w:rsidRDefault="00351649" w:rsidP="00351649">
      <w:pPr>
        <w:pStyle w:val="FootnoteText"/>
        <w:rPr>
          <w:lang w:val="en-AU"/>
        </w:rPr>
      </w:pPr>
      <w:r>
        <w:rPr>
          <w:rStyle w:val="FootnoteReference"/>
        </w:rPr>
        <w:footnoteRef/>
      </w:r>
      <w:r>
        <w:t xml:space="preserve"> World Economic Forum, The Global Risks Report 2023 Insight Report, page 9</w:t>
      </w:r>
    </w:p>
  </w:footnote>
  <w:footnote w:id="5">
    <w:p w14:paraId="3D3608B9" w14:textId="57B423AD" w:rsidR="00351649" w:rsidRPr="005F5534" w:rsidRDefault="00351649" w:rsidP="00351649">
      <w:pPr>
        <w:pStyle w:val="FootnoteText"/>
        <w:rPr>
          <w:lang w:val="en-AU"/>
        </w:rPr>
      </w:pPr>
      <w:r>
        <w:rPr>
          <w:rStyle w:val="FootnoteReference"/>
        </w:rPr>
        <w:footnoteRef/>
      </w:r>
      <w:r>
        <w:t xml:space="preserve"> International Monetary Fund, Assessing the Impact of Supply Disruptions on the Global Pandemic Recovery Working Paper, page </w:t>
      </w:r>
      <w:proofErr w:type="gramStart"/>
      <w:r>
        <w:t>20</w:t>
      </w:r>
      <w:proofErr w:type="gramEnd"/>
    </w:p>
  </w:footnote>
  <w:footnote w:id="6">
    <w:p w14:paraId="668D9BE0" w14:textId="63916490" w:rsidR="00351649" w:rsidRPr="00A472C9" w:rsidRDefault="00351649" w:rsidP="00351649">
      <w:pPr>
        <w:pStyle w:val="FootnoteText"/>
        <w:rPr>
          <w:lang w:val="en-AU"/>
        </w:rPr>
      </w:pPr>
      <w:r>
        <w:rPr>
          <w:rStyle w:val="FootnoteReference"/>
        </w:rPr>
        <w:footnoteRef/>
      </w:r>
      <w:r>
        <w:t xml:space="preserve"> Deloitte Centre for Integrated Research, </w:t>
      </w:r>
      <w:r w:rsidRPr="00F863CB">
        <w:rPr>
          <w:i/>
          <w:iCs/>
        </w:rPr>
        <w:t xml:space="preserve">Is your supply chain trustworthy? </w:t>
      </w:r>
      <w:r>
        <w:t>Report, page 5</w:t>
      </w:r>
    </w:p>
  </w:footnote>
  <w:footnote w:id="7">
    <w:p w14:paraId="0C1AA76B" w14:textId="181676B8" w:rsidR="00351649" w:rsidRPr="00AC1D5C" w:rsidRDefault="00351649" w:rsidP="00351649">
      <w:pPr>
        <w:pStyle w:val="FootnoteText"/>
        <w:rPr>
          <w:lang w:val="en-AU"/>
        </w:rPr>
      </w:pPr>
      <w:r>
        <w:rPr>
          <w:rStyle w:val="FootnoteReference"/>
        </w:rPr>
        <w:footnoteRef/>
      </w:r>
      <w:r>
        <w:t xml:space="preserve"> Productivity Commission, Vulnerable Supply Chains Study Report, page 1</w:t>
      </w:r>
    </w:p>
  </w:footnote>
  <w:footnote w:id="8">
    <w:p w14:paraId="556E9132" w14:textId="52EEF61E" w:rsidR="00351649" w:rsidRPr="00111099" w:rsidRDefault="00351649" w:rsidP="00351649">
      <w:pPr>
        <w:pStyle w:val="FootnoteText"/>
      </w:pPr>
      <w:r>
        <w:rPr>
          <w:rStyle w:val="FootnoteReference"/>
        </w:rPr>
        <w:footnoteRef/>
      </w:r>
      <w:r>
        <w:t xml:space="preserve"> Ai Group, Australian CEO Expectations for 2023 Report, pages 11 and 12</w:t>
      </w:r>
    </w:p>
  </w:footnote>
  <w:footnote w:id="9">
    <w:p w14:paraId="37698FBE" w14:textId="2CDCD175" w:rsidR="00351649" w:rsidRPr="00192C5A" w:rsidRDefault="00351649" w:rsidP="00351649">
      <w:pPr>
        <w:pStyle w:val="FootnoteText"/>
      </w:pPr>
      <w:r>
        <w:rPr>
          <w:rStyle w:val="FootnoteReference"/>
        </w:rPr>
        <w:footnoteRef/>
      </w:r>
      <w:r>
        <w:t xml:space="preserve"> </w:t>
      </w:r>
      <w:r w:rsidRPr="00111099">
        <w:t>https://www.aigroup.com.au/resourcecentre/research-economics/economics-intelligence/2023/australias-supply-chain-challenges/</w:t>
      </w:r>
    </w:p>
  </w:footnote>
  <w:footnote w:id="10">
    <w:p w14:paraId="769F254E" w14:textId="7BF6374A" w:rsidR="00351649" w:rsidRPr="003A3F4B" w:rsidRDefault="00351649" w:rsidP="00351649">
      <w:pPr>
        <w:pStyle w:val="FootnoteText"/>
        <w:rPr>
          <w:lang w:val="en-AU"/>
        </w:rPr>
      </w:pPr>
      <w:r>
        <w:rPr>
          <w:rStyle w:val="FootnoteReference"/>
        </w:rPr>
        <w:footnoteRef/>
      </w:r>
      <w:r>
        <w:t xml:space="preserve"> Ai Group, Australian CEO Expectations for 2023 Report, page 11</w:t>
      </w:r>
    </w:p>
  </w:footnote>
  <w:footnote w:id="11">
    <w:p w14:paraId="2BD55365" w14:textId="5519DAA7" w:rsidR="00351649" w:rsidRPr="00E915FD" w:rsidRDefault="00351649" w:rsidP="00351649">
      <w:pPr>
        <w:pStyle w:val="FootnoteText"/>
        <w:rPr>
          <w:lang w:val="en-AU"/>
        </w:rPr>
      </w:pPr>
      <w:r>
        <w:rPr>
          <w:rStyle w:val="FootnoteReference"/>
        </w:rPr>
        <w:footnoteRef/>
      </w:r>
      <w:r>
        <w:t xml:space="preserve"> </w:t>
      </w:r>
      <w:hyperlink r:id="rId1" w:history="1">
        <w:r>
          <w:rPr>
            <w:rStyle w:val="Hyperlink"/>
          </w:rPr>
          <w:t>Supply chain: Consultancy TMX Global says delays cost Australian companies $11b (afr.com)</w:t>
        </w:r>
      </w:hyperlink>
    </w:p>
  </w:footnote>
  <w:footnote w:id="12">
    <w:p w14:paraId="27729194" w14:textId="135A6452" w:rsidR="00351649" w:rsidRPr="003712E5" w:rsidRDefault="00351649" w:rsidP="00351649">
      <w:pPr>
        <w:pStyle w:val="FootnoteText"/>
        <w:rPr>
          <w:lang w:val="en-AU"/>
        </w:rPr>
      </w:pPr>
      <w:r>
        <w:rPr>
          <w:rStyle w:val="FootnoteReference"/>
        </w:rPr>
        <w:footnoteRef/>
      </w:r>
      <w:r>
        <w:t xml:space="preserve"> </w:t>
      </w:r>
      <w:r w:rsidR="00C75203">
        <w:t xml:space="preserve">SOTI, The Tech </w:t>
      </w:r>
      <w:r w:rsidR="007E7103">
        <w:t xml:space="preserve">Effect: Strengthening the Omnichannel to Meet Consumer </w:t>
      </w:r>
      <w:proofErr w:type="spellStart"/>
      <w:r w:rsidR="007E7103">
        <w:t>Demans</w:t>
      </w:r>
      <w:proofErr w:type="spellEnd"/>
      <w:r w:rsidR="007E7103">
        <w:t xml:space="preserve">, page </w:t>
      </w:r>
      <w:proofErr w:type="gramStart"/>
      <w:r w:rsidR="007E7103">
        <w:t>7</w:t>
      </w:r>
      <w:proofErr w:type="gramEnd"/>
    </w:p>
  </w:footnote>
  <w:footnote w:id="13">
    <w:p w14:paraId="2F9ECCF4" w14:textId="69E0FDD3" w:rsidR="00351649" w:rsidRPr="00F309A6" w:rsidRDefault="00351649" w:rsidP="00351649">
      <w:pPr>
        <w:pStyle w:val="FootnoteText"/>
        <w:rPr>
          <w:lang w:val="en-AU"/>
        </w:rPr>
      </w:pPr>
      <w:r>
        <w:rPr>
          <w:rStyle w:val="FootnoteReference"/>
        </w:rPr>
        <w:footnoteRef/>
      </w:r>
      <w:r>
        <w:t xml:space="preserve"> </w:t>
      </w:r>
      <w:hyperlink r:id="rId2" w:history="1">
        <w:r>
          <w:rPr>
            <w:rStyle w:val="Hyperlink"/>
          </w:rPr>
          <w:t>Australian supply chains underperforming compared to global average - Supply Management (cips.org)</w:t>
        </w:r>
      </w:hyperlink>
    </w:p>
  </w:footnote>
  <w:footnote w:id="14">
    <w:p w14:paraId="3ABD2FE7" w14:textId="77768022" w:rsidR="00351649" w:rsidRPr="00A3707C" w:rsidRDefault="00351649" w:rsidP="00351649">
      <w:pPr>
        <w:pStyle w:val="FootnoteText"/>
        <w:rPr>
          <w:lang w:val="en-AU"/>
        </w:rPr>
      </w:pPr>
      <w:r>
        <w:rPr>
          <w:rStyle w:val="FootnoteReference"/>
        </w:rPr>
        <w:footnoteRef/>
      </w:r>
      <w:r>
        <w:t xml:space="preserve"> </w:t>
      </w:r>
      <w:hyperlink r:id="rId3" w:history="1">
        <w:r>
          <w:rPr>
            <w:rStyle w:val="Hyperlink"/>
          </w:rPr>
          <w:t>Australian supply chains underperforming compared to global average - Supply Management (cips.org)</w:t>
        </w:r>
      </w:hyperlink>
    </w:p>
  </w:footnote>
  <w:footnote w:id="15">
    <w:p w14:paraId="3085032A" w14:textId="42419D4F" w:rsidR="00351649" w:rsidRPr="00B62999" w:rsidRDefault="00351649" w:rsidP="00351649">
      <w:pPr>
        <w:pStyle w:val="FootnoteText"/>
        <w:rPr>
          <w:lang w:val="en-AU"/>
        </w:rPr>
      </w:pPr>
      <w:r>
        <w:rPr>
          <w:rStyle w:val="FootnoteReference"/>
        </w:rPr>
        <w:footnoteRef/>
      </w:r>
      <w:r>
        <w:t xml:space="preserve"> </w:t>
      </w:r>
      <w:hyperlink r:id="rId4" w:history="1">
        <w:r>
          <w:rPr>
            <w:rStyle w:val="Hyperlink"/>
          </w:rPr>
          <w:t>Consumer sentiment in Australia during the coronavirus crisis | McKinsey</w:t>
        </w:r>
      </w:hyperlink>
    </w:p>
  </w:footnote>
  <w:footnote w:id="16">
    <w:p w14:paraId="3106D95D" w14:textId="495D0C5F" w:rsidR="00351649" w:rsidRPr="009110C8" w:rsidRDefault="00351649" w:rsidP="00351649">
      <w:pPr>
        <w:pStyle w:val="FootnoteText"/>
        <w:rPr>
          <w:lang w:val="en-AU"/>
        </w:rPr>
      </w:pPr>
      <w:r>
        <w:rPr>
          <w:rStyle w:val="FootnoteReference"/>
        </w:rPr>
        <w:footnoteRef/>
      </w:r>
      <w:r>
        <w:t xml:space="preserve"> </w:t>
      </w:r>
      <w:hyperlink r:id="rId5" w:history="1">
        <w:r>
          <w:rPr>
            <w:rStyle w:val="Hyperlink"/>
          </w:rPr>
          <w:t>Global value chains: Efficiency and risks in the context of COVID-19 (oecd.org)</w:t>
        </w:r>
      </w:hyperlink>
    </w:p>
  </w:footnote>
  <w:footnote w:id="17">
    <w:p w14:paraId="464C79F9" w14:textId="37D319AF" w:rsidR="00351649" w:rsidRPr="00922553" w:rsidRDefault="00351649" w:rsidP="00351649">
      <w:pPr>
        <w:pStyle w:val="FootnoteText"/>
        <w:rPr>
          <w:lang w:val="en-AU"/>
        </w:rPr>
      </w:pPr>
      <w:r>
        <w:rPr>
          <w:rStyle w:val="FootnoteReference"/>
        </w:rPr>
        <w:footnoteRef/>
      </w:r>
      <w:r>
        <w:t xml:space="preserve"> </w:t>
      </w:r>
      <w:hyperlink r:id="rId6" w:history="1">
        <w:r>
          <w:rPr>
            <w:rStyle w:val="Hyperlink"/>
          </w:rPr>
          <w:t>Office of Supply Chain Resilience | Department of Industry, Science and Resources</w:t>
        </w:r>
      </w:hyperlink>
    </w:p>
  </w:footnote>
  <w:footnote w:id="18">
    <w:p w14:paraId="1DCBDA71" w14:textId="439BB17A" w:rsidR="00351649" w:rsidRPr="00CC5F37" w:rsidRDefault="00351649" w:rsidP="00351649">
      <w:pPr>
        <w:pStyle w:val="FootnoteText"/>
        <w:rPr>
          <w:lang w:val="en-AU"/>
        </w:rPr>
      </w:pPr>
      <w:r>
        <w:rPr>
          <w:rStyle w:val="FootnoteReference"/>
        </w:rPr>
        <w:footnoteRef/>
      </w:r>
      <w:r>
        <w:t xml:space="preserve"> </w:t>
      </w:r>
      <w:hyperlink r:id="rId7" w:history="1">
        <w:r>
          <w:rPr>
            <w:rStyle w:val="Hyperlink"/>
          </w:rPr>
          <w:t>Australia left ‘swinging’ by China’s export ban of urea | news.com.au — Australia’s leading news site</w:t>
        </w:r>
      </w:hyperlink>
    </w:p>
  </w:footnote>
  <w:footnote w:id="19">
    <w:p w14:paraId="7F80B827" w14:textId="0E6362D4" w:rsidR="00351649" w:rsidRPr="00C21C18" w:rsidRDefault="00351649" w:rsidP="00351649">
      <w:pPr>
        <w:pStyle w:val="FootnoteText"/>
        <w:rPr>
          <w:lang w:val="en-AU"/>
        </w:rPr>
      </w:pPr>
      <w:r>
        <w:rPr>
          <w:rStyle w:val="FootnoteReference"/>
        </w:rPr>
        <w:footnoteRef/>
      </w:r>
      <w:r>
        <w:t xml:space="preserve"> </w:t>
      </w:r>
      <w:r w:rsidR="008A5023">
        <w:t xml:space="preserve">Asia Society Policy Institute, Strengthening Regional Supply Chain Resiliency through the Indo-Pacific Economic Framework (IPEF), page </w:t>
      </w:r>
      <w:proofErr w:type="gramStart"/>
      <w:r w:rsidR="008A5023">
        <w:t>4</w:t>
      </w:r>
      <w:proofErr w:type="gramEnd"/>
    </w:p>
  </w:footnote>
  <w:footnote w:id="20">
    <w:p w14:paraId="7220F682" w14:textId="1E0AAF2E" w:rsidR="00351649" w:rsidRPr="002764BC" w:rsidRDefault="00351649" w:rsidP="00351649">
      <w:pPr>
        <w:pStyle w:val="FootnoteText"/>
        <w:rPr>
          <w:lang w:val="en-AU"/>
        </w:rPr>
      </w:pPr>
      <w:r>
        <w:rPr>
          <w:rStyle w:val="FootnoteReference"/>
        </w:rPr>
        <w:footnoteRef/>
      </w:r>
      <w:r>
        <w:t xml:space="preserve"> </w:t>
      </w:r>
      <w:hyperlink r:id="rId8" w:history="1">
        <w:r>
          <w:rPr>
            <w:rStyle w:val="Hyperlink"/>
          </w:rPr>
          <w:t>US-led effort to diversify Indo-Pacific supply chains away from China runs counter to trends | PIIE</w:t>
        </w:r>
      </w:hyperlink>
    </w:p>
  </w:footnote>
  <w:footnote w:id="21">
    <w:p w14:paraId="1C1FCCC3" w14:textId="2A2FF647" w:rsidR="169CB04D" w:rsidRDefault="169CB04D" w:rsidP="169CB04D">
      <w:pPr>
        <w:pStyle w:val="FootnoteText"/>
      </w:pPr>
      <w:r w:rsidRPr="169CB04D">
        <w:rPr>
          <w:rStyle w:val="FootnoteReference"/>
        </w:rPr>
        <w:footnoteRef/>
      </w:r>
      <w:r>
        <w:t xml:space="preserve"> </w:t>
      </w:r>
      <w:r w:rsidR="00966970">
        <w:t>Productivity Commission, Vulnerable Supply Chains Study Report, page</w:t>
      </w:r>
      <w:r>
        <w:t xml:space="preserve"> 8</w:t>
      </w:r>
    </w:p>
  </w:footnote>
  <w:footnote w:id="22">
    <w:p w14:paraId="1BC4FA4C" w14:textId="22F6A39D" w:rsidR="169CB04D" w:rsidRDefault="169CB04D" w:rsidP="169CB04D">
      <w:pPr>
        <w:pStyle w:val="FootnoteText"/>
      </w:pPr>
      <w:r w:rsidRPr="169CB04D">
        <w:rPr>
          <w:rStyle w:val="FootnoteReference"/>
        </w:rPr>
        <w:footnoteRef/>
      </w:r>
      <w:r>
        <w:t xml:space="preserve"> </w:t>
      </w:r>
      <w:r w:rsidR="00966970">
        <w:t>Productivity Commission, Vulnerable Supply Chains Study Report, page 8</w:t>
      </w:r>
    </w:p>
  </w:footnote>
  <w:footnote w:id="23">
    <w:p w14:paraId="75D80BE6" w14:textId="371B28DC" w:rsidR="001E0802" w:rsidRPr="002F14ED" w:rsidRDefault="001E0802" w:rsidP="001E0802">
      <w:pPr>
        <w:pStyle w:val="FootnoteText"/>
        <w:rPr>
          <w:lang w:val="en-AU"/>
        </w:rPr>
      </w:pPr>
      <w:r>
        <w:rPr>
          <w:rStyle w:val="FootnoteReference"/>
        </w:rPr>
        <w:footnoteRef/>
      </w:r>
      <w:r>
        <w:t xml:space="preserve"> </w:t>
      </w:r>
      <w:r w:rsidR="00966970">
        <w:t xml:space="preserve">Productivity Commission, Vulnerable Supply Chains Study Report, page </w:t>
      </w:r>
      <w:r w:rsidR="00D82930">
        <w:t>3</w:t>
      </w:r>
    </w:p>
  </w:footnote>
  <w:footnote w:id="24">
    <w:p w14:paraId="3EC1F2EF" w14:textId="26E7C7F6" w:rsidR="00F85CA4" w:rsidRPr="00F85CA4" w:rsidRDefault="00F85CA4">
      <w:pPr>
        <w:pStyle w:val="FootnoteText"/>
        <w:rPr>
          <w:lang w:val="en-AU"/>
        </w:rPr>
      </w:pPr>
      <w:r>
        <w:rPr>
          <w:rStyle w:val="FootnoteReference"/>
        </w:rPr>
        <w:footnoteRef/>
      </w:r>
      <w:r>
        <w:t xml:space="preserve"> </w:t>
      </w:r>
      <w:hyperlink r:id="rId9" w:history="1">
        <w:r w:rsidR="00D809B9">
          <w:rPr>
            <w:rStyle w:val="Hyperlink"/>
          </w:rPr>
          <w:t>Supply chain diversification | Deloitte Insights</w:t>
        </w:r>
      </w:hyperlink>
    </w:p>
  </w:footnote>
  <w:footnote w:id="25">
    <w:p w14:paraId="63ADA1C7" w14:textId="443E65FC" w:rsidR="00EB7787" w:rsidRPr="000343A4" w:rsidRDefault="00EB7787" w:rsidP="00EB7787">
      <w:pPr>
        <w:pStyle w:val="FootnoteText"/>
        <w:rPr>
          <w:lang w:val="en-AU"/>
        </w:rPr>
      </w:pPr>
      <w:r>
        <w:rPr>
          <w:rStyle w:val="FootnoteReference"/>
        </w:rPr>
        <w:footnoteRef/>
      </w:r>
      <w:r w:rsidR="00145A45">
        <w:t xml:space="preserve"> </w:t>
      </w:r>
      <w:hyperlink r:id="rId10" w:history="1">
        <w:r w:rsidR="00145A45">
          <w:rPr>
            <w:rStyle w:val="Hyperlink"/>
          </w:rPr>
          <w:t>Supply chain: Consultancy TMX Global says delays cost Australian companies $11b (afr.com)</w:t>
        </w:r>
      </w:hyperlink>
    </w:p>
  </w:footnote>
  <w:footnote w:id="26">
    <w:p w14:paraId="55FF9741" w14:textId="35D6C9CD" w:rsidR="00EB7787" w:rsidRPr="00674A57" w:rsidRDefault="00EB7787" w:rsidP="00EB7787">
      <w:pPr>
        <w:pStyle w:val="FootnoteText"/>
        <w:rPr>
          <w:lang w:val="en-AU"/>
        </w:rPr>
      </w:pPr>
      <w:r>
        <w:rPr>
          <w:rStyle w:val="FootnoteReference"/>
        </w:rPr>
        <w:footnoteRef/>
      </w:r>
      <w:r>
        <w:t xml:space="preserve"> </w:t>
      </w:r>
      <w:hyperlink r:id="rId11" w:anchor=":~:text=By%202030%2C%20the%20productivity%20and,broad%20gains%20for%20industry%20too." w:history="1">
        <w:r w:rsidR="000824A8">
          <w:rPr>
            <w:rStyle w:val="Hyperlink"/>
          </w:rPr>
          <w:t>Supply chain digitisation: the case for investment (pwc.com.au)</w:t>
        </w:r>
      </w:hyperlink>
    </w:p>
  </w:footnote>
  <w:footnote w:id="27">
    <w:p w14:paraId="28D1386A" w14:textId="3844A28E" w:rsidR="00EB7787" w:rsidRPr="0075264D" w:rsidRDefault="00EB7787" w:rsidP="00EB7787">
      <w:pPr>
        <w:pStyle w:val="FootnoteText"/>
        <w:rPr>
          <w:lang w:val="en-AU"/>
        </w:rPr>
      </w:pPr>
      <w:r>
        <w:rPr>
          <w:rStyle w:val="FootnoteReference"/>
        </w:rPr>
        <w:footnoteRef/>
      </w:r>
      <w:r>
        <w:t xml:space="preserve"> </w:t>
      </w:r>
      <w:hyperlink r:id="rId12" w:history="1">
        <w:r w:rsidR="00082135">
          <w:rPr>
            <w:rStyle w:val="Hyperlink"/>
          </w:rPr>
          <w:t>Global value chains and trade - OECD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0BF7" w14:textId="4017D884" w:rsidR="005005B6" w:rsidRDefault="00214F15">
    <w:pPr>
      <w:pStyle w:val="Header"/>
    </w:pPr>
    <w:r>
      <w:rPr>
        <w:noProof/>
      </w:rPr>
      <w:drawing>
        <wp:anchor distT="0" distB="0" distL="114300" distR="114300" simplePos="0" relativeHeight="251658240" behindDoc="0" locked="0" layoutInCell="1" allowOverlap="1" wp14:anchorId="2216F321" wp14:editId="63F6A420">
          <wp:simplePos x="0" y="0"/>
          <wp:positionH relativeFrom="page">
            <wp:posOffset>66675</wp:posOffset>
          </wp:positionH>
          <wp:positionV relativeFrom="paragraph">
            <wp:posOffset>-458209</wp:posOffset>
          </wp:positionV>
          <wp:extent cx="7581900" cy="12865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02BA" w14:textId="23528482" w:rsidR="00F475AF" w:rsidRDefault="00F47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3E4D" w14:textId="4D99312F" w:rsidR="0049581F" w:rsidRDefault="0049581F">
    <w:pPr>
      <w:pStyle w:val="Header"/>
    </w:pPr>
    <w:r>
      <w:rPr>
        <w:noProof/>
      </w:rPr>
      <w:drawing>
        <wp:anchor distT="0" distB="0" distL="114300" distR="114300" simplePos="0" relativeHeight="251658247" behindDoc="0" locked="0" layoutInCell="1" allowOverlap="1" wp14:anchorId="0900C0E7" wp14:editId="2BE4F5AF">
          <wp:simplePos x="0" y="0"/>
          <wp:positionH relativeFrom="page">
            <wp:posOffset>95250</wp:posOffset>
          </wp:positionH>
          <wp:positionV relativeFrom="paragraph">
            <wp:posOffset>-455034</wp:posOffset>
          </wp:positionV>
          <wp:extent cx="7581900" cy="128651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A626" w14:textId="514F8AF9" w:rsidR="00745534" w:rsidRDefault="007455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D652" w14:textId="22A5D4AB" w:rsidR="006D3A76" w:rsidRDefault="006D3A76">
    <w:pPr>
      <w:pStyle w:val="Header"/>
    </w:pPr>
    <w:r>
      <w:rPr>
        <w:noProof/>
      </w:rPr>
      <w:drawing>
        <wp:anchor distT="0" distB="0" distL="114300" distR="114300" simplePos="0" relativeHeight="251658242" behindDoc="0" locked="0" layoutInCell="1" allowOverlap="1" wp14:anchorId="4EDC6588" wp14:editId="51065965">
          <wp:simplePos x="0" y="0"/>
          <wp:positionH relativeFrom="page">
            <wp:posOffset>54610</wp:posOffset>
          </wp:positionH>
          <wp:positionV relativeFrom="paragraph">
            <wp:posOffset>-456304</wp:posOffset>
          </wp:positionV>
          <wp:extent cx="7581900" cy="12865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447F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4508C5"/>
    <w:multiLevelType w:val="hybridMultilevel"/>
    <w:tmpl w:val="ACE09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345F46"/>
    <w:multiLevelType w:val="hybridMultilevel"/>
    <w:tmpl w:val="B7CA5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5563B5"/>
    <w:multiLevelType w:val="hybridMultilevel"/>
    <w:tmpl w:val="C0421CE8"/>
    <w:lvl w:ilvl="0" w:tplc="DC9A874A">
      <w:start w:val="57"/>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A3F6B1D"/>
    <w:multiLevelType w:val="hybridMultilevel"/>
    <w:tmpl w:val="9DD0C6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413BEF"/>
    <w:multiLevelType w:val="hybridMultilevel"/>
    <w:tmpl w:val="5890E29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5C748A8"/>
    <w:multiLevelType w:val="hybridMultilevel"/>
    <w:tmpl w:val="C4047E0A"/>
    <w:lvl w:ilvl="0" w:tplc="AB6AA022">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7DB730DA"/>
    <w:multiLevelType w:val="hybridMultilevel"/>
    <w:tmpl w:val="65FA9A8E"/>
    <w:lvl w:ilvl="0" w:tplc="C36ED756">
      <w:start w:val="1"/>
      <w:numFmt w:val="bullet"/>
      <w:lvlText w:val=""/>
      <w:lvlJc w:val="left"/>
      <w:pPr>
        <w:ind w:left="720" w:hanging="360"/>
      </w:pPr>
      <w:rPr>
        <w:rFonts w:ascii="Symbol" w:hAnsi="Symbol" w:hint="default"/>
      </w:rPr>
    </w:lvl>
    <w:lvl w:ilvl="1" w:tplc="AF54AA58">
      <w:start w:val="1"/>
      <w:numFmt w:val="bullet"/>
      <w:lvlText w:val="o"/>
      <w:lvlJc w:val="left"/>
      <w:pPr>
        <w:ind w:left="1440" w:hanging="360"/>
      </w:pPr>
      <w:rPr>
        <w:rFonts w:ascii="Courier New" w:hAnsi="Courier New" w:cs="Courier New" w:hint="default"/>
      </w:rPr>
    </w:lvl>
    <w:lvl w:ilvl="2" w:tplc="8CDC3FC0">
      <w:start w:val="1"/>
      <w:numFmt w:val="bullet"/>
      <w:lvlText w:val=""/>
      <w:lvlJc w:val="left"/>
      <w:pPr>
        <w:ind w:left="2160" w:hanging="360"/>
      </w:pPr>
      <w:rPr>
        <w:rFonts w:ascii="Wingdings" w:hAnsi="Wingdings" w:hint="default"/>
      </w:rPr>
    </w:lvl>
    <w:lvl w:ilvl="3" w:tplc="026C3D7A">
      <w:start w:val="1"/>
      <w:numFmt w:val="bullet"/>
      <w:lvlText w:val=""/>
      <w:lvlJc w:val="left"/>
      <w:pPr>
        <w:ind w:left="2880" w:hanging="360"/>
      </w:pPr>
      <w:rPr>
        <w:rFonts w:ascii="Symbol" w:hAnsi="Symbol" w:hint="default"/>
      </w:rPr>
    </w:lvl>
    <w:lvl w:ilvl="4" w:tplc="C28280C0">
      <w:start w:val="1"/>
      <w:numFmt w:val="bullet"/>
      <w:lvlText w:val="o"/>
      <w:lvlJc w:val="left"/>
      <w:pPr>
        <w:ind w:left="3600" w:hanging="360"/>
      </w:pPr>
      <w:rPr>
        <w:rFonts w:ascii="Courier New" w:hAnsi="Courier New" w:cs="Courier New" w:hint="default"/>
      </w:rPr>
    </w:lvl>
    <w:lvl w:ilvl="5" w:tplc="E24ACDA6">
      <w:start w:val="1"/>
      <w:numFmt w:val="bullet"/>
      <w:lvlText w:val=""/>
      <w:lvlJc w:val="left"/>
      <w:pPr>
        <w:ind w:left="4320" w:hanging="360"/>
      </w:pPr>
      <w:rPr>
        <w:rFonts w:ascii="Wingdings" w:hAnsi="Wingdings" w:hint="default"/>
      </w:rPr>
    </w:lvl>
    <w:lvl w:ilvl="6" w:tplc="D6925826">
      <w:start w:val="1"/>
      <w:numFmt w:val="bullet"/>
      <w:lvlText w:val=""/>
      <w:lvlJc w:val="left"/>
      <w:pPr>
        <w:ind w:left="5040" w:hanging="360"/>
      </w:pPr>
      <w:rPr>
        <w:rFonts w:ascii="Symbol" w:hAnsi="Symbol" w:hint="default"/>
      </w:rPr>
    </w:lvl>
    <w:lvl w:ilvl="7" w:tplc="325429EE">
      <w:start w:val="1"/>
      <w:numFmt w:val="bullet"/>
      <w:lvlText w:val="o"/>
      <w:lvlJc w:val="left"/>
      <w:pPr>
        <w:ind w:left="5760" w:hanging="360"/>
      </w:pPr>
      <w:rPr>
        <w:rFonts w:ascii="Courier New" w:hAnsi="Courier New" w:cs="Courier New" w:hint="default"/>
      </w:rPr>
    </w:lvl>
    <w:lvl w:ilvl="8" w:tplc="D582889C">
      <w:start w:val="1"/>
      <w:numFmt w:val="bullet"/>
      <w:lvlText w:val=""/>
      <w:lvlJc w:val="left"/>
      <w:pPr>
        <w:ind w:left="6480" w:hanging="360"/>
      </w:pPr>
      <w:rPr>
        <w:rFonts w:ascii="Wingdings" w:hAnsi="Wingdings" w:hint="default"/>
      </w:rPr>
    </w:lvl>
  </w:abstractNum>
  <w:num w:numId="1" w16cid:durableId="1380935141">
    <w:abstractNumId w:val="0"/>
  </w:num>
  <w:num w:numId="2" w16cid:durableId="332606065">
    <w:abstractNumId w:val="6"/>
  </w:num>
  <w:num w:numId="3" w16cid:durableId="1306352465">
    <w:abstractNumId w:val="3"/>
  </w:num>
  <w:num w:numId="4" w16cid:durableId="2020422738">
    <w:abstractNumId w:val="4"/>
  </w:num>
  <w:num w:numId="5" w16cid:durableId="1659113327">
    <w:abstractNumId w:val="5"/>
  </w:num>
  <w:num w:numId="6" w16cid:durableId="1148127489">
    <w:abstractNumId w:val="2"/>
  </w:num>
  <w:num w:numId="7" w16cid:durableId="1309164858">
    <w:abstractNumId w:val="1"/>
  </w:num>
  <w:num w:numId="8" w16cid:durableId="207496302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4E"/>
    <w:rsid w:val="0000043F"/>
    <w:rsid w:val="0000170C"/>
    <w:rsid w:val="00001FE1"/>
    <w:rsid w:val="0000200B"/>
    <w:rsid w:val="000023F5"/>
    <w:rsid w:val="00002544"/>
    <w:rsid w:val="000028E3"/>
    <w:rsid w:val="00002A02"/>
    <w:rsid w:val="00003284"/>
    <w:rsid w:val="000033EB"/>
    <w:rsid w:val="00003E91"/>
    <w:rsid w:val="00003EA8"/>
    <w:rsid w:val="0000462B"/>
    <w:rsid w:val="000050F2"/>
    <w:rsid w:val="0000512E"/>
    <w:rsid w:val="000052B8"/>
    <w:rsid w:val="00005689"/>
    <w:rsid w:val="0000590A"/>
    <w:rsid w:val="000059A0"/>
    <w:rsid w:val="00005FCF"/>
    <w:rsid w:val="0000631A"/>
    <w:rsid w:val="00010739"/>
    <w:rsid w:val="00010D24"/>
    <w:rsid w:val="000115FD"/>
    <w:rsid w:val="00012011"/>
    <w:rsid w:val="000128C6"/>
    <w:rsid w:val="0001296A"/>
    <w:rsid w:val="00013AE4"/>
    <w:rsid w:val="00014F1E"/>
    <w:rsid w:val="00014F21"/>
    <w:rsid w:val="00015049"/>
    <w:rsid w:val="00015479"/>
    <w:rsid w:val="0001564A"/>
    <w:rsid w:val="000159FB"/>
    <w:rsid w:val="0001757B"/>
    <w:rsid w:val="00020375"/>
    <w:rsid w:val="0002223D"/>
    <w:rsid w:val="00022532"/>
    <w:rsid w:val="00023744"/>
    <w:rsid w:val="00025898"/>
    <w:rsid w:val="00025928"/>
    <w:rsid w:val="0002608C"/>
    <w:rsid w:val="000262B4"/>
    <w:rsid w:val="00026522"/>
    <w:rsid w:val="00026559"/>
    <w:rsid w:val="00027156"/>
    <w:rsid w:val="00030015"/>
    <w:rsid w:val="0003007E"/>
    <w:rsid w:val="000301E8"/>
    <w:rsid w:val="00030577"/>
    <w:rsid w:val="00031F28"/>
    <w:rsid w:val="00032378"/>
    <w:rsid w:val="00032BA3"/>
    <w:rsid w:val="00032CAC"/>
    <w:rsid w:val="000331A6"/>
    <w:rsid w:val="00033278"/>
    <w:rsid w:val="00033886"/>
    <w:rsid w:val="00033C58"/>
    <w:rsid w:val="000343A4"/>
    <w:rsid w:val="000346F5"/>
    <w:rsid w:val="00034DDB"/>
    <w:rsid w:val="00034F16"/>
    <w:rsid w:val="00035ABE"/>
    <w:rsid w:val="00036921"/>
    <w:rsid w:val="00037A58"/>
    <w:rsid w:val="00037CF8"/>
    <w:rsid w:val="00037DE4"/>
    <w:rsid w:val="00040166"/>
    <w:rsid w:val="000401CF"/>
    <w:rsid w:val="000405AC"/>
    <w:rsid w:val="00040601"/>
    <w:rsid w:val="000410BF"/>
    <w:rsid w:val="000412CC"/>
    <w:rsid w:val="00041A97"/>
    <w:rsid w:val="00041F66"/>
    <w:rsid w:val="00042102"/>
    <w:rsid w:val="00042489"/>
    <w:rsid w:val="000427E8"/>
    <w:rsid w:val="00042C0A"/>
    <w:rsid w:val="0004327B"/>
    <w:rsid w:val="00043354"/>
    <w:rsid w:val="000436B9"/>
    <w:rsid w:val="00045CEC"/>
    <w:rsid w:val="0004692D"/>
    <w:rsid w:val="00046D85"/>
    <w:rsid w:val="000518A3"/>
    <w:rsid w:val="00051A2A"/>
    <w:rsid w:val="00051BBC"/>
    <w:rsid w:val="00052564"/>
    <w:rsid w:val="000529B5"/>
    <w:rsid w:val="00053392"/>
    <w:rsid w:val="00053FAF"/>
    <w:rsid w:val="000543AF"/>
    <w:rsid w:val="00054662"/>
    <w:rsid w:val="000558ED"/>
    <w:rsid w:val="00057870"/>
    <w:rsid w:val="00060182"/>
    <w:rsid w:val="0006023E"/>
    <w:rsid w:val="00060B2A"/>
    <w:rsid w:val="00061098"/>
    <w:rsid w:val="000615E1"/>
    <w:rsid w:val="00061841"/>
    <w:rsid w:val="000618CA"/>
    <w:rsid w:val="00061931"/>
    <w:rsid w:val="00061C79"/>
    <w:rsid w:val="00062600"/>
    <w:rsid w:val="00063FDA"/>
    <w:rsid w:val="00064D10"/>
    <w:rsid w:val="000663FC"/>
    <w:rsid w:val="00066B71"/>
    <w:rsid w:val="00066F71"/>
    <w:rsid w:val="0006744F"/>
    <w:rsid w:val="000703BE"/>
    <w:rsid w:val="000705C1"/>
    <w:rsid w:val="00071214"/>
    <w:rsid w:val="00071D1F"/>
    <w:rsid w:val="00072052"/>
    <w:rsid w:val="00072DBA"/>
    <w:rsid w:val="00073528"/>
    <w:rsid w:val="000741A1"/>
    <w:rsid w:val="00074B24"/>
    <w:rsid w:val="00074D81"/>
    <w:rsid w:val="00075862"/>
    <w:rsid w:val="00075BF3"/>
    <w:rsid w:val="00077ABF"/>
    <w:rsid w:val="00080316"/>
    <w:rsid w:val="00080732"/>
    <w:rsid w:val="000807DD"/>
    <w:rsid w:val="0008184D"/>
    <w:rsid w:val="00082135"/>
    <w:rsid w:val="000824A8"/>
    <w:rsid w:val="00082AE6"/>
    <w:rsid w:val="0008316A"/>
    <w:rsid w:val="0008478B"/>
    <w:rsid w:val="00084E60"/>
    <w:rsid w:val="00084F3C"/>
    <w:rsid w:val="00084FB1"/>
    <w:rsid w:val="00085539"/>
    <w:rsid w:val="000870F2"/>
    <w:rsid w:val="00087A2B"/>
    <w:rsid w:val="00087AE1"/>
    <w:rsid w:val="00087B7C"/>
    <w:rsid w:val="0009001E"/>
    <w:rsid w:val="00090893"/>
    <w:rsid w:val="00091173"/>
    <w:rsid w:val="00091697"/>
    <w:rsid w:val="0009260B"/>
    <w:rsid w:val="0009293D"/>
    <w:rsid w:val="00092BB6"/>
    <w:rsid w:val="00093161"/>
    <w:rsid w:val="0009352D"/>
    <w:rsid w:val="00094ACA"/>
    <w:rsid w:val="00095257"/>
    <w:rsid w:val="000955C7"/>
    <w:rsid w:val="000959B6"/>
    <w:rsid w:val="00095BB1"/>
    <w:rsid w:val="00096362"/>
    <w:rsid w:val="000976DA"/>
    <w:rsid w:val="0009780D"/>
    <w:rsid w:val="000A01AA"/>
    <w:rsid w:val="000A0DF2"/>
    <w:rsid w:val="000A0E08"/>
    <w:rsid w:val="000A119F"/>
    <w:rsid w:val="000A1387"/>
    <w:rsid w:val="000A13BB"/>
    <w:rsid w:val="000A20E6"/>
    <w:rsid w:val="000A26DC"/>
    <w:rsid w:val="000A3F67"/>
    <w:rsid w:val="000A40C8"/>
    <w:rsid w:val="000A4819"/>
    <w:rsid w:val="000A4A32"/>
    <w:rsid w:val="000A543D"/>
    <w:rsid w:val="000A5A5B"/>
    <w:rsid w:val="000A7AE7"/>
    <w:rsid w:val="000B02E8"/>
    <w:rsid w:val="000B0EBF"/>
    <w:rsid w:val="000B0F88"/>
    <w:rsid w:val="000B1587"/>
    <w:rsid w:val="000B2B7A"/>
    <w:rsid w:val="000B3857"/>
    <w:rsid w:val="000B43F7"/>
    <w:rsid w:val="000B51E4"/>
    <w:rsid w:val="000B5529"/>
    <w:rsid w:val="000B61DC"/>
    <w:rsid w:val="000B7204"/>
    <w:rsid w:val="000B78F7"/>
    <w:rsid w:val="000B7B2A"/>
    <w:rsid w:val="000C03F2"/>
    <w:rsid w:val="000C095D"/>
    <w:rsid w:val="000C096E"/>
    <w:rsid w:val="000C0ABE"/>
    <w:rsid w:val="000C0F49"/>
    <w:rsid w:val="000C1B84"/>
    <w:rsid w:val="000C308C"/>
    <w:rsid w:val="000C30A9"/>
    <w:rsid w:val="000C3496"/>
    <w:rsid w:val="000C36AE"/>
    <w:rsid w:val="000C3D39"/>
    <w:rsid w:val="000C550A"/>
    <w:rsid w:val="000C5E9E"/>
    <w:rsid w:val="000C684D"/>
    <w:rsid w:val="000C7146"/>
    <w:rsid w:val="000C7CD8"/>
    <w:rsid w:val="000D00E3"/>
    <w:rsid w:val="000D0B94"/>
    <w:rsid w:val="000D10C1"/>
    <w:rsid w:val="000D10FE"/>
    <w:rsid w:val="000D1935"/>
    <w:rsid w:val="000D1A4F"/>
    <w:rsid w:val="000D21B8"/>
    <w:rsid w:val="000D3755"/>
    <w:rsid w:val="000D460B"/>
    <w:rsid w:val="000D52AB"/>
    <w:rsid w:val="000D5933"/>
    <w:rsid w:val="000D5D56"/>
    <w:rsid w:val="000D5E28"/>
    <w:rsid w:val="000D613C"/>
    <w:rsid w:val="000D72B0"/>
    <w:rsid w:val="000D73C4"/>
    <w:rsid w:val="000D7668"/>
    <w:rsid w:val="000E0F20"/>
    <w:rsid w:val="000E0F3A"/>
    <w:rsid w:val="000E1B12"/>
    <w:rsid w:val="000E2CF6"/>
    <w:rsid w:val="000E4188"/>
    <w:rsid w:val="000E462D"/>
    <w:rsid w:val="000E541E"/>
    <w:rsid w:val="000E661F"/>
    <w:rsid w:val="000E6C5A"/>
    <w:rsid w:val="000E6EFE"/>
    <w:rsid w:val="000E7085"/>
    <w:rsid w:val="000E728F"/>
    <w:rsid w:val="000E7752"/>
    <w:rsid w:val="000F23DC"/>
    <w:rsid w:val="000F377E"/>
    <w:rsid w:val="000F4150"/>
    <w:rsid w:val="000F4675"/>
    <w:rsid w:val="000F46AC"/>
    <w:rsid w:val="000F550B"/>
    <w:rsid w:val="000F5A96"/>
    <w:rsid w:val="000F6E96"/>
    <w:rsid w:val="000F7A7A"/>
    <w:rsid w:val="000F7D28"/>
    <w:rsid w:val="000F7EC3"/>
    <w:rsid w:val="00100133"/>
    <w:rsid w:val="001005BD"/>
    <w:rsid w:val="00100897"/>
    <w:rsid w:val="00100F00"/>
    <w:rsid w:val="00101669"/>
    <w:rsid w:val="00102099"/>
    <w:rsid w:val="001027DE"/>
    <w:rsid w:val="00103534"/>
    <w:rsid w:val="00103542"/>
    <w:rsid w:val="00103617"/>
    <w:rsid w:val="00103781"/>
    <w:rsid w:val="00103BF2"/>
    <w:rsid w:val="00103C78"/>
    <w:rsid w:val="00104496"/>
    <w:rsid w:val="00104DBE"/>
    <w:rsid w:val="00104E24"/>
    <w:rsid w:val="00104F74"/>
    <w:rsid w:val="00105482"/>
    <w:rsid w:val="00105D96"/>
    <w:rsid w:val="00106FB5"/>
    <w:rsid w:val="00107314"/>
    <w:rsid w:val="001101B4"/>
    <w:rsid w:val="00110B46"/>
    <w:rsid w:val="00111099"/>
    <w:rsid w:val="001113D9"/>
    <w:rsid w:val="001116C2"/>
    <w:rsid w:val="00111B09"/>
    <w:rsid w:val="00111C6B"/>
    <w:rsid w:val="001122C0"/>
    <w:rsid w:val="0011277C"/>
    <w:rsid w:val="001139D0"/>
    <w:rsid w:val="001157F6"/>
    <w:rsid w:val="00115A0C"/>
    <w:rsid w:val="00116D66"/>
    <w:rsid w:val="001172BB"/>
    <w:rsid w:val="001174C8"/>
    <w:rsid w:val="00120162"/>
    <w:rsid w:val="00120353"/>
    <w:rsid w:val="0012073E"/>
    <w:rsid w:val="00120FD9"/>
    <w:rsid w:val="00120FDD"/>
    <w:rsid w:val="00121433"/>
    <w:rsid w:val="00121B15"/>
    <w:rsid w:val="00121E0B"/>
    <w:rsid w:val="00123940"/>
    <w:rsid w:val="00123E92"/>
    <w:rsid w:val="00123FEE"/>
    <w:rsid w:val="001247E8"/>
    <w:rsid w:val="00125AF2"/>
    <w:rsid w:val="00125FD9"/>
    <w:rsid w:val="001261A1"/>
    <w:rsid w:val="00126748"/>
    <w:rsid w:val="001272E5"/>
    <w:rsid w:val="00130054"/>
    <w:rsid w:val="00130EC3"/>
    <w:rsid w:val="00131090"/>
    <w:rsid w:val="0013139A"/>
    <w:rsid w:val="001315D4"/>
    <w:rsid w:val="00131A0C"/>
    <w:rsid w:val="00131BE7"/>
    <w:rsid w:val="00131EE8"/>
    <w:rsid w:val="001320E9"/>
    <w:rsid w:val="00132811"/>
    <w:rsid w:val="00132EDC"/>
    <w:rsid w:val="001334CC"/>
    <w:rsid w:val="001335A7"/>
    <w:rsid w:val="00134070"/>
    <w:rsid w:val="00134722"/>
    <w:rsid w:val="00134813"/>
    <w:rsid w:val="00134E3C"/>
    <w:rsid w:val="00134E6B"/>
    <w:rsid w:val="00135312"/>
    <w:rsid w:val="001359CB"/>
    <w:rsid w:val="00135FC9"/>
    <w:rsid w:val="001360F3"/>
    <w:rsid w:val="0013625F"/>
    <w:rsid w:val="001367C8"/>
    <w:rsid w:val="001373BA"/>
    <w:rsid w:val="00137B7D"/>
    <w:rsid w:val="00137BD0"/>
    <w:rsid w:val="00140526"/>
    <w:rsid w:val="001413FE"/>
    <w:rsid w:val="001415C4"/>
    <w:rsid w:val="00141CDB"/>
    <w:rsid w:val="00142CD0"/>
    <w:rsid w:val="00143447"/>
    <w:rsid w:val="0014447C"/>
    <w:rsid w:val="0014485D"/>
    <w:rsid w:val="00144C7F"/>
    <w:rsid w:val="00145450"/>
    <w:rsid w:val="00145A45"/>
    <w:rsid w:val="00145E12"/>
    <w:rsid w:val="00146755"/>
    <w:rsid w:val="00147255"/>
    <w:rsid w:val="00147831"/>
    <w:rsid w:val="001503C5"/>
    <w:rsid w:val="0015044B"/>
    <w:rsid w:val="0015077C"/>
    <w:rsid w:val="0015165A"/>
    <w:rsid w:val="001523A9"/>
    <w:rsid w:val="001529AC"/>
    <w:rsid w:val="001533A7"/>
    <w:rsid w:val="00153C7A"/>
    <w:rsid w:val="00153DEB"/>
    <w:rsid w:val="00153F74"/>
    <w:rsid w:val="00154202"/>
    <w:rsid w:val="001558B5"/>
    <w:rsid w:val="00155A89"/>
    <w:rsid w:val="0015608C"/>
    <w:rsid w:val="0015686B"/>
    <w:rsid w:val="00156B19"/>
    <w:rsid w:val="00156DAB"/>
    <w:rsid w:val="00157380"/>
    <w:rsid w:val="001579BD"/>
    <w:rsid w:val="00157E39"/>
    <w:rsid w:val="00160AF0"/>
    <w:rsid w:val="00161357"/>
    <w:rsid w:val="00161AE1"/>
    <w:rsid w:val="00162533"/>
    <w:rsid w:val="00162DB6"/>
    <w:rsid w:val="00163299"/>
    <w:rsid w:val="00163DEF"/>
    <w:rsid w:val="00163E5A"/>
    <w:rsid w:val="0016469B"/>
    <w:rsid w:val="001647EE"/>
    <w:rsid w:val="00164CC0"/>
    <w:rsid w:val="00164DB7"/>
    <w:rsid w:val="0016544A"/>
    <w:rsid w:val="00166034"/>
    <w:rsid w:val="001662B8"/>
    <w:rsid w:val="00166593"/>
    <w:rsid w:val="001666A0"/>
    <w:rsid w:val="001668CB"/>
    <w:rsid w:val="00166B43"/>
    <w:rsid w:val="00166B82"/>
    <w:rsid w:val="00166BA6"/>
    <w:rsid w:val="00167D2C"/>
    <w:rsid w:val="00167DB2"/>
    <w:rsid w:val="00167E62"/>
    <w:rsid w:val="00167F85"/>
    <w:rsid w:val="00170202"/>
    <w:rsid w:val="001709C9"/>
    <w:rsid w:val="001716DD"/>
    <w:rsid w:val="0017185C"/>
    <w:rsid w:val="00171A36"/>
    <w:rsid w:val="00172885"/>
    <w:rsid w:val="0017290F"/>
    <w:rsid w:val="0017292C"/>
    <w:rsid w:val="00172961"/>
    <w:rsid w:val="001742BA"/>
    <w:rsid w:val="00174781"/>
    <w:rsid w:val="001747A2"/>
    <w:rsid w:val="00174D89"/>
    <w:rsid w:val="00174E16"/>
    <w:rsid w:val="001751B2"/>
    <w:rsid w:val="00175366"/>
    <w:rsid w:val="00175BEE"/>
    <w:rsid w:val="00176752"/>
    <w:rsid w:val="00176CC8"/>
    <w:rsid w:val="00177058"/>
    <w:rsid w:val="00177237"/>
    <w:rsid w:val="00180144"/>
    <w:rsid w:val="0018032D"/>
    <w:rsid w:val="001805FC"/>
    <w:rsid w:val="001806BF"/>
    <w:rsid w:val="001808DA"/>
    <w:rsid w:val="00181224"/>
    <w:rsid w:val="00181682"/>
    <w:rsid w:val="001820EF"/>
    <w:rsid w:val="001839BE"/>
    <w:rsid w:val="00184FEA"/>
    <w:rsid w:val="00185051"/>
    <w:rsid w:val="00185EB6"/>
    <w:rsid w:val="0018621F"/>
    <w:rsid w:val="001862EF"/>
    <w:rsid w:val="0018653A"/>
    <w:rsid w:val="001875AB"/>
    <w:rsid w:val="00190CF9"/>
    <w:rsid w:val="00191127"/>
    <w:rsid w:val="00191B4B"/>
    <w:rsid w:val="00192AAF"/>
    <w:rsid w:val="00192AED"/>
    <w:rsid w:val="00192C5A"/>
    <w:rsid w:val="00192F63"/>
    <w:rsid w:val="0019322A"/>
    <w:rsid w:val="00193FA4"/>
    <w:rsid w:val="00194256"/>
    <w:rsid w:val="001947AC"/>
    <w:rsid w:val="00194F48"/>
    <w:rsid w:val="0019554A"/>
    <w:rsid w:val="001955EE"/>
    <w:rsid w:val="001958E0"/>
    <w:rsid w:val="00195B84"/>
    <w:rsid w:val="00196270"/>
    <w:rsid w:val="00196DFB"/>
    <w:rsid w:val="0019765F"/>
    <w:rsid w:val="00197896"/>
    <w:rsid w:val="0019790C"/>
    <w:rsid w:val="001A0635"/>
    <w:rsid w:val="001A0937"/>
    <w:rsid w:val="001A0B5B"/>
    <w:rsid w:val="001A0EDA"/>
    <w:rsid w:val="001A1D87"/>
    <w:rsid w:val="001A1DDF"/>
    <w:rsid w:val="001A2C29"/>
    <w:rsid w:val="001A346D"/>
    <w:rsid w:val="001A38BB"/>
    <w:rsid w:val="001A3C44"/>
    <w:rsid w:val="001A3E60"/>
    <w:rsid w:val="001A49CA"/>
    <w:rsid w:val="001A4D8B"/>
    <w:rsid w:val="001A5EDA"/>
    <w:rsid w:val="001A6481"/>
    <w:rsid w:val="001A66EA"/>
    <w:rsid w:val="001B11CA"/>
    <w:rsid w:val="001B18DD"/>
    <w:rsid w:val="001B267A"/>
    <w:rsid w:val="001B28F0"/>
    <w:rsid w:val="001B30D1"/>
    <w:rsid w:val="001B3190"/>
    <w:rsid w:val="001B3522"/>
    <w:rsid w:val="001B46D4"/>
    <w:rsid w:val="001B4FB3"/>
    <w:rsid w:val="001B5D45"/>
    <w:rsid w:val="001B6428"/>
    <w:rsid w:val="001B6ECB"/>
    <w:rsid w:val="001B7572"/>
    <w:rsid w:val="001C0111"/>
    <w:rsid w:val="001C0A77"/>
    <w:rsid w:val="001C0C3C"/>
    <w:rsid w:val="001C0DB2"/>
    <w:rsid w:val="001C0E06"/>
    <w:rsid w:val="001C0EA3"/>
    <w:rsid w:val="001C136F"/>
    <w:rsid w:val="001C16CF"/>
    <w:rsid w:val="001C2324"/>
    <w:rsid w:val="001C252F"/>
    <w:rsid w:val="001C28CA"/>
    <w:rsid w:val="001C2C14"/>
    <w:rsid w:val="001C2C5B"/>
    <w:rsid w:val="001C30D2"/>
    <w:rsid w:val="001C343B"/>
    <w:rsid w:val="001C3D5B"/>
    <w:rsid w:val="001C46A5"/>
    <w:rsid w:val="001C5342"/>
    <w:rsid w:val="001C56DE"/>
    <w:rsid w:val="001C58F7"/>
    <w:rsid w:val="001C5963"/>
    <w:rsid w:val="001C62CA"/>
    <w:rsid w:val="001C656E"/>
    <w:rsid w:val="001C6A36"/>
    <w:rsid w:val="001C7136"/>
    <w:rsid w:val="001C72A2"/>
    <w:rsid w:val="001C75D5"/>
    <w:rsid w:val="001D0611"/>
    <w:rsid w:val="001D07C9"/>
    <w:rsid w:val="001D0B22"/>
    <w:rsid w:val="001D1733"/>
    <w:rsid w:val="001D1D27"/>
    <w:rsid w:val="001D2046"/>
    <w:rsid w:val="001D3C7B"/>
    <w:rsid w:val="001D473B"/>
    <w:rsid w:val="001D4BB2"/>
    <w:rsid w:val="001D55D3"/>
    <w:rsid w:val="001D5EB3"/>
    <w:rsid w:val="001D5FC9"/>
    <w:rsid w:val="001D63C2"/>
    <w:rsid w:val="001D6656"/>
    <w:rsid w:val="001D6697"/>
    <w:rsid w:val="001D6AE8"/>
    <w:rsid w:val="001D6D18"/>
    <w:rsid w:val="001D6D8C"/>
    <w:rsid w:val="001D714C"/>
    <w:rsid w:val="001D74ED"/>
    <w:rsid w:val="001E0802"/>
    <w:rsid w:val="001E0DA8"/>
    <w:rsid w:val="001E286D"/>
    <w:rsid w:val="001E2B3E"/>
    <w:rsid w:val="001E3628"/>
    <w:rsid w:val="001E384B"/>
    <w:rsid w:val="001E3C2F"/>
    <w:rsid w:val="001E44E9"/>
    <w:rsid w:val="001E4C9A"/>
    <w:rsid w:val="001E673B"/>
    <w:rsid w:val="001E69B9"/>
    <w:rsid w:val="001E7188"/>
    <w:rsid w:val="001E77DF"/>
    <w:rsid w:val="001E7C2D"/>
    <w:rsid w:val="001F0CE1"/>
    <w:rsid w:val="001F2847"/>
    <w:rsid w:val="001F3F94"/>
    <w:rsid w:val="001F689F"/>
    <w:rsid w:val="001F6BEE"/>
    <w:rsid w:val="001F7691"/>
    <w:rsid w:val="0020010C"/>
    <w:rsid w:val="00200528"/>
    <w:rsid w:val="00200746"/>
    <w:rsid w:val="00200C2E"/>
    <w:rsid w:val="00201C87"/>
    <w:rsid w:val="002021D3"/>
    <w:rsid w:val="00202DD7"/>
    <w:rsid w:val="00202E13"/>
    <w:rsid w:val="00202FDC"/>
    <w:rsid w:val="0020455A"/>
    <w:rsid w:val="0020475C"/>
    <w:rsid w:val="00204B84"/>
    <w:rsid w:val="00205554"/>
    <w:rsid w:val="00205DF1"/>
    <w:rsid w:val="00205DF4"/>
    <w:rsid w:val="002064E7"/>
    <w:rsid w:val="0020682D"/>
    <w:rsid w:val="0020730D"/>
    <w:rsid w:val="002079C5"/>
    <w:rsid w:val="00207BAF"/>
    <w:rsid w:val="00210B57"/>
    <w:rsid w:val="00211D9E"/>
    <w:rsid w:val="00212655"/>
    <w:rsid w:val="00212B08"/>
    <w:rsid w:val="00212B7B"/>
    <w:rsid w:val="00212BCE"/>
    <w:rsid w:val="00214133"/>
    <w:rsid w:val="0021425B"/>
    <w:rsid w:val="00214299"/>
    <w:rsid w:val="002144C4"/>
    <w:rsid w:val="00214F15"/>
    <w:rsid w:val="00215B48"/>
    <w:rsid w:val="0021643C"/>
    <w:rsid w:val="002178E8"/>
    <w:rsid w:val="002179D4"/>
    <w:rsid w:val="00217C3C"/>
    <w:rsid w:val="002207AD"/>
    <w:rsid w:val="002208C0"/>
    <w:rsid w:val="00220E37"/>
    <w:rsid w:val="002221D3"/>
    <w:rsid w:val="0022369B"/>
    <w:rsid w:val="00223F25"/>
    <w:rsid w:val="00226AC5"/>
    <w:rsid w:val="002274E1"/>
    <w:rsid w:val="00227B10"/>
    <w:rsid w:val="00227F58"/>
    <w:rsid w:val="002301E3"/>
    <w:rsid w:val="00230B46"/>
    <w:rsid w:val="00230D7E"/>
    <w:rsid w:val="00231481"/>
    <w:rsid w:val="00231558"/>
    <w:rsid w:val="002319B5"/>
    <w:rsid w:val="002327A0"/>
    <w:rsid w:val="00232BFC"/>
    <w:rsid w:val="00232F54"/>
    <w:rsid w:val="00233447"/>
    <w:rsid w:val="00233A01"/>
    <w:rsid w:val="00233ED0"/>
    <w:rsid w:val="00233EF7"/>
    <w:rsid w:val="00234A9C"/>
    <w:rsid w:val="0023588B"/>
    <w:rsid w:val="00235F35"/>
    <w:rsid w:val="00235FA2"/>
    <w:rsid w:val="00236298"/>
    <w:rsid w:val="00236AB5"/>
    <w:rsid w:val="00236C92"/>
    <w:rsid w:val="00236C9F"/>
    <w:rsid w:val="00236E74"/>
    <w:rsid w:val="00237205"/>
    <w:rsid w:val="00237D37"/>
    <w:rsid w:val="00240259"/>
    <w:rsid w:val="00240387"/>
    <w:rsid w:val="002411C8"/>
    <w:rsid w:val="00241F0A"/>
    <w:rsid w:val="00242BAC"/>
    <w:rsid w:val="00242E71"/>
    <w:rsid w:val="00243DA0"/>
    <w:rsid w:val="002441FD"/>
    <w:rsid w:val="0024477A"/>
    <w:rsid w:val="00245054"/>
    <w:rsid w:val="00245A8C"/>
    <w:rsid w:val="00245B8A"/>
    <w:rsid w:val="002467D5"/>
    <w:rsid w:val="0024745B"/>
    <w:rsid w:val="00247AC6"/>
    <w:rsid w:val="00247DCC"/>
    <w:rsid w:val="00250D8C"/>
    <w:rsid w:val="00250FFF"/>
    <w:rsid w:val="00251316"/>
    <w:rsid w:val="00251AD8"/>
    <w:rsid w:val="00252457"/>
    <w:rsid w:val="002525FB"/>
    <w:rsid w:val="002528FB"/>
    <w:rsid w:val="00252B4F"/>
    <w:rsid w:val="00252F08"/>
    <w:rsid w:val="0025302B"/>
    <w:rsid w:val="00253073"/>
    <w:rsid w:val="00253FF2"/>
    <w:rsid w:val="002541AD"/>
    <w:rsid w:val="00254247"/>
    <w:rsid w:val="002546F2"/>
    <w:rsid w:val="00254FB8"/>
    <w:rsid w:val="00255983"/>
    <w:rsid w:val="00255F19"/>
    <w:rsid w:val="00256360"/>
    <w:rsid w:val="00256655"/>
    <w:rsid w:val="00256A32"/>
    <w:rsid w:val="00256F21"/>
    <w:rsid w:val="002571E1"/>
    <w:rsid w:val="00257570"/>
    <w:rsid w:val="00257907"/>
    <w:rsid w:val="0026043E"/>
    <w:rsid w:val="0026125B"/>
    <w:rsid w:val="002615B3"/>
    <w:rsid w:val="00261F09"/>
    <w:rsid w:val="00262494"/>
    <w:rsid w:val="00262608"/>
    <w:rsid w:val="00262A22"/>
    <w:rsid w:val="00262EBD"/>
    <w:rsid w:val="00262ED2"/>
    <w:rsid w:val="00263366"/>
    <w:rsid w:val="0026410D"/>
    <w:rsid w:val="0026481A"/>
    <w:rsid w:val="00264F8C"/>
    <w:rsid w:val="00265333"/>
    <w:rsid w:val="002658F7"/>
    <w:rsid w:val="0026698D"/>
    <w:rsid w:val="0027134C"/>
    <w:rsid w:val="002717AC"/>
    <w:rsid w:val="00271992"/>
    <w:rsid w:val="00271CE8"/>
    <w:rsid w:val="0027228F"/>
    <w:rsid w:val="00272867"/>
    <w:rsid w:val="00272886"/>
    <w:rsid w:val="00273861"/>
    <w:rsid w:val="00273F2E"/>
    <w:rsid w:val="002743C1"/>
    <w:rsid w:val="002743C4"/>
    <w:rsid w:val="00274A75"/>
    <w:rsid w:val="00274EB9"/>
    <w:rsid w:val="002754BB"/>
    <w:rsid w:val="002764BC"/>
    <w:rsid w:val="00276E06"/>
    <w:rsid w:val="002779B9"/>
    <w:rsid w:val="00277BBE"/>
    <w:rsid w:val="00277BE1"/>
    <w:rsid w:val="00280E1F"/>
    <w:rsid w:val="00280FEE"/>
    <w:rsid w:val="00281090"/>
    <w:rsid w:val="002815B0"/>
    <w:rsid w:val="0028233B"/>
    <w:rsid w:val="00282F7C"/>
    <w:rsid w:val="00283729"/>
    <w:rsid w:val="00283772"/>
    <w:rsid w:val="00283A50"/>
    <w:rsid w:val="00284501"/>
    <w:rsid w:val="0028469F"/>
    <w:rsid w:val="00284B11"/>
    <w:rsid w:val="00284DCC"/>
    <w:rsid w:val="00285454"/>
    <w:rsid w:val="00285ED4"/>
    <w:rsid w:val="0028605A"/>
    <w:rsid w:val="00286303"/>
    <w:rsid w:val="0028678E"/>
    <w:rsid w:val="002868D7"/>
    <w:rsid w:val="00286B4C"/>
    <w:rsid w:val="00287354"/>
    <w:rsid w:val="00287466"/>
    <w:rsid w:val="00287F1B"/>
    <w:rsid w:val="002910A5"/>
    <w:rsid w:val="0029196C"/>
    <w:rsid w:val="00291F6A"/>
    <w:rsid w:val="00292EA0"/>
    <w:rsid w:val="002930EF"/>
    <w:rsid w:val="00293674"/>
    <w:rsid w:val="00293D78"/>
    <w:rsid w:val="00293EC1"/>
    <w:rsid w:val="00294A35"/>
    <w:rsid w:val="00294C2B"/>
    <w:rsid w:val="0029596A"/>
    <w:rsid w:val="00295DC3"/>
    <w:rsid w:val="00295FFA"/>
    <w:rsid w:val="00296E59"/>
    <w:rsid w:val="0029713E"/>
    <w:rsid w:val="002A1264"/>
    <w:rsid w:val="002A1A62"/>
    <w:rsid w:val="002A1B14"/>
    <w:rsid w:val="002A2162"/>
    <w:rsid w:val="002A2179"/>
    <w:rsid w:val="002A2EE8"/>
    <w:rsid w:val="002A5345"/>
    <w:rsid w:val="002A592B"/>
    <w:rsid w:val="002A620E"/>
    <w:rsid w:val="002B09A8"/>
    <w:rsid w:val="002B106C"/>
    <w:rsid w:val="002B14A5"/>
    <w:rsid w:val="002B1817"/>
    <w:rsid w:val="002B3052"/>
    <w:rsid w:val="002B40F7"/>
    <w:rsid w:val="002B45AD"/>
    <w:rsid w:val="002B45C1"/>
    <w:rsid w:val="002B5981"/>
    <w:rsid w:val="002B5D94"/>
    <w:rsid w:val="002B5F4D"/>
    <w:rsid w:val="002B6261"/>
    <w:rsid w:val="002B6713"/>
    <w:rsid w:val="002B6BCE"/>
    <w:rsid w:val="002B78E7"/>
    <w:rsid w:val="002B7E04"/>
    <w:rsid w:val="002C0B7C"/>
    <w:rsid w:val="002C147A"/>
    <w:rsid w:val="002C294D"/>
    <w:rsid w:val="002C2B64"/>
    <w:rsid w:val="002C379B"/>
    <w:rsid w:val="002C50E6"/>
    <w:rsid w:val="002C58A1"/>
    <w:rsid w:val="002C68E6"/>
    <w:rsid w:val="002C7304"/>
    <w:rsid w:val="002C7BB4"/>
    <w:rsid w:val="002C7BE9"/>
    <w:rsid w:val="002D0399"/>
    <w:rsid w:val="002D0742"/>
    <w:rsid w:val="002D084C"/>
    <w:rsid w:val="002D0BF6"/>
    <w:rsid w:val="002D0D42"/>
    <w:rsid w:val="002D140D"/>
    <w:rsid w:val="002D1CCB"/>
    <w:rsid w:val="002D2268"/>
    <w:rsid w:val="002D3343"/>
    <w:rsid w:val="002D3556"/>
    <w:rsid w:val="002D48D7"/>
    <w:rsid w:val="002D4A21"/>
    <w:rsid w:val="002D557D"/>
    <w:rsid w:val="002D5924"/>
    <w:rsid w:val="002D5A31"/>
    <w:rsid w:val="002D6355"/>
    <w:rsid w:val="002D66CB"/>
    <w:rsid w:val="002D6B8C"/>
    <w:rsid w:val="002D6D74"/>
    <w:rsid w:val="002D7212"/>
    <w:rsid w:val="002D72FD"/>
    <w:rsid w:val="002D7E89"/>
    <w:rsid w:val="002D7F30"/>
    <w:rsid w:val="002E02D2"/>
    <w:rsid w:val="002E0ACE"/>
    <w:rsid w:val="002E0E5E"/>
    <w:rsid w:val="002E12FE"/>
    <w:rsid w:val="002E3277"/>
    <w:rsid w:val="002E4FFB"/>
    <w:rsid w:val="002E5224"/>
    <w:rsid w:val="002E6972"/>
    <w:rsid w:val="002E6D1A"/>
    <w:rsid w:val="002E6D6E"/>
    <w:rsid w:val="002E6EB6"/>
    <w:rsid w:val="002E7C39"/>
    <w:rsid w:val="002E7D8B"/>
    <w:rsid w:val="002F0519"/>
    <w:rsid w:val="002F14ED"/>
    <w:rsid w:val="002F2796"/>
    <w:rsid w:val="002F32CA"/>
    <w:rsid w:val="002F384A"/>
    <w:rsid w:val="002F41E7"/>
    <w:rsid w:val="002F4544"/>
    <w:rsid w:val="002F45D5"/>
    <w:rsid w:val="002F5121"/>
    <w:rsid w:val="002F52E0"/>
    <w:rsid w:val="002F587F"/>
    <w:rsid w:val="002F5E4F"/>
    <w:rsid w:val="002F62E1"/>
    <w:rsid w:val="002F69F0"/>
    <w:rsid w:val="002F6D49"/>
    <w:rsid w:val="0030081D"/>
    <w:rsid w:val="00300CD4"/>
    <w:rsid w:val="00300F8C"/>
    <w:rsid w:val="003013FD"/>
    <w:rsid w:val="00301B24"/>
    <w:rsid w:val="00302223"/>
    <w:rsid w:val="003022FB"/>
    <w:rsid w:val="00302308"/>
    <w:rsid w:val="003028B5"/>
    <w:rsid w:val="003034A0"/>
    <w:rsid w:val="00303972"/>
    <w:rsid w:val="00303C36"/>
    <w:rsid w:val="00303FE5"/>
    <w:rsid w:val="003041B1"/>
    <w:rsid w:val="00304FAB"/>
    <w:rsid w:val="003050A5"/>
    <w:rsid w:val="003065AA"/>
    <w:rsid w:val="003066E8"/>
    <w:rsid w:val="00306A32"/>
    <w:rsid w:val="00310367"/>
    <w:rsid w:val="00310448"/>
    <w:rsid w:val="003104FD"/>
    <w:rsid w:val="00310BAE"/>
    <w:rsid w:val="0031101E"/>
    <w:rsid w:val="003112A3"/>
    <w:rsid w:val="00311CC1"/>
    <w:rsid w:val="003122F7"/>
    <w:rsid w:val="00312586"/>
    <w:rsid w:val="00312F3E"/>
    <w:rsid w:val="003135F0"/>
    <w:rsid w:val="00313839"/>
    <w:rsid w:val="0031476B"/>
    <w:rsid w:val="0031532A"/>
    <w:rsid w:val="003155E4"/>
    <w:rsid w:val="00315A7C"/>
    <w:rsid w:val="00315DEC"/>
    <w:rsid w:val="00316112"/>
    <w:rsid w:val="0031722C"/>
    <w:rsid w:val="00317BFD"/>
    <w:rsid w:val="0032150B"/>
    <w:rsid w:val="00321512"/>
    <w:rsid w:val="0032159C"/>
    <w:rsid w:val="0032176B"/>
    <w:rsid w:val="00321A5A"/>
    <w:rsid w:val="00321BC8"/>
    <w:rsid w:val="003223A5"/>
    <w:rsid w:val="0032272A"/>
    <w:rsid w:val="003228AD"/>
    <w:rsid w:val="003232DC"/>
    <w:rsid w:val="003239EC"/>
    <w:rsid w:val="00325443"/>
    <w:rsid w:val="003260FD"/>
    <w:rsid w:val="003261F2"/>
    <w:rsid w:val="0032697D"/>
    <w:rsid w:val="003270E6"/>
    <w:rsid w:val="003279C9"/>
    <w:rsid w:val="00327F80"/>
    <w:rsid w:val="003308B6"/>
    <w:rsid w:val="00330AFA"/>
    <w:rsid w:val="003317F3"/>
    <w:rsid w:val="00331D59"/>
    <w:rsid w:val="00333355"/>
    <w:rsid w:val="00333C11"/>
    <w:rsid w:val="00333C72"/>
    <w:rsid w:val="00333CFE"/>
    <w:rsid w:val="0033412A"/>
    <w:rsid w:val="003343E2"/>
    <w:rsid w:val="00335D01"/>
    <w:rsid w:val="00337295"/>
    <w:rsid w:val="00337528"/>
    <w:rsid w:val="003375CD"/>
    <w:rsid w:val="00337CD7"/>
    <w:rsid w:val="00341149"/>
    <w:rsid w:val="00341938"/>
    <w:rsid w:val="003429FF"/>
    <w:rsid w:val="00342A4C"/>
    <w:rsid w:val="00342CA6"/>
    <w:rsid w:val="00343CCC"/>
    <w:rsid w:val="00344235"/>
    <w:rsid w:val="00344D2A"/>
    <w:rsid w:val="0034533C"/>
    <w:rsid w:val="00345625"/>
    <w:rsid w:val="00345D66"/>
    <w:rsid w:val="00345E9C"/>
    <w:rsid w:val="00346163"/>
    <w:rsid w:val="00346217"/>
    <w:rsid w:val="00346793"/>
    <w:rsid w:val="0034717B"/>
    <w:rsid w:val="00347315"/>
    <w:rsid w:val="00347A7D"/>
    <w:rsid w:val="003502A2"/>
    <w:rsid w:val="0035081B"/>
    <w:rsid w:val="00350E3C"/>
    <w:rsid w:val="003510A5"/>
    <w:rsid w:val="003511DA"/>
    <w:rsid w:val="00351649"/>
    <w:rsid w:val="00351655"/>
    <w:rsid w:val="00351CF2"/>
    <w:rsid w:val="00352059"/>
    <w:rsid w:val="0035210F"/>
    <w:rsid w:val="00352436"/>
    <w:rsid w:val="00352744"/>
    <w:rsid w:val="0035299F"/>
    <w:rsid w:val="00352B9D"/>
    <w:rsid w:val="00354713"/>
    <w:rsid w:val="0035472A"/>
    <w:rsid w:val="00354FC6"/>
    <w:rsid w:val="00357DD2"/>
    <w:rsid w:val="003600C6"/>
    <w:rsid w:val="00360161"/>
    <w:rsid w:val="003602B4"/>
    <w:rsid w:val="00360458"/>
    <w:rsid w:val="003606A9"/>
    <w:rsid w:val="00360D54"/>
    <w:rsid w:val="00361127"/>
    <w:rsid w:val="00361171"/>
    <w:rsid w:val="003613EA"/>
    <w:rsid w:val="003615C6"/>
    <w:rsid w:val="0036193B"/>
    <w:rsid w:val="0036316F"/>
    <w:rsid w:val="003639B2"/>
    <w:rsid w:val="003647F3"/>
    <w:rsid w:val="00366398"/>
    <w:rsid w:val="00367045"/>
    <w:rsid w:val="00367A2A"/>
    <w:rsid w:val="00367AED"/>
    <w:rsid w:val="00370D3D"/>
    <w:rsid w:val="003712E5"/>
    <w:rsid w:val="0037242C"/>
    <w:rsid w:val="00373798"/>
    <w:rsid w:val="00373A24"/>
    <w:rsid w:val="00374067"/>
    <w:rsid w:val="00374CB3"/>
    <w:rsid w:val="00374EF0"/>
    <w:rsid w:val="003753CA"/>
    <w:rsid w:val="0037547E"/>
    <w:rsid w:val="00375DA8"/>
    <w:rsid w:val="00375FA7"/>
    <w:rsid w:val="00375FFE"/>
    <w:rsid w:val="003775FC"/>
    <w:rsid w:val="003776A8"/>
    <w:rsid w:val="00377F2E"/>
    <w:rsid w:val="0038042F"/>
    <w:rsid w:val="003811DF"/>
    <w:rsid w:val="00381A13"/>
    <w:rsid w:val="00381A2F"/>
    <w:rsid w:val="00382B6D"/>
    <w:rsid w:val="00383538"/>
    <w:rsid w:val="003838CC"/>
    <w:rsid w:val="00383C8D"/>
    <w:rsid w:val="0038410F"/>
    <w:rsid w:val="00384295"/>
    <w:rsid w:val="003852F1"/>
    <w:rsid w:val="00386AFF"/>
    <w:rsid w:val="00386B8A"/>
    <w:rsid w:val="00386C12"/>
    <w:rsid w:val="00386CF4"/>
    <w:rsid w:val="00390405"/>
    <w:rsid w:val="003909E7"/>
    <w:rsid w:val="00390D47"/>
    <w:rsid w:val="00391D85"/>
    <w:rsid w:val="00392E16"/>
    <w:rsid w:val="00393132"/>
    <w:rsid w:val="00395102"/>
    <w:rsid w:val="00395183"/>
    <w:rsid w:val="00395D6E"/>
    <w:rsid w:val="00396090"/>
    <w:rsid w:val="0039626B"/>
    <w:rsid w:val="003966D2"/>
    <w:rsid w:val="003967BF"/>
    <w:rsid w:val="00396E85"/>
    <w:rsid w:val="00396FBC"/>
    <w:rsid w:val="003975B4"/>
    <w:rsid w:val="00397F7C"/>
    <w:rsid w:val="00397FC8"/>
    <w:rsid w:val="003A13B7"/>
    <w:rsid w:val="003A31D3"/>
    <w:rsid w:val="003A379C"/>
    <w:rsid w:val="003A37AF"/>
    <w:rsid w:val="003A3955"/>
    <w:rsid w:val="003A3F4B"/>
    <w:rsid w:val="003A3F91"/>
    <w:rsid w:val="003A405E"/>
    <w:rsid w:val="003A435C"/>
    <w:rsid w:val="003A4613"/>
    <w:rsid w:val="003A4931"/>
    <w:rsid w:val="003A6890"/>
    <w:rsid w:val="003B0603"/>
    <w:rsid w:val="003B0609"/>
    <w:rsid w:val="003B16CB"/>
    <w:rsid w:val="003B2225"/>
    <w:rsid w:val="003B304A"/>
    <w:rsid w:val="003B320F"/>
    <w:rsid w:val="003B3341"/>
    <w:rsid w:val="003B402C"/>
    <w:rsid w:val="003B407C"/>
    <w:rsid w:val="003B456F"/>
    <w:rsid w:val="003B4CB5"/>
    <w:rsid w:val="003B5ACC"/>
    <w:rsid w:val="003B6907"/>
    <w:rsid w:val="003B6A5B"/>
    <w:rsid w:val="003B6D04"/>
    <w:rsid w:val="003B7B2D"/>
    <w:rsid w:val="003C0C00"/>
    <w:rsid w:val="003C0CF6"/>
    <w:rsid w:val="003C0DD5"/>
    <w:rsid w:val="003C18C2"/>
    <w:rsid w:val="003C1C15"/>
    <w:rsid w:val="003C209C"/>
    <w:rsid w:val="003C22B0"/>
    <w:rsid w:val="003C24B2"/>
    <w:rsid w:val="003C27CB"/>
    <w:rsid w:val="003C28D3"/>
    <w:rsid w:val="003C4055"/>
    <w:rsid w:val="003C421E"/>
    <w:rsid w:val="003C4801"/>
    <w:rsid w:val="003C4FA3"/>
    <w:rsid w:val="003C5FFC"/>
    <w:rsid w:val="003C6538"/>
    <w:rsid w:val="003C6915"/>
    <w:rsid w:val="003C6962"/>
    <w:rsid w:val="003C76D3"/>
    <w:rsid w:val="003C78AC"/>
    <w:rsid w:val="003C7C29"/>
    <w:rsid w:val="003C7F73"/>
    <w:rsid w:val="003D0483"/>
    <w:rsid w:val="003D0DFA"/>
    <w:rsid w:val="003D0E0E"/>
    <w:rsid w:val="003D12DD"/>
    <w:rsid w:val="003D1718"/>
    <w:rsid w:val="003D1E18"/>
    <w:rsid w:val="003D1F7C"/>
    <w:rsid w:val="003D2793"/>
    <w:rsid w:val="003D365A"/>
    <w:rsid w:val="003D37BB"/>
    <w:rsid w:val="003D477C"/>
    <w:rsid w:val="003D47A4"/>
    <w:rsid w:val="003D4FA9"/>
    <w:rsid w:val="003D5272"/>
    <w:rsid w:val="003D576D"/>
    <w:rsid w:val="003D5A4F"/>
    <w:rsid w:val="003D5A6F"/>
    <w:rsid w:val="003D5ED5"/>
    <w:rsid w:val="003D68DD"/>
    <w:rsid w:val="003D6C4F"/>
    <w:rsid w:val="003D6C99"/>
    <w:rsid w:val="003D78B0"/>
    <w:rsid w:val="003D7C44"/>
    <w:rsid w:val="003D7E05"/>
    <w:rsid w:val="003D7E43"/>
    <w:rsid w:val="003E0066"/>
    <w:rsid w:val="003E0114"/>
    <w:rsid w:val="003E03C2"/>
    <w:rsid w:val="003E097C"/>
    <w:rsid w:val="003E0A83"/>
    <w:rsid w:val="003E1553"/>
    <w:rsid w:val="003E15EB"/>
    <w:rsid w:val="003E178B"/>
    <w:rsid w:val="003E1A5F"/>
    <w:rsid w:val="003E1D68"/>
    <w:rsid w:val="003E1E39"/>
    <w:rsid w:val="003E213E"/>
    <w:rsid w:val="003E301C"/>
    <w:rsid w:val="003E3617"/>
    <w:rsid w:val="003E3C1E"/>
    <w:rsid w:val="003E3D6B"/>
    <w:rsid w:val="003E3DF6"/>
    <w:rsid w:val="003E3F7B"/>
    <w:rsid w:val="003E417F"/>
    <w:rsid w:val="003E52B2"/>
    <w:rsid w:val="003E554A"/>
    <w:rsid w:val="003E5E99"/>
    <w:rsid w:val="003E662F"/>
    <w:rsid w:val="003F097F"/>
    <w:rsid w:val="003F11D5"/>
    <w:rsid w:val="003F1323"/>
    <w:rsid w:val="003F1B90"/>
    <w:rsid w:val="003F2082"/>
    <w:rsid w:val="003F28E4"/>
    <w:rsid w:val="003F2D7B"/>
    <w:rsid w:val="003F300F"/>
    <w:rsid w:val="003F357D"/>
    <w:rsid w:val="003F3E37"/>
    <w:rsid w:val="003F55F3"/>
    <w:rsid w:val="003F6DD2"/>
    <w:rsid w:val="003F713E"/>
    <w:rsid w:val="003F7935"/>
    <w:rsid w:val="003F7FB0"/>
    <w:rsid w:val="00400166"/>
    <w:rsid w:val="00400456"/>
    <w:rsid w:val="004006FE"/>
    <w:rsid w:val="00400776"/>
    <w:rsid w:val="00400F12"/>
    <w:rsid w:val="004020A2"/>
    <w:rsid w:val="00402157"/>
    <w:rsid w:val="00402774"/>
    <w:rsid w:val="004036A0"/>
    <w:rsid w:val="00403D46"/>
    <w:rsid w:val="00403E0D"/>
    <w:rsid w:val="00403FBA"/>
    <w:rsid w:val="00404CC8"/>
    <w:rsid w:val="004055CD"/>
    <w:rsid w:val="00405665"/>
    <w:rsid w:val="00406A2C"/>
    <w:rsid w:val="00406F4F"/>
    <w:rsid w:val="0040735E"/>
    <w:rsid w:val="00410E28"/>
    <w:rsid w:val="00410F42"/>
    <w:rsid w:val="0041124D"/>
    <w:rsid w:val="00411E64"/>
    <w:rsid w:val="00412DC9"/>
    <w:rsid w:val="004137A7"/>
    <w:rsid w:val="00413CD2"/>
    <w:rsid w:val="00414232"/>
    <w:rsid w:val="00414310"/>
    <w:rsid w:val="004144FD"/>
    <w:rsid w:val="004149D4"/>
    <w:rsid w:val="00414A04"/>
    <w:rsid w:val="00414C66"/>
    <w:rsid w:val="00415617"/>
    <w:rsid w:val="00415A2A"/>
    <w:rsid w:val="00415E46"/>
    <w:rsid w:val="00415F69"/>
    <w:rsid w:val="00416391"/>
    <w:rsid w:val="0041742C"/>
    <w:rsid w:val="00417805"/>
    <w:rsid w:val="00417D8E"/>
    <w:rsid w:val="0042082C"/>
    <w:rsid w:val="00421CE2"/>
    <w:rsid w:val="00422B56"/>
    <w:rsid w:val="00422ECB"/>
    <w:rsid w:val="0042481B"/>
    <w:rsid w:val="00424915"/>
    <w:rsid w:val="0042492E"/>
    <w:rsid w:val="00424CF6"/>
    <w:rsid w:val="00425BA8"/>
    <w:rsid w:val="00425E18"/>
    <w:rsid w:val="00425F85"/>
    <w:rsid w:val="00426254"/>
    <w:rsid w:val="0042660A"/>
    <w:rsid w:val="004268E2"/>
    <w:rsid w:val="00427FCE"/>
    <w:rsid w:val="0043072B"/>
    <w:rsid w:val="0043096E"/>
    <w:rsid w:val="00430C5B"/>
    <w:rsid w:val="00431BBE"/>
    <w:rsid w:val="00431CC6"/>
    <w:rsid w:val="00432079"/>
    <w:rsid w:val="004321ED"/>
    <w:rsid w:val="00432207"/>
    <w:rsid w:val="0043220F"/>
    <w:rsid w:val="004322C8"/>
    <w:rsid w:val="00432594"/>
    <w:rsid w:val="004329E4"/>
    <w:rsid w:val="00432BB0"/>
    <w:rsid w:val="00433227"/>
    <w:rsid w:val="00433EDD"/>
    <w:rsid w:val="00434CF0"/>
    <w:rsid w:val="00435196"/>
    <w:rsid w:val="004358EA"/>
    <w:rsid w:val="004372AF"/>
    <w:rsid w:val="004373AB"/>
    <w:rsid w:val="004374C3"/>
    <w:rsid w:val="00437AC2"/>
    <w:rsid w:val="00437CA9"/>
    <w:rsid w:val="0044035B"/>
    <w:rsid w:val="00440BFC"/>
    <w:rsid w:val="004415CA"/>
    <w:rsid w:val="004415EA"/>
    <w:rsid w:val="00441804"/>
    <w:rsid w:val="00441B36"/>
    <w:rsid w:val="00443959"/>
    <w:rsid w:val="00443977"/>
    <w:rsid w:val="004455B7"/>
    <w:rsid w:val="004458B6"/>
    <w:rsid w:val="004471BC"/>
    <w:rsid w:val="004472C5"/>
    <w:rsid w:val="00447E89"/>
    <w:rsid w:val="00451825"/>
    <w:rsid w:val="00451D10"/>
    <w:rsid w:val="00451E07"/>
    <w:rsid w:val="00452367"/>
    <w:rsid w:val="004528AA"/>
    <w:rsid w:val="004529E7"/>
    <w:rsid w:val="00452D2D"/>
    <w:rsid w:val="00452EF3"/>
    <w:rsid w:val="00453B0F"/>
    <w:rsid w:val="00453EC1"/>
    <w:rsid w:val="00454615"/>
    <w:rsid w:val="004547DF"/>
    <w:rsid w:val="004549ED"/>
    <w:rsid w:val="004556AC"/>
    <w:rsid w:val="00455776"/>
    <w:rsid w:val="00455FBD"/>
    <w:rsid w:val="00456322"/>
    <w:rsid w:val="00456389"/>
    <w:rsid w:val="0045701E"/>
    <w:rsid w:val="00457552"/>
    <w:rsid w:val="00457A80"/>
    <w:rsid w:val="0046005C"/>
    <w:rsid w:val="00460290"/>
    <w:rsid w:val="004608E5"/>
    <w:rsid w:val="00462B59"/>
    <w:rsid w:val="00462EFD"/>
    <w:rsid w:val="004638C9"/>
    <w:rsid w:val="004647FF"/>
    <w:rsid w:val="00465C71"/>
    <w:rsid w:val="00465FD8"/>
    <w:rsid w:val="004664E1"/>
    <w:rsid w:val="00466840"/>
    <w:rsid w:val="0046684B"/>
    <w:rsid w:val="00467731"/>
    <w:rsid w:val="0047040F"/>
    <w:rsid w:val="0047080E"/>
    <w:rsid w:val="00470E63"/>
    <w:rsid w:val="0047106D"/>
    <w:rsid w:val="00471247"/>
    <w:rsid w:val="004712C1"/>
    <w:rsid w:val="0047142C"/>
    <w:rsid w:val="004716E3"/>
    <w:rsid w:val="00471822"/>
    <w:rsid w:val="004718FC"/>
    <w:rsid w:val="00472465"/>
    <w:rsid w:val="004738C6"/>
    <w:rsid w:val="00473BB8"/>
    <w:rsid w:val="00473F6F"/>
    <w:rsid w:val="00474874"/>
    <w:rsid w:val="004748BB"/>
    <w:rsid w:val="004748CA"/>
    <w:rsid w:val="0047526E"/>
    <w:rsid w:val="0047626A"/>
    <w:rsid w:val="004767B6"/>
    <w:rsid w:val="0047690B"/>
    <w:rsid w:val="00477C65"/>
    <w:rsid w:val="00477D64"/>
    <w:rsid w:val="00477F3C"/>
    <w:rsid w:val="00480882"/>
    <w:rsid w:val="00480883"/>
    <w:rsid w:val="00480AAD"/>
    <w:rsid w:val="004812B1"/>
    <w:rsid w:val="00481808"/>
    <w:rsid w:val="00481CA7"/>
    <w:rsid w:val="00481F10"/>
    <w:rsid w:val="00482E00"/>
    <w:rsid w:val="004832E1"/>
    <w:rsid w:val="0048339A"/>
    <w:rsid w:val="004838FC"/>
    <w:rsid w:val="00483CBA"/>
    <w:rsid w:val="00483E03"/>
    <w:rsid w:val="00484282"/>
    <w:rsid w:val="004845E1"/>
    <w:rsid w:val="00484B58"/>
    <w:rsid w:val="00485110"/>
    <w:rsid w:val="0048575C"/>
    <w:rsid w:val="0049046C"/>
    <w:rsid w:val="00490711"/>
    <w:rsid w:val="00490A4B"/>
    <w:rsid w:val="00491938"/>
    <w:rsid w:val="00491AC0"/>
    <w:rsid w:val="00491D73"/>
    <w:rsid w:val="004924A3"/>
    <w:rsid w:val="00492753"/>
    <w:rsid w:val="00492901"/>
    <w:rsid w:val="00492D5C"/>
    <w:rsid w:val="00494122"/>
    <w:rsid w:val="00494240"/>
    <w:rsid w:val="00494417"/>
    <w:rsid w:val="004951CE"/>
    <w:rsid w:val="0049581F"/>
    <w:rsid w:val="0049611F"/>
    <w:rsid w:val="0049649F"/>
    <w:rsid w:val="00496B52"/>
    <w:rsid w:val="00496B5C"/>
    <w:rsid w:val="00496BED"/>
    <w:rsid w:val="00497B6D"/>
    <w:rsid w:val="004A0749"/>
    <w:rsid w:val="004A09B2"/>
    <w:rsid w:val="004A0A3B"/>
    <w:rsid w:val="004A135C"/>
    <w:rsid w:val="004A1BAA"/>
    <w:rsid w:val="004A1DA2"/>
    <w:rsid w:val="004A2C05"/>
    <w:rsid w:val="004A376F"/>
    <w:rsid w:val="004A3E76"/>
    <w:rsid w:val="004A3EC0"/>
    <w:rsid w:val="004A3F82"/>
    <w:rsid w:val="004A402E"/>
    <w:rsid w:val="004A4037"/>
    <w:rsid w:val="004A403F"/>
    <w:rsid w:val="004A5AC2"/>
    <w:rsid w:val="004A5E38"/>
    <w:rsid w:val="004A6D72"/>
    <w:rsid w:val="004A7474"/>
    <w:rsid w:val="004A7E0D"/>
    <w:rsid w:val="004B07EB"/>
    <w:rsid w:val="004B0831"/>
    <w:rsid w:val="004B0FC6"/>
    <w:rsid w:val="004B1D01"/>
    <w:rsid w:val="004B1D22"/>
    <w:rsid w:val="004B1DC9"/>
    <w:rsid w:val="004B2551"/>
    <w:rsid w:val="004B2F38"/>
    <w:rsid w:val="004B2F6A"/>
    <w:rsid w:val="004B3C46"/>
    <w:rsid w:val="004B4CA7"/>
    <w:rsid w:val="004B4D97"/>
    <w:rsid w:val="004B5AA8"/>
    <w:rsid w:val="004B6185"/>
    <w:rsid w:val="004B633C"/>
    <w:rsid w:val="004B6753"/>
    <w:rsid w:val="004B6F54"/>
    <w:rsid w:val="004B6FD9"/>
    <w:rsid w:val="004C0AD8"/>
    <w:rsid w:val="004C32D3"/>
    <w:rsid w:val="004C3851"/>
    <w:rsid w:val="004C3D4D"/>
    <w:rsid w:val="004C4BDD"/>
    <w:rsid w:val="004C5178"/>
    <w:rsid w:val="004C591C"/>
    <w:rsid w:val="004C6ACE"/>
    <w:rsid w:val="004C7D91"/>
    <w:rsid w:val="004D127E"/>
    <w:rsid w:val="004D1AAD"/>
    <w:rsid w:val="004D1B2D"/>
    <w:rsid w:val="004D220A"/>
    <w:rsid w:val="004D2448"/>
    <w:rsid w:val="004D2A38"/>
    <w:rsid w:val="004D5835"/>
    <w:rsid w:val="004D5A68"/>
    <w:rsid w:val="004D63AC"/>
    <w:rsid w:val="004D6BF6"/>
    <w:rsid w:val="004D7177"/>
    <w:rsid w:val="004D7514"/>
    <w:rsid w:val="004E0059"/>
    <w:rsid w:val="004E08CF"/>
    <w:rsid w:val="004E2243"/>
    <w:rsid w:val="004E4955"/>
    <w:rsid w:val="004E4B8D"/>
    <w:rsid w:val="004E4CEB"/>
    <w:rsid w:val="004E5325"/>
    <w:rsid w:val="004E5F19"/>
    <w:rsid w:val="004E6465"/>
    <w:rsid w:val="004E7447"/>
    <w:rsid w:val="004E74BF"/>
    <w:rsid w:val="004E79D8"/>
    <w:rsid w:val="004F0439"/>
    <w:rsid w:val="004F05AA"/>
    <w:rsid w:val="004F0607"/>
    <w:rsid w:val="004F0E4D"/>
    <w:rsid w:val="004F0F8F"/>
    <w:rsid w:val="004F1229"/>
    <w:rsid w:val="004F1284"/>
    <w:rsid w:val="004F19DB"/>
    <w:rsid w:val="004F29C9"/>
    <w:rsid w:val="004F3B0C"/>
    <w:rsid w:val="004F46E7"/>
    <w:rsid w:val="004F5039"/>
    <w:rsid w:val="004F58B8"/>
    <w:rsid w:val="004F5F9E"/>
    <w:rsid w:val="004F60D4"/>
    <w:rsid w:val="005005B6"/>
    <w:rsid w:val="00500890"/>
    <w:rsid w:val="00500DEA"/>
    <w:rsid w:val="00500E92"/>
    <w:rsid w:val="005013EF"/>
    <w:rsid w:val="005027CA"/>
    <w:rsid w:val="00502BAE"/>
    <w:rsid w:val="00503888"/>
    <w:rsid w:val="005038F0"/>
    <w:rsid w:val="00503B77"/>
    <w:rsid w:val="00503E96"/>
    <w:rsid w:val="00504B4A"/>
    <w:rsid w:val="00505530"/>
    <w:rsid w:val="00505619"/>
    <w:rsid w:val="00505B6B"/>
    <w:rsid w:val="0050768A"/>
    <w:rsid w:val="00507721"/>
    <w:rsid w:val="00507949"/>
    <w:rsid w:val="0051124C"/>
    <w:rsid w:val="005129DB"/>
    <w:rsid w:val="00513304"/>
    <w:rsid w:val="00514665"/>
    <w:rsid w:val="005158D6"/>
    <w:rsid w:val="00515ABE"/>
    <w:rsid w:val="00515E9C"/>
    <w:rsid w:val="00516327"/>
    <w:rsid w:val="00516A68"/>
    <w:rsid w:val="005172D3"/>
    <w:rsid w:val="00520CFD"/>
    <w:rsid w:val="005216F4"/>
    <w:rsid w:val="00521DA7"/>
    <w:rsid w:val="005224AF"/>
    <w:rsid w:val="00523A77"/>
    <w:rsid w:val="00524C1F"/>
    <w:rsid w:val="00525A19"/>
    <w:rsid w:val="0052637F"/>
    <w:rsid w:val="00526978"/>
    <w:rsid w:val="00526D08"/>
    <w:rsid w:val="005275B6"/>
    <w:rsid w:val="00530EB8"/>
    <w:rsid w:val="005318D6"/>
    <w:rsid w:val="00531BB1"/>
    <w:rsid w:val="0053261E"/>
    <w:rsid w:val="0053308B"/>
    <w:rsid w:val="005331A4"/>
    <w:rsid w:val="005339BD"/>
    <w:rsid w:val="00533E29"/>
    <w:rsid w:val="00534D15"/>
    <w:rsid w:val="005352D5"/>
    <w:rsid w:val="00536832"/>
    <w:rsid w:val="00536B33"/>
    <w:rsid w:val="00537640"/>
    <w:rsid w:val="00537D34"/>
    <w:rsid w:val="00537D6D"/>
    <w:rsid w:val="005401EE"/>
    <w:rsid w:val="0054157F"/>
    <w:rsid w:val="0054164D"/>
    <w:rsid w:val="005419BF"/>
    <w:rsid w:val="005425D0"/>
    <w:rsid w:val="00542A25"/>
    <w:rsid w:val="00542BEC"/>
    <w:rsid w:val="00542F63"/>
    <w:rsid w:val="005448D2"/>
    <w:rsid w:val="00544D5A"/>
    <w:rsid w:val="00545229"/>
    <w:rsid w:val="005460AE"/>
    <w:rsid w:val="005469F6"/>
    <w:rsid w:val="00546FA2"/>
    <w:rsid w:val="00546FE2"/>
    <w:rsid w:val="005472E3"/>
    <w:rsid w:val="00550396"/>
    <w:rsid w:val="00551E2F"/>
    <w:rsid w:val="00554264"/>
    <w:rsid w:val="00554F44"/>
    <w:rsid w:val="005566EF"/>
    <w:rsid w:val="0055717E"/>
    <w:rsid w:val="005572D9"/>
    <w:rsid w:val="005573A4"/>
    <w:rsid w:val="00560160"/>
    <w:rsid w:val="005602FB"/>
    <w:rsid w:val="005605CD"/>
    <w:rsid w:val="005616FE"/>
    <w:rsid w:val="005624F0"/>
    <w:rsid w:val="00562686"/>
    <w:rsid w:val="00562F60"/>
    <w:rsid w:val="00563383"/>
    <w:rsid w:val="00563806"/>
    <w:rsid w:val="00563A14"/>
    <w:rsid w:val="005649BA"/>
    <w:rsid w:val="00566B53"/>
    <w:rsid w:val="00566F4E"/>
    <w:rsid w:val="00567C5E"/>
    <w:rsid w:val="0057006D"/>
    <w:rsid w:val="00570844"/>
    <w:rsid w:val="00571B8E"/>
    <w:rsid w:val="00571EB3"/>
    <w:rsid w:val="00572219"/>
    <w:rsid w:val="00572581"/>
    <w:rsid w:val="00572C0F"/>
    <w:rsid w:val="00572D8C"/>
    <w:rsid w:val="00574356"/>
    <w:rsid w:val="00574682"/>
    <w:rsid w:val="00574E22"/>
    <w:rsid w:val="005754CB"/>
    <w:rsid w:val="00575DB0"/>
    <w:rsid w:val="00576EBB"/>
    <w:rsid w:val="005774D8"/>
    <w:rsid w:val="0058018D"/>
    <w:rsid w:val="00580465"/>
    <w:rsid w:val="00580FD0"/>
    <w:rsid w:val="00582538"/>
    <w:rsid w:val="00582934"/>
    <w:rsid w:val="00584198"/>
    <w:rsid w:val="005842DB"/>
    <w:rsid w:val="00584792"/>
    <w:rsid w:val="0058520A"/>
    <w:rsid w:val="00585EBC"/>
    <w:rsid w:val="00586AE2"/>
    <w:rsid w:val="00590FFD"/>
    <w:rsid w:val="005910B6"/>
    <w:rsid w:val="005915BE"/>
    <w:rsid w:val="00591910"/>
    <w:rsid w:val="0059234A"/>
    <w:rsid w:val="005925F6"/>
    <w:rsid w:val="0059267D"/>
    <w:rsid w:val="0059309D"/>
    <w:rsid w:val="00593ABC"/>
    <w:rsid w:val="005947F9"/>
    <w:rsid w:val="00594A5F"/>
    <w:rsid w:val="00594D55"/>
    <w:rsid w:val="00595124"/>
    <w:rsid w:val="00595551"/>
    <w:rsid w:val="00595677"/>
    <w:rsid w:val="00596015"/>
    <w:rsid w:val="005960EB"/>
    <w:rsid w:val="00596BEA"/>
    <w:rsid w:val="00596CD8"/>
    <w:rsid w:val="00596D36"/>
    <w:rsid w:val="005977FC"/>
    <w:rsid w:val="00597CC6"/>
    <w:rsid w:val="005A09F7"/>
    <w:rsid w:val="005A0F10"/>
    <w:rsid w:val="005A18EA"/>
    <w:rsid w:val="005A1EE1"/>
    <w:rsid w:val="005A2B80"/>
    <w:rsid w:val="005A3477"/>
    <w:rsid w:val="005A42C7"/>
    <w:rsid w:val="005A4371"/>
    <w:rsid w:val="005A45F2"/>
    <w:rsid w:val="005A4A61"/>
    <w:rsid w:val="005A62F5"/>
    <w:rsid w:val="005A67E7"/>
    <w:rsid w:val="005A6831"/>
    <w:rsid w:val="005A7162"/>
    <w:rsid w:val="005A74C4"/>
    <w:rsid w:val="005B0B4D"/>
    <w:rsid w:val="005B0B5E"/>
    <w:rsid w:val="005B0B6C"/>
    <w:rsid w:val="005B0FB7"/>
    <w:rsid w:val="005B1753"/>
    <w:rsid w:val="005B1974"/>
    <w:rsid w:val="005B1A08"/>
    <w:rsid w:val="005B1D89"/>
    <w:rsid w:val="005B22B8"/>
    <w:rsid w:val="005B3BE0"/>
    <w:rsid w:val="005B3C2E"/>
    <w:rsid w:val="005B49BA"/>
    <w:rsid w:val="005B4E28"/>
    <w:rsid w:val="005B5FB1"/>
    <w:rsid w:val="005B64CD"/>
    <w:rsid w:val="005B7FBE"/>
    <w:rsid w:val="005C02F8"/>
    <w:rsid w:val="005C0BC8"/>
    <w:rsid w:val="005C13B7"/>
    <w:rsid w:val="005C29B3"/>
    <w:rsid w:val="005C2C49"/>
    <w:rsid w:val="005C353C"/>
    <w:rsid w:val="005C3D99"/>
    <w:rsid w:val="005C3EAA"/>
    <w:rsid w:val="005C49E8"/>
    <w:rsid w:val="005C54A7"/>
    <w:rsid w:val="005C5669"/>
    <w:rsid w:val="005C5EDA"/>
    <w:rsid w:val="005C60B6"/>
    <w:rsid w:val="005C6344"/>
    <w:rsid w:val="005C65DB"/>
    <w:rsid w:val="005C6C61"/>
    <w:rsid w:val="005C7280"/>
    <w:rsid w:val="005C73EC"/>
    <w:rsid w:val="005C926C"/>
    <w:rsid w:val="005D0DDE"/>
    <w:rsid w:val="005D0EEC"/>
    <w:rsid w:val="005D22BB"/>
    <w:rsid w:val="005D27DA"/>
    <w:rsid w:val="005D318D"/>
    <w:rsid w:val="005D33C8"/>
    <w:rsid w:val="005D33FB"/>
    <w:rsid w:val="005D3524"/>
    <w:rsid w:val="005D3D9B"/>
    <w:rsid w:val="005D4330"/>
    <w:rsid w:val="005D4D30"/>
    <w:rsid w:val="005D627E"/>
    <w:rsid w:val="005D62E6"/>
    <w:rsid w:val="005D70FA"/>
    <w:rsid w:val="005D753D"/>
    <w:rsid w:val="005D7645"/>
    <w:rsid w:val="005E0C44"/>
    <w:rsid w:val="005E22EA"/>
    <w:rsid w:val="005E2910"/>
    <w:rsid w:val="005E38DB"/>
    <w:rsid w:val="005E39D3"/>
    <w:rsid w:val="005E3B58"/>
    <w:rsid w:val="005E44FA"/>
    <w:rsid w:val="005E4D85"/>
    <w:rsid w:val="005E542F"/>
    <w:rsid w:val="005E56D8"/>
    <w:rsid w:val="005E6D23"/>
    <w:rsid w:val="005E6F49"/>
    <w:rsid w:val="005F0873"/>
    <w:rsid w:val="005F1F25"/>
    <w:rsid w:val="005F202B"/>
    <w:rsid w:val="005F226D"/>
    <w:rsid w:val="005F241D"/>
    <w:rsid w:val="005F2A8D"/>
    <w:rsid w:val="005F2E16"/>
    <w:rsid w:val="005F2F6C"/>
    <w:rsid w:val="005F373B"/>
    <w:rsid w:val="005F40C3"/>
    <w:rsid w:val="005F4A88"/>
    <w:rsid w:val="005F4B4B"/>
    <w:rsid w:val="005F5534"/>
    <w:rsid w:val="005F568D"/>
    <w:rsid w:val="005F70A6"/>
    <w:rsid w:val="005F720A"/>
    <w:rsid w:val="005F73A1"/>
    <w:rsid w:val="005F796B"/>
    <w:rsid w:val="005F7B08"/>
    <w:rsid w:val="005F7C0E"/>
    <w:rsid w:val="00600CE4"/>
    <w:rsid w:val="0060171E"/>
    <w:rsid w:val="00602A09"/>
    <w:rsid w:val="006039B0"/>
    <w:rsid w:val="00603CB8"/>
    <w:rsid w:val="00604376"/>
    <w:rsid w:val="006045DC"/>
    <w:rsid w:val="006051B6"/>
    <w:rsid w:val="00605579"/>
    <w:rsid w:val="00605AFE"/>
    <w:rsid w:val="00606463"/>
    <w:rsid w:val="00607054"/>
    <w:rsid w:val="006073A9"/>
    <w:rsid w:val="006076AB"/>
    <w:rsid w:val="0060799E"/>
    <w:rsid w:val="00607E2D"/>
    <w:rsid w:val="00610EC3"/>
    <w:rsid w:val="0061188C"/>
    <w:rsid w:val="00612574"/>
    <w:rsid w:val="00614ACE"/>
    <w:rsid w:val="0061502B"/>
    <w:rsid w:val="00615832"/>
    <w:rsid w:val="00615F38"/>
    <w:rsid w:val="00615FB1"/>
    <w:rsid w:val="006161ED"/>
    <w:rsid w:val="00616350"/>
    <w:rsid w:val="00616617"/>
    <w:rsid w:val="006170B2"/>
    <w:rsid w:val="00617BDF"/>
    <w:rsid w:val="00617C3B"/>
    <w:rsid w:val="006202D8"/>
    <w:rsid w:val="00621055"/>
    <w:rsid w:val="00621724"/>
    <w:rsid w:val="0062172E"/>
    <w:rsid w:val="00621D74"/>
    <w:rsid w:val="00623CDE"/>
    <w:rsid w:val="0062433F"/>
    <w:rsid w:val="0062487C"/>
    <w:rsid w:val="006255BD"/>
    <w:rsid w:val="00627376"/>
    <w:rsid w:val="006278D4"/>
    <w:rsid w:val="00627F4F"/>
    <w:rsid w:val="0063027D"/>
    <w:rsid w:val="00631B8D"/>
    <w:rsid w:val="00632345"/>
    <w:rsid w:val="006326E3"/>
    <w:rsid w:val="006330B0"/>
    <w:rsid w:val="00633192"/>
    <w:rsid w:val="0063330C"/>
    <w:rsid w:val="0063349B"/>
    <w:rsid w:val="00633AC3"/>
    <w:rsid w:val="00633D67"/>
    <w:rsid w:val="00634828"/>
    <w:rsid w:val="00634B69"/>
    <w:rsid w:val="00634CE8"/>
    <w:rsid w:val="00634E34"/>
    <w:rsid w:val="00634F5C"/>
    <w:rsid w:val="0063507F"/>
    <w:rsid w:val="006352A6"/>
    <w:rsid w:val="00635B47"/>
    <w:rsid w:val="00635C54"/>
    <w:rsid w:val="006363BC"/>
    <w:rsid w:val="00637280"/>
    <w:rsid w:val="006374A4"/>
    <w:rsid w:val="00637E8C"/>
    <w:rsid w:val="00637F84"/>
    <w:rsid w:val="0064057E"/>
    <w:rsid w:val="0064066C"/>
    <w:rsid w:val="006406F1"/>
    <w:rsid w:val="00640921"/>
    <w:rsid w:val="0064119B"/>
    <w:rsid w:val="0064162C"/>
    <w:rsid w:val="00642661"/>
    <w:rsid w:val="00642CA3"/>
    <w:rsid w:val="00642EF9"/>
    <w:rsid w:val="006431A4"/>
    <w:rsid w:val="00643966"/>
    <w:rsid w:val="006442C4"/>
    <w:rsid w:val="00644788"/>
    <w:rsid w:val="00645B9B"/>
    <w:rsid w:val="00646552"/>
    <w:rsid w:val="00646A2D"/>
    <w:rsid w:val="00646C3F"/>
    <w:rsid w:val="00646D78"/>
    <w:rsid w:val="006478DC"/>
    <w:rsid w:val="00650D5C"/>
    <w:rsid w:val="00650EB4"/>
    <w:rsid w:val="006524C0"/>
    <w:rsid w:val="00652BC8"/>
    <w:rsid w:val="00653B5C"/>
    <w:rsid w:val="00655B50"/>
    <w:rsid w:val="00655DB1"/>
    <w:rsid w:val="00655E48"/>
    <w:rsid w:val="006566ED"/>
    <w:rsid w:val="00656B1E"/>
    <w:rsid w:val="00656BA1"/>
    <w:rsid w:val="00656D73"/>
    <w:rsid w:val="00656D85"/>
    <w:rsid w:val="00657EA1"/>
    <w:rsid w:val="006602FF"/>
    <w:rsid w:val="00660414"/>
    <w:rsid w:val="00660FB0"/>
    <w:rsid w:val="00660FCE"/>
    <w:rsid w:val="0066157E"/>
    <w:rsid w:val="00661B7B"/>
    <w:rsid w:val="00661C2E"/>
    <w:rsid w:val="00662729"/>
    <w:rsid w:val="00663894"/>
    <w:rsid w:val="00663EB7"/>
    <w:rsid w:val="00663F8F"/>
    <w:rsid w:val="00664567"/>
    <w:rsid w:val="006647B7"/>
    <w:rsid w:val="006649EA"/>
    <w:rsid w:val="00665496"/>
    <w:rsid w:val="006655DB"/>
    <w:rsid w:val="006657D9"/>
    <w:rsid w:val="00665B8E"/>
    <w:rsid w:val="00665DC4"/>
    <w:rsid w:val="00666818"/>
    <w:rsid w:val="00667435"/>
    <w:rsid w:val="006677EB"/>
    <w:rsid w:val="00667855"/>
    <w:rsid w:val="006678A8"/>
    <w:rsid w:val="00667957"/>
    <w:rsid w:val="00667C81"/>
    <w:rsid w:val="0067039F"/>
    <w:rsid w:val="00670D77"/>
    <w:rsid w:val="00671D08"/>
    <w:rsid w:val="00671E13"/>
    <w:rsid w:val="00672243"/>
    <w:rsid w:val="00672755"/>
    <w:rsid w:val="006728CC"/>
    <w:rsid w:val="00672FD6"/>
    <w:rsid w:val="006736DC"/>
    <w:rsid w:val="006741D6"/>
    <w:rsid w:val="006742EC"/>
    <w:rsid w:val="006746E0"/>
    <w:rsid w:val="006748A9"/>
    <w:rsid w:val="00674C80"/>
    <w:rsid w:val="00674FF9"/>
    <w:rsid w:val="006761A7"/>
    <w:rsid w:val="00676531"/>
    <w:rsid w:val="0067691A"/>
    <w:rsid w:val="00676A8A"/>
    <w:rsid w:val="00677886"/>
    <w:rsid w:val="0068000F"/>
    <w:rsid w:val="00683F2B"/>
    <w:rsid w:val="0068443A"/>
    <w:rsid w:val="00684964"/>
    <w:rsid w:val="00684B0B"/>
    <w:rsid w:val="0068531A"/>
    <w:rsid w:val="00685779"/>
    <w:rsid w:val="00685824"/>
    <w:rsid w:val="00685AE5"/>
    <w:rsid w:val="00687325"/>
    <w:rsid w:val="00687CA6"/>
    <w:rsid w:val="006907AA"/>
    <w:rsid w:val="00690C9F"/>
    <w:rsid w:val="0069113D"/>
    <w:rsid w:val="00691BF0"/>
    <w:rsid w:val="006924EF"/>
    <w:rsid w:val="00692D59"/>
    <w:rsid w:val="00692E48"/>
    <w:rsid w:val="00693529"/>
    <w:rsid w:val="00693749"/>
    <w:rsid w:val="006937CE"/>
    <w:rsid w:val="006949E6"/>
    <w:rsid w:val="00694A43"/>
    <w:rsid w:val="00695294"/>
    <w:rsid w:val="006952CD"/>
    <w:rsid w:val="00695403"/>
    <w:rsid w:val="006954B1"/>
    <w:rsid w:val="00695BDC"/>
    <w:rsid w:val="00696CBC"/>
    <w:rsid w:val="00697664"/>
    <w:rsid w:val="00697801"/>
    <w:rsid w:val="00697E09"/>
    <w:rsid w:val="00697FF8"/>
    <w:rsid w:val="006A031B"/>
    <w:rsid w:val="006A0A04"/>
    <w:rsid w:val="006A0D3D"/>
    <w:rsid w:val="006A0E6A"/>
    <w:rsid w:val="006A0E79"/>
    <w:rsid w:val="006A1032"/>
    <w:rsid w:val="006A148B"/>
    <w:rsid w:val="006A18FE"/>
    <w:rsid w:val="006A263C"/>
    <w:rsid w:val="006A2874"/>
    <w:rsid w:val="006A2BAD"/>
    <w:rsid w:val="006A36C7"/>
    <w:rsid w:val="006A4A3D"/>
    <w:rsid w:val="006A51C0"/>
    <w:rsid w:val="006A53FC"/>
    <w:rsid w:val="006A545E"/>
    <w:rsid w:val="006A564C"/>
    <w:rsid w:val="006A583C"/>
    <w:rsid w:val="006A58F3"/>
    <w:rsid w:val="006A5D56"/>
    <w:rsid w:val="006A6141"/>
    <w:rsid w:val="006A6212"/>
    <w:rsid w:val="006A6510"/>
    <w:rsid w:val="006A68DD"/>
    <w:rsid w:val="006A6A06"/>
    <w:rsid w:val="006A6C14"/>
    <w:rsid w:val="006A74B3"/>
    <w:rsid w:val="006A7E8F"/>
    <w:rsid w:val="006B011A"/>
    <w:rsid w:val="006B1233"/>
    <w:rsid w:val="006B15FD"/>
    <w:rsid w:val="006B1905"/>
    <w:rsid w:val="006B2976"/>
    <w:rsid w:val="006B2B51"/>
    <w:rsid w:val="006B2E86"/>
    <w:rsid w:val="006B3179"/>
    <w:rsid w:val="006B4D4A"/>
    <w:rsid w:val="006B5298"/>
    <w:rsid w:val="006B541C"/>
    <w:rsid w:val="006B5D90"/>
    <w:rsid w:val="006B6ECC"/>
    <w:rsid w:val="006B7539"/>
    <w:rsid w:val="006C01FF"/>
    <w:rsid w:val="006C06A2"/>
    <w:rsid w:val="006C0877"/>
    <w:rsid w:val="006C146E"/>
    <w:rsid w:val="006C233F"/>
    <w:rsid w:val="006C3907"/>
    <w:rsid w:val="006C3A51"/>
    <w:rsid w:val="006C40BA"/>
    <w:rsid w:val="006C442F"/>
    <w:rsid w:val="006C4BAF"/>
    <w:rsid w:val="006C4D91"/>
    <w:rsid w:val="006C4DF0"/>
    <w:rsid w:val="006C5997"/>
    <w:rsid w:val="006C78DC"/>
    <w:rsid w:val="006D01D6"/>
    <w:rsid w:val="006D1CCF"/>
    <w:rsid w:val="006D264D"/>
    <w:rsid w:val="006D2775"/>
    <w:rsid w:val="006D2C01"/>
    <w:rsid w:val="006D33B8"/>
    <w:rsid w:val="006D3908"/>
    <w:rsid w:val="006D3A76"/>
    <w:rsid w:val="006D450E"/>
    <w:rsid w:val="006D4912"/>
    <w:rsid w:val="006D4B18"/>
    <w:rsid w:val="006D4BA1"/>
    <w:rsid w:val="006D5005"/>
    <w:rsid w:val="006D5F8B"/>
    <w:rsid w:val="006D6329"/>
    <w:rsid w:val="006D6563"/>
    <w:rsid w:val="006D67CF"/>
    <w:rsid w:val="006D6CDA"/>
    <w:rsid w:val="006D7072"/>
    <w:rsid w:val="006D7F36"/>
    <w:rsid w:val="006E08FB"/>
    <w:rsid w:val="006E0E4F"/>
    <w:rsid w:val="006E1291"/>
    <w:rsid w:val="006E13A7"/>
    <w:rsid w:val="006E169A"/>
    <w:rsid w:val="006E2108"/>
    <w:rsid w:val="006E24F0"/>
    <w:rsid w:val="006E329E"/>
    <w:rsid w:val="006E4010"/>
    <w:rsid w:val="006E4428"/>
    <w:rsid w:val="006E46F0"/>
    <w:rsid w:val="006E5186"/>
    <w:rsid w:val="006E5550"/>
    <w:rsid w:val="006E6071"/>
    <w:rsid w:val="006E6079"/>
    <w:rsid w:val="006E6872"/>
    <w:rsid w:val="006E689D"/>
    <w:rsid w:val="006E76BA"/>
    <w:rsid w:val="006E7878"/>
    <w:rsid w:val="006E7DBE"/>
    <w:rsid w:val="006E7DEE"/>
    <w:rsid w:val="006F0405"/>
    <w:rsid w:val="006F0A47"/>
    <w:rsid w:val="006F0B5A"/>
    <w:rsid w:val="006F176B"/>
    <w:rsid w:val="006F2068"/>
    <w:rsid w:val="006F2324"/>
    <w:rsid w:val="006F2627"/>
    <w:rsid w:val="006F3AA8"/>
    <w:rsid w:val="006F3ADF"/>
    <w:rsid w:val="006F3BBC"/>
    <w:rsid w:val="006F54E5"/>
    <w:rsid w:val="006F60B0"/>
    <w:rsid w:val="006F6207"/>
    <w:rsid w:val="006F63B8"/>
    <w:rsid w:val="006F7624"/>
    <w:rsid w:val="00700E13"/>
    <w:rsid w:val="0070129B"/>
    <w:rsid w:val="007015B3"/>
    <w:rsid w:val="0070167D"/>
    <w:rsid w:val="0070218B"/>
    <w:rsid w:val="0070301A"/>
    <w:rsid w:val="00703137"/>
    <w:rsid w:val="0070320D"/>
    <w:rsid w:val="007034F4"/>
    <w:rsid w:val="007035C2"/>
    <w:rsid w:val="0070377D"/>
    <w:rsid w:val="00703C73"/>
    <w:rsid w:val="007048CF"/>
    <w:rsid w:val="00704BE9"/>
    <w:rsid w:val="00705AFB"/>
    <w:rsid w:val="00705BC6"/>
    <w:rsid w:val="00707FCB"/>
    <w:rsid w:val="00711789"/>
    <w:rsid w:val="00711ED4"/>
    <w:rsid w:val="00712136"/>
    <w:rsid w:val="007139D5"/>
    <w:rsid w:val="00714748"/>
    <w:rsid w:val="00714BC0"/>
    <w:rsid w:val="00714D26"/>
    <w:rsid w:val="007152A6"/>
    <w:rsid w:val="007156D9"/>
    <w:rsid w:val="00715BCC"/>
    <w:rsid w:val="007167E3"/>
    <w:rsid w:val="00717B31"/>
    <w:rsid w:val="00717CF6"/>
    <w:rsid w:val="00720721"/>
    <w:rsid w:val="00721508"/>
    <w:rsid w:val="00721E02"/>
    <w:rsid w:val="00721F77"/>
    <w:rsid w:val="0072247A"/>
    <w:rsid w:val="00722D88"/>
    <w:rsid w:val="00723416"/>
    <w:rsid w:val="00723637"/>
    <w:rsid w:val="007242AE"/>
    <w:rsid w:val="007243E7"/>
    <w:rsid w:val="007249DB"/>
    <w:rsid w:val="00724D51"/>
    <w:rsid w:val="00725187"/>
    <w:rsid w:val="007256BD"/>
    <w:rsid w:val="00725BF4"/>
    <w:rsid w:val="00726F8A"/>
    <w:rsid w:val="00727842"/>
    <w:rsid w:val="00730CA5"/>
    <w:rsid w:val="007311C6"/>
    <w:rsid w:val="0073195C"/>
    <w:rsid w:val="00731CA7"/>
    <w:rsid w:val="00732530"/>
    <w:rsid w:val="00733AA9"/>
    <w:rsid w:val="00735260"/>
    <w:rsid w:val="00735381"/>
    <w:rsid w:val="00735977"/>
    <w:rsid w:val="00736496"/>
    <w:rsid w:val="0073652F"/>
    <w:rsid w:val="00736C85"/>
    <w:rsid w:val="0073734F"/>
    <w:rsid w:val="00737508"/>
    <w:rsid w:val="00740BEE"/>
    <w:rsid w:val="00741A52"/>
    <w:rsid w:val="00742A91"/>
    <w:rsid w:val="00742BA0"/>
    <w:rsid w:val="007430DC"/>
    <w:rsid w:val="0074361F"/>
    <w:rsid w:val="00743DFA"/>
    <w:rsid w:val="00743E09"/>
    <w:rsid w:val="0074424D"/>
    <w:rsid w:val="00745072"/>
    <w:rsid w:val="00745534"/>
    <w:rsid w:val="007469EA"/>
    <w:rsid w:val="0074780B"/>
    <w:rsid w:val="007478A2"/>
    <w:rsid w:val="007479B5"/>
    <w:rsid w:val="00750106"/>
    <w:rsid w:val="00750238"/>
    <w:rsid w:val="007505D7"/>
    <w:rsid w:val="007506AE"/>
    <w:rsid w:val="0075088D"/>
    <w:rsid w:val="00751DBE"/>
    <w:rsid w:val="0075201C"/>
    <w:rsid w:val="00753303"/>
    <w:rsid w:val="007538F2"/>
    <w:rsid w:val="0075465C"/>
    <w:rsid w:val="0075616D"/>
    <w:rsid w:val="00756329"/>
    <w:rsid w:val="0076319A"/>
    <w:rsid w:val="007634D4"/>
    <w:rsid w:val="00763501"/>
    <w:rsid w:val="0076369E"/>
    <w:rsid w:val="00763FCD"/>
    <w:rsid w:val="0076416B"/>
    <w:rsid w:val="007650E2"/>
    <w:rsid w:val="0076530F"/>
    <w:rsid w:val="00766D36"/>
    <w:rsid w:val="007670CD"/>
    <w:rsid w:val="00770469"/>
    <w:rsid w:val="00770A01"/>
    <w:rsid w:val="00770B0D"/>
    <w:rsid w:val="00770ECC"/>
    <w:rsid w:val="00771588"/>
    <w:rsid w:val="00771FBD"/>
    <w:rsid w:val="00772FED"/>
    <w:rsid w:val="007731AF"/>
    <w:rsid w:val="007734D5"/>
    <w:rsid w:val="00773A02"/>
    <w:rsid w:val="00774229"/>
    <w:rsid w:val="00774694"/>
    <w:rsid w:val="00774A51"/>
    <w:rsid w:val="00775CB2"/>
    <w:rsid w:val="00775E11"/>
    <w:rsid w:val="007763D8"/>
    <w:rsid w:val="007768FD"/>
    <w:rsid w:val="00776E18"/>
    <w:rsid w:val="00777176"/>
    <w:rsid w:val="00777592"/>
    <w:rsid w:val="00780162"/>
    <w:rsid w:val="00780D56"/>
    <w:rsid w:val="00781A46"/>
    <w:rsid w:val="00781FE7"/>
    <w:rsid w:val="0078221B"/>
    <w:rsid w:val="00782440"/>
    <w:rsid w:val="0078359E"/>
    <w:rsid w:val="00783E95"/>
    <w:rsid w:val="0078450B"/>
    <w:rsid w:val="0078479B"/>
    <w:rsid w:val="00785C7F"/>
    <w:rsid w:val="00786B39"/>
    <w:rsid w:val="00787F6B"/>
    <w:rsid w:val="00790AAF"/>
    <w:rsid w:val="00790C5F"/>
    <w:rsid w:val="00790C72"/>
    <w:rsid w:val="007939E0"/>
    <w:rsid w:val="0079436C"/>
    <w:rsid w:val="007957AA"/>
    <w:rsid w:val="007961F7"/>
    <w:rsid w:val="00796FA8"/>
    <w:rsid w:val="0079717C"/>
    <w:rsid w:val="007971B3"/>
    <w:rsid w:val="00797A70"/>
    <w:rsid w:val="007A075D"/>
    <w:rsid w:val="007A170B"/>
    <w:rsid w:val="007A1CF9"/>
    <w:rsid w:val="007A2FEB"/>
    <w:rsid w:val="007A3AAB"/>
    <w:rsid w:val="007A4226"/>
    <w:rsid w:val="007A591C"/>
    <w:rsid w:val="007A685B"/>
    <w:rsid w:val="007A6AC8"/>
    <w:rsid w:val="007A720C"/>
    <w:rsid w:val="007A756F"/>
    <w:rsid w:val="007A7940"/>
    <w:rsid w:val="007A7BCA"/>
    <w:rsid w:val="007B0290"/>
    <w:rsid w:val="007B0342"/>
    <w:rsid w:val="007B03C3"/>
    <w:rsid w:val="007B074C"/>
    <w:rsid w:val="007B1118"/>
    <w:rsid w:val="007B14ED"/>
    <w:rsid w:val="007B1E98"/>
    <w:rsid w:val="007B211A"/>
    <w:rsid w:val="007B3244"/>
    <w:rsid w:val="007B32B6"/>
    <w:rsid w:val="007B444E"/>
    <w:rsid w:val="007B48C4"/>
    <w:rsid w:val="007B510C"/>
    <w:rsid w:val="007B56F7"/>
    <w:rsid w:val="007B5C6C"/>
    <w:rsid w:val="007B5D86"/>
    <w:rsid w:val="007B6202"/>
    <w:rsid w:val="007B6736"/>
    <w:rsid w:val="007B7882"/>
    <w:rsid w:val="007B7F65"/>
    <w:rsid w:val="007C027A"/>
    <w:rsid w:val="007C185E"/>
    <w:rsid w:val="007C2135"/>
    <w:rsid w:val="007C2279"/>
    <w:rsid w:val="007C2495"/>
    <w:rsid w:val="007C2829"/>
    <w:rsid w:val="007C2851"/>
    <w:rsid w:val="007C2B55"/>
    <w:rsid w:val="007C4870"/>
    <w:rsid w:val="007C4A33"/>
    <w:rsid w:val="007C50F1"/>
    <w:rsid w:val="007C5478"/>
    <w:rsid w:val="007C5B52"/>
    <w:rsid w:val="007C6464"/>
    <w:rsid w:val="007C68BE"/>
    <w:rsid w:val="007C70DA"/>
    <w:rsid w:val="007C7146"/>
    <w:rsid w:val="007C7211"/>
    <w:rsid w:val="007C7DE4"/>
    <w:rsid w:val="007C7E42"/>
    <w:rsid w:val="007D0610"/>
    <w:rsid w:val="007D0D59"/>
    <w:rsid w:val="007D17B3"/>
    <w:rsid w:val="007D1C33"/>
    <w:rsid w:val="007D1F6E"/>
    <w:rsid w:val="007D1FDF"/>
    <w:rsid w:val="007D217D"/>
    <w:rsid w:val="007D2AB7"/>
    <w:rsid w:val="007D3FED"/>
    <w:rsid w:val="007D45F3"/>
    <w:rsid w:val="007D5218"/>
    <w:rsid w:val="007D5412"/>
    <w:rsid w:val="007D6522"/>
    <w:rsid w:val="007D6702"/>
    <w:rsid w:val="007D67E6"/>
    <w:rsid w:val="007E358F"/>
    <w:rsid w:val="007E40CE"/>
    <w:rsid w:val="007E58D0"/>
    <w:rsid w:val="007E5DD6"/>
    <w:rsid w:val="007E6506"/>
    <w:rsid w:val="007E688F"/>
    <w:rsid w:val="007E6C75"/>
    <w:rsid w:val="007E6E79"/>
    <w:rsid w:val="007E7103"/>
    <w:rsid w:val="007E764C"/>
    <w:rsid w:val="007E76A3"/>
    <w:rsid w:val="007E7DC8"/>
    <w:rsid w:val="007F0966"/>
    <w:rsid w:val="007F102F"/>
    <w:rsid w:val="007F1481"/>
    <w:rsid w:val="007F156F"/>
    <w:rsid w:val="007F1F92"/>
    <w:rsid w:val="007F2B24"/>
    <w:rsid w:val="007F3104"/>
    <w:rsid w:val="007F38A2"/>
    <w:rsid w:val="007F3E26"/>
    <w:rsid w:val="007F4DDB"/>
    <w:rsid w:val="007F4F3F"/>
    <w:rsid w:val="007F5833"/>
    <w:rsid w:val="007F6023"/>
    <w:rsid w:val="007F6E07"/>
    <w:rsid w:val="007F7B44"/>
    <w:rsid w:val="007F7BB9"/>
    <w:rsid w:val="007F7D48"/>
    <w:rsid w:val="008005BD"/>
    <w:rsid w:val="00800696"/>
    <w:rsid w:val="008015C4"/>
    <w:rsid w:val="00801E69"/>
    <w:rsid w:val="008024E7"/>
    <w:rsid w:val="008025EF"/>
    <w:rsid w:val="00802AF5"/>
    <w:rsid w:val="008030FC"/>
    <w:rsid w:val="008040B2"/>
    <w:rsid w:val="00804986"/>
    <w:rsid w:val="008054F5"/>
    <w:rsid w:val="008055F5"/>
    <w:rsid w:val="00805612"/>
    <w:rsid w:val="00805834"/>
    <w:rsid w:val="00805DAB"/>
    <w:rsid w:val="00806AF9"/>
    <w:rsid w:val="00806CCA"/>
    <w:rsid w:val="00806DE2"/>
    <w:rsid w:val="00807B99"/>
    <w:rsid w:val="0081000C"/>
    <w:rsid w:val="00810125"/>
    <w:rsid w:val="0081052E"/>
    <w:rsid w:val="00810762"/>
    <w:rsid w:val="0081092D"/>
    <w:rsid w:val="00810E10"/>
    <w:rsid w:val="008136CE"/>
    <w:rsid w:val="0081379B"/>
    <w:rsid w:val="008141E4"/>
    <w:rsid w:val="008146A4"/>
    <w:rsid w:val="00814730"/>
    <w:rsid w:val="00814F43"/>
    <w:rsid w:val="00815BE7"/>
    <w:rsid w:val="0081600D"/>
    <w:rsid w:val="00816844"/>
    <w:rsid w:val="00817098"/>
    <w:rsid w:val="00817FA9"/>
    <w:rsid w:val="00820254"/>
    <w:rsid w:val="0082085F"/>
    <w:rsid w:val="00821561"/>
    <w:rsid w:val="00821859"/>
    <w:rsid w:val="00821E94"/>
    <w:rsid w:val="00821FB6"/>
    <w:rsid w:val="00822132"/>
    <w:rsid w:val="00823011"/>
    <w:rsid w:val="00823AFE"/>
    <w:rsid w:val="00823F65"/>
    <w:rsid w:val="008255F8"/>
    <w:rsid w:val="008277C5"/>
    <w:rsid w:val="00827D91"/>
    <w:rsid w:val="00830492"/>
    <w:rsid w:val="00830B52"/>
    <w:rsid w:val="00830DBD"/>
    <w:rsid w:val="00830E9C"/>
    <w:rsid w:val="008310D6"/>
    <w:rsid w:val="00831E1E"/>
    <w:rsid w:val="00831F5A"/>
    <w:rsid w:val="008329DB"/>
    <w:rsid w:val="00832B49"/>
    <w:rsid w:val="00833BEE"/>
    <w:rsid w:val="008343D5"/>
    <w:rsid w:val="00834AC9"/>
    <w:rsid w:val="008352F1"/>
    <w:rsid w:val="0083622E"/>
    <w:rsid w:val="00836605"/>
    <w:rsid w:val="00836AB6"/>
    <w:rsid w:val="00836B3E"/>
    <w:rsid w:val="008406F0"/>
    <w:rsid w:val="0084081B"/>
    <w:rsid w:val="008408D9"/>
    <w:rsid w:val="00840B4B"/>
    <w:rsid w:val="00840BBE"/>
    <w:rsid w:val="00841792"/>
    <w:rsid w:val="00842BF1"/>
    <w:rsid w:val="00842D1E"/>
    <w:rsid w:val="008433F8"/>
    <w:rsid w:val="00843BC2"/>
    <w:rsid w:val="008458DF"/>
    <w:rsid w:val="00845C6F"/>
    <w:rsid w:val="00845F33"/>
    <w:rsid w:val="008461A2"/>
    <w:rsid w:val="00846303"/>
    <w:rsid w:val="00846916"/>
    <w:rsid w:val="0084792A"/>
    <w:rsid w:val="0085045D"/>
    <w:rsid w:val="008507E4"/>
    <w:rsid w:val="00850C4B"/>
    <w:rsid w:val="0085149D"/>
    <w:rsid w:val="00851D50"/>
    <w:rsid w:val="00851ED7"/>
    <w:rsid w:val="008520E2"/>
    <w:rsid w:val="00852790"/>
    <w:rsid w:val="0085312B"/>
    <w:rsid w:val="00853535"/>
    <w:rsid w:val="008535DD"/>
    <w:rsid w:val="00853961"/>
    <w:rsid w:val="00853DCB"/>
    <w:rsid w:val="008548BE"/>
    <w:rsid w:val="008549E3"/>
    <w:rsid w:val="00854C3F"/>
    <w:rsid w:val="00854FA2"/>
    <w:rsid w:val="008561DA"/>
    <w:rsid w:val="008563CB"/>
    <w:rsid w:val="008564B0"/>
    <w:rsid w:val="00856739"/>
    <w:rsid w:val="00856FC9"/>
    <w:rsid w:val="00857CA6"/>
    <w:rsid w:val="008608DF"/>
    <w:rsid w:val="00861509"/>
    <w:rsid w:val="00861A86"/>
    <w:rsid w:val="008626F3"/>
    <w:rsid w:val="00862CDA"/>
    <w:rsid w:val="008630B1"/>
    <w:rsid w:val="008635D5"/>
    <w:rsid w:val="00863716"/>
    <w:rsid w:val="0086372E"/>
    <w:rsid w:val="00863D1D"/>
    <w:rsid w:val="00863FCB"/>
    <w:rsid w:val="00864758"/>
    <w:rsid w:val="00865170"/>
    <w:rsid w:val="008660D8"/>
    <w:rsid w:val="00866D52"/>
    <w:rsid w:val="008672CF"/>
    <w:rsid w:val="00867C38"/>
    <w:rsid w:val="008718AB"/>
    <w:rsid w:val="00871938"/>
    <w:rsid w:val="00871AEE"/>
    <w:rsid w:val="00871CF6"/>
    <w:rsid w:val="00871E08"/>
    <w:rsid w:val="00872708"/>
    <w:rsid w:val="00872915"/>
    <w:rsid w:val="00874467"/>
    <w:rsid w:val="00875647"/>
    <w:rsid w:val="00875F2D"/>
    <w:rsid w:val="0087612D"/>
    <w:rsid w:val="00876348"/>
    <w:rsid w:val="0087678A"/>
    <w:rsid w:val="00876890"/>
    <w:rsid w:val="00876FF5"/>
    <w:rsid w:val="008772A3"/>
    <w:rsid w:val="00877448"/>
    <w:rsid w:val="00877480"/>
    <w:rsid w:val="00881411"/>
    <w:rsid w:val="008815B5"/>
    <w:rsid w:val="00881872"/>
    <w:rsid w:val="00881CAF"/>
    <w:rsid w:val="008821DE"/>
    <w:rsid w:val="00882B53"/>
    <w:rsid w:val="00882C3C"/>
    <w:rsid w:val="00882D03"/>
    <w:rsid w:val="0088300D"/>
    <w:rsid w:val="00883120"/>
    <w:rsid w:val="00884F15"/>
    <w:rsid w:val="00885339"/>
    <w:rsid w:val="008857C0"/>
    <w:rsid w:val="00885944"/>
    <w:rsid w:val="008862AB"/>
    <w:rsid w:val="0088722A"/>
    <w:rsid w:val="00887398"/>
    <w:rsid w:val="00887609"/>
    <w:rsid w:val="008903BB"/>
    <w:rsid w:val="008906FE"/>
    <w:rsid w:val="00890866"/>
    <w:rsid w:val="008915E0"/>
    <w:rsid w:val="0089337E"/>
    <w:rsid w:val="00893EFB"/>
    <w:rsid w:val="008946FB"/>
    <w:rsid w:val="00895209"/>
    <w:rsid w:val="00895AC0"/>
    <w:rsid w:val="00895AE3"/>
    <w:rsid w:val="00895D82"/>
    <w:rsid w:val="008969CE"/>
    <w:rsid w:val="00896E4D"/>
    <w:rsid w:val="0089746E"/>
    <w:rsid w:val="00897705"/>
    <w:rsid w:val="00897D25"/>
    <w:rsid w:val="008A016C"/>
    <w:rsid w:val="008A0E2A"/>
    <w:rsid w:val="008A15E5"/>
    <w:rsid w:val="008A1954"/>
    <w:rsid w:val="008A1E22"/>
    <w:rsid w:val="008A208C"/>
    <w:rsid w:val="008A27F0"/>
    <w:rsid w:val="008A318D"/>
    <w:rsid w:val="008A31B6"/>
    <w:rsid w:val="008A5023"/>
    <w:rsid w:val="008A52CF"/>
    <w:rsid w:val="008A579B"/>
    <w:rsid w:val="008A6695"/>
    <w:rsid w:val="008A76D1"/>
    <w:rsid w:val="008B0267"/>
    <w:rsid w:val="008B1AA0"/>
    <w:rsid w:val="008B2C32"/>
    <w:rsid w:val="008B2CA2"/>
    <w:rsid w:val="008B351A"/>
    <w:rsid w:val="008B3BCE"/>
    <w:rsid w:val="008B566E"/>
    <w:rsid w:val="008B59B9"/>
    <w:rsid w:val="008B608A"/>
    <w:rsid w:val="008B6920"/>
    <w:rsid w:val="008B6DED"/>
    <w:rsid w:val="008B79E8"/>
    <w:rsid w:val="008B7F88"/>
    <w:rsid w:val="008C0C96"/>
    <w:rsid w:val="008C118C"/>
    <w:rsid w:val="008C1716"/>
    <w:rsid w:val="008C22A8"/>
    <w:rsid w:val="008C25AA"/>
    <w:rsid w:val="008C274C"/>
    <w:rsid w:val="008C27D9"/>
    <w:rsid w:val="008C3D1A"/>
    <w:rsid w:val="008C43D7"/>
    <w:rsid w:val="008C4C23"/>
    <w:rsid w:val="008C57E7"/>
    <w:rsid w:val="008C605A"/>
    <w:rsid w:val="008C612C"/>
    <w:rsid w:val="008C665E"/>
    <w:rsid w:val="008C73D6"/>
    <w:rsid w:val="008C7E6A"/>
    <w:rsid w:val="008D012F"/>
    <w:rsid w:val="008D06A7"/>
    <w:rsid w:val="008D0E00"/>
    <w:rsid w:val="008D144B"/>
    <w:rsid w:val="008D2064"/>
    <w:rsid w:val="008D2235"/>
    <w:rsid w:val="008D2990"/>
    <w:rsid w:val="008D2AA7"/>
    <w:rsid w:val="008D2C71"/>
    <w:rsid w:val="008D3430"/>
    <w:rsid w:val="008D3741"/>
    <w:rsid w:val="008D4A62"/>
    <w:rsid w:val="008D4C47"/>
    <w:rsid w:val="008D51DE"/>
    <w:rsid w:val="008D56C8"/>
    <w:rsid w:val="008D5E22"/>
    <w:rsid w:val="008D67D2"/>
    <w:rsid w:val="008D6AEA"/>
    <w:rsid w:val="008D6E25"/>
    <w:rsid w:val="008D6E84"/>
    <w:rsid w:val="008D6F6D"/>
    <w:rsid w:val="008D7487"/>
    <w:rsid w:val="008E0946"/>
    <w:rsid w:val="008E131D"/>
    <w:rsid w:val="008E158E"/>
    <w:rsid w:val="008E1848"/>
    <w:rsid w:val="008E21C3"/>
    <w:rsid w:val="008E2760"/>
    <w:rsid w:val="008E3CD3"/>
    <w:rsid w:val="008E3FD4"/>
    <w:rsid w:val="008E4F75"/>
    <w:rsid w:val="008E538F"/>
    <w:rsid w:val="008E53AC"/>
    <w:rsid w:val="008E5546"/>
    <w:rsid w:val="008E5F99"/>
    <w:rsid w:val="008E61B5"/>
    <w:rsid w:val="008E61C5"/>
    <w:rsid w:val="008E6C90"/>
    <w:rsid w:val="008E702F"/>
    <w:rsid w:val="008F060A"/>
    <w:rsid w:val="008F0B83"/>
    <w:rsid w:val="008F11FB"/>
    <w:rsid w:val="008F180F"/>
    <w:rsid w:val="008F1DE8"/>
    <w:rsid w:val="008F1DEB"/>
    <w:rsid w:val="008F255C"/>
    <w:rsid w:val="008F2818"/>
    <w:rsid w:val="008F2D02"/>
    <w:rsid w:val="008F2E42"/>
    <w:rsid w:val="008F31BE"/>
    <w:rsid w:val="008F3FAE"/>
    <w:rsid w:val="008F52F4"/>
    <w:rsid w:val="008F5FA7"/>
    <w:rsid w:val="008F658F"/>
    <w:rsid w:val="008F6AF7"/>
    <w:rsid w:val="008F6F4E"/>
    <w:rsid w:val="008F7A49"/>
    <w:rsid w:val="0090025F"/>
    <w:rsid w:val="00900D23"/>
    <w:rsid w:val="00901F3D"/>
    <w:rsid w:val="00902023"/>
    <w:rsid w:val="009028F1"/>
    <w:rsid w:val="00902A58"/>
    <w:rsid w:val="00902FEC"/>
    <w:rsid w:val="0090374F"/>
    <w:rsid w:val="0090417F"/>
    <w:rsid w:val="009041DD"/>
    <w:rsid w:val="009052DD"/>
    <w:rsid w:val="009110C8"/>
    <w:rsid w:val="00911BAB"/>
    <w:rsid w:val="00911ED4"/>
    <w:rsid w:val="009125D9"/>
    <w:rsid w:val="009131E3"/>
    <w:rsid w:val="009136CD"/>
    <w:rsid w:val="009137C8"/>
    <w:rsid w:val="00914B29"/>
    <w:rsid w:val="00915BE1"/>
    <w:rsid w:val="00915D6B"/>
    <w:rsid w:val="0091635B"/>
    <w:rsid w:val="009164AF"/>
    <w:rsid w:val="009167B5"/>
    <w:rsid w:val="00921011"/>
    <w:rsid w:val="00921423"/>
    <w:rsid w:val="00922553"/>
    <w:rsid w:val="00922B5D"/>
    <w:rsid w:val="00922ED7"/>
    <w:rsid w:val="00923844"/>
    <w:rsid w:val="00923ECC"/>
    <w:rsid w:val="009248ED"/>
    <w:rsid w:val="009251EA"/>
    <w:rsid w:val="009254F6"/>
    <w:rsid w:val="0092562D"/>
    <w:rsid w:val="009260CF"/>
    <w:rsid w:val="00926127"/>
    <w:rsid w:val="0092642F"/>
    <w:rsid w:val="0092715C"/>
    <w:rsid w:val="00927A95"/>
    <w:rsid w:val="00927F75"/>
    <w:rsid w:val="009305C0"/>
    <w:rsid w:val="009305DA"/>
    <w:rsid w:val="009309AC"/>
    <w:rsid w:val="0093178C"/>
    <w:rsid w:val="00932889"/>
    <w:rsid w:val="00932B5E"/>
    <w:rsid w:val="00932B8D"/>
    <w:rsid w:val="00933718"/>
    <w:rsid w:val="00933E98"/>
    <w:rsid w:val="00935629"/>
    <w:rsid w:val="00935A70"/>
    <w:rsid w:val="009360A2"/>
    <w:rsid w:val="00936B81"/>
    <w:rsid w:val="00936F48"/>
    <w:rsid w:val="0093738D"/>
    <w:rsid w:val="00940D6F"/>
    <w:rsid w:val="00940E9C"/>
    <w:rsid w:val="009411A8"/>
    <w:rsid w:val="00941F6F"/>
    <w:rsid w:val="009422E9"/>
    <w:rsid w:val="00942D1F"/>
    <w:rsid w:val="00942E5B"/>
    <w:rsid w:val="0094349C"/>
    <w:rsid w:val="00943C3A"/>
    <w:rsid w:val="00944C45"/>
    <w:rsid w:val="00945355"/>
    <w:rsid w:val="009453F1"/>
    <w:rsid w:val="00945793"/>
    <w:rsid w:val="009457C4"/>
    <w:rsid w:val="0094646D"/>
    <w:rsid w:val="00946956"/>
    <w:rsid w:val="0095078A"/>
    <w:rsid w:val="00950EB6"/>
    <w:rsid w:val="00950F56"/>
    <w:rsid w:val="009512ED"/>
    <w:rsid w:val="0095252E"/>
    <w:rsid w:val="00952645"/>
    <w:rsid w:val="00953186"/>
    <w:rsid w:val="00953A2C"/>
    <w:rsid w:val="0095450F"/>
    <w:rsid w:val="00954B32"/>
    <w:rsid w:val="00954CA8"/>
    <w:rsid w:val="00954E2F"/>
    <w:rsid w:val="00955275"/>
    <w:rsid w:val="00956190"/>
    <w:rsid w:val="00956D2F"/>
    <w:rsid w:val="00956DA5"/>
    <w:rsid w:val="00956E8E"/>
    <w:rsid w:val="00957016"/>
    <w:rsid w:val="0095748A"/>
    <w:rsid w:val="00960848"/>
    <w:rsid w:val="00960F44"/>
    <w:rsid w:val="00961B47"/>
    <w:rsid w:val="00961E44"/>
    <w:rsid w:val="0096214A"/>
    <w:rsid w:val="009628E4"/>
    <w:rsid w:val="0096383B"/>
    <w:rsid w:val="00964E3E"/>
    <w:rsid w:val="00965810"/>
    <w:rsid w:val="00965CA2"/>
    <w:rsid w:val="00965D57"/>
    <w:rsid w:val="00966970"/>
    <w:rsid w:val="00966A41"/>
    <w:rsid w:val="009670CA"/>
    <w:rsid w:val="00967399"/>
    <w:rsid w:val="00967674"/>
    <w:rsid w:val="0096782E"/>
    <w:rsid w:val="00967889"/>
    <w:rsid w:val="00970356"/>
    <w:rsid w:val="00971531"/>
    <w:rsid w:val="00971A7C"/>
    <w:rsid w:val="00972E9E"/>
    <w:rsid w:val="00973C08"/>
    <w:rsid w:val="00973CDC"/>
    <w:rsid w:val="00975E78"/>
    <w:rsid w:val="0097664B"/>
    <w:rsid w:val="009767E1"/>
    <w:rsid w:val="0097711E"/>
    <w:rsid w:val="00977155"/>
    <w:rsid w:val="00977E41"/>
    <w:rsid w:val="0098042D"/>
    <w:rsid w:val="00980753"/>
    <w:rsid w:val="00980804"/>
    <w:rsid w:val="00980B39"/>
    <w:rsid w:val="00980B90"/>
    <w:rsid w:val="00981007"/>
    <w:rsid w:val="00981B15"/>
    <w:rsid w:val="00983440"/>
    <w:rsid w:val="00983938"/>
    <w:rsid w:val="00983962"/>
    <w:rsid w:val="00983E50"/>
    <w:rsid w:val="009846B2"/>
    <w:rsid w:val="009858FC"/>
    <w:rsid w:val="0098691A"/>
    <w:rsid w:val="00986BF3"/>
    <w:rsid w:val="0098730C"/>
    <w:rsid w:val="00987820"/>
    <w:rsid w:val="00987F47"/>
    <w:rsid w:val="00991AF6"/>
    <w:rsid w:val="00992320"/>
    <w:rsid w:val="00992D5D"/>
    <w:rsid w:val="00993B9F"/>
    <w:rsid w:val="0099449A"/>
    <w:rsid w:val="009944BF"/>
    <w:rsid w:val="009946B3"/>
    <w:rsid w:val="0099503A"/>
    <w:rsid w:val="0099515C"/>
    <w:rsid w:val="00995FAB"/>
    <w:rsid w:val="009967E6"/>
    <w:rsid w:val="00996924"/>
    <w:rsid w:val="00996C51"/>
    <w:rsid w:val="00997B78"/>
    <w:rsid w:val="00997B87"/>
    <w:rsid w:val="009A0046"/>
    <w:rsid w:val="009A12E9"/>
    <w:rsid w:val="009A347D"/>
    <w:rsid w:val="009A4B16"/>
    <w:rsid w:val="009A4F0A"/>
    <w:rsid w:val="009A504F"/>
    <w:rsid w:val="009A6816"/>
    <w:rsid w:val="009A69B4"/>
    <w:rsid w:val="009A73E5"/>
    <w:rsid w:val="009B07E5"/>
    <w:rsid w:val="009B0801"/>
    <w:rsid w:val="009B207A"/>
    <w:rsid w:val="009B266A"/>
    <w:rsid w:val="009B294D"/>
    <w:rsid w:val="009B2D17"/>
    <w:rsid w:val="009B2E0A"/>
    <w:rsid w:val="009B35E0"/>
    <w:rsid w:val="009B41CF"/>
    <w:rsid w:val="009B4755"/>
    <w:rsid w:val="009B49F2"/>
    <w:rsid w:val="009B4A60"/>
    <w:rsid w:val="009B4BAD"/>
    <w:rsid w:val="009B4BF3"/>
    <w:rsid w:val="009B542C"/>
    <w:rsid w:val="009B5C33"/>
    <w:rsid w:val="009B5EB6"/>
    <w:rsid w:val="009B6778"/>
    <w:rsid w:val="009B6B52"/>
    <w:rsid w:val="009B6B5A"/>
    <w:rsid w:val="009B75DD"/>
    <w:rsid w:val="009B7AEF"/>
    <w:rsid w:val="009C06AC"/>
    <w:rsid w:val="009C0BE5"/>
    <w:rsid w:val="009C12E7"/>
    <w:rsid w:val="009C1720"/>
    <w:rsid w:val="009C180D"/>
    <w:rsid w:val="009C1DCB"/>
    <w:rsid w:val="009C2BE6"/>
    <w:rsid w:val="009C36FB"/>
    <w:rsid w:val="009C4C37"/>
    <w:rsid w:val="009C57B4"/>
    <w:rsid w:val="009C5AA0"/>
    <w:rsid w:val="009C6832"/>
    <w:rsid w:val="009C735C"/>
    <w:rsid w:val="009C7F29"/>
    <w:rsid w:val="009D0181"/>
    <w:rsid w:val="009D0AF5"/>
    <w:rsid w:val="009D0CB0"/>
    <w:rsid w:val="009D10AE"/>
    <w:rsid w:val="009D1220"/>
    <w:rsid w:val="009D1852"/>
    <w:rsid w:val="009D1DB4"/>
    <w:rsid w:val="009D1E0C"/>
    <w:rsid w:val="009D2178"/>
    <w:rsid w:val="009D221C"/>
    <w:rsid w:val="009D24E3"/>
    <w:rsid w:val="009D252D"/>
    <w:rsid w:val="009D30B6"/>
    <w:rsid w:val="009D3253"/>
    <w:rsid w:val="009D35E0"/>
    <w:rsid w:val="009D480F"/>
    <w:rsid w:val="009D4C48"/>
    <w:rsid w:val="009D5A29"/>
    <w:rsid w:val="009D5D70"/>
    <w:rsid w:val="009D5DA7"/>
    <w:rsid w:val="009D5F3F"/>
    <w:rsid w:val="009D6DA1"/>
    <w:rsid w:val="009D732A"/>
    <w:rsid w:val="009D74ED"/>
    <w:rsid w:val="009E002C"/>
    <w:rsid w:val="009E0930"/>
    <w:rsid w:val="009E0F02"/>
    <w:rsid w:val="009E0FBB"/>
    <w:rsid w:val="009E148E"/>
    <w:rsid w:val="009E1504"/>
    <w:rsid w:val="009E150E"/>
    <w:rsid w:val="009E3110"/>
    <w:rsid w:val="009E3817"/>
    <w:rsid w:val="009E384D"/>
    <w:rsid w:val="009E4054"/>
    <w:rsid w:val="009E46C0"/>
    <w:rsid w:val="009E4B77"/>
    <w:rsid w:val="009E51F2"/>
    <w:rsid w:val="009E5263"/>
    <w:rsid w:val="009E53E1"/>
    <w:rsid w:val="009E5CBE"/>
    <w:rsid w:val="009E782B"/>
    <w:rsid w:val="009F01D2"/>
    <w:rsid w:val="009F137F"/>
    <w:rsid w:val="009F1A11"/>
    <w:rsid w:val="009F2285"/>
    <w:rsid w:val="009F2355"/>
    <w:rsid w:val="009F268B"/>
    <w:rsid w:val="009F27B3"/>
    <w:rsid w:val="009F3502"/>
    <w:rsid w:val="009F38FD"/>
    <w:rsid w:val="009F3997"/>
    <w:rsid w:val="009F3C99"/>
    <w:rsid w:val="009F5325"/>
    <w:rsid w:val="009F532C"/>
    <w:rsid w:val="009F5630"/>
    <w:rsid w:val="009F5CBD"/>
    <w:rsid w:val="009F5CD2"/>
    <w:rsid w:val="009F5EF5"/>
    <w:rsid w:val="009F60A0"/>
    <w:rsid w:val="009F66D4"/>
    <w:rsid w:val="009F6779"/>
    <w:rsid w:val="009F6DE4"/>
    <w:rsid w:val="009F71F4"/>
    <w:rsid w:val="009F7DA8"/>
    <w:rsid w:val="00A002CD"/>
    <w:rsid w:val="00A00F35"/>
    <w:rsid w:val="00A0131B"/>
    <w:rsid w:val="00A02D8E"/>
    <w:rsid w:val="00A0303A"/>
    <w:rsid w:val="00A03DCA"/>
    <w:rsid w:val="00A03EEF"/>
    <w:rsid w:val="00A04131"/>
    <w:rsid w:val="00A054E6"/>
    <w:rsid w:val="00A05D35"/>
    <w:rsid w:val="00A076C2"/>
    <w:rsid w:val="00A07849"/>
    <w:rsid w:val="00A1006B"/>
    <w:rsid w:val="00A10A0F"/>
    <w:rsid w:val="00A10BC8"/>
    <w:rsid w:val="00A11165"/>
    <w:rsid w:val="00A11AE0"/>
    <w:rsid w:val="00A12CA3"/>
    <w:rsid w:val="00A13032"/>
    <w:rsid w:val="00A13160"/>
    <w:rsid w:val="00A13457"/>
    <w:rsid w:val="00A14A48"/>
    <w:rsid w:val="00A14A7F"/>
    <w:rsid w:val="00A156B8"/>
    <w:rsid w:val="00A15A0E"/>
    <w:rsid w:val="00A15DA2"/>
    <w:rsid w:val="00A16278"/>
    <w:rsid w:val="00A1682F"/>
    <w:rsid w:val="00A17C2D"/>
    <w:rsid w:val="00A17FA8"/>
    <w:rsid w:val="00A20568"/>
    <w:rsid w:val="00A20E02"/>
    <w:rsid w:val="00A21423"/>
    <w:rsid w:val="00A2173D"/>
    <w:rsid w:val="00A21D28"/>
    <w:rsid w:val="00A226FE"/>
    <w:rsid w:val="00A22842"/>
    <w:rsid w:val="00A22FBD"/>
    <w:rsid w:val="00A23344"/>
    <w:rsid w:val="00A23DBC"/>
    <w:rsid w:val="00A24F9F"/>
    <w:rsid w:val="00A2589F"/>
    <w:rsid w:val="00A2602D"/>
    <w:rsid w:val="00A26D3F"/>
    <w:rsid w:val="00A26FF3"/>
    <w:rsid w:val="00A27536"/>
    <w:rsid w:val="00A277E8"/>
    <w:rsid w:val="00A277FC"/>
    <w:rsid w:val="00A27BC6"/>
    <w:rsid w:val="00A30D83"/>
    <w:rsid w:val="00A30F6F"/>
    <w:rsid w:val="00A3185C"/>
    <w:rsid w:val="00A31D80"/>
    <w:rsid w:val="00A32C63"/>
    <w:rsid w:val="00A332D7"/>
    <w:rsid w:val="00A339F8"/>
    <w:rsid w:val="00A3476B"/>
    <w:rsid w:val="00A34B1B"/>
    <w:rsid w:val="00A34E90"/>
    <w:rsid w:val="00A3502D"/>
    <w:rsid w:val="00A3557E"/>
    <w:rsid w:val="00A362DC"/>
    <w:rsid w:val="00A3636D"/>
    <w:rsid w:val="00A3707C"/>
    <w:rsid w:val="00A37CB9"/>
    <w:rsid w:val="00A40243"/>
    <w:rsid w:val="00A40265"/>
    <w:rsid w:val="00A402CF"/>
    <w:rsid w:val="00A407FA"/>
    <w:rsid w:val="00A40AE7"/>
    <w:rsid w:val="00A40CA0"/>
    <w:rsid w:val="00A41101"/>
    <w:rsid w:val="00A41757"/>
    <w:rsid w:val="00A42DA6"/>
    <w:rsid w:val="00A43694"/>
    <w:rsid w:val="00A438AD"/>
    <w:rsid w:val="00A43909"/>
    <w:rsid w:val="00A43CFD"/>
    <w:rsid w:val="00A43E2B"/>
    <w:rsid w:val="00A44CCC"/>
    <w:rsid w:val="00A45380"/>
    <w:rsid w:val="00A45D1C"/>
    <w:rsid w:val="00A45EC9"/>
    <w:rsid w:val="00A4603F"/>
    <w:rsid w:val="00A4686D"/>
    <w:rsid w:val="00A46D89"/>
    <w:rsid w:val="00A46E04"/>
    <w:rsid w:val="00A4725A"/>
    <w:rsid w:val="00A472C9"/>
    <w:rsid w:val="00A47B55"/>
    <w:rsid w:val="00A47B7A"/>
    <w:rsid w:val="00A47EC6"/>
    <w:rsid w:val="00A47FD3"/>
    <w:rsid w:val="00A5033E"/>
    <w:rsid w:val="00A511ED"/>
    <w:rsid w:val="00A534CE"/>
    <w:rsid w:val="00A54A9D"/>
    <w:rsid w:val="00A554CD"/>
    <w:rsid w:val="00A5586C"/>
    <w:rsid w:val="00A5599F"/>
    <w:rsid w:val="00A55A56"/>
    <w:rsid w:val="00A56FBB"/>
    <w:rsid w:val="00A6131E"/>
    <w:rsid w:val="00A61BCA"/>
    <w:rsid w:val="00A61DD4"/>
    <w:rsid w:val="00A6294E"/>
    <w:rsid w:val="00A62A4B"/>
    <w:rsid w:val="00A634CC"/>
    <w:rsid w:val="00A63606"/>
    <w:rsid w:val="00A6377C"/>
    <w:rsid w:val="00A63AB1"/>
    <w:rsid w:val="00A63CE8"/>
    <w:rsid w:val="00A63D99"/>
    <w:rsid w:val="00A64393"/>
    <w:rsid w:val="00A64E54"/>
    <w:rsid w:val="00A64EA5"/>
    <w:rsid w:val="00A659C4"/>
    <w:rsid w:val="00A66957"/>
    <w:rsid w:val="00A673D1"/>
    <w:rsid w:val="00A7033C"/>
    <w:rsid w:val="00A707CC"/>
    <w:rsid w:val="00A7091F"/>
    <w:rsid w:val="00A71298"/>
    <w:rsid w:val="00A71752"/>
    <w:rsid w:val="00A721F6"/>
    <w:rsid w:val="00A72C7E"/>
    <w:rsid w:val="00A73CE7"/>
    <w:rsid w:val="00A73D37"/>
    <w:rsid w:val="00A73F21"/>
    <w:rsid w:val="00A74B06"/>
    <w:rsid w:val="00A75624"/>
    <w:rsid w:val="00A76744"/>
    <w:rsid w:val="00A7790B"/>
    <w:rsid w:val="00A800CF"/>
    <w:rsid w:val="00A807DA"/>
    <w:rsid w:val="00A811CD"/>
    <w:rsid w:val="00A814D8"/>
    <w:rsid w:val="00A81A22"/>
    <w:rsid w:val="00A81D67"/>
    <w:rsid w:val="00A82624"/>
    <w:rsid w:val="00A83B44"/>
    <w:rsid w:val="00A8644A"/>
    <w:rsid w:val="00A867F7"/>
    <w:rsid w:val="00A869FE"/>
    <w:rsid w:val="00A87175"/>
    <w:rsid w:val="00A87660"/>
    <w:rsid w:val="00A878E2"/>
    <w:rsid w:val="00A878F1"/>
    <w:rsid w:val="00A900D7"/>
    <w:rsid w:val="00A90C95"/>
    <w:rsid w:val="00A91228"/>
    <w:rsid w:val="00A91C3D"/>
    <w:rsid w:val="00A92571"/>
    <w:rsid w:val="00A9274B"/>
    <w:rsid w:val="00A948A1"/>
    <w:rsid w:val="00A95635"/>
    <w:rsid w:val="00A9682F"/>
    <w:rsid w:val="00A9692E"/>
    <w:rsid w:val="00A969E6"/>
    <w:rsid w:val="00AA049A"/>
    <w:rsid w:val="00AA0AFF"/>
    <w:rsid w:val="00AA18AD"/>
    <w:rsid w:val="00AA27A6"/>
    <w:rsid w:val="00AA29B7"/>
    <w:rsid w:val="00AA2BF1"/>
    <w:rsid w:val="00AA2D52"/>
    <w:rsid w:val="00AA2DBE"/>
    <w:rsid w:val="00AA378B"/>
    <w:rsid w:val="00AA3ACC"/>
    <w:rsid w:val="00AA3B76"/>
    <w:rsid w:val="00AA4C0A"/>
    <w:rsid w:val="00AA56E3"/>
    <w:rsid w:val="00AA5AFE"/>
    <w:rsid w:val="00AA5CC7"/>
    <w:rsid w:val="00AA5E0F"/>
    <w:rsid w:val="00AA6EAC"/>
    <w:rsid w:val="00AA71CC"/>
    <w:rsid w:val="00AA7427"/>
    <w:rsid w:val="00AA7CA8"/>
    <w:rsid w:val="00AA7CAB"/>
    <w:rsid w:val="00AB0382"/>
    <w:rsid w:val="00AB03ED"/>
    <w:rsid w:val="00AB1071"/>
    <w:rsid w:val="00AB1AAA"/>
    <w:rsid w:val="00AB1F21"/>
    <w:rsid w:val="00AB2A82"/>
    <w:rsid w:val="00AB35DD"/>
    <w:rsid w:val="00AB35E5"/>
    <w:rsid w:val="00AB6102"/>
    <w:rsid w:val="00AB6798"/>
    <w:rsid w:val="00AB6BB9"/>
    <w:rsid w:val="00AB784F"/>
    <w:rsid w:val="00AB78F7"/>
    <w:rsid w:val="00AC06C4"/>
    <w:rsid w:val="00AC0A1D"/>
    <w:rsid w:val="00AC117A"/>
    <w:rsid w:val="00AC19FE"/>
    <w:rsid w:val="00AC1D81"/>
    <w:rsid w:val="00AC2E9A"/>
    <w:rsid w:val="00AC3102"/>
    <w:rsid w:val="00AC4E0A"/>
    <w:rsid w:val="00AC4FBF"/>
    <w:rsid w:val="00AC53E8"/>
    <w:rsid w:val="00AC549F"/>
    <w:rsid w:val="00AC55C0"/>
    <w:rsid w:val="00AC55FE"/>
    <w:rsid w:val="00AC5A0B"/>
    <w:rsid w:val="00AC5AB2"/>
    <w:rsid w:val="00AC5AD8"/>
    <w:rsid w:val="00AC5FC7"/>
    <w:rsid w:val="00AC6DD2"/>
    <w:rsid w:val="00AC7C17"/>
    <w:rsid w:val="00AC7D80"/>
    <w:rsid w:val="00AD0A0C"/>
    <w:rsid w:val="00AD0F75"/>
    <w:rsid w:val="00AD1527"/>
    <w:rsid w:val="00AD1B79"/>
    <w:rsid w:val="00AD2275"/>
    <w:rsid w:val="00AD249A"/>
    <w:rsid w:val="00AD268E"/>
    <w:rsid w:val="00AD2CE1"/>
    <w:rsid w:val="00AD2DBB"/>
    <w:rsid w:val="00AD3017"/>
    <w:rsid w:val="00AD339C"/>
    <w:rsid w:val="00AD3611"/>
    <w:rsid w:val="00AD38E9"/>
    <w:rsid w:val="00AD3C2D"/>
    <w:rsid w:val="00AD41BC"/>
    <w:rsid w:val="00AD42E0"/>
    <w:rsid w:val="00AD45C4"/>
    <w:rsid w:val="00AD47EC"/>
    <w:rsid w:val="00AD4E6F"/>
    <w:rsid w:val="00AD53CA"/>
    <w:rsid w:val="00AD566D"/>
    <w:rsid w:val="00AD6447"/>
    <w:rsid w:val="00AD787F"/>
    <w:rsid w:val="00AD790C"/>
    <w:rsid w:val="00AD796F"/>
    <w:rsid w:val="00AE0499"/>
    <w:rsid w:val="00AE1139"/>
    <w:rsid w:val="00AE12D2"/>
    <w:rsid w:val="00AE204C"/>
    <w:rsid w:val="00AE313A"/>
    <w:rsid w:val="00AE3435"/>
    <w:rsid w:val="00AE35C2"/>
    <w:rsid w:val="00AE469B"/>
    <w:rsid w:val="00AE487D"/>
    <w:rsid w:val="00AE6D48"/>
    <w:rsid w:val="00AE6E3C"/>
    <w:rsid w:val="00AF0285"/>
    <w:rsid w:val="00AF02E6"/>
    <w:rsid w:val="00AF03A2"/>
    <w:rsid w:val="00AF2936"/>
    <w:rsid w:val="00AF2EC9"/>
    <w:rsid w:val="00AF31C1"/>
    <w:rsid w:val="00AF367E"/>
    <w:rsid w:val="00AF371C"/>
    <w:rsid w:val="00AF4CC2"/>
    <w:rsid w:val="00AF5261"/>
    <w:rsid w:val="00AF546F"/>
    <w:rsid w:val="00AF5A9E"/>
    <w:rsid w:val="00AF5BD3"/>
    <w:rsid w:val="00AF5FE7"/>
    <w:rsid w:val="00AF619F"/>
    <w:rsid w:val="00AF6A49"/>
    <w:rsid w:val="00AF6E78"/>
    <w:rsid w:val="00AF781E"/>
    <w:rsid w:val="00AF7F6D"/>
    <w:rsid w:val="00B00B06"/>
    <w:rsid w:val="00B00F1C"/>
    <w:rsid w:val="00B013A1"/>
    <w:rsid w:val="00B0173F"/>
    <w:rsid w:val="00B01742"/>
    <w:rsid w:val="00B0177D"/>
    <w:rsid w:val="00B01837"/>
    <w:rsid w:val="00B019D1"/>
    <w:rsid w:val="00B02A8B"/>
    <w:rsid w:val="00B02D7A"/>
    <w:rsid w:val="00B02D85"/>
    <w:rsid w:val="00B0313D"/>
    <w:rsid w:val="00B03828"/>
    <w:rsid w:val="00B03942"/>
    <w:rsid w:val="00B03BAA"/>
    <w:rsid w:val="00B040C7"/>
    <w:rsid w:val="00B0412C"/>
    <w:rsid w:val="00B049D0"/>
    <w:rsid w:val="00B05924"/>
    <w:rsid w:val="00B07F50"/>
    <w:rsid w:val="00B10186"/>
    <w:rsid w:val="00B10E7E"/>
    <w:rsid w:val="00B11907"/>
    <w:rsid w:val="00B11C6F"/>
    <w:rsid w:val="00B11F69"/>
    <w:rsid w:val="00B1310D"/>
    <w:rsid w:val="00B13B62"/>
    <w:rsid w:val="00B13DB9"/>
    <w:rsid w:val="00B14867"/>
    <w:rsid w:val="00B148B1"/>
    <w:rsid w:val="00B149B9"/>
    <w:rsid w:val="00B14C61"/>
    <w:rsid w:val="00B150DF"/>
    <w:rsid w:val="00B20A41"/>
    <w:rsid w:val="00B2110C"/>
    <w:rsid w:val="00B211DC"/>
    <w:rsid w:val="00B215D1"/>
    <w:rsid w:val="00B21CC3"/>
    <w:rsid w:val="00B228DE"/>
    <w:rsid w:val="00B22EBE"/>
    <w:rsid w:val="00B24E4A"/>
    <w:rsid w:val="00B2576C"/>
    <w:rsid w:val="00B25912"/>
    <w:rsid w:val="00B26709"/>
    <w:rsid w:val="00B26BBC"/>
    <w:rsid w:val="00B274FE"/>
    <w:rsid w:val="00B274FF"/>
    <w:rsid w:val="00B303A7"/>
    <w:rsid w:val="00B311EC"/>
    <w:rsid w:val="00B32937"/>
    <w:rsid w:val="00B32BBA"/>
    <w:rsid w:val="00B32C2E"/>
    <w:rsid w:val="00B33B6D"/>
    <w:rsid w:val="00B33D93"/>
    <w:rsid w:val="00B33D9B"/>
    <w:rsid w:val="00B35523"/>
    <w:rsid w:val="00B35937"/>
    <w:rsid w:val="00B35E1B"/>
    <w:rsid w:val="00B37AF0"/>
    <w:rsid w:val="00B40995"/>
    <w:rsid w:val="00B40B44"/>
    <w:rsid w:val="00B4204D"/>
    <w:rsid w:val="00B42753"/>
    <w:rsid w:val="00B435A7"/>
    <w:rsid w:val="00B4379C"/>
    <w:rsid w:val="00B43B7D"/>
    <w:rsid w:val="00B4464F"/>
    <w:rsid w:val="00B446EF"/>
    <w:rsid w:val="00B44CE3"/>
    <w:rsid w:val="00B4528E"/>
    <w:rsid w:val="00B45528"/>
    <w:rsid w:val="00B4552B"/>
    <w:rsid w:val="00B45F2B"/>
    <w:rsid w:val="00B4685B"/>
    <w:rsid w:val="00B468D0"/>
    <w:rsid w:val="00B473CA"/>
    <w:rsid w:val="00B474FA"/>
    <w:rsid w:val="00B47D81"/>
    <w:rsid w:val="00B47F6F"/>
    <w:rsid w:val="00B500CD"/>
    <w:rsid w:val="00B508A4"/>
    <w:rsid w:val="00B50AE8"/>
    <w:rsid w:val="00B50F21"/>
    <w:rsid w:val="00B51122"/>
    <w:rsid w:val="00B5128B"/>
    <w:rsid w:val="00B51A2E"/>
    <w:rsid w:val="00B5268A"/>
    <w:rsid w:val="00B532DE"/>
    <w:rsid w:val="00B54428"/>
    <w:rsid w:val="00B548F1"/>
    <w:rsid w:val="00B54F36"/>
    <w:rsid w:val="00B5530A"/>
    <w:rsid w:val="00B56426"/>
    <w:rsid w:val="00B569DB"/>
    <w:rsid w:val="00B57114"/>
    <w:rsid w:val="00B57CFB"/>
    <w:rsid w:val="00B57D30"/>
    <w:rsid w:val="00B6013B"/>
    <w:rsid w:val="00B603A8"/>
    <w:rsid w:val="00B61325"/>
    <w:rsid w:val="00B61B55"/>
    <w:rsid w:val="00B61ECF"/>
    <w:rsid w:val="00B6255B"/>
    <w:rsid w:val="00B62999"/>
    <w:rsid w:val="00B64FB5"/>
    <w:rsid w:val="00B662B9"/>
    <w:rsid w:val="00B6701A"/>
    <w:rsid w:val="00B6706F"/>
    <w:rsid w:val="00B67768"/>
    <w:rsid w:val="00B71A3E"/>
    <w:rsid w:val="00B71A69"/>
    <w:rsid w:val="00B71CA5"/>
    <w:rsid w:val="00B7586F"/>
    <w:rsid w:val="00B76037"/>
    <w:rsid w:val="00B76613"/>
    <w:rsid w:val="00B7701A"/>
    <w:rsid w:val="00B776CB"/>
    <w:rsid w:val="00B77AAC"/>
    <w:rsid w:val="00B805BE"/>
    <w:rsid w:val="00B80835"/>
    <w:rsid w:val="00B815B0"/>
    <w:rsid w:val="00B81A5E"/>
    <w:rsid w:val="00B81BB2"/>
    <w:rsid w:val="00B81FDA"/>
    <w:rsid w:val="00B8243D"/>
    <w:rsid w:val="00B8397F"/>
    <w:rsid w:val="00B83D0F"/>
    <w:rsid w:val="00B843AE"/>
    <w:rsid w:val="00B843DD"/>
    <w:rsid w:val="00B843DE"/>
    <w:rsid w:val="00B84AC6"/>
    <w:rsid w:val="00B853AC"/>
    <w:rsid w:val="00B857B0"/>
    <w:rsid w:val="00B86859"/>
    <w:rsid w:val="00B8687C"/>
    <w:rsid w:val="00B8695A"/>
    <w:rsid w:val="00B86D66"/>
    <w:rsid w:val="00B87252"/>
    <w:rsid w:val="00B87614"/>
    <w:rsid w:val="00B87723"/>
    <w:rsid w:val="00B92B3D"/>
    <w:rsid w:val="00B9448D"/>
    <w:rsid w:val="00B94818"/>
    <w:rsid w:val="00B94DE7"/>
    <w:rsid w:val="00B95B7F"/>
    <w:rsid w:val="00B9626A"/>
    <w:rsid w:val="00B97276"/>
    <w:rsid w:val="00B973DC"/>
    <w:rsid w:val="00B97973"/>
    <w:rsid w:val="00B979DE"/>
    <w:rsid w:val="00BA0348"/>
    <w:rsid w:val="00BA06FF"/>
    <w:rsid w:val="00BA073B"/>
    <w:rsid w:val="00BA0B10"/>
    <w:rsid w:val="00BA0C57"/>
    <w:rsid w:val="00BA162C"/>
    <w:rsid w:val="00BA1CF8"/>
    <w:rsid w:val="00BA1DC9"/>
    <w:rsid w:val="00BA1E1A"/>
    <w:rsid w:val="00BA28D1"/>
    <w:rsid w:val="00BA295F"/>
    <w:rsid w:val="00BA2CCA"/>
    <w:rsid w:val="00BA2F71"/>
    <w:rsid w:val="00BA3611"/>
    <w:rsid w:val="00BA41F7"/>
    <w:rsid w:val="00BA47B1"/>
    <w:rsid w:val="00BA5A68"/>
    <w:rsid w:val="00BA5C26"/>
    <w:rsid w:val="00BA680F"/>
    <w:rsid w:val="00BA701D"/>
    <w:rsid w:val="00BA7D31"/>
    <w:rsid w:val="00BB05A9"/>
    <w:rsid w:val="00BB09CD"/>
    <w:rsid w:val="00BB170F"/>
    <w:rsid w:val="00BB181D"/>
    <w:rsid w:val="00BB19C3"/>
    <w:rsid w:val="00BB2087"/>
    <w:rsid w:val="00BB20A5"/>
    <w:rsid w:val="00BB485D"/>
    <w:rsid w:val="00BB4988"/>
    <w:rsid w:val="00BB6D36"/>
    <w:rsid w:val="00BB743A"/>
    <w:rsid w:val="00BB778B"/>
    <w:rsid w:val="00BC0597"/>
    <w:rsid w:val="00BC081E"/>
    <w:rsid w:val="00BC10F5"/>
    <w:rsid w:val="00BC13CF"/>
    <w:rsid w:val="00BC17A6"/>
    <w:rsid w:val="00BC20F1"/>
    <w:rsid w:val="00BC247D"/>
    <w:rsid w:val="00BC307F"/>
    <w:rsid w:val="00BC3187"/>
    <w:rsid w:val="00BC34B9"/>
    <w:rsid w:val="00BC510B"/>
    <w:rsid w:val="00BC51AB"/>
    <w:rsid w:val="00BC5D41"/>
    <w:rsid w:val="00BC678F"/>
    <w:rsid w:val="00BC6A99"/>
    <w:rsid w:val="00BC7EFA"/>
    <w:rsid w:val="00BD0062"/>
    <w:rsid w:val="00BD0955"/>
    <w:rsid w:val="00BD0CA1"/>
    <w:rsid w:val="00BD1779"/>
    <w:rsid w:val="00BD1942"/>
    <w:rsid w:val="00BD198B"/>
    <w:rsid w:val="00BD2122"/>
    <w:rsid w:val="00BD2718"/>
    <w:rsid w:val="00BD277B"/>
    <w:rsid w:val="00BD2B70"/>
    <w:rsid w:val="00BD350B"/>
    <w:rsid w:val="00BD3F85"/>
    <w:rsid w:val="00BD4765"/>
    <w:rsid w:val="00BD5380"/>
    <w:rsid w:val="00BD5638"/>
    <w:rsid w:val="00BD5810"/>
    <w:rsid w:val="00BD5DF8"/>
    <w:rsid w:val="00BD601F"/>
    <w:rsid w:val="00BD6172"/>
    <w:rsid w:val="00BD6CFC"/>
    <w:rsid w:val="00BD6F31"/>
    <w:rsid w:val="00BD7E15"/>
    <w:rsid w:val="00BE02D5"/>
    <w:rsid w:val="00BE1E96"/>
    <w:rsid w:val="00BE2236"/>
    <w:rsid w:val="00BE3730"/>
    <w:rsid w:val="00BE3B8C"/>
    <w:rsid w:val="00BE3F14"/>
    <w:rsid w:val="00BE4412"/>
    <w:rsid w:val="00BE57FF"/>
    <w:rsid w:val="00BE5873"/>
    <w:rsid w:val="00BE5A55"/>
    <w:rsid w:val="00BE6140"/>
    <w:rsid w:val="00BE7EC0"/>
    <w:rsid w:val="00BE7F51"/>
    <w:rsid w:val="00BE7F64"/>
    <w:rsid w:val="00BF0352"/>
    <w:rsid w:val="00BF0A3D"/>
    <w:rsid w:val="00BF0D14"/>
    <w:rsid w:val="00BF0F27"/>
    <w:rsid w:val="00BF15AA"/>
    <w:rsid w:val="00BF2502"/>
    <w:rsid w:val="00BF384C"/>
    <w:rsid w:val="00BF39C3"/>
    <w:rsid w:val="00BF4AE6"/>
    <w:rsid w:val="00BF4F38"/>
    <w:rsid w:val="00BF5897"/>
    <w:rsid w:val="00BF6A66"/>
    <w:rsid w:val="00BF7328"/>
    <w:rsid w:val="00C00871"/>
    <w:rsid w:val="00C01A5B"/>
    <w:rsid w:val="00C0322A"/>
    <w:rsid w:val="00C0341F"/>
    <w:rsid w:val="00C04482"/>
    <w:rsid w:val="00C04754"/>
    <w:rsid w:val="00C049C4"/>
    <w:rsid w:val="00C05CAA"/>
    <w:rsid w:val="00C06703"/>
    <w:rsid w:val="00C06DEA"/>
    <w:rsid w:val="00C10C15"/>
    <w:rsid w:val="00C10C63"/>
    <w:rsid w:val="00C11196"/>
    <w:rsid w:val="00C122A8"/>
    <w:rsid w:val="00C1264A"/>
    <w:rsid w:val="00C126C9"/>
    <w:rsid w:val="00C134D8"/>
    <w:rsid w:val="00C13A4B"/>
    <w:rsid w:val="00C13D0B"/>
    <w:rsid w:val="00C14D5E"/>
    <w:rsid w:val="00C14D78"/>
    <w:rsid w:val="00C152E0"/>
    <w:rsid w:val="00C1583C"/>
    <w:rsid w:val="00C15A87"/>
    <w:rsid w:val="00C1629C"/>
    <w:rsid w:val="00C164C1"/>
    <w:rsid w:val="00C167C2"/>
    <w:rsid w:val="00C1714B"/>
    <w:rsid w:val="00C17A2C"/>
    <w:rsid w:val="00C200F3"/>
    <w:rsid w:val="00C209CE"/>
    <w:rsid w:val="00C20ABF"/>
    <w:rsid w:val="00C21C18"/>
    <w:rsid w:val="00C22278"/>
    <w:rsid w:val="00C22637"/>
    <w:rsid w:val="00C22AF2"/>
    <w:rsid w:val="00C22C9A"/>
    <w:rsid w:val="00C23351"/>
    <w:rsid w:val="00C23A2C"/>
    <w:rsid w:val="00C23A92"/>
    <w:rsid w:val="00C23D1F"/>
    <w:rsid w:val="00C23D60"/>
    <w:rsid w:val="00C23E57"/>
    <w:rsid w:val="00C24257"/>
    <w:rsid w:val="00C24973"/>
    <w:rsid w:val="00C24A34"/>
    <w:rsid w:val="00C258E8"/>
    <w:rsid w:val="00C259BE"/>
    <w:rsid w:val="00C2743B"/>
    <w:rsid w:val="00C2764C"/>
    <w:rsid w:val="00C27694"/>
    <w:rsid w:val="00C27E7A"/>
    <w:rsid w:val="00C27F56"/>
    <w:rsid w:val="00C30928"/>
    <w:rsid w:val="00C30D09"/>
    <w:rsid w:val="00C30DB3"/>
    <w:rsid w:val="00C316E4"/>
    <w:rsid w:val="00C31A29"/>
    <w:rsid w:val="00C328E4"/>
    <w:rsid w:val="00C33E7E"/>
    <w:rsid w:val="00C35294"/>
    <w:rsid w:val="00C35747"/>
    <w:rsid w:val="00C35C94"/>
    <w:rsid w:val="00C35CB8"/>
    <w:rsid w:val="00C35CD5"/>
    <w:rsid w:val="00C35D09"/>
    <w:rsid w:val="00C365EF"/>
    <w:rsid w:val="00C376BD"/>
    <w:rsid w:val="00C378D9"/>
    <w:rsid w:val="00C37ECC"/>
    <w:rsid w:val="00C4040B"/>
    <w:rsid w:val="00C41FE6"/>
    <w:rsid w:val="00C420D9"/>
    <w:rsid w:val="00C421FE"/>
    <w:rsid w:val="00C42826"/>
    <w:rsid w:val="00C431E2"/>
    <w:rsid w:val="00C432B4"/>
    <w:rsid w:val="00C443FA"/>
    <w:rsid w:val="00C4457E"/>
    <w:rsid w:val="00C451CF"/>
    <w:rsid w:val="00C453A3"/>
    <w:rsid w:val="00C45421"/>
    <w:rsid w:val="00C4571A"/>
    <w:rsid w:val="00C45AFB"/>
    <w:rsid w:val="00C45E17"/>
    <w:rsid w:val="00C4692B"/>
    <w:rsid w:val="00C46B8F"/>
    <w:rsid w:val="00C4749D"/>
    <w:rsid w:val="00C506C5"/>
    <w:rsid w:val="00C50A21"/>
    <w:rsid w:val="00C50F1C"/>
    <w:rsid w:val="00C510E0"/>
    <w:rsid w:val="00C5161F"/>
    <w:rsid w:val="00C517AB"/>
    <w:rsid w:val="00C528A8"/>
    <w:rsid w:val="00C528BF"/>
    <w:rsid w:val="00C53979"/>
    <w:rsid w:val="00C53E30"/>
    <w:rsid w:val="00C54015"/>
    <w:rsid w:val="00C54468"/>
    <w:rsid w:val="00C5549B"/>
    <w:rsid w:val="00C55EAE"/>
    <w:rsid w:val="00C563D1"/>
    <w:rsid w:val="00C56488"/>
    <w:rsid w:val="00C57BF2"/>
    <w:rsid w:val="00C600E3"/>
    <w:rsid w:val="00C61120"/>
    <w:rsid w:val="00C61F13"/>
    <w:rsid w:val="00C62C0D"/>
    <w:rsid w:val="00C64A02"/>
    <w:rsid w:val="00C654A1"/>
    <w:rsid w:val="00C664D1"/>
    <w:rsid w:val="00C66A17"/>
    <w:rsid w:val="00C6789A"/>
    <w:rsid w:val="00C67AB4"/>
    <w:rsid w:val="00C67D58"/>
    <w:rsid w:val="00C71490"/>
    <w:rsid w:val="00C71BBA"/>
    <w:rsid w:val="00C71EA0"/>
    <w:rsid w:val="00C720FE"/>
    <w:rsid w:val="00C7217B"/>
    <w:rsid w:val="00C72B4C"/>
    <w:rsid w:val="00C72CDC"/>
    <w:rsid w:val="00C73D0C"/>
    <w:rsid w:val="00C7420F"/>
    <w:rsid w:val="00C7438E"/>
    <w:rsid w:val="00C74569"/>
    <w:rsid w:val="00C74D37"/>
    <w:rsid w:val="00C75203"/>
    <w:rsid w:val="00C767DE"/>
    <w:rsid w:val="00C772C1"/>
    <w:rsid w:val="00C776A0"/>
    <w:rsid w:val="00C8076D"/>
    <w:rsid w:val="00C81359"/>
    <w:rsid w:val="00C81CD9"/>
    <w:rsid w:val="00C820A7"/>
    <w:rsid w:val="00C828E4"/>
    <w:rsid w:val="00C84157"/>
    <w:rsid w:val="00C845D6"/>
    <w:rsid w:val="00C84A10"/>
    <w:rsid w:val="00C84EFA"/>
    <w:rsid w:val="00C85639"/>
    <w:rsid w:val="00C85F4E"/>
    <w:rsid w:val="00C8604E"/>
    <w:rsid w:val="00C8669C"/>
    <w:rsid w:val="00C8769B"/>
    <w:rsid w:val="00C90019"/>
    <w:rsid w:val="00C901A2"/>
    <w:rsid w:val="00C90D01"/>
    <w:rsid w:val="00C929CD"/>
    <w:rsid w:val="00C92E9E"/>
    <w:rsid w:val="00C930F9"/>
    <w:rsid w:val="00C93B3C"/>
    <w:rsid w:val="00C93C88"/>
    <w:rsid w:val="00C940FF"/>
    <w:rsid w:val="00C94463"/>
    <w:rsid w:val="00C9513B"/>
    <w:rsid w:val="00C95D00"/>
    <w:rsid w:val="00C960B4"/>
    <w:rsid w:val="00C968B6"/>
    <w:rsid w:val="00C96A41"/>
    <w:rsid w:val="00C97364"/>
    <w:rsid w:val="00C97A84"/>
    <w:rsid w:val="00CA019F"/>
    <w:rsid w:val="00CA02B0"/>
    <w:rsid w:val="00CA064A"/>
    <w:rsid w:val="00CA0D24"/>
    <w:rsid w:val="00CA0D74"/>
    <w:rsid w:val="00CA123E"/>
    <w:rsid w:val="00CA1508"/>
    <w:rsid w:val="00CA1E0A"/>
    <w:rsid w:val="00CA1FAA"/>
    <w:rsid w:val="00CA3147"/>
    <w:rsid w:val="00CA3B9F"/>
    <w:rsid w:val="00CA4012"/>
    <w:rsid w:val="00CA42BB"/>
    <w:rsid w:val="00CA506E"/>
    <w:rsid w:val="00CA5187"/>
    <w:rsid w:val="00CA52A8"/>
    <w:rsid w:val="00CA602B"/>
    <w:rsid w:val="00CA64D6"/>
    <w:rsid w:val="00CA6609"/>
    <w:rsid w:val="00CA701F"/>
    <w:rsid w:val="00CA75B0"/>
    <w:rsid w:val="00CA7E85"/>
    <w:rsid w:val="00CB00E5"/>
    <w:rsid w:val="00CB00E9"/>
    <w:rsid w:val="00CB177C"/>
    <w:rsid w:val="00CB1BF6"/>
    <w:rsid w:val="00CB2485"/>
    <w:rsid w:val="00CB2931"/>
    <w:rsid w:val="00CB2BDB"/>
    <w:rsid w:val="00CB2E80"/>
    <w:rsid w:val="00CB38FC"/>
    <w:rsid w:val="00CB41E6"/>
    <w:rsid w:val="00CB4B19"/>
    <w:rsid w:val="00CB4B1C"/>
    <w:rsid w:val="00CB5597"/>
    <w:rsid w:val="00CB58A1"/>
    <w:rsid w:val="00CB594B"/>
    <w:rsid w:val="00CB6540"/>
    <w:rsid w:val="00CB758B"/>
    <w:rsid w:val="00CB7A1D"/>
    <w:rsid w:val="00CC0F37"/>
    <w:rsid w:val="00CC0F38"/>
    <w:rsid w:val="00CC134A"/>
    <w:rsid w:val="00CC176D"/>
    <w:rsid w:val="00CC3B91"/>
    <w:rsid w:val="00CC3CD3"/>
    <w:rsid w:val="00CC3ECC"/>
    <w:rsid w:val="00CC44D1"/>
    <w:rsid w:val="00CC554D"/>
    <w:rsid w:val="00CC5804"/>
    <w:rsid w:val="00CC5F37"/>
    <w:rsid w:val="00CC6659"/>
    <w:rsid w:val="00CC6A31"/>
    <w:rsid w:val="00CC7304"/>
    <w:rsid w:val="00CC7C20"/>
    <w:rsid w:val="00CD0367"/>
    <w:rsid w:val="00CD084A"/>
    <w:rsid w:val="00CD0C79"/>
    <w:rsid w:val="00CD106D"/>
    <w:rsid w:val="00CD1817"/>
    <w:rsid w:val="00CD2372"/>
    <w:rsid w:val="00CD27F1"/>
    <w:rsid w:val="00CD2F28"/>
    <w:rsid w:val="00CD3609"/>
    <w:rsid w:val="00CD361C"/>
    <w:rsid w:val="00CD3912"/>
    <w:rsid w:val="00CD4341"/>
    <w:rsid w:val="00CD48AC"/>
    <w:rsid w:val="00CD50EB"/>
    <w:rsid w:val="00CD531D"/>
    <w:rsid w:val="00CD572C"/>
    <w:rsid w:val="00CD6312"/>
    <w:rsid w:val="00CD6934"/>
    <w:rsid w:val="00CD7CA5"/>
    <w:rsid w:val="00CE0167"/>
    <w:rsid w:val="00CE0B8D"/>
    <w:rsid w:val="00CE0C18"/>
    <w:rsid w:val="00CE0C6D"/>
    <w:rsid w:val="00CE0EC1"/>
    <w:rsid w:val="00CE1457"/>
    <w:rsid w:val="00CE222A"/>
    <w:rsid w:val="00CE2514"/>
    <w:rsid w:val="00CE2DB0"/>
    <w:rsid w:val="00CE2DDA"/>
    <w:rsid w:val="00CE3208"/>
    <w:rsid w:val="00CE3227"/>
    <w:rsid w:val="00CE3613"/>
    <w:rsid w:val="00CE372E"/>
    <w:rsid w:val="00CE3B80"/>
    <w:rsid w:val="00CE3D18"/>
    <w:rsid w:val="00CE46B7"/>
    <w:rsid w:val="00CE5645"/>
    <w:rsid w:val="00CE5C56"/>
    <w:rsid w:val="00CE79D0"/>
    <w:rsid w:val="00CF03CC"/>
    <w:rsid w:val="00CF0B2F"/>
    <w:rsid w:val="00CF2287"/>
    <w:rsid w:val="00CF299F"/>
    <w:rsid w:val="00CF29DE"/>
    <w:rsid w:val="00CF2E05"/>
    <w:rsid w:val="00CF314A"/>
    <w:rsid w:val="00CF3612"/>
    <w:rsid w:val="00CF39C8"/>
    <w:rsid w:val="00CF3BC3"/>
    <w:rsid w:val="00CF43CB"/>
    <w:rsid w:val="00CF5EE5"/>
    <w:rsid w:val="00CF60DE"/>
    <w:rsid w:val="00CF641B"/>
    <w:rsid w:val="00CF6537"/>
    <w:rsid w:val="00CF7916"/>
    <w:rsid w:val="00CF7987"/>
    <w:rsid w:val="00CF7B46"/>
    <w:rsid w:val="00D00543"/>
    <w:rsid w:val="00D00A83"/>
    <w:rsid w:val="00D0170F"/>
    <w:rsid w:val="00D018DC"/>
    <w:rsid w:val="00D02D25"/>
    <w:rsid w:val="00D03CDF"/>
    <w:rsid w:val="00D04C0F"/>
    <w:rsid w:val="00D04F68"/>
    <w:rsid w:val="00D0535C"/>
    <w:rsid w:val="00D057A5"/>
    <w:rsid w:val="00D06546"/>
    <w:rsid w:val="00D1014A"/>
    <w:rsid w:val="00D101C5"/>
    <w:rsid w:val="00D10393"/>
    <w:rsid w:val="00D10F06"/>
    <w:rsid w:val="00D11459"/>
    <w:rsid w:val="00D1301C"/>
    <w:rsid w:val="00D13570"/>
    <w:rsid w:val="00D141A9"/>
    <w:rsid w:val="00D1461D"/>
    <w:rsid w:val="00D14AA0"/>
    <w:rsid w:val="00D14DEE"/>
    <w:rsid w:val="00D1571C"/>
    <w:rsid w:val="00D16112"/>
    <w:rsid w:val="00D1630B"/>
    <w:rsid w:val="00D16433"/>
    <w:rsid w:val="00D16873"/>
    <w:rsid w:val="00D16B7B"/>
    <w:rsid w:val="00D171A6"/>
    <w:rsid w:val="00D17696"/>
    <w:rsid w:val="00D2044D"/>
    <w:rsid w:val="00D20840"/>
    <w:rsid w:val="00D20906"/>
    <w:rsid w:val="00D20909"/>
    <w:rsid w:val="00D20976"/>
    <w:rsid w:val="00D20A5F"/>
    <w:rsid w:val="00D20A67"/>
    <w:rsid w:val="00D22218"/>
    <w:rsid w:val="00D228C9"/>
    <w:rsid w:val="00D22AAF"/>
    <w:rsid w:val="00D22FCD"/>
    <w:rsid w:val="00D230C2"/>
    <w:rsid w:val="00D23770"/>
    <w:rsid w:val="00D23D01"/>
    <w:rsid w:val="00D23DB2"/>
    <w:rsid w:val="00D24B83"/>
    <w:rsid w:val="00D25E09"/>
    <w:rsid w:val="00D260D9"/>
    <w:rsid w:val="00D267A6"/>
    <w:rsid w:val="00D275FC"/>
    <w:rsid w:val="00D27DA2"/>
    <w:rsid w:val="00D3074A"/>
    <w:rsid w:val="00D30AD1"/>
    <w:rsid w:val="00D33D2C"/>
    <w:rsid w:val="00D33F79"/>
    <w:rsid w:val="00D34158"/>
    <w:rsid w:val="00D3435B"/>
    <w:rsid w:val="00D352BA"/>
    <w:rsid w:val="00D3554E"/>
    <w:rsid w:val="00D36614"/>
    <w:rsid w:val="00D36723"/>
    <w:rsid w:val="00D367F7"/>
    <w:rsid w:val="00D36A01"/>
    <w:rsid w:val="00D37320"/>
    <w:rsid w:val="00D37452"/>
    <w:rsid w:val="00D37CC8"/>
    <w:rsid w:val="00D37ECA"/>
    <w:rsid w:val="00D404A6"/>
    <w:rsid w:val="00D407BE"/>
    <w:rsid w:val="00D40A3D"/>
    <w:rsid w:val="00D40A83"/>
    <w:rsid w:val="00D40FAD"/>
    <w:rsid w:val="00D41434"/>
    <w:rsid w:val="00D4193A"/>
    <w:rsid w:val="00D41A85"/>
    <w:rsid w:val="00D425A0"/>
    <w:rsid w:val="00D42607"/>
    <w:rsid w:val="00D43113"/>
    <w:rsid w:val="00D4323A"/>
    <w:rsid w:val="00D4325E"/>
    <w:rsid w:val="00D43C39"/>
    <w:rsid w:val="00D4471D"/>
    <w:rsid w:val="00D4561C"/>
    <w:rsid w:val="00D460A2"/>
    <w:rsid w:val="00D468A2"/>
    <w:rsid w:val="00D46FF0"/>
    <w:rsid w:val="00D47212"/>
    <w:rsid w:val="00D4774A"/>
    <w:rsid w:val="00D47DA5"/>
    <w:rsid w:val="00D47F0B"/>
    <w:rsid w:val="00D50268"/>
    <w:rsid w:val="00D5055A"/>
    <w:rsid w:val="00D505A9"/>
    <w:rsid w:val="00D508D2"/>
    <w:rsid w:val="00D50F45"/>
    <w:rsid w:val="00D515B7"/>
    <w:rsid w:val="00D51AEC"/>
    <w:rsid w:val="00D51C95"/>
    <w:rsid w:val="00D52182"/>
    <w:rsid w:val="00D52C74"/>
    <w:rsid w:val="00D53BE8"/>
    <w:rsid w:val="00D53E6C"/>
    <w:rsid w:val="00D53EF5"/>
    <w:rsid w:val="00D53F7B"/>
    <w:rsid w:val="00D53FD6"/>
    <w:rsid w:val="00D55517"/>
    <w:rsid w:val="00D55DB5"/>
    <w:rsid w:val="00D569E9"/>
    <w:rsid w:val="00D56C44"/>
    <w:rsid w:val="00D574A0"/>
    <w:rsid w:val="00D57CCB"/>
    <w:rsid w:val="00D57D26"/>
    <w:rsid w:val="00D60D67"/>
    <w:rsid w:val="00D61888"/>
    <w:rsid w:val="00D619BB"/>
    <w:rsid w:val="00D62A0F"/>
    <w:rsid w:val="00D62E6B"/>
    <w:rsid w:val="00D62E82"/>
    <w:rsid w:val="00D64E07"/>
    <w:rsid w:val="00D65198"/>
    <w:rsid w:val="00D651E4"/>
    <w:rsid w:val="00D65E15"/>
    <w:rsid w:val="00D65E23"/>
    <w:rsid w:val="00D661B6"/>
    <w:rsid w:val="00D66503"/>
    <w:rsid w:val="00D66AC3"/>
    <w:rsid w:val="00D70541"/>
    <w:rsid w:val="00D71079"/>
    <w:rsid w:val="00D71482"/>
    <w:rsid w:val="00D7186E"/>
    <w:rsid w:val="00D72C5C"/>
    <w:rsid w:val="00D72E55"/>
    <w:rsid w:val="00D72E9F"/>
    <w:rsid w:val="00D73D79"/>
    <w:rsid w:val="00D740A5"/>
    <w:rsid w:val="00D74BAA"/>
    <w:rsid w:val="00D75AC8"/>
    <w:rsid w:val="00D75D42"/>
    <w:rsid w:val="00D77490"/>
    <w:rsid w:val="00D809B9"/>
    <w:rsid w:val="00D8147F"/>
    <w:rsid w:val="00D817EC"/>
    <w:rsid w:val="00D81AA4"/>
    <w:rsid w:val="00D81B83"/>
    <w:rsid w:val="00D81C91"/>
    <w:rsid w:val="00D81E71"/>
    <w:rsid w:val="00D82930"/>
    <w:rsid w:val="00D83A1F"/>
    <w:rsid w:val="00D840FE"/>
    <w:rsid w:val="00D844FD"/>
    <w:rsid w:val="00D84901"/>
    <w:rsid w:val="00D84E11"/>
    <w:rsid w:val="00D8524D"/>
    <w:rsid w:val="00D855AD"/>
    <w:rsid w:val="00D86110"/>
    <w:rsid w:val="00D864FB"/>
    <w:rsid w:val="00D86789"/>
    <w:rsid w:val="00D868A2"/>
    <w:rsid w:val="00D86ED3"/>
    <w:rsid w:val="00D87369"/>
    <w:rsid w:val="00D87B2E"/>
    <w:rsid w:val="00D87DA7"/>
    <w:rsid w:val="00D900C5"/>
    <w:rsid w:val="00D9047F"/>
    <w:rsid w:val="00D90DAF"/>
    <w:rsid w:val="00D90FC5"/>
    <w:rsid w:val="00D91084"/>
    <w:rsid w:val="00D91568"/>
    <w:rsid w:val="00D91D64"/>
    <w:rsid w:val="00D929FA"/>
    <w:rsid w:val="00D92B55"/>
    <w:rsid w:val="00D92BE0"/>
    <w:rsid w:val="00D93371"/>
    <w:rsid w:val="00D939F7"/>
    <w:rsid w:val="00D949DD"/>
    <w:rsid w:val="00D9530D"/>
    <w:rsid w:val="00D954AB"/>
    <w:rsid w:val="00D95715"/>
    <w:rsid w:val="00D95892"/>
    <w:rsid w:val="00D95DF2"/>
    <w:rsid w:val="00D96208"/>
    <w:rsid w:val="00D96258"/>
    <w:rsid w:val="00D9665D"/>
    <w:rsid w:val="00D97149"/>
    <w:rsid w:val="00D974EB"/>
    <w:rsid w:val="00DA0540"/>
    <w:rsid w:val="00DA0B5B"/>
    <w:rsid w:val="00DA1B1E"/>
    <w:rsid w:val="00DA21C6"/>
    <w:rsid w:val="00DA2392"/>
    <w:rsid w:val="00DA246C"/>
    <w:rsid w:val="00DA2B3A"/>
    <w:rsid w:val="00DA47EF"/>
    <w:rsid w:val="00DA5210"/>
    <w:rsid w:val="00DA5E04"/>
    <w:rsid w:val="00DA5FDA"/>
    <w:rsid w:val="00DA68D1"/>
    <w:rsid w:val="00DA6AA2"/>
    <w:rsid w:val="00DA6B33"/>
    <w:rsid w:val="00DA6EDF"/>
    <w:rsid w:val="00DA7B26"/>
    <w:rsid w:val="00DA7F70"/>
    <w:rsid w:val="00DB1C90"/>
    <w:rsid w:val="00DB426A"/>
    <w:rsid w:val="00DB5696"/>
    <w:rsid w:val="00DB66E9"/>
    <w:rsid w:val="00DB774C"/>
    <w:rsid w:val="00DB7DC6"/>
    <w:rsid w:val="00DC0746"/>
    <w:rsid w:val="00DC1009"/>
    <w:rsid w:val="00DC2EC0"/>
    <w:rsid w:val="00DC2F56"/>
    <w:rsid w:val="00DC39AB"/>
    <w:rsid w:val="00DC3B43"/>
    <w:rsid w:val="00DC3DF7"/>
    <w:rsid w:val="00DC4770"/>
    <w:rsid w:val="00DC547C"/>
    <w:rsid w:val="00DC5D4E"/>
    <w:rsid w:val="00DC5F55"/>
    <w:rsid w:val="00DC6225"/>
    <w:rsid w:val="00DC63B4"/>
    <w:rsid w:val="00DC74E4"/>
    <w:rsid w:val="00DD0984"/>
    <w:rsid w:val="00DD10B7"/>
    <w:rsid w:val="00DD171B"/>
    <w:rsid w:val="00DD1B44"/>
    <w:rsid w:val="00DD2144"/>
    <w:rsid w:val="00DD26A5"/>
    <w:rsid w:val="00DD34F9"/>
    <w:rsid w:val="00DD38BC"/>
    <w:rsid w:val="00DD3908"/>
    <w:rsid w:val="00DD3BCA"/>
    <w:rsid w:val="00DD407F"/>
    <w:rsid w:val="00DD44FD"/>
    <w:rsid w:val="00DD47A5"/>
    <w:rsid w:val="00DD4CF8"/>
    <w:rsid w:val="00DD5C7C"/>
    <w:rsid w:val="00DD5D99"/>
    <w:rsid w:val="00DD5E77"/>
    <w:rsid w:val="00DD66AA"/>
    <w:rsid w:val="00DD72B2"/>
    <w:rsid w:val="00DD77FB"/>
    <w:rsid w:val="00DE0605"/>
    <w:rsid w:val="00DE0A96"/>
    <w:rsid w:val="00DE1116"/>
    <w:rsid w:val="00DE186C"/>
    <w:rsid w:val="00DE1C64"/>
    <w:rsid w:val="00DE1CBC"/>
    <w:rsid w:val="00DE248D"/>
    <w:rsid w:val="00DE2E24"/>
    <w:rsid w:val="00DE3AD6"/>
    <w:rsid w:val="00DE3C0C"/>
    <w:rsid w:val="00DE4771"/>
    <w:rsid w:val="00DE4B73"/>
    <w:rsid w:val="00DE71A5"/>
    <w:rsid w:val="00DF0E0F"/>
    <w:rsid w:val="00DF12A4"/>
    <w:rsid w:val="00DF12CE"/>
    <w:rsid w:val="00DF1801"/>
    <w:rsid w:val="00DF277C"/>
    <w:rsid w:val="00DF2A68"/>
    <w:rsid w:val="00DF6589"/>
    <w:rsid w:val="00DF7081"/>
    <w:rsid w:val="00DF77A9"/>
    <w:rsid w:val="00DF786D"/>
    <w:rsid w:val="00DF7CDC"/>
    <w:rsid w:val="00E005E4"/>
    <w:rsid w:val="00E015EF"/>
    <w:rsid w:val="00E01C96"/>
    <w:rsid w:val="00E0308F"/>
    <w:rsid w:val="00E044D3"/>
    <w:rsid w:val="00E04538"/>
    <w:rsid w:val="00E04C85"/>
    <w:rsid w:val="00E05094"/>
    <w:rsid w:val="00E050F5"/>
    <w:rsid w:val="00E0556F"/>
    <w:rsid w:val="00E06189"/>
    <w:rsid w:val="00E065C6"/>
    <w:rsid w:val="00E0687B"/>
    <w:rsid w:val="00E076CA"/>
    <w:rsid w:val="00E07D35"/>
    <w:rsid w:val="00E106F8"/>
    <w:rsid w:val="00E10A41"/>
    <w:rsid w:val="00E112EC"/>
    <w:rsid w:val="00E120E8"/>
    <w:rsid w:val="00E126BD"/>
    <w:rsid w:val="00E12F25"/>
    <w:rsid w:val="00E14371"/>
    <w:rsid w:val="00E1437C"/>
    <w:rsid w:val="00E158E3"/>
    <w:rsid w:val="00E16450"/>
    <w:rsid w:val="00E17362"/>
    <w:rsid w:val="00E175B7"/>
    <w:rsid w:val="00E201DA"/>
    <w:rsid w:val="00E2032A"/>
    <w:rsid w:val="00E20447"/>
    <w:rsid w:val="00E20B05"/>
    <w:rsid w:val="00E20F90"/>
    <w:rsid w:val="00E215BA"/>
    <w:rsid w:val="00E2288F"/>
    <w:rsid w:val="00E22FEE"/>
    <w:rsid w:val="00E236AD"/>
    <w:rsid w:val="00E236E6"/>
    <w:rsid w:val="00E24235"/>
    <w:rsid w:val="00E246BC"/>
    <w:rsid w:val="00E246BE"/>
    <w:rsid w:val="00E2543E"/>
    <w:rsid w:val="00E256A8"/>
    <w:rsid w:val="00E25C67"/>
    <w:rsid w:val="00E25CB1"/>
    <w:rsid w:val="00E2677F"/>
    <w:rsid w:val="00E275BA"/>
    <w:rsid w:val="00E27623"/>
    <w:rsid w:val="00E3031A"/>
    <w:rsid w:val="00E306ED"/>
    <w:rsid w:val="00E30D8A"/>
    <w:rsid w:val="00E31116"/>
    <w:rsid w:val="00E31141"/>
    <w:rsid w:val="00E31622"/>
    <w:rsid w:val="00E316FE"/>
    <w:rsid w:val="00E3179D"/>
    <w:rsid w:val="00E31CE3"/>
    <w:rsid w:val="00E31E4B"/>
    <w:rsid w:val="00E32A7D"/>
    <w:rsid w:val="00E33099"/>
    <w:rsid w:val="00E33B69"/>
    <w:rsid w:val="00E33D3A"/>
    <w:rsid w:val="00E3449C"/>
    <w:rsid w:val="00E34887"/>
    <w:rsid w:val="00E352A3"/>
    <w:rsid w:val="00E3535C"/>
    <w:rsid w:val="00E35498"/>
    <w:rsid w:val="00E354A6"/>
    <w:rsid w:val="00E35CB2"/>
    <w:rsid w:val="00E36FB5"/>
    <w:rsid w:val="00E37607"/>
    <w:rsid w:val="00E37BDD"/>
    <w:rsid w:val="00E37C02"/>
    <w:rsid w:val="00E4036A"/>
    <w:rsid w:val="00E41658"/>
    <w:rsid w:val="00E41E13"/>
    <w:rsid w:val="00E42197"/>
    <w:rsid w:val="00E42CAF"/>
    <w:rsid w:val="00E43B8A"/>
    <w:rsid w:val="00E447AE"/>
    <w:rsid w:val="00E4481A"/>
    <w:rsid w:val="00E44CAB"/>
    <w:rsid w:val="00E45BE8"/>
    <w:rsid w:val="00E45C1C"/>
    <w:rsid w:val="00E466FA"/>
    <w:rsid w:val="00E506AA"/>
    <w:rsid w:val="00E50C7F"/>
    <w:rsid w:val="00E510A1"/>
    <w:rsid w:val="00E5151D"/>
    <w:rsid w:val="00E51A8D"/>
    <w:rsid w:val="00E523FA"/>
    <w:rsid w:val="00E525D8"/>
    <w:rsid w:val="00E55563"/>
    <w:rsid w:val="00E55589"/>
    <w:rsid w:val="00E55F25"/>
    <w:rsid w:val="00E56D80"/>
    <w:rsid w:val="00E60934"/>
    <w:rsid w:val="00E60963"/>
    <w:rsid w:val="00E60B77"/>
    <w:rsid w:val="00E6124F"/>
    <w:rsid w:val="00E615A1"/>
    <w:rsid w:val="00E61797"/>
    <w:rsid w:val="00E62479"/>
    <w:rsid w:val="00E6279E"/>
    <w:rsid w:val="00E63310"/>
    <w:rsid w:val="00E634EE"/>
    <w:rsid w:val="00E63565"/>
    <w:rsid w:val="00E647B3"/>
    <w:rsid w:val="00E64A87"/>
    <w:rsid w:val="00E64F48"/>
    <w:rsid w:val="00E64FD0"/>
    <w:rsid w:val="00E657B8"/>
    <w:rsid w:val="00E66217"/>
    <w:rsid w:val="00E663C2"/>
    <w:rsid w:val="00E66AA2"/>
    <w:rsid w:val="00E670A9"/>
    <w:rsid w:val="00E67147"/>
    <w:rsid w:val="00E672FF"/>
    <w:rsid w:val="00E676C6"/>
    <w:rsid w:val="00E67C76"/>
    <w:rsid w:val="00E70015"/>
    <w:rsid w:val="00E7034F"/>
    <w:rsid w:val="00E70BF2"/>
    <w:rsid w:val="00E7179A"/>
    <w:rsid w:val="00E71837"/>
    <w:rsid w:val="00E722C3"/>
    <w:rsid w:val="00E731E8"/>
    <w:rsid w:val="00E73603"/>
    <w:rsid w:val="00E73CA0"/>
    <w:rsid w:val="00E74221"/>
    <w:rsid w:val="00E75345"/>
    <w:rsid w:val="00E7546D"/>
    <w:rsid w:val="00E761ED"/>
    <w:rsid w:val="00E762BA"/>
    <w:rsid w:val="00E76386"/>
    <w:rsid w:val="00E7690D"/>
    <w:rsid w:val="00E76973"/>
    <w:rsid w:val="00E76DF5"/>
    <w:rsid w:val="00E77A3C"/>
    <w:rsid w:val="00E77F17"/>
    <w:rsid w:val="00E8165C"/>
    <w:rsid w:val="00E818CB"/>
    <w:rsid w:val="00E81A7C"/>
    <w:rsid w:val="00E81E6D"/>
    <w:rsid w:val="00E821E1"/>
    <w:rsid w:val="00E83293"/>
    <w:rsid w:val="00E8337C"/>
    <w:rsid w:val="00E83558"/>
    <w:rsid w:val="00E83E94"/>
    <w:rsid w:val="00E8405A"/>
    <w:rsid w:val="00E8481A"/>
    <w:rsid w:val="00E85508"/>
    <w:rsid w:val="00E8577F"/>
    <w:rsid w:val="00E85F1C"/>
    <w:rsid w:val="00E86027"/>
    <w:rsid w:val="00E86C6E"/>
    <w:rsid w:val="00E86CBA"/>
    <w:rsid w:val="00E87243"/>
    <w:rsid w:val="00E875DC"/>
    <w:rsid w:val="00E90590"/>
    <w:rsid w:val="00E90BA9"/>
    <w:rsid w:val="00E90E4D"/>
    <w:rsid w:val="00E91436"/>
    <w:rsid w:val="00E91588"/>
    <w:rsid w:val="00E915FD"/>
    <w:rsid w:val="00E91695"/>
    <w:rsid w:val="00E91D16"/>
    <w:rsid w:val="00E91E7C"/>
    <w:rsid w:val="00E92CB7"/>
    <w:rsid w:val="00E9344C"/>
    <w:rsid w:val="00E936AE"/>
    <w:rsid w:val="00E93834"/>
    <w:rsid w:val="00E93AA8"/>
    <w:rsid w:val="00E94E43"/>
    <w:rsid w:val="00E9574B"/>
    <w:rsid w:val="00E957B5"/>
    <w:rsid w:val="00E95831"/>
    <w:rsid w:val="00E95A3F"/>
    <w:rsid w:val="00E95C30"/>
    <w:rsid w:val="00E96190"/>
    <w:rsid w:val="00E97052"/>
    <w:rsid w:val="00EA0147"/>
    <w:rsid w:val="00EA08B9"/>
    <w:rsid w:val="00EA0B25"/>
    <w:rsid w:val="00EA0FFA"/>
    <w:rsid w:val="00EA1215"/>
    <w:rsid w:val="00EA1520"/>
    <w:rsid w:val="00EA19F8"/>
    <w:rsid w:val="00EA2426"/>
    <w:rsid w:val="00EA2470"/>
    <w:rsid w:val="00EA2E4A"/>
    <w:rsid w:val="00EA31AF"/>
    <w:rsid w:val="00EA31DF"/>
    <w:rsid w:val="00EA3C79"/>
    <w:rsid w:val="00EA4299"/>
    <w:rsid w:val="00EA4381"/>
    <w:rsid w:val="00EA47F7"/>
    <w:rsid w:val="00EA4BA7"/>
    <w:rsid w:val="00EA5835"/>
    <w:rsid w:val="00EA5B05"/>
    <w:rsid w:val="00EA6CCB"/>
    <w:rsid w:val="00EA7BC2"/>
    <w:rsid w:val="00EB058E"/>
    <w:rsid w:val="00EB2111"/>
    <w:rsid w:val="00EB3153"/>
    <w:rsid w:val="00EB3CC6"/>
    <w:rsid w:val="00EB42D7"/>
    <w:rsid w:val="00EB4669"/>
    <w:rsid w:val="00EB4744"/>
    <w:rsid w:val="00EB5184"/>
    <w:rsid w:val="00EB5AB3"/>
    <w:rsid w:val="00EB6146"/>
    <w:rsid w:val="00EB61DD"/>
    <w:rsid w:val="00EB640A"/>
    <w:rsid w:val="00EB6EAD"/>
    <w:rsid w:val="00EB6EE4"/>
    <w:rsid w:val="00EB761D"/>
    <w:rsid w:val="00EB7787"/>
    <w:rsid w:val="00EB790F"/>
    <w:rsid w:val="00EC0301"/>
    <w:rsid w:val="00EC0EA6"/>
    <w:rsid w:val="00EC1476"/>
    <w:rsid w:val="00EC1B16"/>
    <w:rsid w:val="00EC2057"/>
    <w:rsid w:val="00EC418F"/>
    <w:rsid w:val="00EC4608"/>
    <w:rsid w:val="00EC51DF"/>
    <w:rsid w:val="00EC5E31"/>
    <w:rsid w:val="00EC600C"/>
    <w:rsid w:val="00EC6613"/>
    <w:rsid w:val="00ED0071"/>
    <w:rsid w:val="00ED01E2"/>
    <w:rsid w:val="00ED1ED9"/>
    <w:rsid w:val="00ED2001"/>
    <w:rsid w:val="00ED250F"/>
    <w:rsid w:val="00ED26A1"/>
    <w:rsid w:val="00ED2846"/>
    <w:rsid w:val="00ED358F"/>
    <w:rsid w:val="00ED364D"/>
    <w:rsid w:val="00ED48DE"/>
    <w:rsid w:val="00ED4939"/>
    <w:rsid w:val="00ED620D"/>
    <w:rsid w:val="00ED7548"/>
    <w:rsid w:val="00ED7787"/>
    <w:rsid w:val="00ED7944"/>
    <w:rsid w:val="00EE0038"/>
    <w:rsid w:val="00EE0C82"/>
    <w:rsid w:val="00EE12C6"/>
    <w:rsid w:val="00EE163B"/>
    <w:rsid w:val="00EE1744"/>
    <w:rsid w:val="00EE1D4A"/>
    <w:rsid w:val="00EE265B"/>
    <w:rsid w:val="00EE3273"/>
    <w:rsid w:val="00EE3A70"/>
    <w:rsid w:val="00EE3B76"/>
    <w:rsid w:val="00EE55CC"/>
    <w:rsid w:val="00EE5F5C"/>
    <w:rsid w:val="00EE6478"/>
    <w:rsid w:val="00EE6FF7"/>
    <w:rsid w:val="00EE7969"/>
    <w:rsid w:val="00EE7A90"/>
    <w:rsid w:val="00EE7C2D"/>
    <w:rsid w:val="00EF0128"/>
    <w:rsid w:val="00EF21B2"/>
    <w:rsid w:val="00EF36F3"/>
    <w:rsid w:val="00EF4441"/>
    <w:rsid w:val="00EF4B64"/>
    <w:rsid w:val="00EF51C3"/>
    <w:rsid w:val="00EF5708"/>
    <w:rsid w:val="00EF5E77"/>
    <w:rsid w:val="00EF6799"/>
    <w:rsid w:val="00EF6C68"/>
    <w:rsid w:val="00EF6D26"/>
    <w:rsid w:val="00EF6D8A"/>
    <w:rsid w:val="00EF7381"/>
    <w:rsid w:val="00EF78F6"/>
    <w:rsid w:val="00EF7B3B"/>
    <w:rsid w:val="00F00E05"/>
    <w:rsid w:val="00F01209"/>
    <w:rsid w:val="00F015DD"/>
    <w:rsid w:val="00F01F02"/>
    <w:rsid w:val="00F0394A"/>
    <w:rsid w:val="00F04781"/>
    <w:rsid w:val="00F047C3"/>
    <w:rsid w:val="00F04B68"/>
    <w:rsid w:val="00F04C12"/>
    <w:rsid w:val="00F0567E"/>
    <w:rsid w:val="00F05B89"/>
    <w:rsid w:val="00F07106"/>
    <w:rsid w:val="00F074A6"/>
    <w:rsid w:val="00F076EB"/>
    <w:rsid w:val="00F0787A"/>
    <w:rsid w:val="00F07B98"/>
    <w:rsid w:val="00F10A45"/>
    <w:rsid w:val="00F10ED6"/>
    <w:rsid w:val="00F11079"/>
    <w:rsid w:val="00F12104"/>
    <w:rsid w:val="00F1215A"/>
    <w:rsid w:val="00F12630"/>
    <w:rsid w:val="00F12AFC"/>
    <w:rsid w:val="00F12BD5"/>
    <w:rsid w:val="00F12C6C"/>
    <w:rsid w:val="00F12E6C"/>
    <w:rsid w:val="00F130D7"/>
    <w:rsid w:val="00F13ACA"/>
    <w:rsid w:val="00F1440F"/>
    <w:rsid w:val="00F14780"/>
    <w:rsid w:val="00F14804"/>
    <w:rsid w:val="00F1559E"/>
    <w:rsid w:val="00F159E0"/>
    <w:rsid w:val="00F15DE7"/>
    <w:rsid w:val="00F15FAB"/>
    <w:rsid w:val="00F16137"/>
    <w:rsid w:val="00F161DB"/>
    <w:rsid w:val="00F168F6"/>
    <w:rsid w:val="00F17343"/>
    <w:rsid w:val="00F17516"/>
    <w:rsid w:val="00F1758C"/>
    <w:rsid w:val="00F175A1"/>
    <w:rsid w:val="00F175A8"/>
    <w:rsid w:val="00F17B67"/>
    <w:rsid w:val="00F205BC"/>
    <w:rsid w:val="00F20917"/>
    <w:rsid w:val="00F21807"/>
    <w:rsid w:val="00F21B77"/>
    <w:rsid w:val="00F21EF7"/>
    <w:rsid w:val="00F21F97"/>
    <w:rsid w:val="00F2295A"/>
    <w:rsid w:val="00F2304B"/>
    <w:rsid w:val="00F23229"/>
    <w:rsid w:val="00F23CC7"/>
    <w:rsid w:val="00F242DD"/>
    <w:rsid w:val="00F2449B"/>
    <w:rsid w:val="00F24A00"/>
    <w:rsid w:val="00F24F02"/>
    <w:rsid w:val="00F26465"/>
    <w:rsid w:val="00F26473"/>
    <w:rsid w:val="00F26D5F"/>
    <w:rsid w:val="00F2763C"/>
    <w:rsid w:val="00F27D2C"/>
    <w:rsid w:val="00F309A6"/>
    <w:rsid w:val="00F30FAE"/>
    <w:rsid w:val="00F31966"/>
    <w:rsid w:val="00F3198B"/>
    <w:rsid w:val="00F31D80"/>
    <w:rsid w:val="00F336ED"/>
    <w:rsid w:val="00F3392B"/>
    <w:rsid w:val="00F33C00"/>
    <w:rsid w:val="00F33C5B"/>
    <w:rsid w:val="00F341C6"/>
    <w:rsid w:val="00F34207"/>
    <w:rsid w:val="00F342B3"/>
    <w:rsid w:val="00F34410"/>
    <w:rsid w:val="00F3504F"/>
    <w:rsid w:val="00F35A0C"/>
    <w:rsid w:val="00F35A3A"/>
    <w:rsid w:val="00F3723D"/>
    <w:rsid w:val="00F3743B"/>
    <w:rsid w:val="00F37626"/>
    <w:rsid w:val="00F400CD"/>
    <w:rsid w:val="00F40544"/>
    <w:rsid w:val="00F40EED"/>
    <w:rsid w:val="00F4136C"/>
    <w:rsid w:val="00F4153A"/>
    <w:rsid w:val="00F41A55"/>
    <w:rsid w:val="00F43761"/>
    <w:rsid w:val="00F439B3"/>
    <w:rsid w:val="00F4421A"/>
    <w:rsid w:val="00F448A8"/>
    <w:rsid w:val="00F448E4"/>
    <w:rsid w:val="00F45EB4"/>
    <w:rsid w:val="00F46ACD"/>
    <w:rsid w:val="00F47075"/>
    <w:rsid w:val="00F475AF"/>
    <w:rsid w:val="00F47D56"/>
    <w:rsid w:val="00F47D6F"/>
    <w:rsid w:val="00F51421"/>
    <w:rsid w:val="00F51665"/>
    <w:rsid w:val="00F518F7"/>
    <w:rsid w:val="00F53587"/>
    <w:rsid w:val="00F5384F"/>
    <w:rsid w:val="00F53850"/>
    <w:rsid w:val="00F54B04"/>
    <w:rsid w:val="00F56874"/>
    <w:rsid w:val="00F56DAE"/>
    <w:rsid w:val="00F5725F"/>
    <w:rsid w:val="00F572E0"/>
    <w:rsid w:val="00F576B4"/>
    <w:rsid w:val="00F60170"/>
    <w:rsid w:val="00F609D4"/>
    <w:rsid w:val="00F61457"/>
    <w:rsid w:val="00F6183D"/>
    <w:rsid w:val="00F619E0"/>
    <w:rsid w:val="00F6207B"/>
    <w:rsid w:val="00F6216F"/>
    <w:rsid w:val="00F62D94"/>
    <w:rsid w:val="00F62E02"/>
    <w:rsid w:val="00F62F01"/>
    <w:rsid w:val="00F638B9"/>
    <w:rsid w:val="00F6572B"/>
    <w:rsid w:val="00F659BC"/>
    <w:rsid w:val="00F65C93"/>
    <w:rsid w:val="00F66726"/>
    <w:rsid w:val="00F66DC1"/>
    <w:rsid w:val="00F670B4"/>
    <w:rsid w:val="00F67736"/>
    <w:rsid w:val="00F679A0"/>
    <w:rsid w:val="00F70819"/>
    <w:rsid w:val="00F709B3"/>
    <w:rsid w:val="00F7161D"/>
    <w:rsid w:val="00F71849"/>
    <w:rsid w:val="00F71A64"/>
    <w:rsid w:val="00F71D7D"/>
    <w:rsid w:val="00F741CD"/>
    <w:rsid w:val="00F74BB8"/>
    <w:rsid w:val="00F7572B"/>
    <w:rsid w:val="00F75D92"/>
    <w:rsid w:val="00F761D5"/>
    <w:rsid w:val="00F76C58"/>
    <w:rsid w:val="00F76CF9"/>
    <w:rsid w:val="00F771C8"/>
    <w:rsid w:val="00F77583"/>
    <w:rsid w:val="00F80821"/>
    <w:rsid w:val="00F80C42"/>
    <w:rsid w:val="00F80D88"/>
    <w:rsid w:val="00F8116D"/>
    <w:rsid w:val="00F816E1"/>
    <w:rsid w:val="00F8300A"/>
    <w:rsid w:val="00F83812"/>
    <w:rsid w:val="00F83E4E"/>
    <w:rsid w:val="00F85CA4"/>
    <w:rsid w:val="00F85CD9"/>
    <w:rsid w:val="00F863CB"/>
    <w:rsid w:val="00F86B3A"/>
    <w:rsid w:val="00F86EE5"/>
    <w:rsid w:val="00F87729"/>
    <w:rsid w:val="00F87A69"/>
    <w:rsid w:val="00F90D3D"/>
    <w:rsid w:val="00F9174E"/>
    <w:rsid w:val="00F927E3"/>
    <w:rsid w:val="00F92911"/>
    <w:rsid w:val="00F93710"/>
    <w:rsid w:val="00F93FAB"/>
    <w:rsid w:val="00F93FFE"/>
    <w:rsid w:val="00F94148"/>
    <w:rsid w:val="00F9454D"/>
    <w:rsid w:val="00F94840"/>
    <w:rsid w:val="00F951F0"/>
    <w:rsid w:val="00F96939"/>
    <w:rsid w:val="00F96EA2"/>
    <w:rsid w:val="00F97A8A"/>
    <w:rsid w:val="00FA0073"/>
    <w:rsid w:val="00FA0194"/>
    <w:rsid w:val="00FA1A35"/>
    <w:rsid w:val="00FA1A68"/>
    <w:rsid w:val="00FA2407"/>
    <w:rsid w:val="00FA247A"/>
    <w:rsid w:val="00FA2535"/>
    <w:rsid w:val="00FA27A3"/>
    <w:rsid w:val="00FA27F9"/>
    <w:rsid w:val="00FA2B9B"/>
    <w:rsid w:val="00FA375A"/>
    <w:rsid w:val="00FA38F5"/>
    <w:rsid w:val="00FA3CD1"/>
    <w:rsid w:val="00FA4669"/>
    <w:rsid w:val="00FA582B"/>
    <w:rsid w:val="00FA5B9B"/>
    <w:rsid w:val="00FA5F4E"/>
    <w:rsid w:val="00FA68CC"/>
    <w:rsid w:val="00FA6D2B"/>
    <w:rsid w:val="00FA79E2"/>
    <w:rsid w:val="00FA7BA3"/>
    <w:rsid w:val="00FA7EFE"/>
    <w:rsid w:val="00FB0F8C"/>
    <w:rsid w:val="00FB134D"/>
    <w:rsid w:val="00FB15FB"/>
    <w:rsid w:val="00FB16E6"/>
    <w:rsid w:val="00FB239C"/>
    <w:rsid w:val="00FB29E7"/>
    <w:rsid w:val="00FB4058"/>
    <w:rsid w:val="00FB5004"/>
    <w:rsid w:val="00FB5057"/>
    <w:rsid w:val="00FB522B"/>
    <w:rsid w:val="00FB53B5"/>
    <w:rsid w:val="00FB5BFC"/>
    <w:rsid w:val="00FB61AF"/>
    <w:rsid w:val="00FB7085"/>
    <w:rsid w:val="00FB773C"/>
    <w:rsid w:val="00FB77A7"/>
    <w:rsid w:val="00FB7A35"/>
    <w:rsid w:val="00FC02CE"/>
    <w:rsid w:val="00FC0849"/>
    <w:rsid w:val="00FC09F6"/>
    <w:rsid w:val="00FC1DE5"/>
    <w:rsid w:val="00FC2A03"/>
    <w:rsid w:val="00FC2C85"/>
    <w:rsid w:val="00FC375E"/>
    <w:rsid w:val="00FC4FDE"/>
    <w:rsid w:val="00FC5178"/>
    <w:rsid w:val="00FC5697"/>
    <w:rsid w:val="00FC6677"/>
    <w:rsid w:val="00FC6E5D"/>
    <w:rsid w:val="00FC795F"/>
    <w:rsid w:val="00FD06ED"/>
    <w:rsid w:val="00FD0F57"/>
    <w:rsid w:val="00FD1109"/>
    <w:rsid w:val="00FD127B"/>
    <w:rsid w:val="00FD2145"/>
    <w:rsid w:val="00FD2486"/>
    <w:rsid w:val="00FD35E0"/>
    <w:rsid w:val="00FD362E"/>
    <w:rsid w:val="00FD58AA"/>
    <w:rsid w:val="00FD5D38"/>
    <w:rsid w:val="00FD641C"/>
    <w:rsid w:val="00FD6B35"/>
    <w:rsid w:val="00FD6B8D"/>
    <w:rsid w:val="00FD7507"/>
    <w:rsid w:val="00FD7E44"/>
    <w:rsid w:val="00FE049C"/>
    <w:rsid w:val="00FE089B"/>
    <w:rsid w:val="00FE0DA4"/>
    <w:rsid w:val="00FE119A"/>
    <w:rsid w:val="00FE3127"/>
    <w:rsid w:val="00FE3246"/>
    <w:rsid w:val="00FE3D1D"/>
    <w:rsid w:val="00FE426F"/>
    <w:rsid w:val="00FE4DAB"/>
    <w:rsid w:val="00FE4EE0"/>
    <w:rsid w:val="00FE7535"/>
    <w:rsid w:val="00FF036C"/>
    <w:rsid w:val="00FF1127"/>
    <w:rsid w:val="00FF18CF"/>
    <w:rsid w:val="00FF20FA"/>
    <w:rsid w:val="00FF229A"/>
    <w:rsid w:val="00FF36C1"/>
    <w:rsid w:val="00FF38FF"/>
    <w:rsid w:val="00FF3BC4"/>
    <w:rsid w:val="00FF400A"/>
    <w:rsid w:val="00FF57DA"/>
    <w:rsid w:val="00FF5E8E"/>
    <w:rsid w:val="00FF6175"/>
    <w:rsid w:val="00FF61EE"/>
    <w:rsid w:val="00FF6293"/>
    <w:rsid w:val="00FF6613"/>
    <w:rsid w:val="00FF673E"/>
    <w:rsid w:val="00FF6950"/>
    <w:rsid w:val="00FF7B36"/>
    <w:rsid w:val="01C49E38"/>
    <w:rsid w:val="020CBBA2"/>
    <w:rsid w:val="0246C36A"/>
    <w:rsid w:val="02AB5439"/>
    <w:rsid w:val="02E40DCE"/>
    <w:rsid w:val="036009F2"/>
    <w:rsid w:val="03F41CB4"/>
    <w:rsid w:val="04843A35"/>
    <w:rsid w:val="04A89C5B"/>
    <w:rsid w:val="04F2C701"/>
    <w:rsid w:val="04F5815F"/>
    <w:rsid w:val="05137B89"/>
    <w:rsid w:val="05163C38"/>
    <w:rsid w:val="0556829E"/>
    <w:rsid w:val="0561B2A6"/>
    <w:rsid w:val="05DEF8EC"/>
    <w:rsid w:val="0610BCC6"/>
    <w:rsid w:val="06A767C3"/>
    <w:rsid w:val="07024917"/>
    <w:rsid w:val="075A7982"/>
    <w:rsid w:val="0778445A"/>
    <w:rsid w:val="07814870"/>
    <w:rsid w:val="0794247B"/>
    <w:rsid w:val="08959575"/>
    <w:rsid w:val="08CC29E3"/>
    <w:rsid w:val="09485D88"/>
    <w:rsid w:val="0ACFCB88"/>
    <w:rsid w:val="0AD8B52D"/>
    <w:rsid w:val="0BFFCCD7"/>
    <w:rsid w:val="0C232A94"/>
    <w:rsid w:val="0C2D93A7"/>
    <w:rsid w:val="0C5016A7"/>
    <w:rsid w:val="0CB18F22"/>
    <w:rsid w:val="0D126ED9"/>
    <w:rsid w:val="0D5B94FF"/>
    <w:rsid w:val="0DC104E5"/>
    <w:rsid w:val="0DE648AD"/>
    <w:rsid w:val="0DF0EECB"/>
    <w:rsid w:val="0EC96127"/>
    <w:rsid w:val="0F844EB5"/>
    <w:rsid w:val="0F886BE3"/>
    <w:rsid w:val="0FC375C7"/>
    <w:rsid w:val="10D4CEB6"/>
    <w:rsid w:val="110CDA4F"/>
    <w:rsid w:val="11C42A56"/>
    <w:rsid w:val="11F32730"/>
    <w:rsid w:val="11FFB8F7"/>
    <w:rsid w:val="1209C355"/>
    <w:rsid w:val="120F2AF6"/>
    <w:rsid w:val="127BC2FD"/>
    <w:rsid w:val="13314165"/>
    <w:rsid w:val="13B4D64F"/>
    <w:rsid w:val="14A635FA"/>
    <w:rsid w:val="14AE7BB5"/>
    <w:rsid w:val="155235CE"/>
    <w:rsid w:val="15937DC7"/>
    <w:rsid w:val="15B1D028"/>
    <w:rsid w:val="15B28E3F"/>
    <w:rsid w:val="15E51A47"/>
    <w:rsid w:val="169CB04D"/>
    <w:rsid w:val="17372336"/>
    <w:rsid w:val="17CF807A"/>
    <w:rsid w:val="183F21A3"/>
    <w:rsid w:val="185C4196"/>
    <w:rsid w:val="186E4A34"/>
    <w:rsid w:val="18867672"/>
    <w:rsid w:val="18CC0F71"/>
    <w:rsid w:val="1915B7C5"/>
    <w:rsid w:val="191DB4CA"/>
    <w:rsid w:val="194A5003"/>
    <w:rsid w:val="19DA9477"/>
    <w:rsid w:val="1A12F9A2"/>
    <w:rsid w:val="1A94E88B"/>
    <w:rsid w:val="1AAEDD83"/>
    <w:rsid w:val="1AC37C5B"/>
    <w:rsid w:val="1ADA38EA"/>
    <w:rsid w:val="1B048C93"/>
    <w:rsid w:val="1B97680E"/>
    <w:rsid w:val="1B9CB581"/>
    <w:rsid w:val="1BBB21DC"/>
    <w:rsid w:val="1C76094B"/>
    <w:rsid w:val="1C9DA57F"/>
    <w:rsid w:val="1CC5B8C4"/>
    <w:rsid w:val="1CCF9510"/>
    <w:rsid w:val="1E80082C"/>
    <w:rsid w:val="1F122701"/>
    <w:rsid w:val="1F1B4363"/>
    <w:rsid w:val="1F6D6DE3"/>
    <w:rsid w:val="1F9021F5"/>
    <w:rsid w:val="1FA2D361"/>
    <w:rsid w:val="201F450E"/>
    <w:rsid w:val="20638EB6"/>
    <w:rsid w:val="2113C618"/>
    <w:rsid w:val="214273D7"/>
    <w:rsid w:val="21C18B65"/>
    <w:rsid w:val="230986E5"/>
    <w:rsid w:val="23DCC0D5"/>
    <w:rsid w:val="240B9EF5"/>
    <w:rsid w:val="249F2E28"/>
    <w:rsid w:val="2610A46F"/>
    <w:rsid w:val="270EE81C"/>
    <w:rsid w:val="27230CB8"/>
    <w:rsid w:val="275083EC"/>
    <w:rsid w:val="27A5B01B"/>
    <w:rsid w:val="27B4827A"/>
    <w:rsid w:val="28479766"/>
    <w:rsid w:val="28890AFD"/>
    <w:rsid w:val="2894C380"/>
    <w:rsid w:val="28C04972"/>
    <w:rsid w:val="28C21A72"/>
    <w:rsid w:val="29DB1CB4"/>
    <w:rsid w:val="29FFF3C0"/>
    <w:rsid w:val="2A159A84"/>
    <w:rsid w:val="2A3E1012"/>
    <w:rsid w:val="2A61EF92"/>
    <w:rsid w:val="2BE71086"/>
    <w:rsid w:val="2C567446"/>
    <w:rsid w:val="2C8CFFDB"/>
    <w:rsid w:val="2C938323"/>
    <w:rsid w:val="2CD74B22"/>
    <w:rsid w:val="2CE8C306"/>
    <w:rsid w:val="2DF51B32"/>
    <w:rsid w:val="2E2525BF"/>
    <w:rsid w:val="2E28CB1D"/>
    <w:rsid w:val="2EA9A92C"/>
    <w:rsid w:val="3074145B"/>
    <w:rsid w:val="30AF0F0D"/>
    <w:rsid w:val="30EA7801"/>
    <w:rsid w:val="30FB65C6"/>
    <w:rsid w:val="31034028"/>
    <w:rsid w:val="314D7523"/>
    <w:rsid w:val="314DB1A1"/>
    <w:rsid w:val="3204F551"/>
    <w:rsid w:val="3241AC79"/>
    <w:rsid w:val="326068CB"/>
    <w:rsid w:val="32AC180F"/>
    <w:rsid w:val="335B8623"/>
    <w:rsid w:val="336D5E91"/>
    <w:rsid w:val="33935398"/>
    <w:rsid w:val="33F36AA8"/>
    <w:rsid w:val="34547059"/>
    <w:rsid w:val="34CDF8E7"/>
    <w:rsid w:val="356EEA8B"/>
    <w:rsid w:val="357D2992"/>
    <w:rsid w:val="35B5DF97"/>
    <w:rsid w:val="35DDA365"/>
    <w:rsid w:val="36DDDF50"/>
    <w:rsid w:val="36E9F1EE"/>
    <w:rsid w:val="36EEE851"/>
    <w:rsid w:val="372852F0"/>
    <w:rsid w:val="37E1FE3E"/>
    <w:rsid w:val="382CF375"/>
    <w:rsid w:val="3841424C"/>
    <w:rsid w:val="389F254F"/>
    <w:rsid w:val="3903E62F"/>
    <w:rsid w:val="390F5E8F"/>
    <w:rsid w:val="3A508F70"/>
    <w:rsid w:val="3AC56BAF"/>
    <w:rsid w:val="3AE08E6D"/>
    <w:rsid w:val="3B219681"/>
    <w:rsid w:val="3B6627E9"/>
    <w:rsid w:val="3BF32DD4"/>
    <w:rsid w:val="3C4A4381"/>
    <w:rsid w:val="3CA10CBF"/>
    <w:rsid w:val="3E675C9E"/>
    <w:rsid w:val="3F4B0B95"/>
    <w:rsid w:val="3F60E36B"/>
    <w:rsid w:val="3FD1EF99"/>
    <w:rsid w:val="3FD461FB"/>
    <w:rsid w:val="4068D7AD"/>
    <w:rsid w:val="40858BDF"/>
    <w:rsid w:val="41385824"/>
    <w:rsid w:val="413C5A3D"/>
    <w:rsid w:val="416BD8C0"/>
    <w:rsid w:val="4176232B"/>
    <w:rsid w:val="41A67E2A"/>
    <w:rsid w:val="42003BC5"/>
    <w:rsid w:val="422DB09B"/>
    <w:rsid w:val="426D596A"/>
    <w:rsid w:val="428E1B1A"/>
    <w:rsid w:val="433A29B5"/>
    <w:rsid w:val="4342815C"/>
    <w:rsid w:val="4363411B"/>
    <w:rsid w:val="4436BEC5"/>
    <w:rsid w:val="4458F23A"/>
    <w:rsid w:val="4466C30E"/>
    <w:rsid w:val="44D8A610"/>
    <w:rsid w:val="45F2B307"/>
    <w:rsid w:val="466A7ADE"/>
    <w:rsid w:val="491088DC"/>
    <w:rsid w:val="49D7C463"/>
    <w:rsid w:val="49DDF619"/>
    <w:rsid w:val="4AE728E2"/>
    <w:rsid w:val="4BD2CED7"/>
    <w:rsid w:val="4C48B5DF"/>
    <w:rsid w:val="4C768F6F"/>
    <w:rsid w:val="4C907F8A"/>
    <w:rsid w:val="4CB1AB7B"/>
    <w:rsid w:val="4CFA773B"/>
    <w:rsid w:val="4D1FD6AE"/>
    <w:rsid w:val="4D945003"/>
    <w:rsid w:val="4DCF1D84"/>
    <w:rsid w:val="4EDFDC4E"/>
    <w:rsid w:val="4F2425F6"/>
    <w:rsid w:val="4F970BEE"/>
    <w:rsid w:val="4FAB59CA"/>
    <w:rsid w:val="505DDBF7"/>
    <w:rsid w:val="5082BA1D"/>
    <w:rsid w:val="50A2418D"/>
    <w:rsid w:val="50D1586C"/>
    <w:rsid w:val="50E4ACE3"/>
    <w:rsid w:val="516F59D3"/>
    <w:rsid w:val="51BC47E5"/>
    <w:rsid w:val="5242DAA4"/>
    <w:rsid w:val="5290B687"/>
    <w:rsid w:val="52DDEF49"/>
    <w:rsid w:val="530320A7"/>
    <w:rsid w:val="53D452A9"/>
    <w:rsid w:val="5400F0FE"/>
    <w:rsid w:val="5453FA95"/>
    <w:rsid w:val="54E436CF"/>
    <w:rsid w:val="554E0BE4"/>
    <w:rsid w:val="566CBDF0"/>
    <w:rsid w:val="5721F913"/>
    <w:rsid w:val="5734F957"/>
    <w:rsid w:val="574495FF"/>
    <w:rsid w:val="57502585"/>
    <w:rsid w:val="58938D7E"/>
    <w:rsid w:val="58968D6E"/>
    <w:rsid w:val="58A2A460"/>
    <w:rsid w:val="58C3EF97"/>
    <w:rsid w:val="593A439E"/>
    <w:rsid w:val="59A174ED"/>
    <w:rsid w:val="5A2235D4"/>
    <w:rsid w:val="5A7B9F49"/>
    <w:rsid w:val="5A9BC8FF"/>
    <w:rsid w:val="5AF0399B"/>
    <w:rsid w:val="5AFE42AC"/>
    <w:rsid w:val="5B86CEC9"/>
    <w:rsid w:val="5CDF793B"/>
    <w:rsid w:val="5CE2DCB2"/>
    <w:rsid w:val="5CEF534C"/>
    <w:rsid w:val="5D148421"/>
    <w:rsid w:val="5D1D7526"/>
    <w:rsid w:val="5D263692"/>
    <w:rsid w:val="5D2B4E20"/>
    <w:rsid w:val="5D52432C"/>
    <w:rsid w:val="5E4FDC33"/>
    <w:rsid w:val="5E9AFDBE"/>
    <w:rsid w:val="5F242153"/>
    <w:rsid w:val="5FB1FFAD"/>
    <w:rsid w:val="5FDFC778"/>
    <w:rsid w:val="6081174B"/>
    <w:rsid w:val="60B73AE0"/>
    <w:rsid w:val="60FD074F"/>
    <w:rsid w:val="614FDF16"/>
    <w:rsid w:val="61A09D3D"/>
    <w:rsid w:val="630C8B45"/>
    <w:rsid w:val="63647E85"/>
    <w:rsid w:val="6392AAF7"/>
    <w:rsid w:val="63B0330F"/>
    <w:rsid w:val="63C40403"/>
    <w:rsid w:val="6419157D"/>
    <w:rsid w:val="64420E73"/>
    <w:rsid w:val="64B594CD"/>
    <w:rsid w:val="64DDA1EE"/>
    <w:rsid w:val="6556BE15"/>
    <w:rsid w:val="658F66C8"/>
    <w:rsid w:val="65C34E0F"/>
    <w:rsid w:val="66670269"/>
    <w:rsid w:val="667DE8E6"/>
    <w:rsid w:val="66E806A2"/>
    <w:rsid w:val="6746F656"/>
    <w:rsid w:val="67A7272D"/>
    <w:rsid w:val="67B8A644"/>
    <w:rsid w:val="6846F4D8"/>
    <w:rsid w:val="68626471"/>
    <w:rsid w:val="68B144AC"/>
    <w:rsid w:val="6925BE4E"/>
    <w:rsid w:val="69877407"/>
    <w:rsid w:val="69BC90E5"/>
    <w:rsid w:val="6A5BD828"/>
    <w:rsid w:val="6AA361BD"/>
    <w:rsid w:val="6B03EA55"/>
    <w:rsid w:val="6B48F554"/>
    <w:rsid w:val="6BAED075"/>
    <w:rsid w:val="6BFD1FEC"/>
    <w:rsid w:val="6C284CCA"/>
    <w:rsid w:val="6C70DAC5"/>
    <w:rsid w:val="6C76FBD3"/>
    <w:rsid w:val="6D51BDEC"/>
    <w:rsid w:val="6D697484"/>
    <w:rsid w:val="6E393EE9"/>
    <w:rsid w:val="6E599938"/>
    <w:rsid w:val="6EB6FFAA"/>
    <w:rsid w:val="6F378296"/>
    <w:rsid w:val="6F4ED9F3"/>
    <w:rsid w:val="7032C2D5"/>
    <w:rsid w:val="70C1AF00"/>
    <w:rsid w:val="70F19028"/>
    <w:rsid w:val="721128C7"/>
    <w:rsid w:val="72557127"/>
    <w:rsid w:val="72D294E1"/>
    <w:rsid w:val="7323E289"/>
    <w:rsid w:val="738AB550"/>
    <w:rsid w:val="73EB7D9F"/>
    <w:rsid w:val="74236E73"/>
    <w:rsid w:val="7454B66C"/>
    <w:rsid w:val="7464444D"/>
    <w:rsid w:val="74F5C989"/>
    <w:rsid w:val="751AA095"/>
    <w:rsid w:val="7598FFE8"/>
    <w:rsid w:val="759EA4BE"/>
    <w:rsid w:val="7672D6A1"/>
    <w:rsid w:val="76985C9D"/>
    <w:rsid w:val="769D5211"/>
    <w:rsid w:val="76A7886C"/>
    <w:rsid w:val="76AEE594"/>
    <w:rsid w:val="775E5606"/>
    <w:rsid w:val="778822E2"/>
    <w:rsid w:val="7791034E"/>
    <w:rsid w:val="77AC91C9"/>
    <w:rsid w:val="7810CBA5"/>
    <w:rsid w:val="7846D42E"/>
    <w:rsid w:val="787E1961"/>
    <w:rsid w:val="789E629D"/>
    <w:rsid w:val="790D456C"/>
    <w:rsid w:val="7949400F"/>
    <w:rsid w:val="7952E9FE"/>
    <w:rsid w:val="7A88E05E"/>
    <w:rsid w:val="7AC72D59"/>
    <w:rsid w:val="7B1A3E7D"/>
    <w:rsid w:val="7B72DA33"/>
    <w:rsid w:val="7BBA6C6B"/>
    <w:rsid w:val="7BD733B2"/>
    <w:rsid w:val="7C70C672"/>
    <w:rsid w:val="7CFC7F31"/>
    <w:rsid w:val="7D27ABB3"/>
    <w:rsid w:val="7D3B8A50"/>
    <w:rsid w:val="7E0B051F"/>
    <w:rsid w:val="7E40DC8D"/>
    <w:rsid w:val="7E6A2320"/>
    <w:rsid w:val="7ED8E4D0"/>
    <w:rsid w:val="7EFF4BF5"/>
    <w:rsid w:val="7FFE98F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DEBC0"/>
  <w15:chartTrackingRefBased/>
  <w15:docId w15:val="{CC7ABA1D-5805-4F06-82D6-00CCC631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54E"/>
    <w:rPr>
      <w:lang w:val="en-GB"/>
    </w:rPr>
  </w:style>
  <w:style w:type="paragraph" w:styleId="Heading1">
    <w:name w:val="heading 1"/>
    <w:basedOn w:val="Normal"/>
    <w:next w:val="Normal"/>
    <w:link w:val="Heading1Char"/>
    <w:uiPriority w:val="9"/>
    <w:qFormat/>
    <w:rsid w:val="006954B1"/>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54E"/>
    <w:rPr>
      <w:lang w:val="en-GB"/>
    </w:rPr>
  </w:style>
  <w:style w:type="paragraph" w:styleId="Footer">
    <w:name w:val="footer"/>
    <w:basedOn w:val="Normal"/>
    <w:link w:val="FooterChar"/>
    <w:uiPriority w:val="99"/>
    <w:unhideWhenUsed/>
    <w:rsid w:val="00D35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54E"/>
    <w:rPr>
      <w:lang w:val="en-GB"/>
    </w:rPr>
  </w:style>
  <w:style w:type="character" w:styleId="Hyperlink">
    <w:name w:val="Hyperlink"/>
    <w:basedOn w:val="DefaultParagraphFont"/>
    <w:uiPriority w:val="99"/>
    <w:unhideWhenUsed/>
    <w:rsid w:val="00D3554E"/>
    <w:rPr>
      <w:color w:val="0563C1"/>
      <w:u w:val="single"/>
    </w:rPr>
  </w:style>
  <w:style w:type="paragraph" w:styleId="ListParagraph">
    <w:name w:val="List Paragraph"/>
    <w:aliases w:val="0Bullet,Bullet point,Bullets,CAB - List Bullet,Content descriptions,DDM Gen Text,Dot point 1.5 line spacing,L,List Bullet Cab,List Paragraph - bullets,List Paragraph Number,List Paragraph1,List Paragraph11,Recommendation,bullet point list"/>
    <w:basedOn w:val="Normal"/>
    <w:link w:val="ListParagraphChar"/>
    <w:uiPriority w:val="34"/>
    <w:qFormat/>
    <w:rsid w:val="00D3554E"/>
    <w:pPr>
      <w:spacing w:after="0" w:line="240" w:lineRule="auto"/>
      <w:ind w:left="720"/>
      <w:contextualSpacing/>
    </w:pPr>
    <w:rPr>
      <w:rFonts w:ascii="Calibri" w:hAnsi="Calibri" w:cs="Calibri"/>
      <w:lang w:val="en-AU"/>
    </w:rPr>
  </w:style>
  <w:style w:type="paragraph" w:styleId="ListBullet">
    <w:name w:val="List Bullet"/>
    <w:basedOn w:val="Normal"/>
    <w:uiPriority w:val="99"/>
    <w:semiHidden/>
    <w:unhideWhenUsed/>
    <w:rsid w:val="00D3554E"/>
    <w:pPr>
      <w:numPr>
        <w:numId w:val="1"/>
      </w:numPr>
      <w:spacing w:after="0" w:line="240" w:lineRule="auto"/>
      <w:contextualSpacing/>
    </w:pPr>
    <w:rPr>
      <w:rFonts w:ascii="Calibri" w:hAnsi="Calibri" w:cs="Calibri"/>
      <w:lang w:val="en-AU"/>
    </w:rPr>
  </w:style>
  <w:style w:type="character" w:styleId="Mention">
    <w:name w:val="Mention"/>
    <w:basedOn w:val="DefaultParagraphFont"/>
    <w:uiPriority w:val="99"/>
    <w:unhideWhenUsed/>
    <w:rsid w:val="00D3554E"/>
    <w:rPr>
      <w:color w:val="2B579A"/>
      <w:shd w:val="clear" w:color="auto" w:fill="E6E6E6"/>
    </w:rPr>
  </w:style>
  <w:style w:type="paragraph" w:styleId="CommentText">
    <w:name w:val="annotation text"/>
    <w:basedOn w:val="Normal"/>
    <w:link w:val="CommentTextChar"/>
    <w:uiPriority w:val="99"/>
    <w:unhideWhenUsed/>
    <w:rsid w:val="00D3554E"/>
    <w:pPr>
      <w:spacing w:line="240" w:lineRule="auto"/>
    </w:pPr>
    <w:rPr>
      <w:sz w:val="20"/>
      <w:szCs w:val="20"/>
    </w:rPr>
  </w:style>
  <w:style w:type="character" w:customStyle="1" w:styleId="CommentTextChar">
    <w:name w:val="Comment Text Char"/>
    <w:basedOn w:val="DefaultParagraphFont"/>
    <w:link w:val="CommentText"/>
    <w:uiPriority w:val="99"/>
    <w:rsid w:val="00D3554E"/>
    <w:rPr>
      <w:sz w:val="20"/>
      <w:szCs w:val="20"/>
      <w:lang w:val="en-GB"/>
    </w:rPr>
  </w:style>
  <w:style w:type="character" w:styleId="CommentReference">
    <w:name w:val="annotation reference"/>
    <w:basedOn w:val="DefaultParagraphFont"/>
    <w:uiPriority w:val="99"/>
    <w:semiHidden/>
    <w:unhideWhenUsed/>
    <w:rsid w:val="00D3554E"/>
    <w:rPr>
      <w:sz w:val="16"/>
      <w:szCs w:val="16"/>
    </w:rPr>
  </w:style>
  <w:style w:type="paragraph" w:styleId="Revision">
    <w:name w:val="Revision"/>
    <w:hidden/>
    <w:uiPriority w:val="99"/>
    <w:semiHidden/>
    <w:rsid w:val="00D3554E"/>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D3554E"/>
    <w:rPr>
      <w:b/>
      <w:bCs/>
    </w:rPr>
  </w:style>
  <w:style w:type="character" w:customStyle="1" w:styleId="CommentSubjectChar">
    <w:name w:val="Comment Subject Char"/>
    <w:basedOn w:val="CommentTextChar"/>
    <w:link w:val="CommentSubject"/>
    <w:uiPriority w:val="99"/>
    <w:semiHidden/>
    <w:rsid w:val="00D3554E"/>
    <w:rPr>
      <w:b/>
      <w:bCs/>
      <w:sz w:val="20"/>
      <w:szCs w:val="20"/>
      <w:lang w:val="en-GB"/>
    </w:rPr>
  </w:style>
  <w:style w:type="character" w:styleId="FollowedHyperlink">
    <w:name w:val="FollowedHyperlink"/>
    <w:basedOn w:val="DefaultParagraphFont"/>
    <w:uiPriority w:val="99"/>
    <w:semiHidden/>
    <w:unhideWhenUsed/>
    <w:rsid w:val="00D3554E"/>
    <w:rPr>
      <w:color w:val="954F72" w:themeColor="followedHyperlink"/>
      <w:u w:val="single"/>
    </w:rPr>
  </w:style>
  <w:style w:type="paragraph" w:styleId="FootnoteText">
    <w:name w:val="footnote text"/>
    <w:basedOn w:val="Normal"/>
    <w:link w:val="FootnoteTextChar"/>
    <w:uiPriority w:val="99"/>
    <w:semiHidden/>
    <w:unhideWhenUsed/>
    <w:rsid w:val="00D355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554E"/>
    <w:rPr>
      <w:sz w:val="20"/>
      <w:szCs w:val="20"/>
      <w:lang w:val="en-GB"/>
    </w:rPr>
  </w:style>
  <w:style w:type="character" w:styleId="FootnoteReference">
    <w:name w:val="footnote reference"/>
    <w:basedOn w:val="DefaultParagraphFont"/>
    <w:uiPriority w:val="99"/>
    <w:semiHidden/>
    <w:unhideWhenUsed/>
    <w:rsid w:val="00D3554E"/>
    <w:rPr>
      <w:vertAlign w:val="superscript"/>
    </w:rPr>
  </w:style>
  <w:style w:type="table" w:styleId="TableGrid">
    <w:name w:val="Table Grid"/>
    <w:basedOn w:val="TableNormal"/>
    <w:uiPriority w:val="39"/>
    <w:rsid w:val="00D3554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E7752"/>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UnresolvedMention">
    <w:name w:val="Unresolved Mention"/>
    <w:basedOn w:val="DefaultParagraphFont"/>
    <w:uiPriority w:val="99"/>
    <w:semiHidden/>
    <w:unhideWhenUsed/>
    <w:rsid w:val="00A634CC"/>
    <w:rPr>
      <w:color w:val="605E5C"/>
      <w:shd w:val="clear" w:color="auto" w:fill="E1DFDD"/>
    </w:rPr>
  </w:style>
  <w:style w:type="character" w:customStyle="1" w:styleId="normaltextrun">
    <w:name w:val="normaltextrun"/>
    <w:basedOn w:val="DefaultParagraphFont"/>
    <w:rsid w:val="007D3FED"/>
  </w:style>
  <w:style w:type="paragraph" w:customStyle="1" w:styleId="paragraph">
    <w:name w:val="paragraph"/>
    <w:basedOn w:val="Normal"/>
    <w:qFormat/>
    <w:rsid w:val="007D3FED"/>
    <w:pPr>
      <w:spacing w:after="240" w:line="240" w:lineRule="auto"/>
      <w:jc w:val="both"/>
    </w:pPr>
    <w:rPr>
      <w:rFonts w:ascii="Times New Roman" w:hAnsi="Times New Roman" w:cs="Times New Roman"/>
      <w:bCs/>
      <w:sz w:val="24"/>
      <w:szCs w:val="24"/>
      <w:lang w:val="en-US"/>
    </w:rPr>
  </w:style>
  <w:style w:type="paragraph" w:customStyle="1" w:styleId="subparagraph">
    <w:name w:val="subparagraph"/>
    <w:basedOn w:val="paragraph"/>
    <w:link w:val="subparagraphChar"/>
    <w:uiPriority w:val="1"/>
    <w:qFormat/>
    <w:rsid w:val="007D3FED"/>
    <w:pPr>
      <w:ind w:left="1440" w:hanging="720"/>
    </w:pPr>
  </w:style>
  <w:style w:type="character" w:customStyle="1" w:styleId="subparagraphChar">
    <w:name w:val="subparagraph Char"/>
    <w:basedOn w:val="DefaultParagraphFont"/>
    <w:link w:val="subparagraph"/>
    <w:uiPriority w:val="1"/>
    <w:rsid w:val="007D3FED"/>
    <w:rPr>
      <w:rFonts w:ascii="Times New Roman" w:hAnsi="Times New Roman" w:cs="Times New Roman"/>
      <w:bCs/>
      <w:sz w:val="24"/>
      <w:szCs w:val="24"/>
      <w:lang w:val="en-US"/>
    </w:rPr>
  </w:style>
  <w:style w:type="paragraph" w:styleId="BodyText">
    <w:name w:val="Body Text"/>
    <w:link w:val="BodyTextChar"/>
    <w:qFormat/>
    <w:rsid w:val="00677886"/>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677886"/>
    <w:rPr>
      <w:rFonts w:ascii="Times New Roman" w:eastAsia="Times New Roman" w:hAnsi="Times New Roman" w:cs="Times New Roman"/>
      <w:sz w:val="24"/>
      <w:szCs w:val="20"/>
      <w:lang w:eastAsia="en-AU"/>
    </w:rPr>
  </w:style>
  <w:style w:type="paragraph" w:styleId="Caption">
    <w:name w:val="caption"/>
    <w:basedOn w:val="Normal"/>
    <w:next w:val="Normal"/>
    <w:uiPriority w:val="35"/>
    <w:unhideWhenUsed/>
    <w:qFormat/>
    <w:rsid w:val="001D55D3"/>
    <w:pPr>
      <w:suppressAutoHyphens/>
      <w:spacing w:before="200" w:after="120" w:line="280" w:lineRule="atLeast"/>
    </w:pPr>
    <w:rPr>
      <w:b/>
      <w:iCs/>
      <w:color w:val="000000" w:themeColor="text1"/>
      <w:szCs w:val="18"/>
      <w:lang w:val="en-AU"/>
    </w:rPr>
  </w:style>
  <w:style w:type="paragraph" w:customStyle="1" w:styleId="TableText">
    <w:name w:val="Table Text"/>
    <w:basedOn w:val="Normal"/>
    <w:qFormat/>
    <w:rsid w:val="001D55D3"/>
    <w:pPr>
      <w:suppressAutoHyphens/>
      <w:spacing w:before="60" w:after="60" w:line="280" w:lineRule="atLeast"/>
    </w:pPr>
    <w:rPr>
      <w:sz w:val="18"/>
      <w:lang w:val="en-AU"/>
    </w:rPr>
  </w:style>
  <w:style w:type="table" w:customStyle="1" w:styleId="CET1">
    <w:name w:val="CET 1"/>
    <w:basedOn w:val="TableNormal"/>
    <w:uiPriority w:val="99"/>
    <w:rsid w:val="00574E22"/>
    <w:pPr>
      <w:spacing w:after="0" w:line="240" w:lineRule="auto"/>
    </w:pPr>
    <w:rPr>
      <w:sz w:val="20"/>
    </w:rPr>
    <w:tblPr>
      <w:tblStyleRowBandSize w:val="1"/>
      <w:tblInd w:w="0" w:type="nil"/>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6954B1"/>
    <w:rPr>
      <w:rFonts w:asciiTheme="majorHAnsi" w:eastAsiaTheme="majorEastAsia" w:hAnsiTheme="majorHAnsi" w:cstheme="majorBidi"/>
      <w:color w:val="2F5496" w:themeColor="accent1" w:themeShade="BF"/>
      <w:sz w:val="32"/>
      <w:szCs w:val="32"/>
      <w:lang w:val="en-US"/>
    </w:rPr>
  </w:style>
  <w:style w:type="paragraph" w:styleId="EndnoteText">
    <w:name w:val="endnote text"/>
    <w:basedOn w:val="Normal"/>
    <w:link w:val="EndnoteTextChar"/>
    <w:uiPriority w:val="99"/>
    <w:semiHidden/>
    <w:unhideWhenUsed/>
    <w:rsid w:val="008E70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702F"/>
    <w:rPr>
      <w:sz w:val="20"/>
      <w:szCs w:val="20"/>
      <w:lang w:val="en-GB"/>
    </w:rPr>
  </w:style>
  <w:style w:type="character" w:styleId="EndnoteReference">
    <w:name w:val="endnote reference"/>
    <w:basedOn w:val="DefaultParagraphFont"/>
    <w:uiPriority w:val="99"/>
    <w:semiHidden/>
    <w:unhideWhenUsed/>
    <w:rsid w:val="008E702F"/>
    <w:rPr>
      <w:vertAlign w:val="superscript"/>
    </w:rPr>
  </w:style>
  <w:style w:type="character" w:customStyle="1" w:styleId="ListParagraphChar">
    <w:name w:val="List Paragraph Char"/>
    <w:aliases w:val="0Bullet Char,Bullet point Char,Bullets Char,CAB - List Bullet Char,Content descriptions Char,DDM Gen Text Char,Dot point 1.5 line spacing Char,L Char,List Bullet Cab Char,List Paragraph - bullets Char,List Paragraph Number Char"/>
    <w:basedOn w:val="DefaultParagraphFont"/>
    <w:link w:val="ListParagraph"/>
    <w:uiPriority w:val="34"/>
    <w:locked/>
    <w:rsid w:val="00595124"/>
    <w:rPr>
      <w:rFonts w:ascii="Calibri" w:hAnsi="Calibri" w:cs="Calibri"/>
    </w:rPr>
  </w:style>
  <w:style w:type="character" w:customStyle="1" w:styleId="ui-provider">
    <w:name w:val="ui-provider"/>
    <w:basedOn w:val="DefaultParagraphFont"/>
    <w:rsid w:val="00595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26235">
      <w:bodyDiv w:val="1"/>
      <w:marLeft w:val="0"/>
      <w:marRight w:val="0"/>
      <w:marTop w:val="0"/>
      <w:marBottom w:val="0"/>
      <w:divBdr>
        <w:top w:val="none" w:sz="0" w:space="0" w:color="auto"/>
        <w:left w:val="none" w:sz="0" w:space="0" w:color="auto"/>
        <w:bottom w:val="none" w:sz="0" w:space="0" w:color="auto"/>
        <w:right w:val="none" w:sz="0" w:space="0" w:color="auto"/>
      </w:divBdr>
    </w:div>
    <w:div w:id="434985641">
      <w:bodyDiv w:val="1"/>
      <w:marLeft w:val="0"/>
      <w:marRight w:val="0"/>
      <w:marTop w:val="0"/>
      <w:marBottom w:val="0"/>
      <w:divBdr>
        <w:top w:val="none" w:sz="0" w:space="0" w:color="auto"/>
        <w:left w:val="none" w:sz="0" w:space="0" w:color="auto"/>
        <w:bottom w:val="none" w:sz="0" w:space="0" w:color="auto"/>
        <w:right w:val="none" w:sz="0" w:space="0" w:color="auto"/>
      </w:divBdr>
    </w:div>
    <w:div w:id="576020345">
      <w:bodyDiv w:val="1"/>
      <w:marLeft w:val="0"/>
      <w:marRight w:val="0"/>
      <w:marTop w:val="0"/>
      <w:marBottom w:val="0"/>
      <w:divBdr>
        <w:top w:val="none" w:sz="0" w:space="0" w:color="auto"/>
        <w:left w:val="none" w:sz="0" w:space="0" w:color="auto"/>
        <w:bottom w:val="none" w:sz="0" w:space="0" w:color="auto"/>
        <w:right w:val="none" w:sz="0" w:space="0" w:color="auto"/>
      </w:divBdr>
    </w:div>
    <w:div w:id="667515944">
      <w:bodyDiv w:val="1"/>
      <w:marLeft w:val="0"/>
      <w:marRight w:val="0"/>
      <w:marTop w:val="0"/>
      <w:marBottom w:val="0"/>
      <w:divBdr>
        <w:top w:val="none" w:sz="0" w:space="0" w:color="auto"/>
        <w:left w:val="none" w:sz="0" w:space="0" w:color="auto"/>
        <w:bottom w:val="none" w:sz="0" w:space="0" w:color="auto"/>
        <w:right w:val="none" w:sz="0" w:space="0" w:color="auto"/>
      </w:divBdr>
    </w:div>
    <w:div w:id="721176565">
      <w:bodyDiv w:val="1"/>
      <w:marLeft w:val="0"/>
      <w:marRight w:val="0"/>
      <w:marTop w:val="0"/>
      <w:marBottom w:val="0"/>
      <w:divBdr>
        <w:top w:val="none" w:sz="0" w:space="0" w:color="auto"/>
        <w:left w:val="none" w:sz="0" w:space="0" w:color="auto"/>
        <w:bottom w:val="none" w:sz="0" w:space="0" w:color="auto"/>
        <w:right w:val="none" w:sz="0" w:space="0" w:color="auto"/>
      </w:divBdr>
    </w:div>
    <w:div w:id="1112824890">
      <w:bodyDiv w:val="1"/>
      <w:marLeft w:val="0"/>
      <w:marRight w:val="0"/>
      <w:marTop w:val="0"/>
      <w:marBottom w:val="0"/>
      <w:divBdr>
        <w:top w:val="none" w:sz="0" w:space="0" w:color="auto"/>
        <w:left w:val="none" w:sz="0" w:space="0" w:color="auto"/>
        <w:bottom w:val="none" w:sz="0" w:space="0" w:color="auto"/>
        <w:right w:val="none" w:sz="0" w:space="0" w:color="auto"/>
      </w:divBdr>
    </w:div>
    <w:div w:id="1116801181">
      <w:bodyDiv w:val="1"/>
      <w:marLeft w:val="0"/>
      <w:marRight w:val="0"/>
      <w:marTop w:val="0"/>
      <w:marBottom w:val="0"/>
      <w:divBdr>
        <w:top w:val="none" w:sz="0" w:space="0" w:color="auto"/>
        <w:left w:val="none" w:sz="0" w:space="0" w:color="auto"/>
        <w:bottom w:val="none" w:sz="0" w:space="0" w:color="auto"/>
        <w:right w:val="none" w:sz="0" w:space="0" w:color="auto"/>
      </w:divBdr>
    </w:div>
    <w:div w:id="1211965532">
      <w:bodyDiv w:val="1"/>
      <w:marLeft w:val="0"/>
      <w:marRight w:val="0"/>
      <w:marTop w:val="0"/>
      <w:marBottom w:val="0"/>
      <w:divBdr>
        <w:top w:val="none" w:sz="0" w:space="0" w:color="auto"/>
        <w:left w:val="none" w:sz="0" w:space="0" w:color="auto"/>
        <w:bottom w:val="none" w:sz="0" w:space="0" w:color="auto"/>
        <w:right w:val="none" w:sz="0" w:space="0" w:color="auto"/>
      </w:divBdr>
    </w:div>
    <w:div w:id="1532185123">
      <w:bodyDiv w:val="1"/>
      <w:marLeft w:val="0"/>
      <w:marRight w:val="0"/>
      <w:marTop w:val="0"/>
      <w:marBottom w:val="0"/>
      <w:divBdr>
        <w:top w:val="none" w:sz="0" w:space="0" w:color="auto"/>
        <w:left w:val="none" w:sz="0" w:space="0" w:color="auto"/>
        <w:bottom w:val="none" w:sz="0" w:space="0" w:color="auto"/>
        <w:right w:val="none" w:sz="0" w:space="0" w:color="auto"/>
      </w:divBdr>
    </w:div>
    <w:div w:id="1614555296">
      <w:bodyDiv w:val="1"/>
      <w:marLeft w:val="0"/>
      <w:marRight w:val="0"/>
      <w:marTop w:val="0"/>
      <w:marBottom w:val="0"/>
      <w:divBdr>
        <w:top w:val="none" w:sz="0" w:space="0" w:color="auto"/>
        <w:left w:val="none" w:sz="0" w:space="0" w:color="auto"/>
        <w:bottom w:val="none" w:sz="0" w:space="0" w:color="auto"/>
        <w:right w:val="none" w:sz="0" w:space="0" w:color="auto"/>
      </w:divBdr>
    </w:div>
    <w:div w:id="1670792101">
      <w:bodyDiv w:val="1"/>
      <w:marLeft w:val="0"/>
      <w:marRight w:val="0"/>
      <w:marTop w:val="0"/>
      <w:marBottom w:val="0"/>
      <w:divBdr>
        <w:top w:val="none" w:sz="0" w:space="0" w:color="auto"/>
        <w:left w:val="none" w:sz="0" w:space="0" w:color="auto"/>
        <w:bottom w:val="none" w:sz="0" w:space="0" w:color="auto"/>
        <w:right w:val="none" w:sz="0" w:space="0" w:color="auto"/>
      </w:divBdr>
    </w:div>
    <w:div w:id="1761438876">
      <w:bodyDiv w:val="1"/>
      <w:marLeft w:val="0"/>
      <w:marRight w:val="0"/>
      <w:marTop w:val="0"/>
      <w:marBottom w:val="0"/>
      <w:divBdr>
        <w:top w:val="none" w:sz="0" w:space="0" w:color="auto"/>
        <w:left w:val="none" w:sz="0" w:space="0" w:color="auto"/>
        <w:bottom w:val="none" w:sz="0" w:space="0" w:color="auto"/>
        <w:right w:val="none" w:sz="0" w:space="0" w:color="auto"/>
      </w:divBdr>
    </w:div>
    <w:div w:id="1863283120">
      <w:bodyDiv w:val="1"/>
      <w:marLeft w:val="0"/>
      <w:marRight w:val="0"/>
      <w:marTop w:val="0"/>
      <w:marBottom w:val="0"/>
      <w:divBdr>
        <w:top w:val="none" w:sz="0" w:space="0" w:color="auto"/>
        <w:left w:val="none" w:sz="0" w:space="0" w:color="auto"/>
        <w:bottom w:val="none" w:sz="0" w:space="0" w:color="auto"/>
        <w:right w:val="none" w:sz="0" w:space="0" w:color="auto"/>
      </w:divBdr>
    </w:div>
    <w:div w:id="1932740421">
      <w:bodyDiv w:val="1"/>
      <w:marLeft w:val="0"/>
      <w:marRight w:val="0"/>
      <w:marTop w:val="0"/>
      <w:marBottom w:val="0"/>
      <w:divBdr>
        <w:top w:val="none" w:sz="0" w:space="0" w:color="auto"/>
        <w:left w:val="none" w:sz="0" w:space="0" w:color="auto"/>
        <w:bottom w:val="none" w:sz="0" w:space="0" w:color="auto"/>
        <w:right w:val="none" w:sz="0" w:space="0" w:color="auto"/>
      </w:divBdr>
      <w:divsChild>
        <w:div w:id="1717508047">
          <w:marLeft w:val="0"/>
          <w:marRight w:val="0"/>
          <w:marTop w:val="0"/>
          <w:marBottom w:val="480"/>
          <w:divBdr>
            <w:top w:val="none" w:sz="0" w:space="0" w:color="auto"/>
            <w:left w:val="none" w:sz="0" w:space="0" w:color="auto"/>
            <w:bottom w:val="none" w:sz="0" w:space="0" w:color="auto"/>
            <w:right w:val="none" w:sz="0" w:space="0" w:color="auto"/>
          </w:divBdr>
          <w:divsChild>
            <w:div w:id="98122762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43339042">
      <w:bodyDiv w:val="1"/>
      <w:marLeft w:val="0"/>
      <w:marRight w:val="0"/>
      <w:marTop w:val="0"/>
      <w:marBottom w:val="0"/>
      <w:divBdr>
        <w:top w:val="none" w:sz="0" w:space="0" w:color="auto"/>
        <w:left w:val="none" w:sz="0" w:space="0" w:color="auto"/>
        <w:bottom w:val="none" w:sz="0" w:space="0" w:color="auto"/>
        <w:right w:val="none" w:sz="0" w:space="0" w:color="auto"/>
      </w:divBdr>
      <w:divsChild>
        <w:div w:id="865870464">
          <w:marLeft w:val="0"/>
          <w:marRight w:val="0"/>
          <w:marTop w:val="0"/>
          <w:marBottom w:val="450"/>
          <w:divBdr>
            <w:top w:val="none" w:sz="0" w:space="0" w:color="auto"/>
            <w:left w:val="none" w:sz="0" w:space="0" w:color="auto"/>
            <w:bottom w:val="none" w:sz="0" w:space="0" w:color="auto"/>
            <w:right w:val="none" w:sz="0" w:space="0" w:color="auto"/>
          </w:divBdr>
        </w:div>
      </w:divsChild>
    </w:div>
    <w:div w:id="197355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piie.com/blogs/realtime-economics/us-led-effort-diversify-indo-pacific-supply-chains-away-china-runs-counter" TargetMode="External"/><Relationship Id="rId3" Type="http://schemas.openxmlformats.org/officeDocument/2006/relationships/hyperlink" Target="https://www.cips.org/supply-management/news/2023/april/australian-shoppers-feel-more-let-down-by-supply-chains-than-other-regions/" TargetMode="External"/><Relationship Id="rId7" Type="http://schemas.openxmlformats.org/officeDocument/2006/relationships/hyperlink" Target="https://www.news.com.au/technology/motoring/on-the-road/crisis-more-terrifying-than-any-covid-headline-china-ban-threatens-national-standstill/news-story/e2197765c19ba0030ba167911629f241" TargetMode="External"/><Relationship Id="rId12" Type="http://schemas.openxmlformats.org/officeDocument/2006/relationships/hyperlink" Target="https://www.oecd.org/trade/topics/global-value-chains-and-trade/" TargetMode="External"/><Relationship Id="rId2" Type="http://schemas.openxmlformats.org/officeDocument/2006/relationships/hyperlink" Target="https://www.cips.org/supply-management/news/2023/april/australian-shoppers-feel-more-let-down-by-supply-chains-than-other-regions/" TargetMode="External"/><Relationship Id="rId1" Type="http://schemas.openxmlformats.org/officeDocument/2006/relationships/hyperlink" Target="https://www.afr.com/companies/infrastructure/supply-chain-delays-cost-australian-companies-11b-20221025-p5bsms" TargetMode="External"/><Relationship Id="rId6" Type="http://schemas.openxmlformats.org/officeDocument/2006/relationships/hyperlink" Target="https://www.industry.gov.au/trade/office-supply-chain-resilience" TargetMode="External"/><Relationship Id="rId11" Type="http://schemas.openxmlformats.org/officeDocument/2006/relationships/hyperlink" Target="https://www.pwc.com.au/government/government-matters/supply-chain-digitisation-investment.html" TargetMode="External"/><Relationship Id="rId5" Type="http://schemas.openxmlformats.org/officeDocument/2006/relationships/hyperlink" Target="https://www.oecd.org/coronavirus/policy-responses/global-value-chains-efficiency-and-risks-in-the-context-of-covid-19-67c75fdc/" TargetMode="External"/><Relationship Id="rId10" Type="http://schemas.openxmlformats.org/officeDocument/2006/relationships/hyperlink" Target="https://www.afr.com/companies/infrastructure/supply-chain-delays-cost-australian-companies-11b-20221025-p5bsms" TargetMode="External"/><Relationship Id="rId4" Type="http://schemas.openxmlformats.org/officeDocument/2006/relationships/hyperlink" Target="https://www.mckinsey.com/capabilities/growth-marketing-and-sales/our-insights/survey-australian-consumer-sentiment-during-the-coronavirus-crisis" TargetMode="External"/><Relationship Id="rId9" Type="http://schemas.openxmlformats.org/officeDocument/2006/relationships/hyperlink" Target="https://www2.deloitte.com/uk/en/insights/topics/strategy/supply-chain-diversifica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SharedWithUsers xmlns="4195ad5f-cdf2-4c4a-8d9b-b7944a108e98">
      <UserInfo>
        <DisplayName>Chris Yost</DisplayName>
        <AccountId>13</AccountId>
        <AccountType/>
      </UserInfo>
      <UserInfo>
        <DisplayName>Tristan Koens</DisplayName>
        <AccountId>36</AccountId>
        <AccountType/>
      </UserInfo>
    </SharedWithUsers>
    <_ip_UnifiedCompliancePolicyUIAction xmlns="http://schemas.microsoft.com/sharepoint/v3" xsi:nil="true"/>
    <_ip_UnifiedCompliancePolicyProperties xmlns="http://schemas.microsoft.com/sharepoint/v3" xsi:nil="true"/>
    <_dlc_DocId xmlns="4195ad5f-cdf2-4c4a-8d9b-b7944a108e98">DOCID-322795542-41495</_dlc_DocId>
    <_dlc_DocIdUrl xmlns="4195ad5f-cdf2-4c4a-8d9b-b7944a108e98">
      <Url>https://pmc01.sharepoint.com/sites/CRMOBPR/_layouts/15/DocIdRedir.aspx?ID=DOCID-322795542-41495</Url>
      <Description>DOCID-322795542-41495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010372-63A4-4720-973A-E2E5EAE624B4}">
  <ds:schemaRefs>
    <ds:schemaRef ds:uri="http://schemas.openxmlformats.org/officeDocument/2006/bibliography"/>
  </ds:schemaRefs>
</ds:datastoreItem>
</file>

<file path=customXml/itemProps2.xml><?xml version="1.0" encoding="utf-8"?>
<ds:datastoreItem xmlns:ds="http://schemas.openxmlformats.org/officeDocument/2006/customXml" ds:itemID="{34DA811B-D71D-4B7E-822A-811CFF4E8B9C}">
  <ds:schemaRefs>
    <ds:schemaRef ds:uri="http://schemas.microsoft.com/sharepoint/v3/contenttype/forms"/>
  </ds:schemaRefs>
</ds:datastoreItem>
</file>

<file path=customXml/itemProps3.xml><?xml version="1.0" encoding="utf-8"?>
<ds:datastoreItem xmlns:ds="http://schemas.openxmlformats.org/officeDocument/2006/customXml" ds:itemID="{B8E053C1-4A06-4E5B-9BAF-9ADC26F36387}"/>
</file>

<file path=customXml/itemProps4.xml><?xml version="1.0" encoding="utf-8"?>
<ds:datastoreItem xmlns:ds="http://schemas.openxmlformats.org/officeDocument/2006/customXml" ds:itemID="{6F970D6F-38DB-4CB1-AFAD-88175452633C}">
  <ds:schemaRefs>
    <ds:schemaRef ds:uri="http://schemas.microsoft.com/office/2006/documentManagement/types"/>
    <ds:schemaRef ds:uri="http://purl.org/dc/terms/"/>
    <ds:schemaRef ds:uri="d89d6205-6e85-432e-97a3-fd99914d7a2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23822a44-1535-4924-bbe7-e585a55c7633"/>
    <ds:schemaRef ds:uri="http://www.w3.org/XML/1998/namespace"/>
    <ds:schemaRef ds:uri="http://purl.org/dc/elements/1.1/"/>
  </ds:schemaRefs>
</ds:datastoreItem>
</file>

<file path=customXml/itemProps5.xml><?xml version="1.0" encoding="utf-8"?>
<ds:datastoreItem xmlns:ds="http://schemas.openxmlformats.org/officeDocument/2006/customXml" ds:itemID="{38E02918-753D-477A-AE0B-B4CB8C5CB529}"/>
</file>

<file path=docProps/app.xml><?xml version="1.0" encoding="utf-8"?>
<Properties xmlns="http://schemas.openxmlformats.org/officeDocument/2006/extended-properties" xmlns:vt="http://schemas.openxmlformats.org/officeDocument/2006/docPropsVTypes">
  <Template>Normal.dotm</Template>
  <TotalTime>1</TotalTime>
  <Pages>38</Pages>
  <Words>9366</Words>
  <Characters>55480</Characters>
  <Application>Microsoft Office Word</Application>
  <DocSecurity>4</DocSecurity>
  <Lines>1225</Lines>
  <Paragraphs>449</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64547</CharactersWithSpaces>
  <SharedDoc>false</SharedDoc>
  <HLinks>
    <vt:vector size="72" baseType="variant">
      <vt:variant>
        <vt:i4>6225929</vt:i4>
      </vt:variant>
      <vt:variant>
        <vt:i4>33</vt:i4>
      </vt:variant>
      <vt:variant>
        <vt:i4>0</vt:i4>
      </vt:variant>
      <vt:variant>
        <vt:i4>5</vt:i4>
      </vt:variant>
      <vt:variant>
        <vt:lpwstr>https://www.oecd.org/trade/topics/global-value-chains-and-trade/</vt:lpwstr>
      </vt:variant>
      <vt:variant>
        <vt:lpwstr/>
      </vt:variant>
      <vt:variant>
        <vt:i4>6815849</vt:i4>
      </vt:variant>
      <vt:variant>
        <vt:i4>30</vt:i4>
      </vt:variant>
      <vt:variant>
        <vt:i4>0</vt:i4>
      </vt:variant>
      <vt:variant>
        <vt:i4>5</vt:i4>
      </vt:variant>
      <vt:variant>
        <vt:lpwstr>https://www.pwc.com.au/government/government-matters/supply-chain-digitisation-investment.html</vt:lpwstr>
      </vt:variant>
      <vt:variant>
        <vt:lpwstr>:~:text=By%202030%2C%20the%20productivity%20and,broad%20gains%20for%20industry%20too.</vt:lpwstr>
      </vt:variant>
      <vt:variant>
        <vt:i4>7012388</vt:i4>
      </vt:variant>
      <vt:variant>
        <vt:i4>27</vt:i4>
      </vt:variant>
      <vt:variant>
        <vt:i4>0</vt:i4>
      </vt:variant>
      <vt:variant>
        <vt:i4>5</vt:i4>
      </vt:variant>
      <vt:variant>
        <vt:lpwstr>https://www.afr.com/companies/infrastructure/supply-chain-delays-cost-australian-companies-11b-20221025-p5bsms</vt:lpwstr>
      </vt:variant>
      <vt:variant>
        <vt:lpwstr/>
      </vt:variant>
      <vt:variant>
        <vt:i4>6946866</vt:i4>
      </vt:variant>
      <vt:variant>
        <vt:i4>24</vt:i4>
      </vt:variant>
      <vt:variant>
        <vt:i4>0</vt:i4>
      </vt:variant>
      <vt:variant>
        <vt:i4>5</vt:i4>
      </vt:variant>
      <vt:variant>
        <vt:lpwstr>https://www2.deloitte.com/uk/en/insights/topics/strategy/supply-chain-diversification.html</vt:lpwstr>
      </vt:variant>
      <vt:variant>
        <vt:lpwstr/>
      </vt:variant>
      <vt:variant>
        <vt:i4>1769493</vt:i4>
      </vt:variant>
      <vt:variant>
        <vt:i4>21</vt:i4>
      </vt:variant>
      <vt:variant>
        <vt:i4>0</vt:i4>
      </vt:variant>
      <vt:variant>
        <vt:i4>5</vt:i4>
      </vt:variant>
      <vt:variant>
        <vt:lpwstr>https://www.piie.com/blogs/realtime-economics/us-led-effort-diversify-indo-pacific-supply-chains-away-china-runs-counter</vt:lpwstr>
      </vt:variant>
      <vt:variant>
        <vt:lpwstr/>
      </vt:variant>
      <vt:variant>
        <vt:i4>4128880</vt:i4>
      </vt:variant>
      <vt:variant>
        <vt:i4>18</vt:i4>
      </vt:variant>
      <vt:variant>
        <vt:i4>0</vt:i4>
      </vt:variant>
      <vt:variant>
        <vt:i4>5</vt:i4>
      </vt:variant>
      <vt:variant>
        <vt:lpwstr>https://www.news.com.au/technology/motoring/on-the-road/crisis-more-terrifying-than-any-covid-headline-china-ban-threatens-national-standstill/news-story/e2197765c19ba0030ba167911629f241</vt:lpwstr>
      </vt:variant>
      <vt:variant>
        <vt:lpwstr/>
      </vt:variant>
      <vt:variant>
        <vt:i4>5373978</vt:i4>
      </vt:variant>
      <vt:variant>
        <vt:i4>15</vt:i4>
      </vt:variant>
      <vt:variant>
        <vt:i4>0</vt:i4>
      </vt:variant>
      <vt:variant>
        <vt:i4>5</vt:i4>
      </vt:variant>
      <vt:variant>
        <vt:lpwstr>https://www.industry.gov.au/trade/office-supply-chain-resilience</vt:lpwstr>
      </vt:variant>
      <vt:variant>
        <vt:lpwstr/>
      </vt:variant>
      <vt:variant>
        <vt:i4>3211363</vt:i4>
      </vt:variant>
      <vt:variant>
        <vt:i4>12</vt:i4>
      </vt:variant>
      <vt:variant>
        <vt:i4>0</vt:i4>
      </vt:variant>
      <vt:variant>
        <vt:i4>5</vt:i4>
      </vt:variant>
      <vt:variant>
        <vt:lpwstr>https://www.oecd.org/coronavirus/policy-responses/global-value-chains-efficiency-and-risks-in-the-context-of-covid-19-67c75fdc/</vt:lpwstr>
      </vt:variant>
      <vt:variant>
        <vt:lpwstr/>
      </vt:variant>
      <vt:variant>
        <vt:i4>4194393</vt:i4>
      </vt:variant>
      <vt:variant>
        <vt:i4>9</vt:i4>
      </vt:variant>
      <vt:variant>
        <vt:i4>0</vt:i4>
      </vt:variant>
      <vt:variant>
        <vt:i4>5</vt:i4>
      </vt:variant>
      <vt:variant>
        <vt:lpwstr>https://www.mckinsey.com/capabilities/growth-marketing-and-sales/our-insights/survey-australian-consumer-sentiment-during-the-coronavirus-crisis</vt:lpwstr>
      </vt:variant>
      <vt:variant>
        <vt:lpwstr/>
      </vt:variant>
      <vt:variant>
        <vt:i4>6946869</vt:i4>
      </vt:variant>
      <vt:variant>
        <vt:i4>6</vt:i4>
      </vt:variant>
      <vt:variant>
        <vt:i4>0</vt:i4>
      </vt:variant>
      <vt:variant>
        <vt:i4>5</vt:i4>
      </vt:variant>
      <vt:variant>
        <vt:lpwstr>https://www.cips.org/supply-management/news/2023/april/australian-shoppers-feel-more-let-down-by-supply-chains-than-other-regions/</vt:lpwstr>
      </vt:variant>
      <vt:variant>
        <vt:lpwstr/>
      </vt:variant>
      <vt:variant>
        <vt:i4>6946869</vt:i4>
      </vt:variant>
      <vt:variant>
        <vt:i4>3</vt:i4>
      </vt:variant>
      <vt:variant>
        <vt:i4>0</vt:i4>
      </vt:variant>
      <vt:variant>
        <vt:i4>5</vt:i4>
      </vt:variant>
      <vt:variant>
        <vt:lpwstr>https://www.cips.org/supply-management/news/2023/april/australian-shoppers-feel-more-let-down-by-supply-chains-than-other-regions/</vt:lpwstr>
      </vt:variant>
      <vt:variant>
        <vt:lpwstr/>
      </vt:variant>
      <vt:variant>
        <vt:i4>7012388</vt:i4>
      </vt:variant>
      <vt:variant>
        <vt:i4>0</vt:i4>
      </vt:variant>
      <vt:variant>
        <vt:i4>0</vt:i4>
      </vt:variant>
      <vt:variant>
        <vt:i4>5</vt:i4>
      </vt:variant>
      <vt:variant>
        <vt:lpwstr>https://www.afr.com/companies/infrastructure/supply-chain-delays-cost-australian-companies-11b-20221025-p5bsms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Yost</dc:creator>
  <cp:keywords>[SEC=OFFICIAL]</cp:keywords>
  <dc:description/>
  <cp:lastModifiedBy>James Bolt</cp:lastModifiedBy>
  <cp:revision>2</cp:revision>
  <cp:lastPrinted>2023-10-04T23:19:00Z</cp:lastPrinted>
  <dcterms:created xsi:type="dcterms:W3CDTF">2023-11-08T02:02:00Z</dcterms:created>
  <dcterms:modified xsi:type="dcterms:W3CDTF">2023-11-08T02:02:00Z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2023-09-17T06:32:29Z</vt:lpwstr>
  </property>
  <property fmtid="{D5CDD505-2E9C-101B-9397-08002B2CF9AE}" pid="10" name="PM_Markers">
    <vt:lpwstr/>
  </property>
  <property fmtid="{D5CDD505-2E9C-101B-9397-08002B2CF9AE}" pid="11" name="PM_InsertionValue">
    <vt:lpwstr>OFFICIAL</vt:lpwstr>
  </property>
  <property fmtid="{D5CDD505-2E9C-101B-9397-08002B2CF9AE}" pid="12" name="PM_DisplayValueSecClassificationWithQualifier">
    <vt:lpwstr>OFFICIAL</vt:lpwstr>
  </property>
  <property fmtid="{D5CDD505-2E9C-101B-9397-08002B2CF9AE}" pid="13" name="PM_Originating_FileId">
    <vt:lpwstr>E2E681D4A62C47C7903835409FB1B974</vt:lpwstr>
  </property>
  <property fmtid="{D5CDD505-2E9C-101B-9397-08002B2CF9AE}" pid="14" name="PM_ProtectiveMarkingValue_Footer">
    <vt:lpwstr>OFFICIAL</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Display">
    <vt:lpwstr>OFFICIAL</vt:lpwstr>
  </property>
  <property fmtid="{D5CDD505-2E9C-101B-9397-08002B2CF9AE}" pid="18" name="PM_OriginatorDomainName_SHA256">
    <vt:lpwstr>6F3591835F3B2A8A025B00B5BA6418010DA3A17C9C26EA9C049FFD28039489A2</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or_Hash_SHA1">
    <vt:lpwstr>68794B017EDA957AD1B2D0DC6C9302A351F7D1B8</vt:lpwstr>
  </property>
  <property fmtid="{D5CDD505-2E9C-101B-9397-08002B2CF9AE}" pid="24" name="PM_OriginatorUserAccountName_SHA256">
    <vt:lpwstr>9B65BC92DA6EF899C25854839CDD730BAF24CF614C1F110A19DD29B1841AAE0B</vt:lpwstr>
  </property>
  <property fmtid="{D5CDD505-2E9C-101B-9397-08002B2CF9AE}" pid="25" name="ContentTypeId">
    <vt:lpwstr>0x0101009CA239676470E04B809DDC4E24CF2322</vt:lpwstr>
  </property>
  <property fmtid="{D5CDD505-2E9C-101B-9397-08002B2CF9AE}" pid="26" name="DocHub_DocumentType">
    <vt:lpwstr>140;#Evaluation|defa610e-19fa-4ca0-b3b7-de93969f2717</vt:lpwstr>
  </property>
  <property fmtid="{D5CDD505-2E9C-101B-9397-08002B2CF9AE}" pid="27" name="DocHub_SecurityClassification">
    <vt:lpwstr>1;#OFFICIAL|6106d03b-a1a0-4e30-9d91-d5e9fb4314f9</vt:lpwstr>
  </property>
  <property fmtid="{D5CDD505-2E9C-101B-9397-08002B2CF9AE}" pid="28" name="DocHub_WorkActivity">
    <vt:lpwstr/>
  </property>
  <property fmtid="{D5CDD505-2E9C-101B-9397-08002B2CF9AE}" pid="29" name="DocHub_Keywords">
    <vt:lpwstr/>
  </property>
  <property fmtid="{D5CDD505-2E9C-101B-9397-08002B2CF9AE}" pid="30" name="DocHub_Year">
    <vt:lpwstr/>
  </property>
  <property fmtid="{D5CDD505-2E9C-101B-9397-08002B2CF9AE}" pid="31" name="PMHMAC">
    <vt:lpwstr>v=2022.1;a=SHA256;h=EC23E90EDA568117E15E170802F8FB590D81B10FBB584B2ED6D2AEEE1BF6CEEB</vt:lpwstr>
  </property>
  <property fmtid="{D5CDD505-2E9C-101B-9397-08002B2CF9AE}" pid="32" name="PM_Hash_Salt_Prev">
    <vt:lpwstr>007AE7131A066E6A6624897E341A1122</vt:lpwstr>
  </property>
  <property fmtid="{D5CDD505-2E9C-101B-9397-08002B2CF9AE}" pid="33" name="PM_Hash_Salt">
    <vt:lpwstr>4B6D60541D043DB9C63FB41F3658313A</vt:lpwstr>
  </property>
  <property fmtid="{D5CDD505-2E9C-101B-9397-08002B2CF9AE}" pid="34" name="PM_Hash_SHA1">
    <vt:lpwstr>F6B2748824512FB5D0F9410E1C496FDA87463ABC</vt:lpwstr>
  </property>
  <property fmtid="{D5CDD505-2E9C-101B-9397-08002B2CF9AE}" pid="35" name="MediaServiceImageTags">
    <vt:lpwstr/>
  </property>
  <property fmtid="{D5CDD505-2E9C-101B-9397-08002B2CF9AE}" pid="36" name="_dlc_DocIdItemGuid">
    <vt:lpwstr>9a038bd4-9ae3-48e5-87f8-ee17d0282498</vt:lpwstr>
  </property>
</Properties>
</file>