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9615A" w14:textId="77777777" w:rsidR="0080633D" w:rsidRDefault="0080633D" w:rsidP="00BA24FB">
      <w:pPr>
        <w:spacing w:before="360"/>
        <w:ind w:left="-1247"/>
      </w:pPr>
    </w:p>
    <w:p w14:paraId="5B93A9FA" w14:textId="0550B2D8" w:rsidR="008456D5" w:rsidRPr="009B3A80" w:rsidRDefault="00845C59" w:rsidP="00BA24FB">
      <w:pPr>
        <w:spacing w:before="360"/>
        <w:ind w:left="-1247"/>
      </w:pPr>
      <w:r w:rsidRPr="009B3A80">
        <w:rPr>
          <w:noProof/>
          <w:lang w:eastAsia="en-AU"/>
        </w:rPr>
        <mc:AlternateContent>
          <mc:Choice Requires="wps">
            <w:drawing>
              <wp:anchor distT="0" distB="0" distL="114300" distR="114300" simplePos="0" relativeHeight="251658241" behindDoc="0" locked="1" layoutInCell="1" allowOverlap="1" wp14:anchorId="5EB71B1E" wp14:editId="31984509">
                <wp:simplePos x="0" y="0"/>
                <wp:positionH relativeFrom="page">
                  <wp:posOffset>752475</wp:posOffset>
                </wp:positionH>
                <wp:positionV relativeFrom="page">
                  <wp:posOffset>9877425</wp:posOffset>
                </wp:positionV>
                <wp:extent cx="6496050" cy="8667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496050" cy="866775"/>
                        </a:xfrm>
                        <a:prstGeom prst="rect">
                          <a:avLst/>
                        </a:prstGeom>
                        <a:noFill/>
                        <a:ln w="6350">
                          <a:noFill/>
                        </a:ln>
                      </wps:spPr>
                      <wps:txbx>
                        <w:txbxContent>
                          <w:p w14:paraId="476608B1" w14:textId="2D8297BB" w:rsidR="00AE7EFC" w:rsidRDefault="00AE7EFC" w:rsidP="008A39D7">
                            <w:pPr>
                              <w:pStyle w:val="SecurityMarker"/>
                            </w:pPr>
                          </w:p>
                        </w:txbxContent>
                      </wps:txbx>
                      <wps:bodyPr rot="0" spcFirstLastPara="0" vertOverflow="overflow" horzOverflow="overflow" vert="horz" wrap="square" lIns="64800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71B1E" id="_x0000_t202" coordsize="21600,21600" o:spt="202" path="m,l,21600r21600,l21600,xe">
                <v:stroke joinstyle="miter"/>
                <v:path gradientshapeok="t" o:connecttype="rect"/>
              </v:shapetype>
              <v:shape id="Text Box 22" o:spid="_x0000_s1026" type="#_x0000_t202" style="position:absolute;left:0;text-align:left;margin-left:59.25pt;margin-top:777.75pt;width:511.5pt;height:68.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" filled="f" stroked="f" strokeweight=".5pt">
                <v:textbox inset="18mm,0,18mm,7mm">
                  <w:txbxContent>
                    <w:p w14:paraId="476608B1" w14:textId="2D8297BB" w:rsidR="00AE7EFC" w:rsidRDefault="00AE7EFC" w:rsidP="008A39D7">
                      <w:pPr>
                        <w:pStyle w:val="SecurityMarker"/>
                      </w:pPr>
                    </w:p>
                  </w:txbxContent>
                </v:textbox>
                <w10:wrap anchorx="page" anchory="page"/>
                <w10:anchorlock/>
              </v:shape>
            </w:pict>
          </mc:Fallback>
        </mc:AlternateContent>
      </w:r>
      <w:r w:rsidR="00546218" w:rsidRPr="009B3A80">
        <w:rPr>
          <w:noProof/>
          <w:lang w:eastAsia="en-AU"/>
        </w:rPr>
        <w:drawing>
          <wp:anchor distT="0" distB="0" distL="114300" distR="114300" simplePos="0" relativeHeight="251658240" behindDoc="0" locked="1" layoutInCell="1" allowOverlap="1" wp14:anchorId="399D3CC4" wp14:editId="60310484">
            <wp:simplePos x="0" y="0"/>
            <wp:positionH relativeFrom="page">
              <wp:align>center</wp:align>
            </wp:positionH>
            <wp:positionV relativeFrom="page">
              <wp:align>bottom</wp:align>
            </wp:positionV>
            <wp:extent cx="11694240" cy="3931200"/>
            <wp:effectExtent l="0" t="0" r="2540" b="0"/>
            <wp:wrapNone/>
            <wp:docPr id="14" name="Picture 14" descr="Connection graphic" title="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4240" cy="3931200"/>
                    </a:xfrm>
                    <a:prstGeom prst="rect">
                      <a:avLst/>
                    </a:prstGeom>
                  </pic:spPr>
                </pic:pic>
              </a:graphicData>
            </a:graphic>
            <wp14:sizeRelH relativeFrom="margin">
              <wp14:pctWidth>0</wp14:pctWidth>
            </wp14:sizeRelH>
            <wp14:sizeRelV relativeFrom="margin">
              <wp14:pctHeight>0</wp14:pctHeight>
            </wp14:sizeRelV>
          </wp:anchor>
        </w:drawing>
      </w:r>
    </w:p>
    <w:p w14:paraId="4AECCC5D" w14:textId="722D8014" w:rsidR="003261CF" w:rsidRPr="009B3A80" w:rsidRDefault="003261CF" w:rsidP="00402CC1">
      <w:pPr>
        <w:pStyle w:val="AreaHeading"/>
        <w:spacing w:before="960" w:after="120"/>
        <w:ind w:left="0" w:firstLine="0"/>
      </w:pPr>
    </w:p>
    <w:p w14:paraId="7968F5E1" w14:textId="4082A97F" w:rsidR="00FF6CDB" w:rsidRPr="009B3A80" w:rsidRDefault="00E63A0F" w:rsidP="003261CF">
      <w:pPr>
        <w:pStyle w:val="Title"/>
        <w:spacing w:before="600"/>
      </w:pPr>
      <w:r>
        <w:t>Reform to the anti-siphoning scheme</w:t>
      </w:r>
    </w:p>
    <w:p w14:paraId="4AADC0BC" w14:textId="21C868D7" w:rsidR="00DE4FE2" w:rsidRPr="009B3A80" w:rsidRDefault="00801AC0" w:rsidP="00DE4FE2">
      <w:pPr>
        <w:pStyle w:val="Subtitle"/>
      </w:pPr>
      <w:r>
        <w:t>Second</w:t>
      </w:r>
      <w:r w:rsidR="0080633D">
        <w:t xml:space="preserve"> Pass </w:t>
      </w:r>
      <w:r w:rsidR="00D0790D" w:rsidRPr="009B3A80">
        <w:t xml:space="preserve">Impact </w:t>
      </w:r>
      <w:r w:rsidR="001B66A6" w:rsidRPr="009B3A80">
        <w:t>Analysis</w:t>
      </w:r>
    </w:p>
    <w:p w14:paraId="06C7B9DA" w14:textId="7A6BF40B" w:rsidR="00DE4FE2" w:rsidRPr="009B3A80" w:rsidRDefault="00801AC0" w:rsidP="00DE4FE2">
      <w:pPr>
        <w:pStyle w:val="CoverDate"/>
      </w:pPr>
      <w:r>
        <w:t>November 2023</w:t>
      </w:r>
    </w:p>
    <w:p w14:paraId="37319399" w14:textId="0CBA8175" w:rsidR="00DE4FE2" w:rsidRPr="009B3A80" w:rsidRDefault="00DE4FE2" w:rsidP="0022611D">
      <w:pPr>
        <w:pStyle w:val="CoverPhoto"/>
      </w:pPr>
    </w:p>
    <w:p w14:paraId="03F81F4A" w14:textId="77777777" w:rsidR="00DE4FE2" w:rsidRPr="009B3A80" w:rsidRDefault="00DE4FE2"/>
    <w:p w14:paraId="60D51107" w14:textId="77777777" w:rsidR="00DE4FE2" w:rsidRPr="009B3A80" w:rsidRDefault="00DE4FE2">
      <w:pPr>
        <w:sectPr w:rsidR="00DE4FE2" w:rsidRPr="009B3A80" w:rsidSect="00BA24FB">
          <w:headerReference w:type="even" r:id="rId10"/>
          <w:headerReference w:type="default" r:id="rId11"/>
          <w:footerReference w:type="even" r:id="rId12"/>
          <w:footerReference w:type="default" r:id="rId13"/>
          <w:headerReference w:type="first" r:id="rId14"/>
          <w:footerReference w:type="first" r:id="rId15"/>
          <w:pgSz w:w="11906" w:h="16838" w:code="9"/>
          <w:pgMar w:top="340" w:right="1021" w:bottom="1021" w:left="2268" w:header="0" w:footer="397" w:gutter="0"/>
          <w:cols w:space="708"/>
          <w:titlePg/>
          <w:docGrid w:linePitch="360"/>
        </w:sectPr>
      </w:pPr>
    </w:p>
    <w:p w14:paraId="6121FB1A" w14:textId="77777777" w:rsidR="00DE4FE2" w:rsidRPr="009B3A80" w:rsidRDefault="002B7197" w:rsidP="00CF6CFD">
      <w:pPr>
        <w:pStyle w:val="TOCHeading"/>
      </w:pPr>
      <w:r w:rsidRPr="009B3A80">
        <w:lastRenderedPageBreak/>
        <w:t>Table of C</w:t>
      </w:r>
      <w:r w:rsidR="00DE4FE2" w:rsidRPr="009B3A80">
        <w:t>ontents</w:t>
      </w:r>
    </w:p>
    <w:p w14:paraId="2F34074E" w14:textId="46CF48F7" w:rsidR="00366E49" w:rsidRDefault="00A95970">
      <w:pPr>
        <w:pStyle w:val="TOC1"/>
        <w:rPr>
          <w:rFonts w:eastAsiaTheme="minorEastAsia"/>
          <w:b w:val="0"/>
          <w:noProof/>
          <w:color w:val="auto"/>
          <w:sz w:val="22"/>
          <w:u w:val="none"/>
          <w:lang w:eastAsia="en-AU"/>
        </w:rPr>
      </w:pPr>
      <w:r w:rsidRPr="009B3A80">
        <w:fldChar w:fldCharType="begin"/>
      </w:r>
      <w:r w:rsidRPr="009B3A80">
        <w:instrText xml:space="preserve"> TOC \o "3-3" \h \z \t "Heading 1,1,Heading 2,2,Heading 1 Numbered,1,Heading 2 Numbered,2,Appendix Heading 1,1,Attachment Heading 1,1" </w:instrText>
      </w:r>
      <w:r w:rsidRPr="009B3A80">
        <w:fldChar w:fldCharType="separate"/>
      </w:r>
      <w:hyperlink w:anchor="_Toc151053026" w:history="1">
        <w:r w:rsidR="00366E49" w:rsidRPr="004757E5">
          <w:rPr>
            <w:rStyle w:val="Hyperlink"/>
            <w:noProof/>
          </w:rPr>
          <w:t>Summary</w:t>
        </w:r>
        <w:r w:rsidR="00366E49">
          <w:rPr>
            <w:noProof/>
            <w:webHidden/>
          </w:rPr>
          <w:tab/>
        </w:r>
        <w:r w:rsidR="00366E49">
          <w:rPr>
            <w:noProof/>
            <w:webHidden/>
          </w:rPr>
          <w:fldChar w:fldCharType="begin"/>
        </w:r>
        <w:r w:rsidR="00366E49">
          <w:rPr>
            <w:noProof/>
            <w:webHidden/>
          </w:rPr>
          <w:instrText xml:space="preserve"> PAGEREF _Toc151053026 \h </w:instrText>
        </w:r>
        <w:r w:rsidR="00366E49">
          <w:rPr>
            <w:noProof/>
            <w:webHidden/>
          </w:rPr>
        </w:r>
        <w:r w:rsidR="00366E49">
          <w:rPr>
            <w:noProof/>
            <w:webHidden/>
          </w:rPr>
          <w:fldChar w:fldCharType="separate"/>
        </w:r>
        <w:r w:rsidR="00366E49">
          <w:rPr>
            <w:noProof/>
            <w:webHidden/>
          </w:rPr>
          <w:t>4</w:t>
        </w:r>
        <w:r w:rsidR="00366E49">
          <w:rPr>
            <w:noProof/>
            <w:webHidden/>
          </w:rPr>
          <w:fldChar w:fldCharType="end"/>
        </w:r>
      </w:hyperlink>
    </w:p>
    <w:p w14:paraId="7A0915C5" w14:textId="0D0ED5F7" w:rsidR="00366E49" w:rsidRDefault="00CA153E">
      <w:pPr>
        <w:pStyle w:val="TOC2"/>
        <w:rPr>
          <w:rFonts w:eastAsiaTheme="minorEastAsia"/>
          <w:noProof/>
          <w:color w:val="auto"/>
          <w:lang w:eastAsia="en-AU"/>
        </w:rPr>
      </w:pPr>
      <w:hyperlink w:anchor="_Toc151053027" w:history="1">
        <w:r w:rsidR="00366E49" w:rsidRPr="004757E5">
          <w:rPr>
            <w:rStyle w:val="Hyperlink"/>
            <w:noProof/>
          </w:rPr>
          <w:t>Introduction</w:t>
        </w:r>
        <w:r w:rsidR="00366E49">
          <w:rPr>
            <w:noProof/>
            <w:webHidden/>
          </w:rPr>
          <w:tab/>
        </w:r>
        <w:r w:rsidR="00366E49">
          <w:rPr>
            <w:noProof/>
            <w:webHidden/>
          </w:rPr>
          <w:fldChar w:fldCharType="begin"/>
        </w:r>
        <w:r w:rsidR="00366E49">
          <w:rPr>
            <w:noProof/>
            <w:webHidden/>
          </w:rPr>
          <w:instrText xml:space="preserve"> PAGEREF _Toc151053027 \h </w:instrText>
        </w:r>
        <w:r w:rsidR="00366E49">
          <w:rPr>
            <w:noProof/>
            <w:webHidden/>
          </w:rPr>
        </w:r>
        <w:r w:rsidR="00366E49">
          <w:rPr>
            <w:noProof/>
            <w:webHidden/>
          </w:rPr>
          <w:fldChar w:fldCharType="separate"/>
        </w:r>
        <w:r w:rsidR="00366E49">
          <w:rPr>
            <w:noProof/>
            <w:webHidden/>
          </w:rPr>
          <w:t>4</w:t>
        </w:r>
        <w:r w:rsidR="00366E49">
          <w:rPr>
            <w:noProof/>
            <w:webHidden/>
          </w:rPr>
          <w:fldChar w:fldCharType="end"/>
        </w:r>
      </w:hyperlink>
    </w:p>
    <w:p w14:paraId="49952FFC" w14:textId="05F072F9" w:rsidR="00366E49" w:rsidRDefault="00CA153E">
      <w:pPr>
        <w:pStyle w:val="TOC2"/>
        <w:rPr>
          <w:rFonts w:eastAsiaTheme="minorEastAsia"/>
          <w:noProof/>
          <w:color w:val="auto"/>
          <w:lang w:eastAsia="en-AU"/>
        </w:rPr>
      </w:pPr>
      <w:hyperlink w:anchor="_Toc151053028" w:history="1">
        <w:r w:rsidR="00366E49" w:rsidRPr="004757E5">
          <w:rPr>
            <w:rStyle w:val="Hyperlink"/>
            <w:noProof/>
          </w:rPr>
          <w:t>Public consultation</w:t>
        </w:r>
        <w:r w:rsidR="00366E49">
          <w:rPr>
            <w:noProof/>
            <w:webHidden/>
          </w:rPr>
          <w:tab/>
        </w:r>
        <w:r w:rsidR="00366E49">
          <w:rPr>
            <w:noProof/>
            <w:webHidden/>
          </w:rPr>
          <w:fldChar w:fldCharType="begin"/>
        </w:r>
        <w:r w:rsidR="00366E49">
          <w:rPr>
            <w:noProof/>
            <w:webHidden/>
          </w:rPr>
          <w:instrText xml:space="preserve"> PAGEREF _Toc151053028 \h </w:instrText>
        </w:r>
        <w:r w:rsidR="00366E49">
          <w:rPr>
            <w:noProof/>
            <w:webHidden/>
          </w:rPr>
        </w:r>
        <w:r w:rsidR="00366E49">
          <w:rPr>
            <w:noProof/>
            <w:webHidden/>
          </w:rPr>
          <w:fldChar w:fldCharType="separate"/>
        </w:r>
        <w:r w:rsidR="00366E49">
          <w:rPr>
            <w:noProof/>
            <w:webHidden/>
          </w:rPr>
          <w:t>4</w:t>
        </w:r>
        <w:r w:rsidR="00366E49">
          <w:rPr>
            <w:noProof/>
            <w:webHidden/>
          </w:rPr>
          <w:fldChar w:fldCharType="end"/>
        </w:r>
      </w:hyperlink>
    </w:p>
    <w:p w14:paraId="7B5EB57A" w14:textId="1996FAC0" w:rsidR="00366E49" w:rsidRDefault="00CA153E">
      <w:pPr>
        <w:pStyle w:val="TOC2"/>
        <w:rPr>
          <w:rFonts w:eastAsiaTheme="minorEastAsia"/>
          <w:noProof/>
          <w:color w:val="auto"/>
          <w:lang w:eastAsia="en-AU"/>
        </w:rPr>
      </w:pPr>
      <w:hyperlink w:anchor="_Toc151053029" w:history="1">
        <w:r w:rsidR="00366E49" w:rsidRPr="004757E5">
          <w:rPr>
            <w:rStyle w:val="Hyperlink"/>
            <w:noProof/>
          </w:rPr>
          <w:t>Post-consultation analysis</w:t>
        </w:r>
        <w:r w:rsidR="00366E49">
          <w:rPr>
            <w:noProof/>
            <w:webHidden/>
          </w:rPr>
          <w:tab/>
        </w:r>
        <w:r w:rsidR="00366E49">
          <w:rPr>
            <w:noProof/>
            <w:webHidden/>
          </w:rPr>
          <w:fldChar w:fldCharType="begin"/>
        </w:r>
        <w:r w:rsidR="00366E49">
          <w:rPr>
            <w:noProof/>
            <w:webHidden/>
          </w:rPr>
          <w:instrText xml:space="preserve"> PAGEREF _Toc151053029 \h </w:instrText>
        </w:r>
        <w:r w:rsidR="00366E49">
          <w:rPr>
            <w:noProof/>
            <w:webHidden/>
          </w:rPr>
        </w:r>
        <w:r w:rsidR="00366E49">
          <w:rPr>
            <w:noProof/>
            <w:webHidden/>
          </w:rPr>
          <w:fldChar w:fldCharType="separate"/>
        </w:r>
        <w:r w:rsidR="00366E49">
          <w:rPr>
            <w:noProof/>
            <w:webHidden/>
          </w:rPr>
          <w:t>4</w:t>
        </w:r>
        <w:r w:rsidR="00366E49">
          <w:rPr>
            <w:noProof/>
            <w:webHidden/>
          </w:rPr>
          <w:fldChar w:fldCharType="end"/>
        </w:r>
      </w:hyperlink>
    </w:p>
    <w:p w14:paraId="7B650ED7" w14:textId="2577F41D" w:rsidR="00366E49" w:rsidRDefault="00CA153E">
      <w:pPr>
        <w:pStyle w:val="TOC2"/>
        <w:rPr>
          <w:rFonts w:eastAsiaTheme="minorEastAsia"/>
          <w:noProof/>
          <w:color w:val="auto"/>
          <w:lang w:eastAsia="en-AU"/>
        </w:rPr>
      </w:pPr>
      <w:hyperlink w:anchor="_Toc151053030" w:history="1">
        <w:r w:rsidR="00366E49" w:rsidRPr="004757E5">
          <w:rPr>
            <w:rStyle w:val="Hyperlink"/>
            <w:noProof/>
          </w:rPr>
          <w:t>Recommended options</w:t>
        </w:r>
        <w:r w:rsidR="00366E49">
          <w:rPr>
            <w:noProof/>
            <w:webHidden/>
          </w:rPr>
          <w:tab/>
        </w:r>
        <w:r w:rsidR="00366E49">
          <w:rPr>
            <w:noProof/>
            <w:webHidden/>
          </w:rPr>
          <w:fldChar w:fldCharType="begin"/>
        </w:r>
        <w:r w:rsidR="00366E49">
          <w:rPr>
            <w:noProof/>
            <w:webHidden/>
          </w:rPr>
          <w:instrText xml:space="preserve"> PAGEREF _Toc151053030 \h </w:instrText>
        </w:r>
        <w:r w:rsidR="00366E49">
          <w:rPr>
            <w:noProof/>
            <w:webHidden/>
          </w:rPr>
        </w:r>
        <w:r w:rsidR="00366E49">
          <w:rPr>
            <w:noProof/>
            <w:webHidden/>
          </w:rPr>
          <w:fldChar w:fldCharType="separate"/>
        </w:r>
        <w:r w:rsidR="00366E49">
          <w:rPr>
            <w:noProof/>
            <w:webHidden/>
          </w:rPr>
          <w:t>5</w:t>
        </w:r>
        <w:r w:rsidR="00366E49">
          <w:rPr>
            <w:noProof/>
            <w:webHidden/>
          </w:rPr>
          <w:fldChar w:fldCharType="end"/>
        </w:r>
      </w:hyperlink>
    </w:p>
    <w:p w14:paraId="6EF74251" w14:textId="48201A08" w:rsidR="00366E49" w:rsidRDefault="00CA153E">
      <w:pPr>
        <w:pStyle w:val="TOC2"/>
        <w:rPr>
          <w:rFonts w:eastAsiaTheme="minorEastAsia"/>
          <w:noProof/>
          <w:color w:val="auto"/>
          <w:lang w:eastAsia="en-AU"/>
        </w:rPr>
      </w:pPr>
      <w:hyperlink w:anchor="_Toc151053031" w:history="1">
        <w:r w:rsidR="00366E49" w:rsidRPr="004757E5">
          <w:rPr>
            <w:rStyle w:val="Hyperlink"/>
            <w:noProof/>
          </w:rPr>
          <w:t>The Impact Analysis process</w:t>
        </w:r>
        <w:r w:rsidR="00366E49">
          <w:rPr>
            <w:noProof/>
            <w:webHidden/>
          </w:rPr>
          <w:tab/>
        </w:r>
        <w:r w:rsidR="00366E49">
          <w:rPr>
            <w:noProof/>
            <w:webHidden/>
          </w:rPr>
          <w:fldChar w:fldCharType="begin"/>
        </w:r>
        <w:r w:rsidR="00366E49">
          <w:rPr>
            <w:noProof/>
            <w:webHidden/>
          </w:rPr>
          <w:instrText xml:space="preserve"> PAGEREF _Toc151053031 \h </w:instrText>
        </w:r>
        <w:r w:rsidR="00366E49">
          <w:rPr>
            <w:noProof/>
            <w:webHidden/>
          </w:rPr>
        </w:r>
        <w:r w:rsidR="00366E49">
          <w:rPr>
            <w:noProof/>
            <w:webHidden/>
          </w:rPr>
          <w:fldChar w:fldCharType="separate"/>
        </w:r>
        <w:r w:rsidR="00366E49">
          <w:rPr>
            <w:noProof/>
            <w:webHidden/>
          </w:rPr>
          <w:t>6</w:t>
        </w:r>
        <w:r w:rsidR="00366E49">
          <w:rPr>
            <w:noProof/>
            <w:webHidden/>
          </w:rPr>
          <w:fldChar w:fldCharType="end"/>
        </w:r>
      </w:hyperlink>
    </w:p>
    <w:p w14:paraId="1EB81324" w14:textId="35BD89B3" w:rsidR="00366E49" w:rsidRDefault="00CA153E">
      <w:pPr>
        <w:pStyle w:val="TOC1"/>
        <w:rPr>
          <w:rFonts w:eastAsiaTheme="minorEastAsia"/>
          <w:b w:val="0"/>
          <w:noProof/>
          <w:color w:val="auto"/>
          <w:sz w:val="22"/>
          <w:u w:val="none"/>
          <w:lang w:eastAsia="en-AU"/>
        </w:rPr>
      </w:pPr>
      <w:hyperlink w:anchor="_Toc151053032" w:history="1">
        <w:r w:rsidR="00366E49" w:rsidRPr="004757E5">
          <w:rPr>
            <w:rStyle w:val="Hyperlink"/>
            <w:noProof/>
          </w:rPr>
          <w:t>Background</w:t>
        </w:r>
        <w:r w:rsidR="00366E49">
          <w:rPr>
            <w:noProof/>
            <w:webHidden/>
          </w:rPr>
          <w:tab/>
        </w:r>
        <w:r w:rsidR="00366E49">
          <w:rPr>
            <w:noProof/>
            <w:webHidden/>
          </w:rPr>
          <w:fldChar w:fldCharType="begin"/>
        </w:r>
        <w:r w:rsidR="00366E49">
          <w:rPr>
            <w:noProof/>
            <w:webHidden/>
          </w:rPr>
          <w:instrText xml:space="preserve"> PAGEREF _Toc151053032 \h </w:instrText>
        </w:r>
        <w:r w:rsidR="00366E49">
          <w:rPr>
            <w:noProof/>
            <w:webHidden/>
          </w:rPr>
        </w:r>
        <w:r w:rsidR="00366E49">
          <w:rPr>
            <w:noProof/>
            <w:webHidden/>
          </w:rPr>
          <w:fldChar w:fldCharType="separate"/>
        </w:r>
        <w:r w:rsidR="00366E49">
          <w:rPr>
            <w:noProof/>
            <w:webHidden/>
          </w:rPr>
          <w:t>7</w:t>
        </w:r>
        <w:r w:rsidR="00366E49">
          <w:rPr>
            <w:noProof/>
            <w:webHidden/>
          </w:rPr>
          <w:fldChar w:fldCharType="end"/>
        </w:r>
      </w:hyperlink>
    </w:p>
    <w:p w14:paraId="16C30D58" w14:textId="53BAAE22" w:rsidR="00366E49" w:rsidRDefault="00CA153E">
      <w:pPr>
        <w:pStyle w:val="TOC2"/>
        <w:rPr>
          <w:rFonts w:eastAsiaTheme="minorEastAsia"/>
          <w:noProof/>
          <w:color w:val="auto"/>
          <w:lang w:eastAsia="en-AU"/>
        </w:rPr>
      </w:pPr>
      <w:hyperlink w:anchor="_Toc151053033" w:history="1">
        <w:r w:rsidR="00366E49" w:rsidRPr="004757E5">
          <w:rPr>
            <w:rStyle w:val="Hyperlink"/>
            <w:noProof/>
          </w:rPr>
          <w:t>The scheme</w:t>
        </w:r>
        <w:r w:rsidR="00366E49">
          <w:rPr>
            <w:noProof/>
            <w:webHidden/>
          </w:rPr>
          <w:tab/>
        </w:r>
        <w:r w:rsidR="00366E49">
          <w:rPr>
            <w:noProof/>
            <w:webHidden/>
          </w:rPr>
          <w:fldChar w:fldCharType="begin"/>
        </w:r>
        <w:r w:rsidR="00366E49">
          <w:rPr>
            <w:noProof/>
            <w:webHidden/>
          </w:rPr>
          <w:instrText xml:space="preserve"> PAGEREF _Toc151053033 \h </w:instrText>
        </w:r>
        <w:r w:rsidR="00366E49">
          <w:rPr>
            <w:noProof/>
            <w:webHidden/>
          </w:rPr>
        </w:r>
        <w:r w:rsidR="00366E49">
          <w:rPr>
            <w:noProof/>
            <w:webHidden/>
          </w:rPr>
          <w:fldChar w:fldCharType="separate"/>
        </w:r>
        <w:r w:rsidR="00366E49">
          <w:rPr>
            <w:noProof/>
            <w:webHidden/>
          </w:rPr>
          <w:t>7</w:t>
        </w:r>
        <w:r w:rsidR="00366E49">
          <w:rPr>
            <w:noProof/>
            <w:webHidden/>
          </w:rPr>
          <w:fldChar w:fldCharType="end"/>
        </w:r>
      </w:hyperlink>
    </w:p>
    <w:p w14:paraId="53E3A476" w14:textId="5BCF99E5" w:rsidR="00366E49" w:rsidRDefault="00CA153E">
      <w:pPr>
        <w:pStyle w:val="TOC2"/>
        <w:rPr>
          <w:rFonts w:eastAsiaTheme="minorEastAsia"/>
          <w:noProof/>
          <w:color w:val="auto"/>
          <w:lang w:eastAsia="en-AU"/>
        </w:rPr>
      </w:pPr>
      <w:hyperlink w:anchor="_Toc151053034" w:history="1">
        <w:r w:rsidR="00366E49" w:rsidRPr="004757E5">
          <w:rPr>
            <w:rStyle w:val="Hyperlink"/>
            <w:noProof/>
          </w:rPr>
          <w:t>The list</w:t>
        </w:r>
        <w:r w:rsidR="00366E49">
          <w:rPr>
            <w:noProof/>
            <w:webHidden/>
          </w:rPr>
          <w:tab/>
        </w:r>
        <w:r w:rsidR="00366E49">
          <w:rPr>
            <w:noProof/>
            <w:webHidden/>
          </w:rPr>
          <w:fldChar w:fldCharType="begin"/>
        </w:r>
        <w:r w:rsidR="00366E49">
          <w:rPr>
            <w:noProof/>
            <w:webHidden/>
          </w:rPr>
          <w:instrText xml:space="preserve"> PAGEREF _Toc151053034 \h </w:instrText>
        </w:r>
        <w:r w:rsidR="00366E49">
          <w:rPr>
            <w:noProof/>
            <w:webHidden/>
          </w:rPr>
        </w:r>
        <w:r w:rsidR="00366E49">
          <w:rPr>
            <w:noProof/>
            <w:webHidden/>
          </w:rPr>
          <w:fldChar w:fldCharType="separate"/>
        </w:r>
        <w:r w:rsidR="00366E49">
          <w:rPr>
            <w:noProof/>
            <w:webHidden/>
          </w:rPr>
          <w:t>7</w:t>
        </w:r>
        <w:r w:rsidR="00366E49">
          <w:rPr>
            <w:noProof/>
            <w:webHidden/>
          </w:rPr>
          <w:fldChar w:fldCharType="end"/>
        </w:r>
      </w:hyperlink>
    </w:p>
    <w:p w14:paraId="5F29253F" w14:textId="4DA539CF" w:rsidR="00366E49" w:rsidRDefault="00CA153E">
      <w:pPr>
        <w:pStyle w:val="TOC2"/>
        <w:rPr>
          <w:rFonts w:eastAsiaTheme="minorEastAsia"/>
          <w:noProof/>
          <w:color w:val="auto"/>
          <w:lang w:eastAsia="en-AU"/>
        </w:rPr>
      </w:pPr>
      <w:hyperlink w:anchor="_Toc151053035" w:history="1">
        <w:r w:rsidR="00366E49" w:rsidRPr="004757E5">
          <w:rPr>
            <w:rStyle w:val="Hyperlink"/>
            <w:noProof/>
          </w:rPr>
          <w:t>Televised coverage of sport is important to Australians</w:t>
        </w:r>
        <w:r w:rsidR="00366E49">
          <w:rPr>
            <w:noProof/>
            <w:webHidden/>
          </w:rPr>
          <w:tab/>
        </w:r>
        <w:r w:rsidR="00366E49">
          <w:rPr>
            <w:noProof/>
            <w:webHidden/>
          </w:rPr>
          <w:fldChar w:fldCharType="begin"/>
        </w:r>
        <w:r w:rsidR="00366E49">
          <w:rPr>
            <w:noProof/>
            <w:webHidden/>
          </w:rPr>
          <w:instrText xml:space="preserve"> PAGEREF _Toc151053035 \h </w:instrText>
        </w:r>
        <w:r w:rsidR="00366E49">
          <w:rPr>
            <w:noProof/>
            <w:webHidden/>
          </w:rPr>
        </w:r>
        <w:r w:rsidR="00366E49">
          <w:rPr>
            <w:noProof/>
            <w:webHidden/>
          </w:rPr>
          <w:fldChar w:fldCharType="separate"/>
        </w:r>
        <w:r w:rsidR="00366E49">
          <w:rPr>
            <w:noProof/>
            <w:webHidden/>
          </w:rPr>
          <w:t>8</w:t>
        </w:r>
        <w:r w:rsidR="00366E49">
          <w:rPr>
            <w:noProof/>
            <w:webHidden/>
          </w:rPr>
          <w:fldChar w:fldCharType="end"/>
        </w:r>
      </w:hyperlink>
    </w:p>
    <w:p w14:paraId="4886CEAF" w14:textId="63D8E75C" w:rsidR="00366E49" w:rsidRDefault="00CA153E">
      <w:pPr>
        <w:pStyle w:val="TOC2"/>
        <w:rPr>
          <w:rFonts w:eastAsiaTheme="minorEastAsia"/>
          <w:noProof/>
          <w:color w:val="auto"/>
          <w:lang w:eastAsia="en-AU"/>
        </w:rPr>
      </w:pPr>
      <w:hyperlink w:anchor="_Toc151053036" w:history="1">
        <w:r w:rsidR="00366E49" w:rsidRPr="004757E5">
          <w:rPr>
            <w:rStyle w:val="Hyperlink"/>
            <w:noProof/>
          </w:rPr>
          <w:t>Sport remains an important program genre for broadcasters</w:t>
        </w:r>
        <w:r w:rsidR="00366E49">
          <w:rPr>
            <w:noProof/>
            <w:webHidden/>
          </w:rPr>
          <w:tab/>
        </w:r>
        <w:r w:rsidR="00366E49">
          <w:rPr>
            <w:noProof/>
            <w:webHidden/>
          </w:rPr>
          <w:fldChar w:fldCharType="begin"/>
        </w:r>
        <w:r w:rsidR="00366E49">
          <w:rPr>
            <w:noProof/>
            <w:webHidden/>
          </w:rPr>
          <w:instrText xml:space="preserve"> PAGEREF _Toc151053036 \h </w:instrText>
        </w:r>
        <w:r w:rsidR="00366E49">
          <w:rPr>
            <w:noProof/>
            <w:webHidden/>
          </w:rPr>
        </w:r>
        <w:r w:rsidR="00366E49">
          <w:rPr>
            <w:noProof/>
            <w:webHidden/>
          </w:rPr>
          <w:fldChar w:fldCharType="separate"/>
        </w:r>
        <w:r w:rsidR="00366E49">
          <w:rPr>
            <w:noProof/>
            <w:webHidden/>
          </w:rPr>
          <w:t>8</w:t>
        </w:r>
        <w:r w:rsidR="00366E49">
          <w:rPr>
            <w:noProof/>
            <w:webHidden/>
          </w:rPr>
          <w:fldChar w:fldCharType="end"/>
        </w:r>
      </w:hyperlink>
    </w:p>
    <w:p w14:paraId="76B3DF85" w14:textId="35F45296" w:rsidR="00366E49" w:rsidRDefault="00CA153E">
      <w:pPr>
        <w:pStyle w:val="TOC2"/>
        <w:rPr>
          <w:rFonts w:eastAsiaTheme="minorEastAsia"/>
          <w:noProof/>
          <w:color w:val="auto"/>
          <w:lang w:eastAsia="en-AU"/>
        </w:rPr>
      </w:pPr>
      <w:hyperlink w:anchor="_Toc151053037" w:history="1">
        <w:r w:rsidR="00366E49" w:rsidRPr="004757E5">
          <w:rPr>
            <w:rStyle w:val="Hyperlink"/>
            <w:noProof/>
          </w:rPr>
          <w:t>Media rights are a key source of revenue for sporting bodies</w:t>
        </w:r>
        <w:r w:rsidR="00366E49">
          <w:rPr>
            <w:noProof/>
            <w:webHidden/>
          </w:rPr>
          <w:tab/>
        </w:r>
        <w:r w:rsidR="00366E49">
          <w:rPr>
            <w:noProof/>
            <w:webHidden/>
          </w:rPr>
          <w:fldChar w:fldCharType="begin"/>
        </w:r>
        <w:r w:rsidR="00366E49">
          <w:rPr>
            <w:noProof/>
            <w:webHidden/>
          </w:rPr>
          <w:instrText xml:space="preserve"> PAGEREF _Toc151053037 \h </w:instrText>
        </w:r>
        <w:r w:rsidR="00366E49">
          <w:rPr>
            <w:noProof/>
            <w:webHidden/>
          </w:rPr>
        </w:r>
        <w:r w:rsidR="00366E49">
          <w:rPr>
            <w:noProof/>
            <w:webHidden/>
          </w:rPr>
          <w:fldChar w:fldCharType="separate"/>
        </w:r>
        <w:r w:rsidR="00366E49">
          <w:rPr>
            <w:noProof/>
            <w:webHidden/>
          </w:rPr>
          <w:t>10</w:t>
        </w:r>
        <w:r w:rsidR="00366E49">
          <w:rPr>
            <w:noProof/>
            <w:webHidden/>
          </w:rPr>
          <w:fldChar w:fldCharType="end"/>
        </w:r>
      </w:hyperlink>
    </w:p>
    <w:p w14:paraId="6D92EA40" w14:textId="3E0FD2EE" w:rsidR="00366E49" w:rsidRDefault="00CA153E">
      <w:pPr>
        <w:pStyle w:val="TOC2"/>
        <w:rPr>
          <w:rFonts w:eastAsiaTheme="minorEastAsia"/>
          <w:noProof/>
          <w:color w:val="auto"/>
          <w:lang w:eastAsia="en-AU"/>
        </w:rPr>
      </w:pPr>
      <w:hyperlink w:anchor="_Toc151053038" w:history="1">
        <w:r w:rsidR="00366E49" w:rsidRPr="004757E5">
          <w:rPr>
            <w:rStyle w:val="Hyperlink"/>
            <w:noProof/>
          </w:rPr>
          <w:t>Review of the scheme and list</w:t>
        </w:r>
        <w:r w:rsidR="00366E49">
          <w:rPr>
            <w:noProof/>
            <w:webHidden/>
          </w:rPr>
          <w:tab/>
        </w:r>
        <w:r w:rsidR="00366E49">
          <w:rPr>
            <w:noProof/>
            <w:webHidden/>
          </w:rPr>
          <w:fldChar w:fldCharType="begin"/>
        </w:r>
        <w:r w:rsidR="00366E49">
          <w:rPr>
            <w:noProof/>
            <w:webHidden/>
          </w:rPr>
          <w:instrText xml:space="preserve"> PAGEREF _Toc151053038 \h </w:instrText>
        </w:r>
        <w:r w:rsidR="00366E49">
          <w:rPr>
            <w:noProof/>
            <w:webHidden/>
          </w:rPr>
        </w:r>
        <w:r w:rsidR="00366E49">
          <w:rPr>
            <w:noProof/>
            <w:webHidden/>
          </w:rPr>
          <w:fldChar w:fldCharType="separate"/>
        </w:r>
        <w:r w:rsidR="00366E49">
          <w:rPr>
            <w:noProof/>
            <w:webHidden/>
          </w:rPr>
          <w:t>10</w:t>
        </w:r>
        <w:r w:rsidR="00366E49">
          <w:rPr>
            <w:noProof/>
            <w:webHidden/>
          </w:rPr>
          <w:fldChar w:fldCharType="end"/>
        </w:r>
      </w:hyperlink>
    </w:p>
    <w:p w14:paraId="383179AF" w14:textId="37E73CC2" w:rsidR="00366E49" w:rsidRDefault="00CA153E">
      <w:pPr>
        <w:pStyle w:val="TOC1"/>
        <w:rPr>
          <w:rFonts w:eastAsiaTheme="minorEastAsia"/>
          <w:b w:val="0"/>
          <w:noProof/>
          <w:color w:val="auto"/>
          <w:sz w:val="22"/>
          <w:u w:val="none"/>
          <w:lang w:eastAsia="en-AU"/>
        </w:rPr>
      </w:pPr>
      <w:hyperlink w:anchor="_Toc151053039" w:history="1">
        <w:r w:rsidR="00366E49" w:rsidRPr="004757E5">
          <w:rPr>
            <w:rStyle w:val="Hyperlink"/>
            <w:noProof/>
          </w:rPr>
          <w:t>1.</w:t>
        </w:r>
        <w:r w:rsidR="00366E49">
          <w:rPr>
            <w:rFonts w:eastAsiaTheme="minorEastAsia"/>
            <w:b w:val="0"/>
            <w:noProof/>
            <w:color w:val="auto"/>
            <w:sz w:val="22"/>
            <w:u w:val="none"/>
            <w:lang w:eastAsia="en-AU"/>
          </w:rPr>
          <w:tab/>
        </w:r>
        <w:r w:rsidR="00366E49" w:rsidRPr="004757E5">
          <w:rPr>
            <w:rStyle w:val="Hyperlink"/>
            <w:noProof/>
          </w:rPr>
          <w:t>What is the problem?</w:t>
        </w:r>
        <w:r w:rsidR="00366E49">
          <w:rPr>
            <w:noProof/>
            <w:webHidden/>
          </w:rPr>
          <w:tab/>
        </w:r>
        <w:r w:rsidR="00366E49">
          <w:rPr>
            <w:noProof/>
            <w:webHidden/>
          </w:rPr>
          <w:fldChar w:fldCharType="begin"/>
        </w:r>
        <w:r w:rsidR="00366E49">
          <w:rPr>
            <w:noProof/>
            <w:webHidden/>
          </w:rPr>
          <w:instrText xml:space="preserve"> PAGEREF _Toc151053039 \h </w:instrText>
        </w:r>
        <w:r w:rsidR="00366E49">
          <w:rPr>
            <w:noProof/>
            <w:webHidden/>
          </w:rPr>
        </w:r>
        <w:r w:rsidR="00366E49">
          <w:rPr>
            <w:noProof/>
            <w:webHidden/>
          </w:rPr>
          <w:fldChar w:fldCharType="separate"/>
        </w:r>
        <w:r w:rsidR="00366E49">
          <w:rPr>
            <w:noProof/>
            <w:webHidden/>
          </w:rPr>
          <w:t>11</w:t>
        </w:r>
        <w:r w:rsidR="00366E49">
          <w:rPr>
            <w:noProof/>
            <w:webHidden/>
          </w:rPr>
          <w:fldChar w:fldCharType="end"/>
        </w:r>
      </w:hyperlink>
    </w:p>
    <w:p w14:paraId="5D15FFB8" w14:textId="09DE84F7" w:rsidR="00366E49" w:rsidRDefault="00CA153E">
      <w:pPr>
        <w:pStyle w:val="TOC2"/>
        <w:rPr>
          <w:rFonts w:eastAsiaTheme="minorEastAsia"/>
          <w:noProof/>
          <w:color w:val="auto"/>
          <w:lang w:eastAsia="en-AU"/>
        </w:rPr>
      </w:pPr>
      <w:hyperlink w:anchor="_Toc151053040" w:history="1">
        <w:r w:rsidR="00366E49" w:rsidRPr="004757E5">
          <w:rPr>
            <w:rStyle w:val="Hyperlink"/>
            <w:noProof/>
          </w:rPr>
          <w:t>The changing media environment</w:t>
        </w:r>
        <w:r w:rsidR="00366E49">
          <w:rPr>
            <w:noProof/>
            <w:webHidden/>
          </w:rPr>
          <w:tab/>
        </w:r>
        <w:r w:rsidR="00366E49">
          <w:rPr>
            <w:noProof/>
            <w:webHidden/>
          </w:rPr>
          <w:fldChar w:fldCharType="begin"/>
        </w:r>
        <w:r w:rsidR="00366E49">
          <w:rPr>
            <w:noProof/>
            <w:webHidden/>
          </w:rPr>
          <w:instrText xml:space="preserve"> PAGEREF _Toc151053040 \h </w:instrText>
        </w:r>
        <w:r w:rsidR="00366E49">
          <w:rPr>
            <w:noProof/>
            <w:webHidden/>
          </w:rPr>
        </w:r>
        <w:r w:rsidR="00366E49">
          <w:rPr>
            <w:noProof/>
            <w:webHidden/>
          </w:rPr>
          <w:fldChar w:fldCharType="separate"/>
        </w:r>
        <w:r w:rsidR="00366E49">
          <w:rPr>
            <w:noProof/>
            <w:webHidden/>
          </w:rPr>
          <w:t>11</w:t>
        </w:r>
        <w:r w:rsidR="00366E49">
          <w:rPr>
            <w:noProof/>
            <w:webHidden/>
          </w:rPr>
          <w:fldChar w:fldCharType="end"/>
        </w:r>
      </w:hyperlink>
    </w:p>
    <w:p w14:paraId="30002B2F" w14:textId="7A9070C2" w:rsidR="00366E49" w:rsidRDefault="00CA153E">
      <w:pPr>
        <w:pStyle w:val="TOC2"/>
        <w:rPr>
          <w:rFonts w:eastAsiaTheme="minorEastAsia"/>
          <w:noProof/>
          <w:color w:val="auto"/>
          <w:lang w:eastAsia="en-AU"/>
        </w:rPr>
      </w:pPr>
      <w:hyperlink w:anchor="_Toc151053041" w:history="1">
        <w:r w:rsidR="00366E49" w:rsidRPr="004757E5">
          <w:rPr>
            <w:rStyle w:val="Hyperlink"/>
            <w:noProof/>
          </w:rPr>
          <w:t>Gaps in the scheme</w:t>
        </w:r>
        <w:r w:rsidR="00366E49">
          <w:rPr>
            <w:noProof/>
            <w:webHidden/>
          </w:rPr>
          <w:tab/>
        </w:r>
        <w:r w:rsidR="00366E49">
          <w:rPr>
            <w:noProof/>
            <w:webHidden/>
          </w:rPr>
          <w:fldChar w:fldCharType="begin"/>
        </w:r>
        <w:r w:rsidR="00366E49">
          <w:rPr>
            <w:noProof/>
            <w:webHidden/>
          </w:rPr>
          <w:instrText xml:space="preserve"> PAGEREF _Toc151053041 \h </w:instrText>
        </w:r>
        <w:r w:rsidR="00366E49">
          <w:rPr>
            <w:noProof/>
            <w:webHidden/>
          </w:rPr>
        </w:r>
        <w:r w:rsidR="00366E49">
          <w:rPr>
            <w:noProof/>
            <w:webHidden/>
          </w:rPr>
          <w:fldChar w:fldCharType="separate"/>
        </w:r>
        <w:r w:rsidR="00366E49">
          <w:rPr>
            <w:noProof/>
            <w:webHidden/>
          </w:rPr>
          <w:t>12</w:t>
        </w:r>
        <w:r w:rsidR="00366E49">
          <w:rPr>
            <w:noProof/>
            <w:webHidden/>
          </w:rPr>
          <w:fldChar w:fldCharType="end"/>
        </w:r>
      </w:hyperlink>
    </w:p>
    <w:p w14:paraId="11856EC9" w14:textId="2767E4A8" w:rsidR="00366E49" w:rsidRDefault="00CA153E">
      <w:pPr>
        <w:pStyle w:val="TOC3"/>
        <w:tabs>
          <w:tab w:val="right" w:pos="9854"/>
        </w:tabs>
        <w:rPr>
          <w:rFonts w:eastAsiaTheme="minorEastAsia"/>
          <w:noProof/>
          <w:color w:val="auto"/>
          <w:lang w:eastAsia="en-AU"/>
        </w:rPr>
      </w:pPr>
      <w:hyperlink w:anchor="_Toc151053042" w:history="1">
        <w:r w:rsidR="00366E49" w:rsidRPr="004757E5">
          <w:rPr>
            <w:rStyle w:val="Hyperlink"/>
            <w:noProof/>
          </w:rPr>
          <w:t>International approaches and trends</w:t>
        </w:r>
        <w:r w:rsidR="00366E49">
          <w:rPr>
            <w:noProof/>
            <w:webHidden/>
          </w:rPr>
          <w:tab/>
        </w:r>
        <w:r w:rsidR="00366E49">
          <w:rPr>
            <w:noProof/>
            <w:webHidden/>
          </w:rPr>
          <w:fldChar w:fldCharType="begin"/>
        </w:r>
        <w:r w:rsidR="00366E49">
          <w:rPr>
            <w:noProof/>
            <w:webHidden/>
          </w:rPr>
          <w:instrText xml:space="preserve"> PAGEREF _Toc151053042 \h </w:instrText>
        </w:r>
        <w:r w:rsidR="00366E49">
          <w:rPr>
            <w:noProof/>
            <w:webHidden/>
          </w:rPr>
        </w:r>
        <w:r w:rsidR="00366E49">
          <w:rPr>
            <w:noProof/>
            <w:webHidden/>
          </w:rPr>
          <w:fldChar w:fldCharType="separate"/>
        </w:r>
        <w:r w:rsidR="00366E49">
          <w:rPr>
            <w:noProof/>
            <w:webHidden/>
          </w:rPr>
          <w:t>13</w:t>
        </w:r>
        <w:r w:rsidR="00366E49">
          <w:rPr>
            <w:noProof/>
            <w:webHidden/>
          </w:rPr>
          <w:fldChar w:fldCharType="end"/>
        </w:r>
      </w:hyperlink>
    </w:p>
    <w:p w14:paraId="46F7DE26" w14:textId="3B83AE4C" w:rsidR="00366E49" w:rsidRDefault="00CA153E">
      <w:pPr>
        <w:pStyle w:val="TOC3"/>
        <w:tabs>
          <w:tab w:val="right" w:pos="9854"/>
        </w:tabs>
        <w:rPr>
          <w:rFonts w:eastAsiaTheme="minorEastAsia"/>
          <w:noProof/>
          <w:color w:val="auto"/>
          <w:lang w:eastAsia="en-AU"/>
        </w:rPr>
      </w:pPr>
      <w:hyperlink w:anchor="_Toc151053043" w:history="1">
        <w:r w:rsidR="00366E49" w:rsidRPr="004757E5">
          <w:rPr>
            <w:rStyle w:val="Hyperlink"/>
            <w:noProof/>
          </w:rPr>
          <w:t>Impact on Australian audiences</w:t>
        </w:r>
        <w:r w:rsidR="00366E49">
          <w:rPr>
            <w:noProof/>
            <w:webHidden/>
          </w:rPr>
          <w:tab/>
        </w:r>
        <w:r w:rsidR="00366E49">
          <w:rPr>
            <w:noProof/>
            <w:webHidden/>
          </w:rPr>
          <w:fldChar w:fldCharType="begin"/>
        </w:r>
        <w:r w:rsidR="00366E49">
          <w:rPr>
            <w:noProof/>
            <w:webHidden/>
          </w:rPr>
          <w:instrText xml:space="preserve"> PAGEREF _Toc151053043 \h </w:instrText>
        </w:r>
        <w:r w:rsidR="00366E49">
          <w:rPr>
            <w:noProof/>
            <w:webHidden/>
          </w:rPr>
        </w:r>
        <w:r w:rsidR="00366E49">
          <w:rPr>
            <w:noProof/>
            <w:webHidden/>
          </w:rPr>
          <w:fldChar w:fldCharType="separate"/>
        </w:r>
        <w:r w:rsidR="00366E49">
          <w:rPr>
            <w:noProof/>
            <w:webHidden/>
          </w:rPr>
          <w:t>15</w:t>
        </w:r>
        <w:r w:rsidR="00366E49">
          <w:rPr>
            <w:noProof/>
            <w:webHidden/>
          </w:rPr>
          <w:fldChar w:fldCharType="end"/>
        </w:r>
      </w:hyperlink>
    </w:p>
    <w:p w14:paraId="2E123C6F" w14:textId="24B60A00" w:rsidR="00366E49" w:rsidRDefault="00CA153E">
      <w:pPr>
        <w:pStyle w:val="TOC3"/>
        <w:tabs>
          <w:tab w:val="right" w:pos="9854"/>
        </w:tabs>
        <w:rPr>
          <w:rFonts w:eastAsiaTheme="minorEastAsia"/>
          <w:noProof/>
          <w:color w:val="auto"/>
          <w:lang w:eastAsia="en-AU"/>
        </w:rPr>
      </w:pPr>
      <w:hyperlink w:anchor="_Toc151053044" w:history="1">
        <w:r w:rsidR="00366E49" w:rsidRPr="004757E5">
          <w:rPr>
            <w:rStyle w:val="Hyperlink"/>
            <w:noProof/>
          </w:rPr>
          <w:t>Impacts on industry</w:t>
        </w:r>
        <w:r w:rsidR="00366E49">
          <w:rPr>
            <w:noProof/>
            <w:webHidden/>
          </w:rPr>
          <w:tab/>
        </w:r>
        <w:r w:rsidR="00366E49">
          <w:rPr>
            <w:noProof/>
            <w:webHidden/>
          </w:rPr>
          <w:fldChar w:fldCharType="begin"/>
        </w:r>
        <w:r w:rsidR="00366E49">
          <w:rPr>
            <w:noProof/>
            <w:webHidden/>
          </w:rPr>
          <w:instrText xml:space="preserve"> PAGEREF _Toc151053044 \h </w:instrText>
        </w:r>
        <w:r w:rsidR="00366E49">
          <w:rPr>
            <w:noProof/>
            <w:webHidden/>
          </w:rPr>
        </w:r>
        <w:r w:rsidR="00366E49">
          <w:rPr>
            <w:noProof/>
            <w:webHidden/>
          </w:rPr>
          <w:fldChar w:fldCharType="separate"/>
        </w:r>
        <w:r w:rsidR="00366E49">
          <w:rPr>
            <w:noProof/>
            <w:webHidden/>
          </w:rPr>
          <w:t>16</w:t>
        </w:r>
        <w:r w:rsidR="00366E49">
          <w:rPr>
            <w:noProof/>
            <w:webHidden/>
          </w:rPr>
          <w:fldChar w:fldCharType="end"/>
        </w:r>
      </w:hyperlink>
    </w:p>
    <w:p w14:paraId="0CA545FE" w14:textId="69F461E8" w:rsidR="00366E49" w:rsidRDefault="00CA153E">
      <w:pPr>
        <w:pStyle w:val="TOC2"/>
        <w:rPr>
          <w:rFonts w:eastAsiaTheme="minorEastAsia"/>
          <w:noProof/>
          <w:color w:val="auto"/>
          <w:lang w:eastAsia="en-AU"/>
        </w:rPr>
      </w:pPr>
      <w:hyperlink w:anchor="_Toc151053045" w:history="1">
        <w:r w:rsidR="00366E49" w:rsidRPr="004757E5">
          <w:rPr>
            <w:rStyle w:val="Hyperlink"/>
            <w:noProof/>
          </w:rPr>
          <w:t>Imbalances in the list</w:t>
        </w:r>
        <w:r w:rsidR="00366E49">
          <w:rPr>
            <w:noProof/>
            <w:webHidden/>
          </w:rPr>
          <w:tab/>
        </w:r>
        <w:r w:rsidR="00366E49">
          <w:rPr>
            <w:noProof/>
            <w:webHidden/>
          </w:rPr>
          <w:fldChar w:fldCharType="begin"/>
        </w:r>
        <w:r w:rsidR="00366E49">
          <w:rPr>
            <w:noProof/>
            <w:webHidden/>
          </w:rPr>
          <w:instrText xml:space="preserve"> PAGEREF _Toc151053045 \h </w:instrText>
        </w:r>
        <w:r w:rsidR="00366E49">
          <w:rPr>
            <w:noProof/>
            <w:webHidden/>
          </w:rPr>
        </w:r>
        <w:r w:rsidR="00366E49">
          <w:rPr>
            <w:noProof/>
            <w:webHidden/>
          </w:rPr>
          <w:fldChar w:fldCharType="separate"/>
        </w:r>
        <w:r w:rsidR="00366E49">
          <w:rPr>
            <w:noProof/>
            <w:webHidden/>
          </w:rPr>
          <w:t>17</w:t>
        </w:r>
        <w:r w:rsidR="00366E49">
          <w:rPr>
            <w:noProof/>
            <w:webHidden/>
          </w:rPr>
          <w:fldChar w:fldCharType="end"/>
        </w:r>
      </w:hyperlink>
    </w:p>
    <w:p w14:paraId="3B7AE8AE" w14:textId="4980CCE8" w:rsidR="00366E49" w:rsidRDefault="00CA153E">
      <w:pPr>
        <w:pStyle w:val="TOC1"/>
        <w:rPr>
          <w:rFonts w:eastAsiaTheme="minorEastAsia"/>
          <w:b w:val="0"/>
          <w:noProof/>
          <w:color w:val="auto"/>
          <w:sz w:val="22"/>
          <w:u w:val="none"/>
          <w:lang w:eastAsia="en-AU"/>
        </w:rPr>
      </w:pPr>
      <w:hyperlink w:anchor="_Toc151053046" w:history="1">
        <w:r w:rsidR="00366E49" w:rsidRPr="004757E5">
          <w:rPr>
            <w:rStyle w:val="Hyperlink"/>
            <w:noProof/>
          </w:rPr>
          <w:t>2.</w:t>
        </w:r>
        <w:r w:rsidR="00366E49">
          <w:rPr>
            <w:rFonts w:eastAsiaTheme="minorEastAsia"/>
            <w:b w:val="0"/>
            <w:noProof/>
            <w:color w:val="auto"/>
            <w:sz w:val="22"/>
            <w:u w:val="none"/>
            <w:lang w:eastAsia="en-AU"/>
          </w:rPr>
          <w:tab/>
        </w:r>
        <w:r w:rsidR="00366E49" w:rsidRPr="004757E5">
          <w:rPr>
            <w:rStyle w:val="Hyperlink"/>
            <w:noProof/>
          </w:rPr>
          <w:t>Why is Government action needed?</w:t>
        </w:r>
        <w:r w:rsidR="00366E49">
          <w:rPr>
            <w:noProof/>
            <w:webHidden/>
          </w:rPr>
          <w:tab/>
        </w:r>
        <w:r w:rsidR="00366E49">
          <w:rPr>
            <w:noProof/>
            <w:webHidden/>
          </w:rPr>
          <w:fldChar w:fldCharType="begin"/>
        </w:r>
        <w:r w:rsidR="00366E49">
          <w:rPr>
            <w:noProof/>
            <w:webHidden/>
          </w:rPr>
          <w:instrText xml:space="preserve"> PAGEREF _Toc151053046 \h </w:instrText>
        </w:r>
        <w:r w:rsidR="00366E49">
          <w:rPr>
            <w:noProof/>
            <w:webHidden/>
          </w:rPr>
        </w:r>
        <w:r w:rsidR="00366E49">
          <w:rPr>
            <w:noProof/>
            <w:webHidden/>
          </w:rPr>
          <w:fldChar w:fldCharType="separate"/>
        </w:r>
        <w:r w:rsidR="00366E49">
          <w:rPr>
            <w:noProof/>
            <w:webHidden/>
          </w:rPr>
          <w:t>18</w:t>
        </w:r>
        <w:r w:rsidR="00366E49">
          <w:rPr>
            <w:noProof/>
            <w:webHidden/>
          </w:rPr>
          <w:fldChar w:fldCharType="end"/>
        </w:r>
      </w:hyperlink>
    </w:p>
    <w:p w14:paraId="753D3905" w14:textId="7947043E" w:rsidR="00366E49" w:rsidRDefault="00CA153E">
      <w:pPr>
        <w:pStyle w:val="TOC1"/>
        <w:rPr>
          <w:rFonts w:eastAsiaTheme="minorEastAsia"/>
          <w:b w:val="0"/>
          <w:noProof/>
          <w:color w:val="auto"/>
          <w:sz w:val="22"/>
          <w:u w:val="none"/>
          <w:lang w:eastAsia="en-AU"/>
        </w:rPr>
      </w:pPr>
      <w:hyperlink w:anchor="_Toc151053047" w:history="1">
        <w:r w:rsidR="00366E49" w:rsidRPr="004757E5">
          <w:rPr>
            <w:rStyle w:val="Hyperlink"/>
            <w:noProof/>
          </w:rPr>
          <w:t>3.</w:t>
        </w:r>
        <w:r w:rsidR="00366E49">
          <w:rPr>
            <w:rFonts w:eastAsiaTheme="minorEastAsia"/>
            <w:b w:val="0"/>
            <w:noProof/>
            <w:color w:val="auto"/>
            <w:sz w:val="22"/>
            <w:u w:val="none"/>
            <w:lang w:eastAsia="en-AU"/>
          </w:rPr>
          <w:tab/>
        </w:r>
        <w:r w:rsidR="00366E49" w:rsidRPr="004757E5">
          <w:rPr>
            <w:rStyle w:val="Hyperlink"/>
            <w:noProof/>
          </w:rPr>
          <w:t>Policy options considered</w:t>
        </w:r>
        <w:r w:rsidR="00366E49">
          <w:rPr>
            <w:noProof/>
            <w:webHidden/>
          </w:rPr>
          <w:tab/>
        </w:r>
        <w:r w:rsidR="00366E49">
          <w:rPr>
            <w:noProof/>
            <w:webHidden/>
          </w:rPr>
          <w:fldChar w:fldCharType="begin"/>
        </w:r>
        <w:r w:rsidR="00366E49">
          <w:rPr>
            <w:noProof/>
            <w:webHidden/>
          </w:rPr>
          <w:instrText xml:space="preserve"> PAGEREF _Toc151053047 \h </w:instrText>
        </w:r>
        <w:r w:rsidR="00366E49">
          <w:rPr>
            <w:noProof/>
            <w:webHidden/>
          </w:rPr>
        </w:r>
        <w:r w:rsidR="00366E49">
          <w:rPr>
            <w:noProof/>
            <w:webHidden/>
          </w:rPr>
          <w:fldChar w:fldCharType="separate"/>
        </w:r>
        <w:r w:rsidR="00366E49">
          <w:rPr>
            <w:noProof/>
            <w:webHidden/>
          </w:rPr>
          <w:t>20</w:t>
        </w:r>
        <w:r w:rsidR="00366E49">
          <w:rPr>
            <w:noProof/>
            <w:webHidden/>
          </w:rPr>
          <w:fldChar w:fldCharType="end"/>
        </w:r>
      </w:hyperlink>
    </w:p>
    <w:p w14:paraId="48C15E8A" w14:textId="2E315D8D" w:rsidR="00366E49" w:rsidRDefault="00CA153E">
      <w:pPr>
        <w:pStyle w:val="TOC2"/>
        <w:rPr>
          <w:rFonts w:eastAsiaTheme="minorEastAsia"/>
          <w:noProof/>
          <w:color w:val="auto"/>
          <w:lang w:eastAsia="en-AU"/>
        </w:rPr>
      </w:pPr>
      <w:hyperlink w:anchor="_Toc151053048" w:history="1">
        <w:r w:rsidR="00366E49" w:rsidRPr="004757E5">
          <w:rPr>
            <w:rStyle w:val="Hyperlink"/>
            <w:noProof/>
          </w:rPr>
          <w:t>The scheme</w:t>
        </w:r>
        <w:r w:rsidR="00366E49">
          <w:rPr>
            <w:noProof/>
            <w:webHidden/>
          </w:rPr>
          <w:tab/>
        </w:r>
        <w:r w:rsidR="00366E49">
          <w:rPr>
            <w:noProof/>
            <w:webHidden/>
          </w:rPr>
          <w:fldChar w:fldCharType="begin"/>
        </w:r>
        <w:r w:rsidR="00366E49">
          <w:rPr>
            <w:noProof/>
            <w:webHidden/>
          </w:rPr>
          <w:instrText xml:space="preserve"> PAGEREF _Toc151053048 \h </w:instrText>
        </w:r>
        <w:r w:rsidR="00366E49">
          <w:rPr>
            <w:noProof/>
            <w:webHidden/>
          </w:rPr>
        </w:r>
        <w:r w:rsidR="00366E49">
          <w:rPr>
            <w:noProof/>
            <w:webHidden/>
          </w:rPr>
          <w:fldChar w:fldCharType="separate"/>
        </w:r>
        <w:r w:rsidR="00366E49">
          <w:rPr>
            <w:noProof/>
            <w:webHidden/>
          </w:rPr>
          <w:t>20</w:t>
        </w:r>
        <w:r w:rsidR="00366E49">
          <w:rPr>
            <w:noProof/>
            <w:webHidden/>
          </w:rPr>
          <w:fldChar w:fldCharType="end"/>
        </w:r>
      </w:hyperlink>
    </w:p>
    <w:p w14:paraId="3D54B95D" w14:textId="3629009E" w:rsidR="00366E49" w:rsidRDefault="00CA153E">
      <w:pPr>
        <w:pStyle w:val="TOC3"/>
        <w:tabs>
          <w:tab w:val="right" w:pos="9854"/>
        </w:tabs>
        <w:rPr>
          <w:rFonts w:eastAsiaTheme="minorEastAsia"/>
          <w:noProof/>
          <w:color w:val="auto"/>
          <w:lang w:eastAsia="en-AU"/>
        </w:rPr>
      </w:pPr>
      <w:hyperlink w:anchor="_Toc151053049" w:history="1">
        <w:r w:rsidR="00366E49" w:rsidRPr="004757E5">
          <w:rPr>
            <w:rStyle w:val="Hyperlink"/>
            <w:noProof/>
          </w:rPr>
          <w:t>Model 1: ‘free-to-view’</w:t>
        </w:r>
        <w:r w:rsidR="00366E49">
          <w:rPr>
            <w:noProof/>
            <w:webHidden/>
          </w:rPr>
          <w:tab/>
        </w:r>
        <w:r w:rsidR="00366E49">
          <w:rPr>
            <w:noProof/>
            <w:webHidden/>
          </w:rPr>
          <w:fldChar w:fldCharType="begin"/>
        </w:r>
        <w:r w:rsidR="00366E49">
          <w:rPr>
            <w:noProof/>
            <w:webHidden/>
          </w:rPr>
          <w:instrText xml:space="preserve"> PAGEREF _Toc151053049 \h </w:instrText>
        </w:r>
        <w:r w:rsidR="00366E49">
          <w:rPr>
            <w:noProof/>
            <w:webHidden/>
          </w:rPr>
        </w:r>
        <w:r w:rsidR="00366E49">
          <w:rPr>
            <w:noProof/>
            <w:webHidden/>
          </w:rPr>
          <w:fldChar w:fldCharType="separate"/>
        </w:r>
        <w:r w:rsidR="00366E49">
          <w:rPr>
            <w:noProof/>
            <w:webHidden/>
          </w:rPr>
          <w:t>20</w:t>
        </w:r>
        <w:r w:rsidR="00366E49">
          <w:rPr>
            <w:noProof/>
            <w:webHidden/>
          </w:rPr>
          <w:fldChar w:fldCharType="end"/>
        </w:r>
      </w:hyperlink>
    </w:p>
    <w:p w14:paraId="7657E778" w14:textId="2298BBE6" w:rsidR="00366E49" w:rsidRDefault="00CA153E">
      <w:pPr>
        <w:pStyle w:val="TOC3"/>
        <w:tabs>
          <w:tab w:val="right" w:pos="9854"/>
        </w:tabs>
        <w:rPr>
          <w:rFonts w:eastAsiaTheme="minorEastAsia"/>
          <w:noProof/>
          <w:color w:val="auto"/>
          <w:lang w:eastAsia="en-AU"/>
        </w:rPr>
      </w:pPr>
      <w:hyperlink w:anchor="_Toc151053050" w:history="1">
        <w:r w:rsidR="00366E49" w:rsidRPr="004757E5">
          <w:rPr>
            <w:rStyle w:val="Hyperlink"/>
            <w:noProof/>
          </w:rPr>
          <w:t>Model 2: ‘broadcasting safety net’</w:t>
        </w:r>
        <w:r w:rsidR="00366E49">
          <w:rPr>
            <w:noProof/>
            <w:webHidden/>
          </w:rPr>
          <w:tab/>
        </w:r>
        <w:r w:rsidR="00366E49">
          <w:rPr>
            <w:noProof/>
            <w:webHidden/>
          </w:rPr>
          <w:fldChar w:fldCharType="begin"/>
        </w:r>
        <w:r w:rsidR="00366E49">
          <w:rPr>
            <w:noProof/>
            <w:webHidden/>
          </w:rPr>
          <w:instrText xml:space="preserve"> PAGEREF _Toc151053050 \h </w:instrText>
        </w:r>
        <w:r w:rsidR="00366E49">
          <w:rPr>
            <w:noProof/>
            <w:webHidden/>
          </w:rPr>
        </w:r>
        <w:r w:rsidR="00366E49">
          <w:rPr>
            <w:noProof/>
            <w:webHidden/>
          </w:rPr>
          <w:fldChar w:fldCharType="separate"/>
        </w:r>
        <w:r w:rsidR="00366E49">
          <w:rPr>
            <w:noProof/>
            <w:webHidden/>
          </w:rPr>
          <w:t>23</w:t>
        </w:r>
        <w:r w:rsidR="00366E49">
          <w:rPr>
            <w:noProof/>
            <w:webHidden/>
          </w:rPr>
          <w:fldChar w:fldCharType="end"/>
        </w:r>
      </w:hyperlink>
    </w:p>
    <w:p w14:paraId="2557D9C3" w14:textId="01B16C02" w:rsidR="00366E49" w:rsidRDefault="00CA153E">
      <w:pPr>
        <w:pStyle w:val="TOC3"/>
        <w:tabs>
          <w:tab w:val="right" w:pos="9854"/>
        </w:tabs>
        <w:rPr>
          <w:rFonts w:eastAsiaTheme="minorEastAsia"/>
          <w:noProof/>
          <w:color w:val="auto"/>
          <w:lang w:eastAsia="en-AU"/>
        </w:rPr>
      </w:pPr>
      <w:hyperlink w:anchor="_Toc151053051" w:history="1">
        <w:r w:rsidR="00366E49" w:rsidRPr="004757E5">
          <w:rPr>
            <w:rStyle w:val="Hyperlink"/>
            <w:noProof/>
          </w:rPr>
          <w:t>Model 3: ‘free-to-air first’</w:t>
        </w:r>
        <w:r w:rsidR="00366E49">
          <w:rPr>
            <w:noProof/>
            <w:webHidden/>
          </w:rPr>
          <w:tab/>
        </w:r>
        <w:r w:rsidR="00366E49">
          <w:rPr>
            <w:noProof/>
            <w:webHidden/>
          </w:rPr>
          <w:fldChar w:fldCharType="begin"/>
        </w:r>
        <w:r w:rsidR="00366E49">
          <w:rPr>
            <w:noProof/>
            <w:webHidden/>
          </w:rPr>
          <w:instrText xml:space="preserve"> PAGEREF _Toc151053051 \h </w:instrText>
        </w:r>
        <w:r w:rsidR="00366E49">
          <w:rPr>
            <w:noProof/>
            <w:webHidden/>
          </w:rPr>
        </w:r>
        <w:r w:rsidR="00366E49">
          <w:rPr>
            <w:noProof/>
            <w:webHidden/>
          </w:rPr>
          <w:fldChar w:fldCharType="separate"/>
        </w:r>
        <w:r w:rsidR="00366E49">
          <w:rPr>
            <w:noProof/>
            <w:webHidden/>
          </w:rPr>
          <w:t>24</w:t>
        </w:r>
        <w:r w:rsidR="00366E49">
          <w:rPr>
            <w:noProof/>
            <w:webHidden/>
          </w:rPr>
          <w:fldChar w:fldCharType="end"/>
        </w:r>
      </w:hyperlink>
    </w:p>
    <w:p w14:paraId="3649C85C" w14:textId="2DAF2084" w:rsidR="00366E49" w:rsidRDefault="00CA153E">
      <w:pPr>
        <w:pStyle w:val="TOC3"/>
        <w:tabs>
          <w:tab w:val="right" w:pos="9854"/>
        </w:tabs>
        <w:rPr>
          <w:rFonts w:eastAsiaTheme="minorEastAsia"/>
          <w:noProof/>
          <w:color w:val="auto"/>
          <w:lang w:eastAsia="en-AU"/>
        </w:rPr>
      </w:pPr>
      <w:hyperlink w:anchor="_Toc151053052" w:history="1">
        <w:r w:rsidR="00366E49" w:rsidRPr="004757E5">
          <w:rPr>
            <w:rStyle w:val="Hyperlink"/>
            <w:noProof/>
          </w:rPr>
          <w:t>Model 4: ‘status quo’</w:t>
        </w:r>
        <w:r w:rsidR="00366E49">
          <w:rPr>
            <w:noProof/>
            <w:webHidden/>
          </w:rPr>
          <w:tab/>
        </w:r>
        <w:r w:rsidR="00366E49">
          <w:rPr>
            <w:noProof/>
            <w:webHidden/>
          </w:rPr>
          <w:fldChar w:fldCharType="begin"/>
        </w:r>
        <w:r w:rsidR="00366E49">
          <w:rPr>
            <w:noProof/>
            <w:webHidden/>
          </w:rPr>
          <w:instrText xml:space="preserve"> PAGEREF _Toc151053052 \h </w:instrText>
        </w:r>
        <w:r w:rsidR="00366E49">
          <w:rPr>
            <w:noProof/>
            <w:webHidden/>
          </w:rPr>
        </w:r>
        <w:r w:rsidR="00366E49">
          <w:rPr>
            <w:noProof/>
            <w:webHidden/>
          </w:rPr>
          <w:fldChar w:fldCharType="separate"/>
        </w:r>
        <w:r w:rsidR="00366E49">
          <w:rPr>
            <w:noProof/>
            <w:webHidden/>
          </w:rPr>
          <w:t>25</w:t>
        </w:r>
        <w:r w:rsidR="00366E49">
          <w:rPr>
            <w:noProof/>
            <w:webHidden/>
          </w:rPr>
          <w:fldChar w:fldCharType="end"/>
        </w:r>
      </w:hyperlink>
    </w:p>
    <w:p w14:paraId="479845F1" w14:textId="64260332" w:rsidR="00366E49" w:rsidRDefault="00CA153E">
      <w:pPr>
        <w:pStyle w:val="TOC2"/>
        <w:rPr>
          <w:rFonts w:eastAsiaTheme="minorEastAsia"/>
          <w:noProof/>
          <w:color w:val="auto"/>
          <w:lang w:eastAsia="en-AU"/>
        </w:rPr>
      </w:pPr>
      <w:hyperlink w:anchor="_Toc151053053" w:history="1">
        <w:r w:rsidR="00366E49" w:rsidRPr="004757E5">
          <w:rPr>
            <w:rStyle w:val="Hyperlink"/>
            <w:noProof/>
          </w:rPr>
          <w:t>The list</w:t>
        </w:r>
        <w:r w:rsidR="00366E49">
          <w:rPr>
            <w:noProof/>
            <w:webHidden/>
          </w:rPr>
          <w:tab/>
        </w:r>
        <w:r w:rsidR="00366E49">
          <w:rPr>
            <w:noProof/>
            <w:webHidden/>
          </w:rPr>
          <w:fldChar w:fldCharType="begin"/>
        </w:r>
        <w:r w:rsidR="00366E49">
          <w:rPr>
            <w:noProof/>
            <w:webHidden/>
          </w:rPr>
          <w:instrText xml:space="preserve"> PAGEREF _Toc151053053 \h </w:instrText>
        </w:r>
        <w:r w:rsidR="00366E49">
          <w:rPr>
            <w:noProof/>
            <w:webHidden/>
          </w:rPr>
        </w:r>
        <w:r w:rsidR="00366E49">
          <w:rPr>
            <w:noProof/>
            <w:webHidden/>
          </w:rPr>
          <w:fldChar w:fldCharType="separate"/>
        </w:r>
        <w:r w:rsidR="00366E49">
          <w:rPr>
            <w:noProof/>
            <w:webHidden/>
          </w:rPr>
          <w:t>25</w:t>
        </w:r>
        <w:r w:rsidR="00366E49">
          <w:rPr>
            <w:noProof/>
            <w:webHidden/>
          </w:rPr>
          <w:fldChar w:fldCharType="end"/>
        </w:r>
      </w:hyperlink>
    </w:p>
    <w:p w14:paraId="37C00432" w14:textId="5664BFF1" w:rsidR="00366E49" w:rsidRDefault="00CA153E">
      <w:pPr>
        <w:pStyle w:val="TOC3"/>
        <w:tabs>
          <w:tab w:val="right" w:pos="9854"/>
        </w:tabs>
        <w:rPr>
          <w:rFonts w:eastAsiaTheme="minorEastAsia"/>
          <w:noProof/>
          <w:color w:val="auto"/>
          <w:lang w:eastAsia="en-AU"/>
        </w:rPr>
      </w:pPr>
      <w:hyperlink w:anchor="_Toc151053054" w:history="1">
        <w:r w:rsidR="00366E49" w:rsidRPr="004757E5">
          <w:rPr>
            <w:rStyle w:val="Hyperlink"/>
            <w:noProof/>
          </w:rPr>
          <w:t>Option 1: ‘streamlined list’</w:t>
        </w:r>
        <w:r w:rsidR="00366E49">
          <w:rPr>
            <w:noProof/>
            <w:webHidden/>
          </w:rPr>
          <w:tab/>
        </w:r>
        <w:r w:rsidR="00366E49">
          <w:rPr>
            <w:noProof/>
            <w:webHidden/>
          </w:rPr>
          <w:fldChar w:fldCharType="begin"/>
        </w:r>
        <w:r w:rsidR="00366E49">
          <w:rPr>
            <w:noProof/>
            <w:webHidden/>
          </w:rPr>
          <w:instrText xml:space="preserve"> PAGEREF _Toc151053054 \h </w:instrText>
        </w:r>
        <w:r w:rsidR="00366E49">
          <w:rPr>
            <w:noProof/>
            <w:webHidden/>
          </w:rPr>
        </w:r>
        <w:r w:rsidR="00366E49">
          <w:rPr>
            <w:noProof/>
            <w:webHidden/>
          </w:rPr>
          <w:fldChar w:fldCharType="separate"/>
        </w:r>
        <w:r w:rsidR="00366E49">
          <w:rPr>
            <w:noProof/>
            <w:webHidden/>
          </w:rPr>
          <w:t>26</w:t>
        </w:r>
        <w:r w:rsidR="00366E49">
          <w:rPr>
            <w:noProof/>
            <w:webHidden/>
          </w:rPr>
          <w:fldChar w:fldCharType="end"/>
        </w:r>
      </w:hyperlink>
    </w:p>
    <w:p w14:paraId="5C6DBD3E" w14:textId="4D67F2B7" w:rsidR="00366E49" w:rsidRDefault="00CA153E">
      <w:pPr>
        <w:pStyle w:val="TOC3"/>
        <w:tabs>
          <w:tab w:val="right" w:pos="9854"/>
        </w:tabs>
        <w:rPr>
          <w:rFonts w:eastAsiaTheme="minorEastAsia"/>
          <w:noProof/>
          <w:color w:val="auto"/>
          <w:lang w:eastAsia="en-AU"/>
        </w:rPr>
      </w:pPr>
      <w:hyperlink w:anchor="_Toc151053055" w:history="1">
        <w:r w:rsidR="00366E49" w:rsidRPr="004757E5">
          <w:rPr>
            <w:rStyle w:val="Hyperlink"/>
            <w:noProof/>
          </w:rPr>
          <w:t>Option 2: ‘modernised’ list</w:t>
        </w:r>
        <w:r w:rsidR="00366E49">
          <w:rPr>
            <w:noProof/>
            <w:webHidden/>
          </w:rPr>
          <w:tab/>
        </w:r>
        <w:r w:rsidR="00366E49">
          <w:rPr>
            <w:noProof/>
            <w:webHidden/>
          </w:rPr>
          <w:fldChar w:fldCharType="begin"/>
        </w:r>
        <w:r w:rsidR="00366E49">
          <w:rPr>
            <w:noProof/>
            <w:webHidden/>
          </w:rPr>
          <w:instrText xml:space="preserve"> PAGEREF _Toc151053055 \h </w:instrText>
        </w:r>
        <w:r w:rsidR="00366E49">
          <w:rPr>
            <w:noProof/>
            <w:webHidden/>
          </w:rPr>
        </w:r>
        <w:r w:rsidR="00366E49">
          <w:rPr>
            <w:noProof/>
            <w:webHidden/>
          </w:rPr>
          <w:fldChar w:fldCharType="separate"/>
        </w:r>
        <w:r w:rsidR="00366E49">
          <w:rPr>
            <w:noProof/>
            <w:webHidden/>
          </w:rPr>
          <w:t>29</w:t>
        </w:r>
        <w:r w:rsidR="00366E49">
          <w:rPr>
            <w:noProof/>
            <w:webHidden/>
          </w:rPr>
          <w:fldChar w:fldCharType="end"/>
        </w:r>
      </w:hyperlink>
    </w:p>
    <w:p w14:paraId="7901CD82" w14:textId="45BB2A13" w:rsidR="00366E49" w:rsidRDefault="00CA153E">
      <w:pPr>
        <w:pStyle w:val="TOC3"/>
        <w:tabs>
          <w:tab w:val="right" w:pos="9854"/>
        </w:tabs>
        <w:rPr>
          <w:rFonts w:eastAsiaTheme="minorEastAsia"/>
          <w:noProof/>
          <w:color w:val="auto"/>
          <w:lang w:eastAsia="en-AU"/>
        </w:rPr>
      </w:pPr>
      <w:hyperlink w:anchor="_Toc151053056" w:history="1">
        <w:r w:rsidR="00366E49" w:rsidRPr="004757E5">
          <w:rPr>
            <w:rStyle w:val="Hyperlink"/>
            <w:noProof/>
          </w:rPr>
          <w:t>Option 3: ‘expanded’ list</w:t>
        </w:r>
        <w:r w:rsidR="00366E49">
          <w:rPr>
            <w:noProof/>
            <w:webHidden/>
          </w:rPr>
          <w:tab/>
        </w:r>
        <w:r w:rsidR="00366E49">
          <w:rPr>
            <w:noProof/>
            <w:webHidden/>
          </w:rPr>
          <w:fldChar w:fldCharType="begin"/>
        </w:r>
        <w:r w:rsidR="00366E49">
          <w:rPr>
            <w:noProof/>
            <w:webHidden/>
          </w:rPr>
          <w:instrText xml:space="preserve"> PAGEREF _Toc151053056 \h </w:instrText>
        </w:r>
        <w:r w:rsidR="00366E49">
          <w:rPr>
            <w:noProof/>
            <w:webHidden/>
          </w:rPr>
        </w:r>
        <w:r w:rsidR="00366E49">
          <w:rPr>
            <w:noProof/>
            <w:webHidden/>
          </w:rPr>
          <w:fldChar w:fldCharType="separate"/>
        </w:r>
        <w:r w:rsidR="00366E49">
          <w:rPr>
            <w:noProof/>
            <w:webHidden/>
          </w:rPr>
          <w:t>31</w:t>
        </w:r>
        <w:r w:rsidR="00366E49">
          <w:rPr>
            <w:noProof/>
            <w:webHidden/>
          </w:rPr>
          <w:fldChar w:fldCharType="end"/>
        </w:r>
      </w:hyperlink>
    </w:p>
    <w:p w14:paraId="5535FA33" w14:textId="67053E0F" w:rsidR="00366E49" w:rsidRDefault="00CA153E">
      <w:pPr>
        <w:pStyle w:val="TOC3"/>
        <w:tabs>
          <w:tab w:val="right" w:pos="9854"/>
        </w:tabs>
        <w:rPr>
          <w:rFonts w:eastAsiaTheme="minorEastAsia"/>
          <w:noProof/>
          <w:color w:val="auto"/>
          <w:lang w:eastAsia="en-AU"/>
        </w:rPr>
      </w:pPr>
      <w:hyperlink w:anchor="_Toc151053057" w:history="1">
        <w:r w:rsidR="00366E49" w:rsidRPr="004757E5">
          <w:rPr>
            <w:rStyle w:val="Hyperlink"/>
            <w:noProof/>
          </w:rPr>
          <w:t>Option 4: ‘status quo’</w:t>
        </w:r>
        <w:r w:rsidR="00366E49">
          <w:rPr>
            <w:noProof/>
            <w:webHidden/>
          </w:rPr>
          <w:tab/>
        </w:r>
        <w:r w:rsidR="00366E49">
          <w:rPr>
            <w:noProof/>
            <w:webHidden/>
          </w:rPr>
          <w:fldChar w:fldCharType="begin"/>
        </w:r>
        <w:r w:rsidR="00366E49">
          <w:rPr>
            <w:noProof/>
            <w:webHidden/>
          </w:rPr>
          <w:instrText xml:space="preserve"> PAGEREF _Toc151053057 \h </w:instrText>
        </w:r>
        <w:r w:rsidR="00366E49">
          <w:rPr>
            <w:noProof/>
            <w:webHidden/>
          </w:rPr>
        </w:r>
        <w:r w:rsidR="00366E49">
          <w:rPr>
            <w:noProof/>
            <w:webHidden/>
          </w:rPr>
          <w:fldChar w:fldCharType="separate"/>
        </w:r>
        <w:r w:rsidR="00366E49">
          <w:rPr>
            <w:noProof/>
            <w:webHidden/>
          </w:rPr>
          <w:t>34</w:t>
        </w:r>
        <w:r w:rsidR="00366E49">
          <w:rPr>
            <w:noProof/>
            <w:webHidden/>
          </w:rPr>
          <w:fldChar w:fldCharType="end"/>
        </w:r>
      </w:hyperlink>
    </w:p>
    <w:p w14:paraId="12CC47AE" w14:textId="15BE9A80" w:rsidR="00366E49" w:rsidRDefault="00CA153E">
      <w:pPr>
        <w:pStyle w:val="TOC1"/>
        <w:rPr>
          <w:rFonts w:eastAsiaTheme="minorEastAsia"/>
          <w:b w:val="0"/>
          <w:noProof/>
          <w:color w:val="auto"/>
          <w:sz w:val="22"/>
          <w:u w:val="none"/>
          <w:lang w:eastAsia="en-AU"/>
        </w:rPr>
      </w:pPr>
      <w:hyperlink w:anchor="_Toc151053058" w:history="1">
        <w:r w:rsidR="00366E49" w:rsidRPr="004757E5">
          <w:rPr>
            <w:rStyle w:val="Hyperlink"/>
            <w:noProof/>
          </w:rPr>
          <w:t>4.</w:t>
        </w:r>
        <w:r w:rsidR="00366E49">
          <w:rPr>
            <w:rFonts w:eastAsiaTheme="minorEastAsia"/>
            <w:b w:val="0"/>
            <w:noProof/>
            <w:color w:val="auto"/>
            <w:sz w:val="22"/>
            <w:u w:val="none"/>
            <w:lang w:eastAsia="en-AU"/>
          </w:rPr>
          <w:tab/>
        </w:r>
        <w:r w:rsidR="00366E49" w:rsidRPr="004757E5">
          <w:rPr>
            <w:rStyle w:val="Hyperlink"/>
            <w:noProof/>
          </w:rPr>
          <w:t>Impact Analysis</w:t>
        </w:r>
        <w:r w:rsidR="00366E49">
          <w:rPr>
            <w:noProof/>
            <w:webHidden/>
          </w:rPr>
          <w:tab/>
        </w:r>
        <w:r w:rsidR="00366E49">
          <w:rPr>
            <w:noProof/>
            <w:webHidden/>
          </w:rPr>
          <w:fldChar w:fldCharType="begin"/>
        </w:r>
        <w:r w:rsidR="00366E49">
          <w:rPr>
            <w:noProof/>
            <w:webHidden/>
          </w:rPr>
          <w:instrText xml:space="preserve"> PAGEREF _Toc151053058 \h </w:instrText>
        </w:r>
        <w:r w:rsidR="00366E49">
          <w:rPr>
            <w:noProof/>
            <w:webHidden/>
          </w:rPr>
        </w:r>
        <w:r w:rsidR="00366E49">
          <w:rPr>
            <w:noProof/>
            <w:webHidden/>
          </w:rPr>
          <w:fldChar w:fldCharType="separate"/>
        </w:r>
        <w:r w:rsidR="00366E49">
          <w:rPr>
            <w:noProof/>
            <w:webHidden/>
          </w:rPr>
          <w:t>35</w:t>
        </w:r>
        <w:r w:rsidR="00366E49">
          <w:rPr>
            <w:noProof/>
            <w:webHidden/>
          </w:rPr>
          <w:fldChar w:fldCharType="end"/>
        </w:r>
      </w:hyperlink>
    </w:p>
    <w:p w14:paraId="41E686D3" w14:textId="28CB4A49" w:rsidR="00366E49" w:rsidRDefault="00CA153E">
      <w:pPr>
        <w:pStyle w:val="TOC2"/>
        <w:rPr>
          <w:rFonts w:eastAsiaTheme="minorEastAsia"/>
          <w:noProof/>
          <w:color w:val="auto"/>
          <w:lang w:eastAsia="en-AU"/>
        </w:rPr>
      </w:pPr>
      <w:hyperlink w:anchor="_Toc151053059" w:history="1">
        <w:r w:rsidR="00366E49" w:rsidRPr="004757E5">
          <w:rPr>
            <w:rStyle w:val="Hyperlink"/>
            <w:noProof/>
          </w:rPr>
          <w:t>Data assessment</w:t>
        </w:r>
        <w:r w:rsidR="00366E49">
          <w:rPr>
            <w:noProof/>
            <w:webHidden/>
          </w:rPr>
          <w:tab/>
        </w:r>
        <w:r w:rsidR="00366E49">
          <w:rPr>
            <w:noProof/>
            <w:webHidden/>
          </w:rPr>
          <w:fldChar w:fldCharType="begin"/>
        </w:r>
        <w:r w:rsidR="00366E49">
          <w:rPr>
            <w:noProof/>
            <w:webHidden/>
          </w:rPr>
          <w:instrText xml:space="preserve"> PAGEREF _Toc151053059 \h </w:instrText>
        </w:r>
        <w:r w:rsidR="00366E49">
          <w:rPr>
            <w:noProof/>
            <w:webHidden/>
          </w:rPr>
        </w:r>
        <w:r w:rsidR="00366E49">
          <w:rPr>
            <w:noProof/>
            <w:webHidden/>
          </w:rPr>
          <w:fldChar w:fldCharType="separate"/>
        </w:r>
        <w:r w:rsidR="00366E49">
          <w:rPr>
            <w:noProof/>
            <w:webHidden/>
          </w:rPr>
          <w:t>35</w:t>
        </w:r>
        <w:r w:rsidR="00366E49">
          <w:rPr>
            <w:noProof/>
            <w:webHidden/>
          </w:rPr>
          <w:fldChar w:fldCharType="end"/>
        </w:r>
      </w:hyperlink>
    </w:p>
    <w:p w14:paraId="43CF115D" w14:textId="2BE21985" w:rsidR="00366E49" w:rsidRDefault="00CA153E">
      <w:pPr>
        <w:pStyle w:val="TOC2"/>
        <w:rPr>
          <w:rFonts w:eastAsiaTheme="minorEastAsia"/>
          <w:noProof/>
          <w:color w:val="auto"/>
          <w:lang w:eastAsia="en-AU"/>
        </w:rPr>
      </w:pPr>
      <w:hyperlink w:anchor="_Toc151053060" w:history="1">
        <w:r w:rsidR="00366E49" w:rsidRPr="004757E5">
          <w:rPr>
            <w:rStyle w:val="Hyperlink"/>
            <w:noProof/>
          </w:rPr>
          <w:t>The scheme</w:t>
        </w:r>
        <w:r w:rsidR="00366E49">
          <w:rPr>
            <w:noProof/>
            <w:webHidden/>
          </w:rPr>
          <w:tab/>
        </w:r>
        <w:r w:rsidR="00366E49">
          <w:rPr>
            <w:noProof/>
            <w:webHidden/>
          </w:rPr>
          <w:fldChar w:fldCharType="begin"/>
        </w:r>
        <w:r w:rsidR="00366E49">
          <w:rPr>
            <w:noProof/>
            <w:webHidden/>
          </w:rPr>
          <w:instrText xml:space="preserve"> PAGEREF _Toc151053060 \h </w:instrText>
        </w:r>
        <w:r w:rsidR="00366E49">
          <w:rPr>
            <w:noProof/>
            <w:webHidden/>
          </w:rPr>
        </w:r>
        <w:r w:rsidR="00366E49">
          <w:rPr>
            <w:noProof/>
            <w:webHidden/>
          </w:rPr>
          <w:fldChar w:fldCharType="separate"/>
        </w:r>
        <w:r w:rsidR="00366E49">
          <w:rPr>
            <w:noProof/>
            <w:webHidden/>
          </w:rPr>
          <w:t>38</w:t>
        </w:r>
        <w:r w:rsidR="00366E49">
          <w:rPr>
            <w:noProof/>
            <w:webHidden/>
          </w:rPr>
          <w:fldChar w:fldCharType="end"/>
        </w:r>
      </w:hyperlink>
    </w:p>
    <w:p w14:paraId="79D9E5E9" w14:textId="261E1784" w:rsidR="00366E49" w:rsidRDefault="00CA153E">
      <w:pPr>
        <w:pStyle w:val="TOC3"/>
        <w:tabs>
          <w:tab w:val="right" w:pos="9854"/>
        </w:tabs>
        <w:rPr>
          <w:rFonts w:eastAsiaTheme="minorEastAsia"/>
          <w:noProof/>
          <w:color w:val="auto"/>
          <w:lang w:eastAsia="en-AU"/>
        </w:rPr>
      </w:pPr>
      <w:hyperlink w:anchor="_Toc151053061" w:history="1">
        <w:r w:rsidR="00366E49" w:rsidRPr="004757E5">
          <w:rPr>
            <w:rStyle w:val="Hyperlink"/>
            <w:noProof/>
          </w:rPr>
          <w:t>Model 1: ‘free-to-view’</w:t>
        </w:r>
        <w:r w:rsidR="00366E49">
          <w:rPr>
            <w:noProof/>
            <w:webHidden/>
          </w:rPr>
          <w:tab/>
        </w:r>
        <w:r w:rsidR="00366E49">
          <w:rPr>
            <w:noProof/>
            <w:webHidden/>
          </w:rPr>
          <w:fldChar w:fldCharType="begin"/>
        </w:r>
        <w:r w:rsidR="00366E49">
          <w:rPr>
            <w:noProof/>
            <w:webHidden/>
          </w:rPr>
          <w:instrText xml:space="preserve"> PAGEREF _Toc151053061 \h </w:instrText>
        </w:r>
        <w:r w:rsidR="00366E49">
          <w:rPr>
            <w:noProof/>
            <w:webHidden/>
          </w:rPr>
        </w:r>
        <w:r w:rsidR="00366E49">
          <w:rPr>
            <w:noProof/>
            <w:webHidden/>
          </w:rPr>
          <w:fldChar w:fldCharType="separate"/>
        </w:r>
        <w:r w:rsidR="00366E49">
          <w:rPr>
            <w:noProof/>
            <w:webHidden/>
          </w:rPr>
          <w:t>38</w:t>
        </w:r>
        <w:r w:rsidR="00366E49">
          <w:rPr>
            <w:noProof/>
            <w:webHidden/>
          </w:rPr>
          <w:fldChar w:fldCharType="end"/>
        </w:r>
      </w:hyperlink>
    </w:p>
    <w:p w14:paraId="375626A3" w14:textId="7A55EFF2" w:rsidR="00366E49" w:rsidRDefault="00CA153E">
      <w:pPr>
        <w:pStyle w:val="TOC3"/>
        <w:tabs>
          <w:tab w:val="right" w:pos="9854"/>
        </w:tabs>
        <w:rPr>
          <w:rFonts w:eastAsiaTheme="minorEastAsia"/>
          <w:noProof/>
          <w:color w:val="auto"/>
          <w:lang w:eastAsia="en-AU"/>
        </w:rPr>
      </w:pPr>
      <w:hyperlink w:anchor="_Toc151053062" w:history="1">
        <w:r w:rsidR="00366E49" w:rsidRPr="004757E5">
          <w:rPr>
            <w:rStyle w:val="Hyperlink"/>
            <w:noProof/>
          </w:rPr>
          <w:t>Model 2: ‘broadcasting safety net’</w:t>
        </w:r>
        <w:r w:rsidR="00366E49">
          <w:rPr>
            <w:noProof/>
            <w:webHidden/>
          </w:rPr>
          <w:tab/>
        </w:r>
        <w:r w:rsidR="00366E49">
          <w:rPr>
            <w:noProof/>
            <w:webHidden/>
          </w:rPr>
          <w:fldChar w:fldCharType="begin"/>
        </w:r>
        <w:r w:rsidR="00366E49">
          <w:rPr>
            <w:noProof/>
            <w:webHidden/>
          </w:rPr>
          <w:instrText xml:space="preserve"> PAGEREF _Toc151053062 \h </w:instrText>
        </w:r>
        <w:r w:rsidR="00366E49">
          <w:rPr>
            <w:noProof/>
            <w:webHidden/>
          </w:rPr>
        </w:r>
        <w:r w:rsidR="00366E49">
          <w:rPr>
            <w:noProof/>
            <w:webHidden/>
          </w:rPr>
          <w:fldChar w:fldCharType="separate"/>
        </w:r>
        <w:r w:rsidR="00366E49">
          <w:rPr>
            <w:noProof/>
            <w:webHidden/>
          </w:rPr>
          <w:t>43</w:t>
        </w:r>
        <w:r w:rsidR="00366E49">
          <w:rPr>
            <w:noProof/>
            <w:webHidden/>
          </w:rPr>
          <w:fldChar w:fldCharType="end"/>
        </w:r>
      </w:hyperlink>
    </w:p>
    <w:p w14:paraId="7F1512F4" w14:textId="540FCCA6" w:rsidR="00366E49" w:rsidRDefault="00CA153E">
      <w:pPr>
        <w:pStyle w:val="TOC3"/>
        <w:tabs>
          <w:tab w:val="right" w:pos="9854"/>
        </w:tabs>
        <w:rPr>
          <w:rFonts w:eastAsiaTheme="minorEastAsia"/>
          <w:noProof/>
          <w:color w:val="auto"/>
          <w:lang w:eastAsia="en-AU"/>
        </w:rPr>
      </w:pPr>
      <w:hyperlink w:anchor="_Toc151053063" w:history="1">
        <w:r w:rsidR="00366E49" w:rsidRPr="004757E5">
          <w:rPr>
            <w:rStyle w:val="Hyperlink"/>
            <w:noProof/>
          </w:rPr>
          <w:t>Model 3: ‘free-to-air first’</w:t>
        </w:r>
        <w:r w:rsidR="00366E49">
          <w:rPr>
            <w:noProof/>
            <w:webHidden/>
          </w:rPr>
          <w:tab/>
        </w:r>
        <w:r w:rsidR="00366E49">
          <w:rPr>
            <w:noProof/>
            <w:webHidden/>
          </w:rPr>
          <w:fldChar w:fldCharType="begin"/>
        </w:r>
        <w:r w:rsidR="00366E49">
          <w:rPr>
            <w:noProof/>
            <w:webHidden/>
          </w:rPr>
          <w:instrText xml:space="preserve"> PAGEREF _Toc151053063 \h </w:instrText>
        </w:r>
        <w:r w:rsidR="00366E49">
          <w:rPr>
            <w:noProof/>
            <w:webHidden/>
          </w:rPr>
        </w:r>
        <w:r w:rsidR="00366E49">
          <w:rPr>
            <w:noProof/>
            <w:webHidden/>
          </w:rPr>
          <w:fldChar w:fldCharType="separate"/>
        </w:r>
        <w:r w:rsidR="00366E49">
          <w:rPr>
            <w:noProof/>
            <w:webHidden/>
          </w:rPr>
          <w:t>47</w:t>
        </w:r>
        <w:r w:rsidR="00366E49">
          <w:rPr>
            <w:noProof/>
            <w:webHidden/>
          </w:rPr>
          <w:fldChar w:fldCharType="end"/>
        </w:r>
      </w:hyperlink>
    </w:p>
    <w:p w14:paraId="66850F60" w14:textId="6A5ECECF" w:rsidR="00366E49" w:rsidRDefault="00CA153E">
      <w:pPr>
        <w:pStyle w:val="TOC3"/>
        <w:tabs>
          <w:tab w:val="right" w:pos="9854"/>
        </w:tabs>
        <w:rPr>
          <w:rFonts w:eastAsiaTheme="minorEastAsia"/>
          <w:noProof/>
          <w:color w:val="auto"/>
          <w:lang w:eastAsia="en-AU"/>
        </w:rPr>
      </w:pPr>
      <w:hyperlink w:anchor="_Toc151053064" w:history="1">
        <w:r w:rsidR="00366E49" w:rsidRPr="004757E5">
          <w:rPr>
            <w:rStyle w:val="Hyperlink"/>
            <w:noProof/>
          </w:rPr>
          <w:t>Model 4: ‘status quo’</w:t>
        </w:r>
        <w:r w:rsidR="00366E49">
          <w:rPr>
            <w:noProof/>
            <w:webHidden/>
          </w:rPr>
          <w:tab/>
        </w:r>
        <w:r w:rsidR="00366E49">
          <w:rPr>
            <w:noProof/>
            <w:webHidden/>
          </w:rPr>
          <w:fldChar w:fldCharType="begin"/>
        </w:r>
        <w:r w:rsidR="00366E49">
          <w:rPr>
            <w:noProof/>
            <w:webHidden/>
          </w:rPr>
          <w:instrText xml:space="preserve"> PAGEREF _Toc151053064 \h </w:instrText>
        </w:r>
        <w:r w:rsidR="00366E49">
          <w:rPr>
            <w:noProof/>
            <w:webHidden/>
          </w:rPr>
        </w:r>
        <w:r w:rsidR="00366E49">
          <w:rPr>
            <w:noProof/>
            <w:webHidden/>
          </w:rPr>
          <w:fldChar w:fldCharType="separate"/>
        </w:r>
        <w:r w:rsidR="00366E49">
          <w:rPr>
            <w:noProof/>
            <w:webHidden/>
          </w:rPr>
          <w:t>49</w:t>
        </w:r>
        <w:r w:rsidR="00366E49">
          <w:rPr>
            <w:noProof/>
            <w:webHidden/>
          </w:rPr>
          <w:fldChar w:fldCharType="end"/>
        </w:r>
      </w:hyperlink>
    </w:p>
    <w:p w14:paraId="19ABD614" w14:textId="7203F250" w:rsidR="00366E49" w:rsidRDefault="00CA153E">
      <w:pPr>
        <w:pStyle w:val="TOC2"/>
        <w:rPr>
          <w:rFonts w:eastAsiaTheme="minorEastAsia"/>
          <w:noProof/>
          <w:color w:val="auto"/>
          <w:lang w:eastAsia="en-AU"/>
        </w:rPr>
      </w:pPr>
      <w:hyperlink w:anchor="_Toc151053065" w:history="1">
        <w:r w:rsidR="00366E49" w:rsidRPr="004757E5">
          <w:rPr>
            <w:rStyle w:val="Hyperlink"/>
            <w:noProof/>
          </w:rPr>
          <w:t>The list</w:t>
        </w:r>
        <w:r w:rsidR="00366E49">
          <w:rPr>
            <w:noProof/>
            <w:webHidden/>
          </w:rPr>
          <w:tab/>
        </w:r>
        <w:r w:rsidR="00366E49">
          <w:rPr>
            <w:noProof/>
            <w:webHidden/>
          </w:rPr>
          <w:fldChar w:fldCharType="begin"/>
        </w:r>
        <w:r w:rsidR="00366E49">
          <w:rPr>
            <w:noProof/>
            <w:webHidden/>
          </w:rPr>
          <w:instrText xml:space="preserve"> PAGEREF _Toc151053065 \h </w:instrText>
        </w:r>
        <w:r w:rsidR="00366E49">
          <w:rPr>
            <w:noProof/>
            <w:webHidden/>
          </w:rPr>
        </w:r>
        <w:r w:rsidR="00366E49">
          <w:rPr>
            <w:noProof/>
            <w:webHidden/>
          </w:rPr>
          <w:fldChar w:fldCharType="separate"/>
        </w:r>
        <w:r w:rsidR="00366E49">
          <w:rPr>
            <w:noProof/>
            <w:webHidden/>
          </w:rPr>
          <w:t>50</w:t>
        </w:r>
        <w:r w:rsidR="00366E49">
          <w:rPr>
            <w:noProof/>
            <w:webHidden/>
          </w:rPr>
          <w:fldChar w:fldCharType="end"/>
        </w:r>
      </w:hyperlink>
    </w:p>
    <w:p w14:paraId="70408EEF" w14:textId="197F8363" w:rsidR="00366E49" w:rsidRDefault="00CA153E">
      <w:pPr>
        <w:pStyle w:val="TOC3"/>
        <w:tabs>
          <w:tab w:val="right" w:pos="9854"/>
        </w:tabs>
        <w:rPr>
          <w:rFonts w:eastAsiaTheme="minorEastAsia"/>
          <w:noProof/>
          <w:color w:val="auto"/>
          <w:lang w:eastAsia="en-AU"/>
        </w:rPr>
      </w:pPr>
      <w:hyperlink w:anchor="_Toc151053066" w:history="1">
        <w:r w:rsidR="00366E49" w:rsidRPr="004757E5">
          <w:rPr>
            <w:rStyle w:val="Hyperlink"/>
            <w:noProof/>
          </w:rPr>
          <w:t>Option 1: ‘streamlined list’</w:t>
        </w:r>
        <w:r w:rsidR="00366E49">
          <w:rPr>
            <w:noProof/>
            <w:webHidden/>
          </w:rPr>
          <w:tab/>
        </w:r>
        <w:r w:rsidR="00366E49">
          <w:rPr>
            <w:noProof/>
            <w:webHidden/>
          </w:rPr>
          <w:fldChar w:fldCharType="begin"/>
        </w:r>
        <w:r w:rsidR="00366E49">
          <w:rPr>
            <w:noProof/>
            <w:webHidden/>
          </w:rPr>
          <w:instrText xml:space="preserve"> PAGEREF _Toc151053066 \h </w:instrText>
        </w:r>
        <w:r w:rsidR="00366E49">
          <w:rPr>
            <w:noProof/>
            <w:webHidden/>
          </w:rPr>
        </w:r>
        <w:r w:rsidR="00366E49">
          <w:rPr>
            <w:noProof/>
            <w:webHidden/>
          </w:rPr>
          <w:fldChar w:fldCharType="separate"/>
        </w:r>
        <w:r w:rsidR="00366E49">
          <w:rPr>
            <w:noProof/>
            <w:webHidden/>
          </w:rPr>
          <w:t>50</w:t>
        </w:r>
        <w:r w:rsidR="00366E49">
          <w:rPr>
            <w:noProof/>
            <w:webHidden/>
          </w:rPr>
          <w:fldChar w:fldCharType="end"/>
        </w:r>
      </w:hyperlink>
    </w:p>
    <w:p w14:paraId="77B86693" w14:textId="012AE2DD" w:rsidR="00366E49" w:rsidRDefault="00CA153E">
      <w:pPr>
        <w:pStyle w:val="TOC3"/>
        <w:tabs>
          <w:tab w:val="right" w:pos="9854"/>
        </w:tabs>
        <w:rPr>
          <w:rFonts w:eastAsiaTheme="minorEastAsia"/>
          <w:noProof/>
          <w:color w:val="auto"/>
          <w:lang w:eastAsia="en-AU"/>
        </w:rPr>
      </w:pPr>
      <w:hyperlink w:anchor="_Toc151053067" w:history="1">
        <w:r w:rsidR="00366E49" w:rsidRPr="004757E5">
          <w:rPr>
            <w:rStyle w:val="Hyperlink"/>
            <w:noProof/>
          </w:rPr>
          <w:t>Option 2: ‘modernised list’</w:t>
        </w:r>
        <w:r w:rsidR="00366E49">
          <w:rPr>
            <w:noProof/>
            <w:webHidden/>
          </w:rPr>
          <w:tab/>
        </w:r>
        <w:r w:rsidR="00366E49">
          <w:rPr>
            <w:noProof/>
            <w:webHidden/>
          </w:rPr>
          <w:fldChar w:fldCharType="begin"/>
        </w:r>
        <w:r w:rsidR="00366E49">
          <w:rPr>
            <w:noProof/>
            <w:webHidden/>
          </w:rPr>
          <w:instrText xml:space="preserve"> PAGEREF _Toc151053067 \h </w:instrText>
        </w:r>
        <w:r w:rsidR="00366E49">
          <w:rPr>
            <w:noProof/>
            <w:webHidden/>
          </w:rPr>
        </w:r>
        <w:r w:rsidR="00366E49">
          <w:rPr>
            <w:noProof/>
            <w:webHidden/>
          </w:rPr>
          <w:fldChar w:fldCharType="separate"/>
        </w:r>
        <w:r w:rsidR="00366E49">
          <w:rPr>
            <w:noProof/>
            <w:webHidden/>
          </w:rPr>
          <w:t>51</w:t>
        </w:r>
        <w:r w:rsidR="00366E49">
          <w:rPr>
            <w:noProof/>
            <w:webHidden/>
          </w:rPr>
          <w:fldChar w:fldCharType="end"/>
        </w:r>
      </w:hyperlink>
    </w:p>
    <w:p w14:paraId="78440A10" w14:textId="45229F1B" w:rsidR="00366E49" w:rsidRDefault="00CA153E">
      <w:pPr>
        <w:pStyle w:val="TOC3"/>
        <w:tabs>
          <w:tab w:val="right" w:pos="9854"/>
        </w:tabs>
        <w:rPr>
          <w:rFonts w:eastAsiaTheme="minorEastAsia"/>
          <w:noProof/>
          <w:color w:val="auto"/>
          <w:lang w:eastAsia="en-AU"/>
        </w:rPr>
      </w:pPr>
      <w:hyperlink w:anchor="_Toc151053068" w:history="1">
        <w:r w:rsidR="00366E49" w:rsidRPr="004757E5">
          <w:rPr>
            <w:rStyle w:val="Hyperlink"/>
            <w:noProof/>
          </w:rPr>
          <w:t>Option 3: ‘expanded List’</w:t>
        </w:r>
        <w:r w:rsidR="00366E49">
          <w:rPr>
            <w:noProof/>
            <w:webHidden/>
          </w:rPr>
          <w:tab/>
        </w:r>
        <w:r w:rsidR="00366E49">
          <w:rPr>
            <w:noProof/>
            <w:webHidden/>
          </w:rPr>
          <w:fldChar w:fldCharType="begin"/>
        </w:r>
        <w:r w:rsidR="00366E49">
          <w:rPr>
            <w:noProof/>
            <w:webHidden/>
          </w:rPr>
          <w:instrText xml:space="preserve"> PAGEREF _Toc151053068 \h </w:instrText>
        </w:r>
        <w:r w:rsidR="00366E49">
          <w:rPr>
            <w:noProof/>
            <w:webHidden/>
          </w:rPr>
        </w:r>
        <w:r w:rsidR="00366E49">
          <w:rPr>
            <w:noProof/>
            <w:webHidden/>
          </w:rPr>
          <w:fldChar w:fldCharType="separate"/>
        </w:r>
        <w:r w:rsidR="00366E49">
          <w:rPr>
            <w:noProof/>
            <w:webHidden/>
          </w:rPr>
          <w:t>55</w:t>
        </w:r>
        <w:r w:rsidR="00366E49">
          <w:rPr>
            <w:noProof/>
            <w:webHidden/>
          </w:rPr>
          <w:fldChar w:fldCharType="end"/>
        </w:r>
      </w:hyperlink>
    </w:p>
    <w:p w14:paraId="654300F8" w14:textId="675BD12B" w:rsidR="00366E49" w:rsidRDefault="00CA153E">
      <w:pPr>
        <w:pStyle w:val="TOC3"/>
        <w:tabs>
          <w:tab w:val="right" w:pos="9854"/>
        </w:tabs>
        <w:rPr>
          <w:rFonts w:eastAsiaTheme="minorEastAsia"/>
          <w:noProof/>
          <w:color w:val="auto"/>
          <w:lang w:eastAsia="en-AU"/>
        </w:rPr>
      </w:pPr>
      <w:hyperlink w:anchor="_Toc151053069" w:history="1">
        <w:r w:rsidR="00366E49" w:rsidRPr="004757E5">
          <w:rPr>
            <w:rStyle w:val="Hyperlink"/>
            <w:noProof/>
          </w:rPr>
          <w:t>Option 4: ‘status quo’</w:t>
        </w:r>
        <w:r w:rsidR="00366E49">
          <w:rPr>
            <w:noProof/>
            <w:webHidden/>
          </w:rPr>
          <w:tab/>
        </w:r>
        <w:r w:rsidR="00366E49">
          <w:rPr>
            <w:noProof/>
            <w:webHidden/>
          </w:rPr>
          <w:fldChar w:fldCharType="begin"/>
        </w:r>
        <w:r w:rsidR="00366E49">
          <w:rPr>
            <w:noProof/>
            <w:webHidden/>
          </w:rPr>
          <w:instrText xml:space="preserve"> PAGEREF _Toc151053069 \h </w:instrText>
        </w:r>
        <w:r w:rsidR="00366E49">
          <w:rPr>
            <w:noProof/>
            <w:webHidden/>
          </w:rPr>
        </w:r>
        <w:r w:rsidR="00366E49">
          <w:rPr>
            <w:noProof/>
            <w:webHidden/>
          </w:rPr>
          <w:fldChar w:fldCharType="separate"/>
        </w:r>
        <w:r w:rsidR="00366E49">
          <w:rPr>
            <w:noProof/>
            <w:webHidden/>
          </w:rPr>
          <w:t>58</w:t>
        </w:r>
        <w:r w:rsidR="00366E49">
          <w:rPr>
            <w:noProof/>
            <w:webHidden/>
          </w:rPr>
          <w:fldChar w:fldCharType="end"/>
        </w:r>
      </w:hyperlink>
    </w:p>
    <w:p w14:paraId="56891F5B" w14:textId="410E689F" w:rsidR="00366E49" w:rsidRDefault="00CA153E">
      <w:pPr>
        <w:pStyle w:val="TOC1"/>
        <w:rPr>
          <w:rFonts w:eastAsiaTheme="minorEastAsia"/>
          <w:b w:val="0"/>
          <w:noProof/>
          <w:color w:val="auto"/>
          <w:sz w:val="22"/>
          <w:u w:val="none"/>
          <w:lang w:eastAsia="en-AU"/>
        </w:rPr>
      </w:pPr>
      <w:hyperlink w:anchor="_Toc151053070" w:history="1">
        <w:r w:rsidR="00366E49" w:rsidRPr="004757E5">
          <w:rPr>
            <w:rStyle w:val="Hyperlink"/>
            <w:noProof/>
          </w:rPr>
          <w:t>5.</w:t>
        </w:r>
        <w:r w:rsidR="00366E49">
          <w:rPr>
            <w:rFonts w:eastAsiaTheme="minorEastAsia"/>
            <w:b w:val="0"/>
            <w:noProof/>
            <w:color w:val="auto"/>
            <w:sz w:val="22"/>
            <w:u w:val="none"/>
            <w:lang w:eastAsia="en-AU"/>
          </w:rPr>
          <w:tab/>
        </w:r>
        <w:r w:rsidR="00366E49" w:rsidRPr="004757E5">
          <w:rPr>
            <w:rStyle w:val="Hyperlink"/>
            <w:noProof/>
          </w:rPr>
          <w:t>Consultation</w:t>
        </w:r>
        <w:r w:rsidR="00366E49">
          <w:rPr>
            <w:noProof/>
            <w:webHidden/>
          </w:rPr>
          <w:tab/>
        </w:r>
        <w:r w:rsidR="00366E49">
          <w:rPr>
            <w:noProof/>
            <w:webHidden/>
          </w:rPr>
          <w:fldChar w:fldCharType="begin"/>
        </w:r>
        <w:r w:rsidR="00366E49">
          <w:rPr>
            <w:noProof/>
            <w:webHidden/>
          </w:rPr>
          <w:instrText xml:space="preserve"> PAGEREF _Toc151053070 \h </w:instrText>
        </w:r>
        <w:r w:rsidR="00366E49">
          <w:rPr>
            <w:noProof/>
            <w:webHidden/>
          </w:rPr>
        </w:r>
        <w:r w:rsidR="00366E49">
          <w:rPr>
            <w:noProof/>
            <w:webHidden/>
          </w:rPr>
          <w:fldChar w:fldCharType="separate"/>
        </w:r>
        <w:r w:rsidR="00366E49">
          <w:rPr>
            <w:noProof/>
            <w:webHidden/>
          </w:rPr>
          <w:t>59</w:t>
        </w:r>
        <w:r w:rsidR="00366E49">
          <w:rPr>
            <w:noProof/>
            <w:webHidden/>
          </w:rPr>
          <w:fldChar w:fldCharType="end"/>
        </w:r>
      </w:hyperlink>
    </w:p>
    <w:p w14:paraId="6584CA29" w14:textId="7A15476C" w:rsidR="00366E49" w:rsidRDefault="00CA153E">
      <w:pPr>
        <w:pStyle w:val="TOC2"/>
        <w:rPr>
          <w:rFonts w:eastAsiaTheme="minorEastAsia"/>
          <w:noProof/>
          <w:color w:val="auto"/>
          <w:lang w:eastAsia="en-AU"/>
        </w:rPr>
      </w:pPr>
      <w:hyperlink w:anchor="_Toc151053071" w:history="1">
        <w:r w:rsidR="00366E49" w:rsidRPr="004757E5">
          <w:rPr>
            <w:rStyle w:val="Hyperlink"/>
            <w:noProof/>
          </w:rPr>
          <w:t>Public consultation</w:t>
        </w:r>
        <w:r w:rsidR="00366E49">
          <w:rPr>
            <w:noProof/>
            <w:webHidden/>
          </w:rPr>
          <w:tab/>
        </w:r>
        <w:r w:rsidR="00366E49">
          <w:rPr>
            <w:noProof/>
            <w:webHidden/>
          </w:rPr>
          <w:fldChar w:fldCharType="begin"/>
        </w:r>
        <w:r w:rsidR="00366E49">
          <w:rPr>
            <w:noProof/>
            <w:webHidden/>
          </w:rPr>
          <w:instrText xml:space="preserve"> PAGEREF _Toc151053071 \h </w:instrText>
        </w:r>
        <w:r w:rsidR="00366E49">
          <w:rPr>
            <w:noProof/>
            <w:webHidden/>
          </w:rPr>
        </w:r>
        <w:r w:rsidR="00366E49">
          <w:rPr>
            <w:noProof/>
            <w:webHidden/>
          </w:rPr>
          <w:fldChar w:fldCharType="separate"/>
        </w:r>
        <w:r w:rsidR="00366E49">
          <w:rPr>
            <w:noProof/>
            <w:webHidden/>
          </w:rPr>
          <w:t>60</w:t>
        </w:r>
        <w:r w:rsidR="00366E49">
          <w:rPr>
            <w:noProof/>
            <w:webHidden/>
          </w:rPr>
          <w:fldChar w:fldCharType="end"/>
        </w:r>
      </w:hyperlink>
    </w:p>
    <w:p w14:paraId="324C7A83" w14:textId="44135820" w:rsidR="00366E49" w:rsidRDefault="00CA153E">
      <w:pPr>
        <w:pStyle w:val="TOC2"/>
        <w:rPr>
          <w:rFonts w:eastAsiaTheme="minorEastAsia"/>
          <w:noProof/>
          <w:color w:val="auto"/>
          <w:lang w:eastAsia="en-AU"/>
        </w:rPr>
      </w:pPr>
      <w:hyperlink w:anchor="_Toc151053072" w:history="1">
        <w:r w:rsidR="00366E49" w:rsidRPr="004757E5">
          <w:rPr>
            <w:rStyle w:val="Hyperlink"/>
            <w:noProof/>
          </w:rPr>
          <w:t>Post-consultation analysis</w:t>
        </w:r>
        <w:r w:rsidR="00366E49">
          <w:rPr>
            <w:noProof/>
            <w:webHidden/>
          </w:rPr>
          <w:tab/>
        </w:r>
        <w:r w:rsidR="00366E49">
          <w:rPr>
            <w:noProof/>
            <w:webHidden/>
          </w:rPr>
          <w:fldChar w:fldCharType="begin"/>
        </w:r>
        <w:r w:rsidR="00366E49">
          <w:rPr>
            <w:noProof/>
            <w:webHidden/>
          </w:rPr>
          <w:instrText xml:space="preserve"> PAGEREF _Toc151053072 \h </w:instrText>
        </w:r>
        <w:r w:rsidR="00366E49">
          <w:rPr>
            <w:noProof/>
            <w:webHidden/>
          </w:rPr>
        </w:r>
        <w:r w:rsidR="00366E49">
          <w:rPr>
            <w:noProof/>
            <w:webHidden/>
          </w:rPr>
          <w:fldChar w:fldCharType="separate"/>
        </w:r>
        <w:r w:rsidR="00366E49">
          <w:rPr>
            <w:noProof/>
            <w:webHidden/>
          </w:rPr>
          <w:t>61</w:t>
        </w:r>
        <w:r w:rsidR="00366E49">
          <w:rPr>
            <w:noProof/>
            <w:webHidden/>
          </w:rPr>
          <w:fldChar w:fldCharType="end"/>
        </w:r>
      </w:hyperlink>
    </w:p>
    <w:p w14:paraId="3B04B17B" w14:textId="66376028" w:rsidR="00366E49" w:rsidRDefault="00CA153E">
      <w:pPr>
        <w:pStyle w:val="TOC1"/>
        <w:rPr>
          <w:rFonts w:eastAsiaTheme="minorEastAsia"/>
          <w:b w:val="0"/>
          <w:noProof/>
          <w:color w:val="auto"/>
          <w:sz w:val="22"/>
          <w:u w:val="none"/>
          <w:lang w:eastAsia="en-AU"/>
        </w:rPr>
      </w:pPr>
      <w:hyperlink w:anchor="_Toc151053073" w:history="1">
        <w:r w:rsidR="00366E49" w:rsidRPr="004757E5">
          <w:rPr>
            <w:rStyle w:val="Hyperlink"/>
            <w:noProof/>
          </w:rPr>
          <w:t>6.</w:t>
        </w:r>
        <w:r w:rsidR="00366E49">
          <w:rPr>
            <w:rFonts w:eastAsiaTheme="minorEastAsia"/>
            <w:b w:val="0"/>
            <w:noProof/>
            <w:color w:val="auto"/>
            <w:sz w:val="22"/>
            <w:u w:val="none"/>
            <w:lang w:eastAsia="en-AU"/>
          </w:rPr>
          <w:tab/>
        </w:r>
        <w:r w:rsidR="00366E49" w:rsidRPr="004757E5">
          <w:rPr>
            <w:rStyle w:val="Hyperlink"/>
            <w:noProof/>
          </w:rPr>
          <w:t>What is the best option?</w:t>
        </w:r>
        <w:r w:rsidR="00366E49">
          <w:rPr>
            <w:noProof/>
            <w:webHidden/>
          </w:rPr>
          <w:tab/>
        </w:r>
        <w:r w:rsidR="00366E49">
          <w:rPr>
            <w:noProof/>
            <w:webHidden/>
          </w:rPr>
          <w:fldChar w:fldCharType="begin"/>
        </w:r>
        <w:r w:rsidR="00366E49">
          <w:rPr>
            <w:noProof/>
            <w:webHidden/>
          </w:rPr>
          <w:instrText xml:space="preserve"> PAGEREF _Toc151053073 \h </w:instrText>
        </w:r>
        <w:r w:rsidR="00366E49">
          <w:rPr>
            <w:noProof/>
            <w:webHidden/>
          </w:rPr>
        </w:r>
        <w:r w:rsidR="00366E49">
          <w:rPr>
            <w:noProof/>
            <w:webHidden/>
          </w:rPr>
          <w:fldChar w:fldCharType="separate"/>
        </w:r>
        <w:r w:rsidR="00366E49">
          <w:rPr>
            <w:noProof/>
            <w:webHidden/>
          </w:rPr>
          <w:t>61</w:t>
        </w:r>
        <w:r w:rsidR="00366E49">
          <w:rPr>
            <w:noProof/>
            <w:webHidden/>
          </w:rPr>
          <w:fldChar w:fldCharType="end"/>
        </w:r>
      </w:hyperlink>
    </w:p>
    <w:p w14:paraId="3E1996DF" w14:textId="1A7FF08F" w:rsidR="00366E49" w:rsidRDefault="00CA153E">
      <w:pPr>
        <w:pStyle w:val="TOC2"/>
        <w:rPr>
          <w:rFonts w:eastAsiaTheme="minorEastAsia"/>
          <w:noProof/>
          <w:color w:val="auto"/>
          <w:lang w:eastAsia="en-AU"/>
        </w:rPr>
      </w:pPr>
      <w:hyperlink w:anchor="_Toc151053074" w:history="1">
        <w:r w:rsidR="00366E49" w:rsidRPr="004757E5">
          <w:rPr>
            <w:rStyle w:val="Hyperlink"/>
            <w:noProof/>
          </w:rPr>
          <w:t>The scheme</w:t>
        </w:r>
        <w:r w:rsidR="00366E49">
          <w:rPr>
            <w:noProof/>
            <w:webHidden/>
          </w:rPr>
          <w:tab/>
        </w:r>
        <w:r w:rsidR="00366E49">
          <w:rPr>
            <w:noProof/>
            <w:webHidden/>
          </w:rPr>
          <w:fldChar w:fldCharType="begin"/>
        </w:r>
        <w:r w:rsidR="00366E49">
          <w:rPr>
            <w:noProof/>
            <w:webHidden/>
          </w:rPr>
          <w:instrText xml:space="preserve"> PAGEREF _Toc151053074 \h </w:instrText>
        </w:r>
        <w:r w:rsidR="00366E49">
          <w:rPr>
            <w:noProof/>
            <w:webHidden/>
          </w:rPr>
        </w:r>
        <w:r w:rsidR="00366E49">
          <w:rPr>
            <w:noProof/>
            <w:webHidden/>
          </w:rPr>
          <w:fldChar w:fldCharType="separate"/>
        </w:r>
        <w:r w:rsidR="00366E49">
          <w:rPr>
            <w:noProof/>
            <w:webHidden/>
          </w:rPr>
          <w:t>62</w:t>
        </w:r>
        <w:r w:rsidR="00366E49">
          <w:rPr>
            <w:noProof/>
            <w:webHidden/>
          </w:rPr>
          <w:fldChar w:fldCharType="end"/>
        </w:r>
      </w:hyperlink>
    </w:p>
    <w:p w14:paraId="76BDC505" w14:textId="2F865728" w:rsidR="00366E49" w:rsidRDefault="00CA153E">
      <w:pPr>
        <w:pStyle w:val="TOC2"/>
        <w:rPr>
          <w:rFonts w:eastAsiaTheme="minorEastAsia"/>
          <w:noProof/>
          <w:color w:val="auto"/>
          <w:lang w:eastAsia="en-AU"/>
        </w:rPr>
      </w:pPr>
      <w:hyperlink w:anchor="_Toc151053075" w:history="1">
        <w:r w:rsidR="00366E49" w:rsidRPr="004757E5">
          <w:rPr>
            <w:rStyle w:val="Hyperlink"/>
            <w:noProof/>
          </w:rPr>
          <w:t>The list</w:t>
        </w:r>
        <w:r w:rsidR="00366E49">
          <w:rPr>
            <w:noProof/>
            <w:webHidden/>
          </w:rPr>
          <w:tab/>
        </w:r>
        <w:r w:rsidR="00366E49">
          <w:rPr>
            <w:noProof/>
            <w:webHidden/>
          </w:rPr>
          <w:fldChar w:fldCharType="begin"/>
        </w:r>
        <w:r w:rsidR="00366E49">
          <w:rPr>
            <w:noProof/>
            <w:webHidden/>
          </w:rPr>
          <w:instrText xml:space="preserve"> PAGEREF _Toc151053075 \h </w:instrText>
        </w:r>
        <w:r w:rsidR="00366E49">
          <w:rPr>
            <w:noProof/>
            <w:webHidden/>
          </w:rPr>
        </w:r>
        <w:r w:rsidR="00366E49">
          <w:rPr>
            <w:noProof/>
            <w:webHidden/>
          </w:rPr>
          <w:fldChar w:fldCharType="separate"/>
        </w:r>
        <w:r w:rsidR="00366E49">
          <w:rPr>
            <w:noProof/>
            <w:webHidden/>
          </w:rPr>
          <w:t>63</w:t>
        </w:r>
        <w:r w:rsidR="00366E49">
          <w:rPr>
            <w:noProof/>
            <w:webHidden/>
          </w:rPr>
          <w:fldChar w:fldCharType="end"/>
        </w:r>
      </w:hyperlink>
    </w:p>
    <w:p w14:paraId="693C531D" w14:textId="5F0730AB" w:rsidR="00366E49" w:rsidRDefault="00CA153E">
      <w:pPr>
        <w:pStyle w:val="TOC1"/>
        <w:rPr>
          <w:rFonts w:eastAsiaTheme="minorEastAsia"/>
          <w:b w:val="0"/>
          <w:noProof/>
          <w:color w:val="auto"/>
          <w:sz w:val="22"/>
          <w:u w:val="none"/>
          <w:lang w:eastAsia="en-AU"/>
        </w:rPr>
      </w:pPr>
      <w:hyperlink w:anchor="_Toc151053076" w:history="1">
        <w:r w:rsidR="00366E49" w:rsidRPr="004757E5">
          <w:rPr>
            <w:rStyle w:val="Hyperlink"/>
            <w:noProof/>
          </w:rPr>
          <w:t>7.</w:t>
        </w:r>
        <w:r w:rsidR="00366E49">
          <w:rPr>
            <w:rFonts w:eastAsiaTheme="minorEastAsia"/>
            <w:b w:val="0"/>
            <w:noProof/>
            <w:color w:val="auto"/>
            <w:sz w:val="22"/>
            <w:u w:val="none"/>
            <w:lang w:eastAsia="en-AU"/>
          </w:rPr>
          <w:tab/>
        </w:r>
        <w:r w:rsidR="00366E49" w:rsidRPr="004757E5">
          <w:rPr>
            <w:rStyle w:val="Hyperlink"/>
            <w:noProof/>
          </w:rPr>
          <w:t>Implementation and evaluation</w:t>
        </w:r>
        <w:r w:rsidR="00366E49">
          <w:rPr>
            <w:noProof/>
            <w:webHidden/>
          </w:rPr>
          <w:tab/>
        </w:r>
        <w:r w:rsidR="00366E49">
          <w:rPr>
            <w:noProof/>
            <w:webHidden/>
          </w:rPr>
          <w:fldChar w:fldCharType="begin"/>
        </w:r>
        <w:r w:rsidR="00366E49">
          <w:rPr>
            <w:noProof/>
            <w:webHidden/>
          </w:rPr>
          <w:instrText xml:space="preserve"> PAGEREF _Toc151053076 \h </w:instrText>
        </w:r>
        <w:r w:rsidR="00366E49">
          <w:rPr>
            <w:noProof/>
            <w:webHidden/>
          </w:rPr>
        </w:r>
        <w:r w:rsidR="00366E49">
          <w:rPr>
            <w:noProof/>
            <w:webHidden/>
          </w:rPr>
          <w:fldChar w:fldCharType="separate"/>
        </w:r>
        <w:r w:rsidR="00366E49">
          <w:rPr>
            <w:noProof/>
            <w:webHidden/>
          </w:rPr>
          <w:t>64</w:t>
        </w:r>
        <w:r w:rsidR="00366E49">
          <w:rPr>
            <w:noProof/>
            <w:webHidden/>
          </w:rPr>
          <w:fldChar w:fldCharType="end"/>
        </w:r>
      </w:hyperlink>
    </w:p>
    <w:p w14:paraId="4A4D7AF1" w14:textId="1DB1A0CE" w:rsidR="00366E49" w:rsidRDefault="00CA153E">
      <w:pPr>
        <w:pStyle w:val="TOC2"/>
        <w:rPr>
          <w:rFonts w:eastAsiaTheme="minorEastAsia"/>
          <w:noProof/>
          <w:color w:val="auto"/>
          <w:lang w:eastAsia="en-AU"/>
        </w:rPr>
      </w:pPr>
      <w:hyperlink w:anchor="_Toc151053077" w:history="1">
        <w:r w:rsidR="00366E49" w:rsidRPr="004757E5">
          <w:rPr>
            <w:rStyle w:val="Hyperlink"/>
            <w:noProof/>
          </w:rPr>
          <w:t>Evaluation</w:t>
        </w:r>
        <w:r w:rsidR="00366E49">
          <w:rPr>
            <w:noProof/>
            <w:webHidden/>
          </w:rPr>
          <w:tab/>
        </w:r>
        <w:r w:rsidR="00366E49">
          <w:rPr>
            <w:noProof/>
            <w:webHidden/>
          </w:rPr>
          <w:fldChar w:fldCharType="begin"/>
        </w:r>
        <w:r w:rsidR="00366E49">
          <w:rPr>
            <w:noProof/>
            <w:webHidden/>
          </w:rPr>
          <w:instrText xml:space="preserve"> PAGEREF _Toc151053077 \h </w:instrText>
        </w:r>
        <w:r w:rsidR="00366E49">
          <w:rPr>
            <w:noProof/>
            <w:webHidden/>
          </w:rPr>
        </w:r>
        <w:r w:rsidR="00366E49">
          <w:rPr>
            <w:noProof/>
            <w:webHidden/>
          </w:rPr>
          <w:fldChar w:fldCharType="separate"/>
        </w:r>
        <w:r w:rsidR="00366E49">
          <w:rPr>
            <w:noProof/>
            <w:webHidden/>
          </w:rPr>
          <w:t>64</w:t>
        </w:r>
        <w:r w:rsidR="00366E49">
          <w:rPr>
            <w:noProof/>
            <w:webHidden/>
          </w:rPr>
          <w:fldChar w:fldCharType="end"/>
        </w:r>
      </w:hyperlink>
    </w:p>
    <w:p w14:paraId="6F116C8F" w14:textId="38805B1C" w:rsidR="00DE4FE2" w:rsidRPr="009B3A80" w:rsidRDefault="00A95970">
      <w:r w:rsidRPr="009B3A80">
        <w:fldChar w:fldCharType="end"/>
      </w:r>
    </w:p>
    <w:p w14:paraId="0A7E989F" w14:textId="77777777" w:rsidR="006E1ECA" w:rsidRPr="009B3A80" w:rsidRDefault="006E1ECA" w:rsidP="006E1ECA">
      <w:pPr>
        <w:pStyle w:val="TOCHeading"/>
      </w:pPr>
      <w:r w:rsidRPr="009B3A80">
        <w:t>List of Figures and Tables</w:t>
      </w:r>
    </w:p>
    <w:p w14:paraId="27F4BC81" w14:textId="575E7BFE" w:rsidR="00366E49" w:rsidRDefault="006E1ECA">
      <w:pPr>
        <w:pStyle w:val="TableofFigures"/>
        <w:tabs>
          <w:tab w:val="right" w:pos="9854"/>
        </w:tabs>
        <w:rPr>
          <w:rFonts w:eastAsiaTheme="minorEastAsia"/>
          <w:noProof/>
          <w:color w:val="auto"/>
          <w:lang w:eastAsia="en-AU"/>
        </w:rPr>
      </w:pPr>
      <w:r w:rsidRPr="009B3A80">
        <w:fldChar w:fldCharType="begin"/>
      </w:r>
      <w:r w:rsidRPr="009B3A80">
        <w:instrText xml:space="preserve"> TOC \h \z \t "Caption" \c </w:instrText>
      </w:r>
      <w:r w:rsidRPr="009B3A80">
        <w:fldChar w:fldCharType="separate"/>
      </w:r>
      <w:hyperlink w:anchor="_Toc151053016" w:history="1">
        <w:r w:rsidR="00366E49" w:rsidRPr="00B24782">
          <w:rPr>
            <w:rStyle w:val="Hyperlink"/>
            <w:noProof/>
          </w:rPr>
          <w:t>Table 1: Ten most popular programs on free-to-air television in 2022 (metro areas)</w:t>
        </w:r>
        <w:r w:rsidR="00366E49">
          <w:rPr>
            <w:noProof/>
            <w:webHidden/>
          </w:rPr>
          <w:tab/>
        </w:r>
        <w:r w:rsidR="00366E49">
          <w:rPr>
            <w:noProof/>
            <w:webHidden/>
          </w:rPr>
          <w:fldChar w:fldCharType="begin"/>
        </w:r>
        <w:r w:rsidR="00366E49">
          <w:rPr>
            <w:noProof/>
            <w:webHidden/>
          </w:rPr>
          <w:instrText xml:space="preserve"> PAGEREF _Toc151053016 \h </w:instrText>
        </w:r>
        <w:r w:rsidR="00366E49">
          <w:rPr>
            <w:noProof/>
            <w:webHidden/>
          </w:rPr>
        </w:r>
        <w:r w:rsidR="00366E49">
          <w:rPr>
            <w:noProof/>
            <w:webHidden/>
          </w:rPr>
          <w:fldChar w:fldCharType="separate"/>
        </w:r>
        <w:r w:rsidR="00366E49">
          <w:rPr>
            <w:noProof/>
            <w:webHidden/>
          </w:rPr>
          <w:t>9</w:t>
        </w:r>
        <w:r w:rsidR="00366E49">
          <w:rPr>
            <w:noProof/>
            <w:webHidden/>
          </w:rPr>
          <w:fldChar w:fldCharType="end"/>
        </w:r>
      </w:hyperlink>
    </w:p>
    <w:p w14:paraId="72F06126" w14:textId="7323EC1F" w:rsidR="00366E49" w:rsidRDefault="00CA153E">
      <w:pPr>
        <w:pStyle w:val="TableofFigures"/>
        <w:tabs>
          <w:tab w:val="right" w:pos="9854"/>
        </w:tabs>
        <w:rPr>
          <w:rFonts w:eastAsiaTheme="minorEastAsia"/>
          <w:noProof/>
          <w:color w:val="auto"/>
          <w:lang w:eastAsia="en-AU"/>
        </w:rPr>
      </w:pPr>
      <w:hyperlink w:anchor="_Toc151053017" w:history="1">
        <w:r w:rsidR="00366E49" w:rsidRPr="00B24782">
          <w:rPr>
            <w:rStyle w:val="Hyperlink"/>
            <w:noProof/>
          </w:rPr>
          <w:t>Table 2: Ten most popular programs on subscription television in 2022 (national)</w:t>
        </w:r>
        <w:r w:rsidR="00366E49">
          <w:rPr>
            <w:noProof/>
            <w:webHidden/>
          </w:rPr>
          <w:tab/>
        </w:r>
        <w:r w:rsidR="00366E49">
          <w:rPr>
            <w:noProof/>
            <w:webHidden/>
          </w:rPr>
          <w:fldChar w:fldCharType="begin"/>
        </w:r>
        <w:r w:rsidR="00366E49">
          <w:rPr>
            <w:noProof/>
            <w:webHidden/>
          </w:rPr>
          <w:instrText xml:space="preserve"> PAGEREF _Toc151053017 \h </w:instrText>
        </w:r>
        <w:r w:rsidR="00366E49">
          <w:rPr>
            <w:noProof/>
            <w:webHidden/>
          </w:rPr>
        </w:r>
        <w:r w:rsidR="00366E49">
          <w:rPr>
            <w:noProof/>
            <w:webHidden/>
          </w:rPr>
          <w:fldChar w:fldCharType="separate"/>
        </w:r>
        <w:r w:rsidR="00366E49">
          <w:rPr>
            <w:noProof/>
            <w:webHidden/>
          </w:rPr>
          <w:t>9</w:t>
        </w:r>
        <w:r w:rsidR="00366E49">
          <w:rPr>
            <w:noProof/>
            <w:webHidden/>
          </w:rPr>
          <w:fldChar w:fldCharType="end"/>
        </w:r>
      </w:hyperlink>
    </w:p>
    <w:p w14:paraId="0ACBF6F4" w14:textId="6E321649" w:rsidR="00366E49" w:rsidRDefault="00CA153E">
      <w:pPr>
        <w:pStyle w:val="TableofFigures"/>
        <w:tabs>
          <w:tab w:val="right" w:pos="9854"/>
        </w:tabs>
        <w:rPr>
          <w:rFonts w:eastAsiaTheme="minorEastAsia"/>
          <w:noProof/>
          <w:color w:val="auto"/>
          <w:lang w:eastAsia="en-AU"/>
        </w:rPr>
      </w:pPr>
      <w:hyperlink w:anchor="_Toc151053018" w:history="1">
        <w:r w:rsidR="00366E49" w:rsidRPr="00B24782">
          <w:rPr>
            <w:rStyle w:val="Hyperlink"/>
            <w:noProof/>
          </w:rPr>
          <w:t>Figure 1: Value of select sports broadcasting rights in the Australian market</w:t>
        </w:r>
        <w:r w:rsidR="00366E49">
          <w:rPr>
            <w:noProof/>
            <w:webHidden/>
          </w:rPr>
          <w:tab/>
        </w:r>
        <w:r w:rsidR="00366E49">
          <w:rPr>
            <w:noProof/>
            <w:webHidden/>
          </w:rPr>
          <w:fldChar w:fldCharType="begin"/>
        </w:r>
        <w:r w:rsidR="00366E49">
          <w:rPr>
            <w:noProof/>
            <w:webHidden/>
          </w:rPr>
          <w:instrText xml:space="preserve"> PAGEREF _Toc151053018 \h </w:instrText>
        </w:r>
        <w:r w:rsidR="00366E49">
          <w:rPr>
            <w:noProof/>
            <w:webHidden/>
          </w:rPr>
        </w:r>
        <w:r w:rsidR="00366E49">
          <w:rPr>
            <w:noProof/>
            <w:webHidden/>
          </w:rPr>
          <w:fldChar w:fldCharType="separate"/>
        </w:r>
        <w:r w:rsidR="00366E49">
          <w:rPr>
            <w:noProof/>
            <w:webHidden/>
          </w:rPr>
          <w:t>10</w:t>
        </w:r>
        <w:r w:rsidR="00366E49">
          <w:rPr>
            <w:noProof/>
            <w:webHidden/>
          </w:rPr>
          <w:fldChar w:fldCharType="end"/>
        </w:r>
      </w:hyperlink>
    </w:p>
    <w:p w14:paraId="4DCDA3C4" w14:textId="4C87EEC6" w:rsidR="00366E49" w:rsidRDefault="00CA153E">
      <w:pPr>
        <w:pStyle w:val="TableofFigures"/>
        <w:tabs>
          <w:tab w:val="right" w:pos="9854"/>
        </w:tabs>
        <w:rPr>
          <w:rFonts w:eastAsiaTheme="minorEastAsia"/>
          <w:noProof/>
          <w:color w:val="auto"/>
          <w:lang w:eastAsia="en-AU"/>
        </w:rPr>
      </w:pPr>
      <w:hyperlink w:anchor="_Toc151053019" w:history="1">
        <w:r w:rsidR="00366E49" w:rsidRPr="00B24782">
          <w:rPr>
            <w:rStyle w:val="Hyperlink"/>
            <w:noProof/>
          </w:rPr>
          <w:t>Table 3: Summary of models to reform the anti-siphoning scheme</w:t>
        </w:r>
        <w:r w:rsidR="00366E49">
          <w:rPr>
            <w:noProof/>
            <w:webHidden/>
          </w:rPr>
          <w:tab/>
        </w:r>
        <w:r w:rsidR="00366E49">
          <w:rPr>
            <w:noProof/>
            <w:webHidden/>
          </w:rPr>
          <w:fldChar w:fldCharType="begin"/>
        </w:r>
        <w:r w:rsidR="00366E49">
          <w:rPr>
            <w:noProof/>
            <w:webHidden/>
          </w:rPr>
          <w:instrText xml:space="preserve"> PAGEREF _Toc151053019 \h </w:instrText>
        </w:r>
        <w:r w:rsidR="00366E49">
          <w:rPr>
            <w:noProof/>
            <w:webHidden/>
          </w:rPr>
        </w:r>
        <w:r w:rsidR="00366E49">
          <w:rPr>
            <w:noProof/>
            <w:webHidden/>
          </w:rPr>
          <w:fldChar w:fldCharType="separate"/>
        </w:r>
        <w:r w:rsidR="00366E49">
          <w:rPr>
            <w:noProof/>
            <w:webHidden/>
          </w:rPr>
          <w:t>20</w:t>
        </w:r>
        <w:r w:rsidR="00366E49">
          <w:rPr>
            <w:noProof/>
            <w:webHidden/>
          </w:rPr>
          <w:fldChar w:fldCharType="end"/>
        </w:r>
      </w:hyperlink>
    </w:p>
    <w:p w14:paraId="651067B9" w14:textId="37D8C0CB" w:rsidR="00366E49" w:rsidRDefault="00CA153E">
      <w:pPr>
        <w:pStyle w:val="TableofFigures"/>
        <w:tabs>
          <w:tab w:val="right" w:pos="9854"/>
        </w:tabs>
        <w:rPr>
          <w:rFonts w:eastAsiaTheme="minorEastAsia"/>
          <w:noProof/>
          <w:color w:val="auto"/>
          <w:lang w:eastAsia="en-AU"/>
        </w:rPr>
      </w:pPr>
      <w:hyperlink w:anchor="_Toc151053020" w:history="1">
        <w:r w:rsidR="00366E49" w:rsidRPr="00B24782">
          <w:rPr>
            <w:rStyle w:val="Hyperlink"/>
            <w:noProof/>
          </w:rPr>
          <w:t>Table 4: Summary of list options</w:t>
        </w:r>
        <w:r w:rsidR="00366E49">
          <w:rPr>
            <w:noProof/>
            <w:webHidden/>
          </w:rPr>
          <w:tab/>
        </w:r>
        <w:r w:rsidR="00366E49">
          <w:rPr>
            <w:noProof/>
            <w:webHidden/>
          </w:rPr>
          <w:fldChar w:fldCharType="begin"/>
        </w:r>
        <w:r w:rsidR="00366E49">
          <w:rPr>
            <w:noProof/>
            <w:webHidden/>
          </w:rPr>
          <w:instrText xml:space="preserve"> PAGEREF _Toc151053020 \h </w:instrText>
        </w:r>
        <w:r w:rsidR="00366E49">
          <w:rPr>
            <w:noProof/>
            <w:webHidden/>
          </w:rPr>
        </w:r>
        <w:r w:rsidR="00366E49">
          <w:rPr>
            <w:noProof/>
            <w:webHidden/>
          </w:rPr>
          <w:fldChar w:fldCharType="separate"/>
        </w:r>
        <w:r w:rsidR="00366E49">
          <w:rPr>
            <w:noProof/>
            <w:webHidden/>
          </w:rPr>
          <w:t>26</w:t>
        </w:r>
        <w:r w:rsidR="00366E49">
          <w:rPr>
            <w:noProof/>
            <w:webHidden/>
          </w:rPr>
          <w:fldChar w:fldCharType="end"/>
        </w:r>
      </w:hyperlink>
    </w:p>
    <w:p w14:paraId="41681606" w14:textId="4606FFD1" w:rsidR="00366E49" w:rsidRDefault="00CA153E">
      <w:pPr>
        <w:pStyle w:val="TableofFigures"/>
        <w:tabs>
          <w:tab w:val="right" w:pos="9854"/>
        </w:tabs>
        <w:rPr>
          <w:rFonts w:eastAsiaTheme="minorEastAsia"/>
          <w:noProof/>
          <w:color w:val="auto"/>
          <w:lang w:eastAsia="en-AU"/>
        </w:rPr>
      </w:pPr>
      <w:hyperlink w:anchor="_Toc151053021" w:history="1">
        <w:r w:rsidR="00366E49" w:rsidRPr="00B24782">
          <w:rPr>
            <w:rStyle w:val="Hyperlink"/>
            <w:noProof/>
          </w:rPr>
          <w:t>Table 5: Proposed changes to the streamlined list</w:t>
        </w:r>
        <w:r w:rsidR="00366E49">
          <w:rPr>
            <w:noProof/>
            <w:webHidden/>
          </w:rPr>
          <w:tab/>
        </w:r>
        <w:r w:rsidR="00366E49">
          <w:rPr>
            <w:noProof/>
            <w:webHidden/>
          </w:rPr>
          <w:fldChar w:fldCharType="begin"/>
        </w:r>
        <w:r w:rsidR="00366E49">
          <w:rPr>
            <w:noProof/>
            <w:webHidden/>
          </w:rPr>
          <w:instrText xml:space="preserve"> PAGEREF _Toc151053021 \h </w:instrText>
        </w:r>
        <w:r w:rsidR="00366E49">
          <w:rPr>
            <w:noProof/>
            <w:webHidden/>
          </w:rPr>
        </w:r>
        <w:r w:rsidR="00366E49">
          <w:rPr>
            <w:noProof/>
            <w:webHidden/>
          </w:rPr>
          <w:fldChar w:fldCharType="separate"/>
        </w:r>
        <w:r w:rsidR="00366E49">
          <w:rPr>
            <w:noProof/>
            <w:webHidden/>
          </w:rPr>
          <w:t>26</w:t>
        </w:r>
        <w:r w:rsidR="00366E49">
          <w:rPr>
            <w:noProof/>
            <w:webHidden/>
          </w:rPr>
          <w:fldChar w:fldCharType="end"/>
        </w:r>
      </w:hyperlink>
    </w:p>
    <w:p w14:paraId="5121BAA5" w14:textId="79DCF179" w:rsidR="00366E49" w:rsidRDefault="00CA153E">
      <w:pPr>
        <w:pStyle w:val="TableofFigures"/>
        <w:tabs>
          <w:tab w:val="right" w:pos="9854"/>
        </w:tabs>
        <w:rPr>
          <w:rFonts w:eastAsiaTheme="minorEastAsia"/>
          <w:noProof/>
          <w:color w:val="auto"/>
          <w:lang w:eastAsia="en-AU"/>
        </w:rPr>
      </w:pPr>
      <w:hyperlink w:anchor="_Toc151053022" w:history="1">
        <w:r w:rsidR="00366E49" w:rsidRPr="00B24782">
          <w:rPr>
            <w:rStyle w:val="Hyperlink"/>
            <w:noProof/>
          </w:rPr>
          <w:t>Table 6: Proposed changes to the modernised list</w:t>
        </w:r>
        <w:r w:rsidR="00366E49">
          <w:rPr>
            <w:noProof/>
            <w:webHidden/>
          </w:rPr>
          <w:tab/>
        </w:r>
        <w:r w:rsidR="00366E49">
          <w:rPr>
            <w:noProof/>
            <w:webHidden/>
          </w:rPr>
          <w:fldChar w:fldCharType="begin"/>
        </w:r>
        <w:r w:rsidR="00366E49">
          <w:rPr>
            <w:noProof/>
            <w:webHidden/>
          </w:rPr>
          <w:instrText xml:space="preserve"> PAGEREF _Toc151053022 \h </w:instrText>
        </w:r>
        <w:r w:rsidR="00366E49">
          <w:rPr>
            <w:noProof/>
            <w:webHidden/>
          </w:rPr>
        </w:r>
        <w:r w:rsidR="00366E49">
          <w:rPr>
            <w:noProof/>
            <w:webHidden/>
          </w:rPr>
          <w:fldChar w:fldCharType="separate"/>
        </w:r>
        <w:r w:rsidR="00366E49">
          <w:rPr>
            <w:noProof/>
            <w:webHidden/>
          </w:rPr>
          <w:t>29</w:t>
        </w:r>
        <w:r w:rsidR="00366E49">
          <w:rPr>
            <w:noProof/>
            <w:webHidden/>
          </w:rPr>
          <w:fldChar w:fldCharType="end"/>
        </w:r>
      </w:hyperlink>
    </w:p>
    <w:p w14:paraId="16023D50" w14:textId="2677F93E" w:rsidR="00366E49" w:rsidRDefault="00CA153E">
      <w:pPr>
        <w:pStyle w:val="TableofFigures"/>
        <w:tabs>
          <w:tab w:val="right" w:pos="9854"/>
        </w:tabs>
        <w:rPr>
          <w:rFonts w:eastAsiaTheme="minorEastAsia"/>
          <w:noProof/>
          <w:color w:val="auto"/>
          <w:lang w:eastAsia="en-AU"/>
        </w:rPr>
      </w:pPr>
      <w:hyperlink w:anchor="_Toc151053023" w:history="1">
        <w:r w:rsidR="00366E49" w:rsidRPr="00B24782">
          <w:rPr>
            <w:rStyle w:val="Hyperlink"/>
            <w:noProof/>
          </w:rPr>
          <w:t>Table 7: Proposed changes to the expanded list</w:t>
        </w:r>
        <w:r w:rsidR="00366E49">
          <w:rPr>
            <w:noProof/>
            <w:webHidden/>
          </w:rPr>
          <w:tab/>
        </w:r>
        <w:r w:rsidR="00366E49">
          <w:rPr>
            <w:noProof/>
            <w:webHidden/>
          </w:rPr>
          <w:fldChar w:fldCharType="begin"/>
        </w:r>
        <w:r w:rsidR="00366E49">
          <w:rPr>
            <w:noProof/>
            <w:webHidden/>
          </w:rPr>
          <w:instrText xml:space="preserve"> PAGEREF _Toc151053023 \h </w:instrText>
        </w:r>
        <w:r w:rsidR="00366E49">
          <w:rPr>
            <w:noProof/>
            <w:webHidden/>
          </w:rPr>
        </w:r>
        <w:r w:rsidR="00366E49">
          <w:rPr>
            <w:noProof/>
            <w:webHidden/>
          </w:rPr>
          <w:fldChar w:fldCharType="separate"/>
        </w:r>
        <w:r w:rsidR="00366E49">
          <w:rPr>
            <w:noProof/>
            <w:webHidden/>
          </w:rPr>
          <w:t>32</w:t>
        </w:r>
        <w:r w:rsidR="00366E49">
          <w:rPr>
            <w:noProof/>
            <w:webHidden/>
          </w:rPr>
          <w:fldChar w:fldCharType="end"/>
        </w:r>
      </w:hyperlink>
    </w:p>
    <w:p w14:paraId="6EF6D2B8" w14:textId="0F923232" w:rsidR="00366E49" w:rsidRDefault="00CA153E">
      <w:pPr>
        <w:pStyle w:val="TableofFigures"/>
        <w:tabs>
          <w:tab w:val="right" w:pos="9854"/>
        </w:tabs>
        <w:rPr>
          <w:rFonts w:eastAsiaTheme="minorEastAsia"/>
          <w:noProof/>
          <w:color w:val="auto"/>
          <w:lang w:eastAsia="en-AU"/>
        </w:rPr>
      </w:pPr>
      <w:hyperlink w:anchor="_Toc151053024" w:history="1">
        <w:r w:rsidR="00366E49" w:rsidRPr="00B24782">
          <w:rPr>
            <w:rStyle w:val="Hyperlink"/>
            <w:noProof/>
            <w:lang w:val="en-US"/>
          </w:rPr>
          <w:t>Table 8: Assessment of available data for quantitative Impact Analysis</w:t>
        </w:r>
        <w:r w:rsidR="00366E49">
          <w:rPr>
            <w:noProof/>
            <w:webHidden/>
          </w:rPr>
          <w:tab/>
        </w:r>
        <w:r w:rsidR="00366E49">
          <w:rPr>
            <w:noProof/>
            <w:webHidden/>
          </w:rPr>
          <w:fldChar w:fldCharType="begin"/>
        </w:r>
        <w:r w:rsidR="00366E49">
          <w:rPr>
            <w:noProof/>
            <w:webHidden/>
          </w:rPr>
          <w:instrText xml:space="preserve"> PAGEREF _Toc151053024 \h </w:instrText>
        </w:r>
        <w:r w:rsidR="00366E49">
          <w:rPr>
            <w:noProof/>
            <w:webHidden/>
          </w:rPr>
        </w:r>
        <w:r w:rsidR="00366E49">
          <w:rPr>
            <w:noProof/>
            <w:webHidden/>
          </w:rPr>
          <w:fldChar w:fldCharType="separate"/>
        </w:r>
        <w:r w:rsidR="00366E49">
          <w:rPr>
            <w:noProof/>
            <w:webHidden/>
          </w:rPr>
          <w:t>36</w:t>
        </w:r>
        <w:r w:rsidR="00366E49">
          <w:rPr>
            <w:noProof/>
            <w:webHidden/>
          </w:rPr>
          <w:fldChar w:fldCharType="end"/>
        </w:r>
      </w:hyperlink>
    </w:p>
    <w:p w14:paraId="0DFEC094" w14:textId="75B08977" w:rsidR="00366E49" w:rsidRDefault="00CA153E">
      <w:pPr>
        <w:pStyle w:val="TableofFigures"/>
        <w:tabs>
          <w:tab w:val="right" w:pos="9854"/>
        </w:tabs>
        <w:rPr>
          <w:rFonts w:eastAsiaTheme="minorEastAsia"/>
          <w:noProof/>
          <w:color w:val="auto"/>
          <w:lang w:eastAsia="en-AU"/>
        </w:rPr>
      </w:pPr>
      <w:hyperlink w:anchor="_Toc151053025" w:history="1">
        <w:r w:rsidR="00366E49" w:rsidRPr="00B24782">
          <w:rPr>
            <w:rStyle w:val="Hyperlink"/>
            <w:noProof/>
          </w:rPr>
          <w:t>Table 9: Selected sports rights deals</w:t>
        </w:r>
        <w:r w:rsidR="00366E49">
          <w:rPr>
            <w:noProof/>
            <w:webHidden/>
          </w:rPr>
          <w:tab/>
        </w:r>
        <w:r w:rsidR="00366E49">
          <w:rPr>
            <w:noProof/>
            <w:webHidden/>
          </w:rPr>
          <w:fldChar w:fldCharType="begin"/>
        </w:r>
        <w:r w:rsidR="00366E49">
          <w:rPr>
            <w:noProof/>
            <w:webHidden/>
          </w:rPr>
          <w:instrText xml:space="preserve"> PAGEREF _Toc151053025 \h </w:instrText>
        </w:r>
        <w:r w:rsidR="00366E49">
          <w:rPr>
            <w:noProof/>
            <w:webHidden/>
          </w:rPr>
        </w:r>
        <w:r w:rsidR="00366E49">
          <w:rPr>
            <w:noProof/>
            <w:webHidden/>
          </w:rPr>
          <w:fldChar w:fldCharType="separate"/>
        </w:r>
        <w:r w:rsidR="00366E49">
          <w:rPr>
            <w:noProof/>
            <w:webHidden/>
          </w:rPr>
          <w:t>45</w:t>
        </w:r>
        <w:r w:rsidR="00366E49">
          <w:rPr>
            <w:noProof/>
            <w:webHidden/>
          </w:rPr>
          <w:fldChar w:fldCharType="end"/>
        </w:r>
      </w:hyperlink>
    </w:p>
    <w:p w14:paraId="003DD9EA" w14:textId="00005620" w:rsidR="005F794B" w:rsidRPr="009B3A80" w:rsidRDefault="006E1ECA" w:rsidP="008162A5">
      <w:r w:rsidRPr="009B3A80">
        <w:fldChar w:fldCharType="end"/>
      </w:r>
    </w:p>
    <w:p w14:paraId="5FDDA0E6" w14:textId="77777777" w:rsidR="005912BE" w:rsidRPr="009B3A80" w:rsidRDefault="005912BE"/>
    <w:p w14:paraId="02452873" w14:textId="77777777" w:rsidR="005912BE" w:rsidRDefault="005912BE"/>
    <w:p w14:paraId="3C3F51FE" w14:textId="77777777" w:rsidR="00CE537D" w:rsidRDefault="00CE537D">
      <w:pPr>
        <w:suppressAutoHyphens w:val="0"/>
        <w:rPr>
          <w:rFonts w:asciiTheme="majorHAnsi" w:eastAsiaTheme="majorEastAsia" w:hAnsiTheme="majorHAnsi" w:cstheme="majorBidi"/>
          <w:color w:val="081E3E" w:themeColor="text2"/>
          <w:sz w:val="44"/>
          <w:szCs w:val="32"/>
        </w:rPr>
      </w:pPr>
      <w:bookmarkStart w:id="0" w:name="_Toc147910108"/>
      <w:r>
        <w:br w:type="page"/>
      </w:r>
    </w:p>
    <w:p w14:paraId="5AE953D6" w14:textId="18D4F172" w:rsidR="00C10790" w:rsidRDefault="00C10790" w:rsidP="00C10790">
      <w:pPr>
        <w:pStyle w:val="Heading1"/>
        <w:spacing w:before="0"/>
      </w:pPr>
      <w:bookmarkStart w:id="1" w:name="_Toc150883244"/>
      <w:bookmarkStart w:id="2" w:name="_Toc151053026"/>
      <w:r>
        <w:t>Summary</w:t>
      </w:r>
      <w:bookmarkEnd w:id="0"/>
      <w:bookmarkEnd w:id="1"/>
      <w:bookmarkEnd w:id="2"/>
      <w:r>
        <w:t xml:space="preserve"> </w:t>
      </w:r>
    </w:p>
    <w:p w14:paraId="1BD46752" w14:textId="77777777" w:rsidR="0080633D" w:rsidRDefault="0080633D" w:rsidP="0080633D">
      <w:pPr>
        <w:pStyle w:val="Heading2"/>
      </w:pPr>
      <w:bookmarkStart w:id="3" w:name="_Toc147910109"/>
      <w:bookmarkStart w:id="4" w:name="_Toc150883245"/>
      <w:bookmarkStart w:id="5" w:name="_Toc151053027"/>
      <w:r>
        <w:t>Introduction</w:t>
      </w:r>
      <w:bookmarkEnd w:id="3"/>
      <w:bookmarkEnd w:id="4"/>
      <w:bookmarkEnd w:id="5"/>
    </w:p>
    <w:p w14:paraId="2492AA96" w14:textId="7F12FF7B" w:rsidR="00C25274" w:rsidRDefault="00C25274" w:rsidP="00B604B1">
      <w:pPr>
        <w:spacing w:after="120"/>
      </w:pPr>
      <w:bookmarkStart w:id="6" w:name="_Hlk147983549"/>
      <w:r w:rsidRPr="00C25274">
        <w:t xml:space="preserve">The objective of the anti-siphoning scheme (the scheme) is to </w:t>
      </w:r>
      <w:r w:rsidR="00BC5113">
        <w:t>promo</w:t>
      </w:r>
      <w:r w:rsidR="00BC5113" w:rsidRPr="00C25274">
        <w:t>t</w:t>
      </w:r>
      <w:r w:rsidR="00BC5113">
        <w:t>e</w:t>
      </w:r>
      <w:r w:rsidR="00BC5113" w:rsidRPr="00C25274">
        <w:t xml:space="preserve"> </w:t>
      </w:r>
      <w:r w:rsidRPr="00C25274">
        <w:t>free access to televised coverage of events of national importance and cultural significance.</w:t>
      </w:r>
      <w:bookmarkEnd w:id="6"/>
      <w:r w:rsidR="00E5062A">
        <w:t xml:space="preserve"> </w:t>
      </w:r>
      <w:r w:rsidRPr="00C25274">
        <w:t xml:space="preserve">At present, the scheme seeks to further this objective by regulating the order in which the right to televise events on the </w:t>
      </w:r>
      <w:r w:rsidRPr="00C25274">
        <w:rPr>
          <w:i/>
        </w:rPr>
        <w:t>Broadcasting Services (Events) Notice 2023</w:t>
      </w:r>
      <w:r>
        <w:rPr>
          <w:rStyle w:val="FootnoteReference"/>
          <w:i/>
        </w:rPr>
        <w:footnoteReference w:id="2"/>
      </w:r>
      <w:r w:rsidRPr="00C25274">
        <w:t xml:space="preserve"> (the current anti-siphoning list) may be acquired by licensed television broadcasters. To date, the only programs included on the list – and therefore regulated under the scheme – have been sporting events.</w:t>
      </w:r>
    </w:p>
    <w:p w14:paraId="34F1D9F1" w14:textId="77777777" w:rsidR="00CF0135" w:rsidRDefault="00CF0135" w:rsidP="00CF0135">
      <w:r>
        <w:t>While the scheme targets the traditional broadcasting sectors, the market in which sporting events are televised and consumed by audiences is rapidly evolving. It is a very different market today compared with the one in existence at the time the scheme was implemented. Two developments best represent this change:</w:t>
      </w:r>
    </w:p>
    <w:p w14:paraId="3D42B40A" w14:textId="75273C25" w:rsidR="00CF0135" w:rsidRDefault="00CF0135" w:rsidP="00E33CCD">
      <w:pPr>
        <w:pStyle w:val="ListParagraph"/>
        <w:numPr>
          <w:ilvl w:val="0"/>
          <w:numId w:val="35"/>
        </w:numPr>
        <w:suppressAutoHyphens w:val="0"/>
        <w:ind w:left="357" w:hanging="357"/>
        <w:contextualSpacing w:val="0"/>
      </w:pPr>
      <w:r>
        <w:t>Australians’ viewing options have broadened in the past decade to include online services, and viewers’ habits are changing as a result</w:t>
      </w:r>
      <w:r w:rsidR="00357B1C">
        <w:t>.</w:t>
      </w:r>
    </w:p>
    <w:p w14:paraId="4301B408" w14:textId="77777777" w:rsidR="00CF0135" w:rsidRDefault="00CF0135" w:rsidP="00E33CCD">
      <w:pPr>
        <w:pStyle w:val="ListParagraph"/>
        <w:numPr>
          <w:ilvl w:val="0"/>
          <w:numId w:val="35"/>
        </w:numPr>
        <w:suppressAutoHyphens w:val="0"/>
        <w:ind w:left="357" w:hanging="357"/>
        <w:contextualSpacing w:val="0"/>
      </w:pPr>
      <w:r w:rsidRPr="00D528AD">
        <w:t xml:space="preserve">Sport </w:t>
      </w:r>
      <w:r>
        <w:t xml:space="preserve">remains a </w:t>
      </w:r>
      <w:r w:rsidRPr="00D528AD">
        <w:t>genre</w:t>
      </w:r>
      <w:r>
        <w:t xml:space="preserve"> </w:t>
      </w:r>
      <w:r w:rsidRPr="00D528AD">
        <w:t xml:space="preserve">of </w:t>
      </w:r>
      <w:r>
        <w:t>live</w:t>
      </w:r>
      <w:r w:rsidRPr="00D528AD">
        <w:t xml:space="preserve"> programming that continues to </w:t>
      </w:r>
      <w:r>
        <w:t>attract</w:t>
      </w:r>
      <w:r w:rsidRPr="00D528AD">
        <w:t xml:space="preserve"> audience</w:t>
      </w:r>
      <w:r>
        <w:t xml:space="preserve">s in significant </w:t>
      </w:r>
      <w:r w:rsidRPr="00D528AD">
        <w:t>numbers</w:t>
      </w:r>
      <w:r>
        <w:t>, and the value of high-profile sports rights has grown exponentially over recent years.</w:t>
      </w:r>
    </w:p>
    <w:p w14:paraId="2EB387A8" w14:textId="619516A3" w:rsidR="00CF0135" w:rsidRDefault="00CF0135" w:rsidP="00B604B1">
      <w:pPr>
        <w:spacing w:after="120"/>
      </w:pPr>
      <w:r>
        <w:t xml:space="preserve">These developments are </w:t>
      </w:r>
      <w:r w:rsidR="00E5062A">
        <w:t xml:space="preserve">impacting </w:t>
      </w:r>
      <w:r>
        <w:t xml:space="preserve">the ability of the scheme to deliver on its core objective.  </w:t>
      </w:r>
    </w:p>
    <w:p w14:paraId="34047292" w14:textId="6CAEAE9C" w:rsidR="00CF0135" w:rsidRDefault="00CF0135" w:rsidP="00CF0135">
      <w:pPr>
        <w:pStyle w:val="Heading2"/>
        <w:spacing w:before="160" w:after="80"/>
      </w:pPr>
      <w:bookmarkStart w:id="7" w:name="_Toc147910110"/>
      <w:bookmarkStart w:id="8" w:name="_Toc150883246"/>
      <w:bookmarkStart w:id="9" w:name="_Toc151053028"/>
      <w:r>
        <w:t xml:space="preserve">Public </w:t>
      </w:r>
      <w:r w:rsidR="00322C59">
        <w:t>c</w:t>
      </w:r>
      <w:r>
        <w:t>onsultation</w:t>
      </w:r>
      <w:bookmarkEnd w:id="7"/>
      <w:bookmarkEnd w:id="8"/>
      <w:bookmarkEnd w:id="9"/>
      <w:r>
        <w:t xml:space="preserve"> </w:t>
      </w:r>
    </w:p>
    <w:p w14:paraId="35F90490" w14:textId="29934BE2" w:rsidR="00CF0135" w:rsidRDefault="00CF0135" w:rsidP="00CF0135">
      <w:bookmarkStart w:id="10" w:name="_Hlk148002193"/>
      <w:r>
        <w:t>The Government has undertaken a review of the anti-siphoning scheme and anti-siphoning list</w:t>
      </w:r>
      <w:r w:rsidR="00CE537D">
        <w:t>,</w:t>
      </w:r>
      <w:r>
        <w:t xml:space="preserve"> in line with its 2022 election commitment. This review has </w:t>
      </w:r>
      <w:r w:rsidR="00BF46C1">
        <w:t xml:space="preserve">been supported by </w:t>
      </w:r>
      <w:r>
        <w:t xml:space="preserve">two phases of consultation in 2022 and 2023. </w:t>
      </w:r>
    </w:p>
    <w:p w14:paraId="2DA5D8B9" w14:textId="7AE258CF" w:rsidR="00CF0135" w:rsidRDefault="00CF0135" w:rsidP="00E33CCD">
      <w:pPr>
        <w:pStyle w:val="ListParagraph"/>
        <w:numPr>
          <w:ilvl w:val="0"/>
          <w:numId w:val="36"/>
        </w:numPr>
        <w:contextualSpacing w:val="0"/>
      </w:pPr>
      <w:r>
        <w:t>The first phase involved the release of a public consultation paper</w:t>
      </w:r>
      <w:r>
        <w:rPr>
          <w:rStyle w:val="FootnoteReference"/>
        </w:rPr>
        <w:footnoteReference w:id="3"/>
      </w:r>
      <w:r>
        <w:t xml:space="preserve"> and targeted stakeholder roundtables in November 2022 with: free-to-air broadcasters; subscription television broadcasters and streaming services; and sporting organisations. The</w:t>
      </w:r>
      <w:r w:rsidR="00BF46C1">
        <w:t xml:space="preserve"> consultation</w:t>
      </w:r>
      <w:r>
        <w:t xml:space="preserve"> paper was published on 11 October and the submission period closed on </w:t>
      </w:r>
      <w:r w:rsidR="006061E4">
        <w:t>6 December 2022</w:t>
      </w:r>
      <w:r>
        <w:t>. Stakeholder roundtables were held in November 2022.</w:t>
      </w:r>
    </w:p>
    <w:p w14:paraId="131C559B" w14:textId="36B66976" w:rsidR="00CF0135" w:rsidRDefault="00CF0135" w:rsidP="00E33CCD">
      <w:pPr>
        <w:pStyle w:val="ListParagraph"/>
        <w:numPr>
          <w:ilvl w:val="0"/>
          <w:numId w:val="36"/>
        </w:numPr>
        <w:contextualSpacing w:val="0"/>
      </w:pPr>
      <w:r>
        <w:t xml:space="preserve">The second phase of consultation, informed by the views provided to the first consultation, </w:t>
      </w:r>
      <w:r w:rsidR="00CE537D">
        <w:t>involved the release of</w:t>
      </w:r>
      <w:r>
        <w:t xml:space="preserve"> a proposals paper</w:t>
      </w:r>
      <w:r w:rsidR="00E5013B">
        <w:t xml:space="preserve"> </w:t>
      </w:r>
      <w:r>
        <w:t xml:space="preserve">detailing three specific models for reform </w:t>
      </w:r>
      <w:r w:rsidR="00BF46C1">
        <w:t>of the scheme and three options for reform of the l</w:t>
      </w:r>
      <w:r>
        <w:t>ist.</w:t>
      </w:r>
      <w:r>
        <w:rPr>
          <w:rStyle w:val="FootnoteReference"/>
        </w:rPr>
        <w:footnoteReference w:id="4"/>
      </w:r>
      <w:r>
        <w:t xml:space="preserve"> This paper was published on 19 August 2023 and the submissions period closed on 17 September 2023.</w:t>
      </w:r>
    </w:p>
    <w:p w14:paraId="0871ACFE" w14:textId="2B50C9A4" w:rsidR="00CF0135" w:rsidRDefault="00CF0135" w:rsidP="00CF0135">
      <w:r w:rsidRPr="00C15344">
        <w:t>The review</w:t>
      </w:r>
      <w:r>
        <w:t xml:space="preserve"> </w:t>
      </w:r>
      <w:r w:rsidR="00BF46C1">
        <w:t xml:space="preserve">has </w:t>
      </w:r>
      <w:r>
        <w:t>considered a wide range of issues associated with the scheme and the regulation of television coverage of key sporting events</w:t>
      </w:r>
      <w:r w:rsidR="00BF46C1">
        <w:t>, and t</w:t>
      </w:r>
      <w:r>
        <w:t xml:space="preserve">his has informed the development of the models for reform of the scheme and the options for a </w:t>
      </w:r>
      <w:r w:rsidR="004052E3">
        <w:t xml:space="preserve">remade </w:t>
      </w:r>
      <w:r>
        <w:t>list assessed in this I</w:t>
      </w:r>
      <w:r w:rsidR="00444920">
        <w:t>mpact Analysis (I</w:t>
      </w:r>
      <w:r>
        <w:t>A</w:t>
      </w:r>
      <w:r w:rsidR="00444920">
        <w:t>)</w:t>
      </w:r>
      <w:r>
        <w:t xml:space="preserve">. </w:t>
      </w:r>
    </w:p>
    <w:p w14:paraId="058631AF" w14:textId="5919B8B2" w:rsidR="00CF0135" w:rsidRDefault="00CF0135" w:rsidP="00CF0135">
      <w:pPr>
        <w:pStyle w:val="Heading2"/>
      </w:pPr>
      <w:bookmarkStart w:id="11" w:name="_Toc147910111"/>
      <w:bookmarkStart w:id="12" w:name="_Toc150883247"/>
      <w:bookmarkStart w:id="13" w:name="_Toc151053029"/>
      <w:bookmarkEnd w:id="10"/>
      <w:r>
        <w:t>Post-</w:t>
      </w:r>
      <w:r w:rsidR="00322C59">
        <w:t>c</w:t>
      </w:r>
      <w:r>
        <w:t>onsultation analysis</w:t>
      </w:r>
      <w:bookmarkEnd w:id="11"/>
      <w:bookmarkEnd w:id="12"/>
      <w:bookmarkEnd w:id="13"/>
    </w:p>
    <w:p w14:paraId="27C8CA50" w14:textId="7E84F202" w:rsidR="00CF0135" w:rsidRDefault="00CF0135" w:rsidP="00CF0135">
      <w:r>
        <w:t xml:space="preserve">The review has found that the core objective of the anti-siphoning scheme – to </w:t>
      </w:r>
      <w:r w:rsidR="00BC5113">
        <w:t>promote free access</w:t>
      </w:r>
      <w:r>
        <w:t xml:space="preserve"> to televised coverage of events of national importance and cultural significance – remains relevant and appropriate. The anti-siphoning scheme should continue to operate to further this objective. However, </w:t>
      </w:r>
      <w:r w:rsidR="00444920">
        <w:t xml:space="preserve">the scheme needs to be broadened to incorporate online services. </w:t>
      </w:r>
    </w:p>
    <w:p w14:paraId="10A453F7" w14:textId="77777777" w:rsidR="00CE537D" w:rsidRDefault="00CE537D" w:rsidP="00CF0135"/>
    <w:p w14:paraId="514098EB" w14:textId="4D452ADD" w:rsidR="00CF0135" w:rsidRDefault="00444920" w:rsidP="00CF0135">
      <w:r>
        <w:t xml:space="preserve">The risk that </w:t>
      </w:r>
      <w:r>
        <w:rPr>
          <w:iCs/>
        </w:rPr>
        <w:t xml:space="preserve">nationally important and culturally significant </w:t>
      </w:r>
      <w:r w:rsidRPr="004B39B7">
        <w:rPr>
          <w:iCs/>
        </w:rPr>
        <w:t>events migrate</w:t>
      </w:r>
      <w:r>
        <w:rPr>
          <w:iCs/>
        </w:rPr>
        <w:t xml:space="preserve"> </w:t>
      </w:r>
      <w:r w:rsidRPr="004B39B7">
        <w:rPr>
          <w:iCs/>
        </w:rPr>
        <w:t xml:space="preserve">behind paywalls, and </w:t>
      </w:r>
      <w:r>
        <w:rPr>
          <w:iCs/>
        </w:rPr>
        <w:t xml:space="preserve">are no </w:t>
      </w:r>
      <w:r w:rsidRPr="004B39B7">
        <w:rPr>
          <w:iCs/>
        </w:rPr>
        <w:t>longer available for free to Australian audiences</w:t>
      </w:r>
      <w:r>
        <w:rPr>
          <w:iCs/>
        </w:rPr>
        <w:t xml:space="preserve">, remains in a contemporary media environment. </w:t>
      </w:r>
      <w:r w:rsidR="00CF0135">
        <w:t>There is a ‘regulatory gap’ in</w:t>
      </w:r>
      <w:r>
        <w:t xml:space="preserve"> the scheme in</w:t>
      </w:r>
      <w:r w:rsidR="00CF0135">
        <w:t xml:space="preserve"> relation to online services</w:t>
      </w:r>
      <w:r>
        <w:t>,</w:t>
      </w:r>
      <w:r w:rsidR="00CF0135">
        <w:t xml:space="preserve"> and a case to broaden the remit of the framework to mitigate the attendant risks.</w:t>
      </w:r>
    </w:p>
    <w:p w14:paraId="0433D4F2" w14:textId="718A4F1A" w:rsidR="00CF0135" w:rsidRDefault="00444920" w:rsidP="00CF0135">
      <w:r>
        <w:t xml:space="preserve">The review also found that the composition of the list needs to be reconsidered. </w:t>
      </w:r>
      <w:r w:rsidR="00CF0135">
        <w:t xml:space="preserve">To date, the list has </w:t>
      </w:r>
      <w:r>
        <w:t xml:space="preserve">not </w:t>
      </w:r>
      <w:r w:rsidR="00CF0135">
        <w:t xml:space="preserve">included sports that involve athletes </w:t>
      </w:r>
      <w:r w:rsidR="00262055">
        <w:t xml:space="preserve">with </w:t>
      </w:r>
      <w:r w:rsidR="00CF0135">
        <w:t>disabilities. To a lesser extent, it has also tended to involve competitions in which men compete. This is a product of history rather than deliberate design. Nonetheless, the review has found that there is a case to consider the composition of the list with respect to women’s sports events and Para-sports.</w:t>
      </w:r>
    </w:p>
    <w:p w14:paraId="340D8155" w14:textId="4F3549E2" w:rsidR="0080633D" w:rsidRDefault="0080633D" w:rsidP="0080633D">
      <w:pPr>
        <w:pStyle w:val="Heading2"/>
      </w:pPr>
      <w:bookmarkStart w:id="14" w:name="_Toc147910112"/>
      <w:bookmarkStart w:id="15" w:name="_Toc150883248"/>
      <w:bookmarkStart w:id="16" w:name="_Toc151053030"/>
      <w:r>
        <w:t xml:space="preserve">Recommended </w:t>
      </w:r>
      <w:r w:rsidR="00322C59">
        <w:t>o</w:t>
      </w:r>
      <w:r>
        <w:t>ption</w:t>
      </w:r>
      <w:r w:rsidR="00322C59">
        <w:t>s</w:t>
      </w:r>
      <w:bookmarkEnd w:id="14"/>
      <w:bookmarkEnd w:id="15"/>
      <w:bookmarkEnd w:id="16"/>
    </w:p>
    <w:p w14:paraId="4BB570DA" w14:textId="168B28EB" w:rsidR="00444920" w:rsidRDefault="00444920" w:rsidP="00444920">
      <w:bookmarkStart w:id="17" w:name="_Hlk148001575"/>
      <w:r>
        <w:t xml:space="preserve">The views of stakeholders and the analysis undertaken through the review process has </w:t>
      </w:r>
      <w:r w:rsidR="00FF5A80">
        <w:t xml:space="preserve">informed </w:t>
      </w:r>
      <w:r>
        <w:t xml:space="preserve">the development of a proposed approach to reform of the scheme and list: </w:t>
      </w:r>
    </w:p>
    <w:bookmarkEnd w:id="17"/>
    <w:p w14:paraId="0AB72EBE" w14:textId="62098B15" w:rsidR="00444920" w:rsidRDefault="00444920" w:rsidP="00E33CCD">
      <w:pPr>
        <w:pStyle w:val="ListParagraph"/>
        <w:numPr>
          <w:ilvl w:val="0"/>
          <w:numId w:val="20"/>
        </w:numPr>
        <w:suppressAutoHyphens w:val="0"/>
        <w:contextualSpacing w:val="0"/>
      </w:pPr>
      <w:r>
        <w:t>a ‘broadcast</w:t>
      </w:r>
      <w:r w:rsidR="006061E4">
        <w:t xml:space="preserve"> </w:t>
      </w:r>
      <w:r>
        <w:t>safety net’ model for the anti-siphoning scheme, that expands the scheme to include online services while retaining ubiquitous broadcast services as the means through which the scheme’s objectives are achieved; and</w:t>
      </w:r>
    </w:p>
    <w:p w14:paraId="3088F6CE" w14:textId="6B3D2EA0" w:rsidR="00444920" w:rsidRDefault="00444920" w:rsidP="00E33CCD">
      <w:pPr>
        <w:pStyle w:val="ListParagraph"/>
        <w:numPr>
          <w:ilvl w:val="0"/>
          <w:numId w:val="20"/>
        </w:numPr>
        <w:suppressAutoHyphens w:val="0"/>
        <w:contextualSpacing w:val="0"/>
      </w:pPr>
      <w:r>
        <w:t xml:space="preserve">a ‘modernised’ list option that responds to </w:t>
      </w:r>
      <w:r w:rsidR="00BF46C1">
        <w:t xml:space="preserve">the finding of the review that the </w:t>
      </w:r>
      <w:r>
        <w:t>current list is outdated</w:t>
      </w:r>
      <w:r w:rsidR="00BF46C1">
        <w:t>.</w:t>
      </w:r>
    </w:p>
    <w:p w14:paraId="27BF3964" w14:textId="4C41E04C" w:rsidR="00C55904" w:rsidRDefault="00444920" w:rsidP="00444920">
      <w:pPr>
        <w:pStyle w:val="Introduction"/>
      </w:pPr>
      <w:r>
        <w:rPr>
          <w:lang w:val="en-AU"/>
        </w:rPr>
        <w:t xml:space="preserve">The ‘broadcasting safety net’ model for the scheme </w:t>
      </w:r>
    </w:p>
    <w:p w14:paraId="3FF396AA" w14:textId="2329A189" w:rsidR="003B3A65" w:rsidRDefault="00C55904" w:rsidP="00C55904">
      <w:pPr>
        <w:spacing w:after="0"/>
      </w:pPr>
      <w:r>
        <w:t>Under th</w:t>
      </w:r>
      <w:r w:rsidR="00FF5A80">
        <w:t xml:space="preserve">is approach, </w:t>
      </w:r>
      <w:r>
        <w:t>the scheme would be expanded to prevent content services (other than free</w:t>
      </w:r>
      <w:r>
        <w:noBreakHyphen/>
        <w:t>to</w:t>
      </w:r>
      <w:r>
        <w:noBreakHyphen/>
        <w:t>air broadcaster</w:t>
      </w:r>
      <w:r w:rsidR="006061E4">
        <w:t>s</w:t>
      </w:r>
      <w:r>
        <w:t>) from acquiring a right to provide coverage</w:t>
      </w:r>
      <w:r w:rsidR="00027CB9">
        <w:rPr>
          <w:rStyle w:val="FootnoteReference"/>
        </w:rPr>
        <w:footnoteReference w:id="5"/>
      </w:r>
      <w:r>
        <w:t xml:space="preserve"> of a listed event to audiences in Australia until a free-to-air broadcaster has acquired a right to televise the event on a broadcasting service. This </w:t>
      </w:r>
      <w:r w:rsidR="003B3A65">
        <w:t>would</w:t>
      </w:r>
      <w:r>
        <w:t xml:space="preserve"> extend the scope of the restriction on the acquisition of rights under the current scheme, which only applies to subscription television broadcasting licensees.</w:t>
      </w:r>
    </w:p>
    <w:p w14:paraId="37979977" w14:textId="5064A979" w:rsidR="003B3A65" w:rsidRDefault="00C55904" w:rsidP="003B3A65">
      <w:pPr>
        <w:spacing w:after="0"/>
      </w:pPr>
      <w:r>
        <w:t>This model would affirm b</w:t>
      </w:r>
      <w:r w:rsidRPr="009038F2">
        <w:t xml:space="preserve">roadcasting services as the ‘safety net’ for free access to </w:t>
      </w:r>
      <w:r>
        <w:t xml:space="preserve">televised coverage of </w:t>
      </w:r>
      <w:r w:rsidRPr="009038F2">
        <w:t>iconic sporting events for all Australians</w:t>
      </w:r>
      <w:r>
        <w:t xml:space="preserve">. </w:t>
      </w:r>
      <w:r w:rsidR="003B3A65">
        <w:t>To this end, it provides free-to-air broadcasters with preferential treatment in terms of acquiring the relevant rights. This addresses the risk of these events migrating to platforms that involve direct or indirect costs for Australian audiences.</w:t>
      </w:r>
    </w:p>
    <w:p w14:paraId="4DE73502" w14:textId="70208F5B" w:rsidR="003B3A65" w:rsidRDefault="003B3A65" w:rsidP="003B3A65">
      <w:pPr>
        <w:spacing w:after="0"/>
      </w:pPr>
      <w:r>
        <w:t xml:space="preserve">However, this model doesn’t </w:t>
      </w:r>
      <w:r w:rsidR="009804B1">
        <w:t xml:space="preserve">explicitly </w:t>
      </w:r>
      <w:r>
        <w:t xml:space="preserve">provide free-to-air broadcasters with preferential treatment in terms of their ‘non-broadcasting’ content services (i.e. </w:t>
      </w:r>
      <w:r w:rsidR="006061E4">
        <w:t xml:space="preserve">broadcast video on demand </w:t>
      </w:r>
      <w:r>
        <w:t>or other online services). To do so would go beyond the aim of this particular model (which is founded on the accessibility of the stable and ubiquitous terrestrial free-to-air television broadcasting platform) and would provide free-to-air broadcasters with an additional commercial advantage over other providers of content services.</w:t>
      </w:r>
    </w:p>
    <w:p w14:paraId="7405C191" w14:textId="68458446" w:rsidR="00C55904" w:rsidRPr="00495D12" w:rsidRDefault="00F80C81" w:rsidP="003B3A65">
      <w:pPr>
        <w:spacing w:after="0"/>
      </w:pPr>
      <w:r w:rsidRPr="00C10DE5">
        <w:t>O</w:t>
      </w:r>
      <w:r w:rsidR="003B3A65" w:rsidRPr="00C10DE5">
        <w:t xml:space="preserve">nce a right to televise a listed event had been acquired by a free-to-air broadcaster, or the event is automatically delisted </w:t>
      </w:r>
      <w:r w:rsidRPr="00C10DE5">
        <w:t xml:space="preserve">12 months (this period is </w:t>
      </w:r>
      <w:r w:rsidR="003B3A65" w:rsidRPr="00C10DE5">
        <w:t>26 weeks</w:t>
      </w:r>
      <w:r w:rsidRPr="00C10DE5">
        <w:t xml:space="preserve"> under the current scheme)</w:t>
      </w:r>
      <w:r w:rsidR="003B3A65" w:rsidRPr="00C10DE5">
        <w:t xml:space="preserve"> prior to its commencement, any party would be able to acquire rights to the event without restriction.</w:t>
      </w:r>
    </w:p>
    <w:p w14:paraId="69D181F1" w14:textId="2C287A50" w:rsidR="0080633D" w:rsidRDefault="003B3A65" w:rsidP="00C10790">
      <w:r>
        <w:t xml:space="preserve">The expanded scheme would be legislated through the </w:t>
      </w:r>
      <w:r w:rsidRPr="003B3A65">
        <w:rPr>
          <w:i/>
        </w:rPr>
        <w:t>Broadcasting Services Act 1992</w:t>
      </w:r>
      <w:r w:rsidR="00FF5A80">
        <w:t xml:space="preserve">. </w:t>
      </w:r>
    </w:p>
    <w:p w14:paraId="1AC4DC61" w14:textId="65A77A41" w:rsidR="00C55904" w:rsidRDefault="00444920" w:rsidP="00444920">
      <w:pPr>
        <w:pStyle w:val="Introduction"/>
      </w:pPr>
      <w:r>
        <w:t xml:space="preserve">The </w:t>
      </w:r>
      <w:r w:rsidR="00FF5A80">
        <w:rPr>
          <w:lang w:val="en-AU"/>
        </w:rPr>
        <w:t>‘</w:t>
      </w:r>
      <w:r>
        <w:t>modernised</w:t>
      </w:r>
      <w:r w:rsidR="00FF5A80">
        <w:rPr>
          <w:lang w:val="en-AU"/>
        </w:rPr>
        <w:t>’</w:t>
      </w:r>
      <w:r>
        <w:t xml:space="preserve"> list option </w:t>
      </w:r>
    </w:p>
    <w:p w14:paraId="7DC57275" w14:textId="15E72A16" w:rsidR="00C55904" w:rsidRDefault="00FF5A80" w:rsidP="00C10790">
      <w:r>
        <w:t xml:space="preserve">This </w:t>
      </w:r>
      <w:r w:rsidR="003B3A65">
        <w:t xml:space="preserve">list option is designed to </w:t>
      </w:r>
      <w:r w:rsidR="003B3A65" w:rsidRPr="003B3A65">
        <w:t>better reflect the modern media landscape and moderately broaden the composition of nationally important and culturally significant events.</w:t>
      </w:r>
      <w:r w:rsidR="003B3A65">
        <w:t xml:space="preserve"> In particular, this approach seeks to reflect the increased national prominence of women’s </w:t>
      </w:r>
      <w:r w:rsidR="002F2834">
        <w:t xml:space="preserve">sports events </w:t>
      </w:r>
      <w:r w:rsidR="003B3A65">
        <w:t xml:space="preserve">and </w:t>
      </w:r>
      <w:r w:rsidR="00CE537D">
        <w:t>P</w:t>
      </w:r>
      <w:r w:rsidR="003B3A65">
        <w:t>ar</w:t>
      </w:r>
      <w:r w:rsidR="00CE537D">
        <w:t>a-</w:t>
      </w:r>
      <w:r w:rsidR="003B3A65">
        <w:t xml:space="preserve">sports, which have traditionally not been listed under the scheme. </w:t>
      </w:r>
    </w:p>
    <w:p w14:paraId="7F83D086" w14:textId="4D3AB8B8" w:rsidR="003B3A65" w:rsidRDefault="003B3A65" w:rsidP="003B3A65">
      <w:r>
        <w:t>Th</w:t>
      </w:r>
      <w:r w:rsidR="00FF5A80">
        <w:t xml:space="preserve">e modernised list </w:t>
      </w:r>
      <w:r>
        <w:t>would involve an increase in the number of events on the list compared with the current instrument, rising from approximately 1,900 events under the current list to around 2,500 events. The additional events on this list would include: all events held as part of the Paralympic Games; the finals matches of the Australian Football League (AFL) and National Rugby League (NRL) Women’s Premierships; and the NRL Women’s State of Origin Series.</w:t>
      </w:r>
    </w:p>
    <w:p w14:paraId="779BA325" w14:textId="5D92129D" w:rsidR="003B3A65" w:rsidRDefault="003B3A65" w:rsidP="003B3A65">
      <w:r>
        <w:t>Th</w:t>
      </w:r>
      <w:r w:rsidR="00CE537D">
        <w:t>e</w:t>
      </w:r>
      <w:r>
        <w:t xml:space="preserve"> list would also include international rugby league, rugby union, cricket and soccer matches that involve a senior Australian representative team, irrespective of gender, and irrespective of whether these matches are standalone fixtures or played as part of a world cup tournament.</w:t>
      </w:r>
    </w:p>
    <w:p w14:paraId="054E9FA7" w14:textId="77777777" w:rsidR="001B66A6" w:rsidRDefault="001B66A6" w:rsidP="001B66A6">
      <w:pPr>
        <w:pStyle w:val="Heading2"/>
      </w:pPr>
      <w:bookmarkStart w:id="18" w:name="_Toc147910113"/>
      <w:bookmarkStart w:id="19" w:name="_Toc150883249"/>
      <w:bookmarkStart w:id="20" w:name="_Toc151053031"/>
      <w:r>
        <w:t>The Impact Analysis process</w:t>
      </w:r>
      <w:bookmarkEnd w:id="18"/>
      <w:bookmarkEnd w:id="19"/>
      <w:bookmarkEnd w:id="20"/>
    </w:p>
    <w:p w14:paraId="0650B8F2" w14:textId="74424EB5" w:rsidR="0080633D" w:rsidRPr="005C6096" w:rsidRDefault="0080633D" w:rsidP="0080633D">
      <w:pPr>
        <w:pStyle w:val="NormalWeb"/>
        <w:spacing w:before="160" w:beforeAutospacing="0" w:after="80" w:afterAutospacing="0"/>
        <w:rPr>
          <w:rFonts w:asciiTheme="minorHAnsi" w:eastAsiaTheme="minorHAnsi" w:hAnsiTheme="minorHAnsi" w:cstheme="minorHAnsi"/>
          <w:color w:val="000000" w:themeColor="text1"/>
          <w:sz w:val="22"/>
          <w:szCs w:val="22"/>
          <w:lang w:eastAsia="en-US"/>
        </w:rPr>
      </w:pPr>
      <w:r w:rsidRPr="005C6096">
        <w:rPr>
          <w:rFonts w:asciiTheme="minorHAnsi" w:eastAsiaTheme="minorHAnsi" w:hAnsiTheme="minorHAnsi" w:cstheme="minorHAnsi"/>
          <w:color w:val="000000" w:themeColor="text1"/>
          <w:sz w:val="22"/>
          <w:szCs w:val="22"/>
          <w:lang w:eastAsia="en-US"/>
        </w:rPr>
        <w:t xml:space="preserve">This </w:t>
      </w:r>
      <w:r>
        <w:rPr>
          <w:rFonts w:asciiTheme="minorHAnsi" w:eastAsiaTheme="minorHAnsi" w:hAnsiTheme="minorHAnsi" w:cstheme="minorHAnsi"/>
          <w:color w:val="000000" w:themeColor="text1"/>
          <w:sz w:val="22"/>
          <w:szCs w:val="22"/>
          <w:lang w:eastAsia="en-US"/>
        </w:rPr>
        <w:t xml:space="preserve">IA </w:t>
      </w:r>
      <w:r w:rsidRPr="005C6096">
        <w:rPr>
          <w:rFonts w:asciiTheme="minorHAnsi" w:eastAsiaTheme="minorHAnsi" w:hAnsiTheme="minorHAnsi" w:cstheme="minorHAnsi"/>
          <w:color w:val="000000" w:themeColor="text1"/>
          <w:sz w:val="22"/>
          <w:szCs w:val="22"/>
          <w:lang w:eastAsia="en-US"/>
        </w:rPr>
        <w:t xml:space="preserve">has been written in accordance with the Australian Government IA requirements. In the subsequent chapters, the seven </w:t>
      </w:r>
      <w:bookmarkStart w:id="21" w:name="_Hlk147912121"/>
      <w:r w:rsidRPr="005C6096">
        <w:rPr>
          <w:rFonts w:asciiTheme="minorHAnsi" w:eastAsiaTheme="minorHAnsi" w:hAnsiTheme="minorHAnsi" w:cstheme="minorHAnsi"/>
          <w:color w:val="000000" w:themeColor="text1"/>
          <w:sz w:val="22"/>
          <w:szCs w:val="22"/>
          <w:lang w:eastAsia="en-US"/>
        </w:rPr>
        <w:t xml:space="preserve">assessment questions set out in the Australian Government Guide to </w:t>
      </w:r>
      <w:r>
        <w:rPr>
          <w:rFonts w:asciiTheme="minorHAnsi" w:eastAsiaTheme="minorHAnsi" w:hAnsiTheme="minorHAnsi" w:cstheme="minorHAnsi"/>
          <w:color w:val="000000" w:themeColor="text1"/>
          <w:sz w:val="22"/>
          <w:szCs w:val="22"/>
          <w:lang w:eastAsia="en-US"/>
        </w:rPr>
        <w:t xml:space="preserve">Policy </w:t>
      </w:r>
      <w:r w:rsidRPr="005C6096">
        <w:rPr>
          <w:rFonts w:asciiTheme="minorHAnsi" w:eastAsiaTheme="minorHAnsi" w:hAnsiTheme="minorHAnsi" w:cstheme="minorHAnsi"/>
          <w:color w:val="000000" w:themeColor="text1"/>
          <w:sz w:val="22"/>
          <w:szCs w:val="22"/>
          <w:lang w:eastAsia="en-US"/>
        </w:rPr>
        <w:t>Impact Analysis (202</w:t>
      </w:r>
      <w:r>
        <w:rPr>
          <w:rFonts w:asciiTheme="minorHAnsi" w:eastAsiaTheme="minorHAnsi" w:hAnsiTheme="minorHAnsi" w:cstheme="minorHAnsi"/>
          <w:color w:val="000000" w:themeColor="text1"/>
          <w:sz w:val="22"/>
          <w:szCs w:val="22"/>
          <w:lang w:eastAsia="en-US"/>
        </w:rPr>
        <w:t>3</w:t>
      </w:r>
      <w:r w:rsidRPr="005C6096">
        <w:rPr>
          <w:rFonts w:asciiTheme="minorHAnsi" w:eastAsiaTheme="minorHAnsi" w:hAnsiTheme="minorHAnsi" w:cstheme="minorHAnsi"/>
          <w:color w:val="000000" w:themeColor="text1"/>
          <w:sz w:val="22"/>
          <w:szCs w:val="22"/>
          <w:lang w:eastAsia="en-US"/>
        </w:rPr>
        <w:t xml:space="preserve">) </w:t>
      </w:r>
      <w:bookmarkEnd w:id="21"/>
      <w:r w:rsidRPr="005C6096">
        <w:rPr>
          <w:rFonts w:asciiTheme="minorHAnsi" w:eastAsiaTheme="minorHAnsi" w:hAnsiTheme="minorHAnsi" w:cstheme="minorHAnsi"/>
          <w:color w:val="000000" w:themeColor="text1"/>
          <w:sz w:val="22"/>
          <w:szCs w:val="22"/>
          <w:lang w:eastAsia="en-US"/>
        </w:rPr>
        <w:t xml:space="preserve">have been addressed. </w:t>
      </w:r>
      <w:r w:rsidR="00E5062A">
        <w:rPr>
          <w:rFonts w:asciiTheme="minorHAnsi" w:eastAsiaTheme="minorHAnsi" w:hAnsiTheme="minorHAnsi" w:cstheme="minorHAnsi"/>
          <w:color w:val="000000" w:themeColor="text1"/>
          <w:sz w:val="22"/>
          <w:szCs w:val="22"/>
          <w:lang w:eastAsia="en-US"/>
        </w:rPr>
        <w:t>These</w:t>
      </w:r>
      <w:r w:rsidRPr="005C6096">
        <w:rPr>
          <w:rFonts w:asciiTheme="minorHAnsi" w:eastAsiaTheme="minorHAnsi" w:hAnsiTheme="minorHAnsi" w:cstheme="minorHAnsi"/>
          <w:color w:val="000000" w:themeColor="text1"/>
          <w:sz w:val="22"/>
          <w:szCs w:val="22"/>
          <w:lang w:eastAsia="en-US"/>
        </w:rPr>
        <w:t xml:space="preserve"> are:</w:t>
      </w:r>
    </w:p>
    <w:p w14:paraId="61D3D5D5" w14:textId="77777777" w:rsidR="0080633D" w:rsidRPr="00E321E8" w:rsidRDefault="0080633D" w:rsidP="00E33CCD">
      <w:pPr>
        <w:pStyle w:val="ListParagraph"/>
        <w:numPr>
          <w:ilvl w:val="0"/>
          <w:numId w:val="29"/>
        </w:numPr>
        <w:tabs>
          <w:tab w:val="left" w:pos="720"/>
          <w:tab w:val="left" w:pos="851"/>
        </w:tabs>
        <w:suppressAutoHyphens w:val="0"/>
        <w:contextualSpacing w:val="0"/>
        <w:rPr>
          <w:rFonts w:cstheme="minorHAnsi"/>
        </w:rPr>
      </w:pPr>
      <w:r w:rsidRPr="00E321E8">
        <w:rPr>
          <w:rFonts w:cstheme="minorHAnsi"/>
        </w:rPr>
        <w:t>What is the problem you are trying to solve and what data is available?</w:t>
      </w:r>
    </w:p>
    <w:p w14:paraId="16BF35E1" w14:textId="77777777" w:rsidR="0080633D" w:rsidRPr="00E321E8" w:rsidRDefault="0080633D" w:rsidP="00E33CCD">
      <w:pPr>
        <w:pStyle w:val="ListParagraph"/>
        <w:numPr>
          <w:ilvl w:val="0"/>
          <w:numId w:val="29"/>
        </w:numPr>
        <w:tabs>
          <w:tab w:val="left" w:pos="720"/>
          <w:tab w:val="left" w:pos="851"/>
        </w:tabs>
        <w:suppressAutoHyphens w:val="0"/>
        <w:contextualSpacing w:val="0"/>
        <w:rPr>
          <w:rFonts w:cstheme="minorHAnsi"/>
        </w:rPr>
      </w:pPr>
      <w:r w:rsidRPr="00E321E8">
        <w:rPr>
          <w:rFonts w:cstheme="minorHAnsi"/>
        </w:rPr>
        <w:t>What are the objectives, why is government intervention needed to achieve them, and how will success be measured?</w:t>
      </w:r>
    </w:p>
    <w:p w14:paraId="4082C8FD" w14:textId="77777777" w:rsidR="0080633D" w:rsidRPr="00E321E8" w:rsidRDefault="0080633D" w:rsidP="00E33CCD">
      <w:pPr>
        <w:pStyle w:val="ListParagraph"/>
        <w:numPr>
          <w:ilvl w:val="0"/>
          <w:numId w:val="29"/>
        </w:numPr>
        <w:tabs>
          <w:tab w:val="left" w:pos="720"/>
          <w:tab w:val="left" w:pos="851"/>
        </w:tabs>
        <w:suppressAutoHyphens w:val="0"/>
        <w:contextualSpacing w:val="0"/>
        <w:rPr>
          <w:rFonts w:cstheme="minorHAnsi"/>
        </w:rPr>
      </w:pPr>
      <w:r w:rsidRPr="00E321E8">
        <w:rPr>
          <w:rFonts w:cstheme="minorHAnsi"/>
        </w:rPr>
        <w:t>What policy options are you considering?</w:t>
      </w:r>
    </w:p>
    <w:p w14:paraId="746559FD" w14:textId="77777777" w:rsidR="0080633D" w:rsidRPr="00E321E8" w:rsidRDefault="0080633D" w:rsidP="00E33CCD">
      <w:pPr>
        <w:pStyle w:val="ListParagraph"/>
        <w:numPr>
          <w:ilvl w:val="0"/>
          <w:numId w:val="29"/>
        </w:numPr>
        <w:tabs>
          <w:tab w:val="left" w:pos="720"/>
          <w:tab w:val="left" w:pos="851"/>
        </w:tabs>
        <w:suppressAutoHyphens w:val="0"/>
        <w:contextualSpacing w:val="0"/>
        <w:rPr>
          <w:rFonts w:cstheme="minorHAnsi"/>
        </w:rPr>
      </w:pPr>
      <w:r w:rsidRPr="00E321E8">
        <w:rPr>
          <w:rFonts w:cstheme="minorHAnsi"/>
        </w:rPr>
        <w:t>What is the likely net benefit of each option?</w:t>
      </w:r>
    </w:p>
    <w:p w14:paraId="6F3A3512" w14:textId="77777777" w:rsidR="0080633D" w:rsidRPr="00E321E8" w:rsidRDefault="0080633D" w:rsidP="00E33CCD">
      <w:pPr>
        <w:pStyle w:val="ListParagraph"/>
        <w:numPr>
          <w:ilvl w:val="0"/>
          <w:numId w:val="29"/>
        </w:numPr>
        <w:tabs>
          <w:tab w:val="left" w:pos="720"/>
          <w:tab w:val="left" w:pos="851"/>
        </w:tabs>
        <w:suppressAutoHyphens w:val="0"/>
        <w:contextualSpacing w:val="0"/>
        <w:rPr>
          <w:rFonts w:cstheme="minorHAnsi"/>
        </w:rPr>
      </w:pPr>
      <w:r w:rsidRPr="00E321E8">
        <w:rPr>
          <w:rFonts w:cstheme="minorHAnsi"/>
        </w:rPr>
        <w:t>Who did you consult and how did you incorporate their feedback?</w:t>
      </w:r>
    </w:p>
    <w:p w14:paraId="2712DE9D" w14:textId="77777777" w:rsidR="0080633D" w:rsidRPr="00E321E8" w:rsidRDefault="0080633D" w:rsidP="00E33CCD">
      <w:pPr>
        <w:pStyle w:val="ListParagraph"/>
        <w:numPr>
          <w:ilvl w:val="0"/>
          <w:numId w:val="29"/>
        </w:numPr>
        <w:tabs>
          <w:tab w:val="left" w:pos="720"/>
          <w:tab w:val="left" w:pos="851"/>
        </w:tabs>
        <w:suppressAutoHyphens w:val="0"/>
        <w:contextualSpacing w:val="0"/>
        <w:rPr>
          <w:rFonts w:cstheme="minorHAnsi"/>
        </w:rPr>
      </w:pPr>
      <w:r w:rsidRPr="00E321E8">
        <w:rPr>
          <w:rFonts w:cstheme="minorHAnsi"/>
        </w:rPr>
        <w:t>What is the best option from those you have considered and how will it be implemented?</w:t>
      </w:r>
    </w:p>
    <w:p w14:paraId="01C87F07" w14:textId="05E05A6F" w:rsidR="0080633D" w:rsidRPr="00C25274" w:rsidRDefault="0080633D" w:rsidP="00E33CCD">
      <w:pPr>
        <w:pStyle w:val="ListParagraph"/>
        <w:numPr>
          <w:ilvl w:val="0"/>
          <w:numId w:val="29"/>
        </w:numPr>
        <w:tabs>
          <w:tab w:val="left" w:pos="720"/>
          <w:tab w:val="left" w:pos="851"/>
        </w:tabs>
        <w:suppressAutoHyphens w:val="0"/>
        <w:contextualSpacing w:val="0"/>
        <w:rPr>
          <w:rFonts w:cstheme="minorHAnsi"/>
        </w:rPr>
      </w:pPr>
      <w:r w:rsidRPr="00E321E8">
        <w:rPr>
          <w:rFonts w:cstheme="minorHAnsi"/>
        </w:rPr>
        <w:t>How will you evaluate your chosen option against the success metrics?</w:t>
      </w:r>
    </w:p>
    <w:p w14:paraId="4DE9FD75" w14:textId="77777777" w:rsidR="00C25274" w:rsidRDefault="00C25274" w:rsidP="003B655B">
      <w:r>
        <w:br w:type="page"/>
      </w:r>
    </w:p>
    <w:p w14:paraId="4BA7FDC1" w14:textId="620AA85E" w:rsidR="000530AC" w:rsidRDefault="006C1DDC" w:rsidP="000530AC">
      <w:pPr>
        <w:pStyle w:val="Heading1"/>
        <w:spacing w:before="0"/>
      </w:pPr>
      <w:bookmarkStart w:id="22" w:name="_Toc150883250"/>
      <w:bookmarkStart w:id="23" w:name="_Toc151053032"/>
      <w:r>
        <w:t>B</w:t>
      </w:r>
      <w:r w:rsidR="000530AC" w:rsidRPr="006C1DDC">
        <w:t>ackground</w:t>
      </w:r>
      <w:bookmarkEnd w:id="22"/>
      <w:bookmarkEnd w:id="23"/>
      <w:r w:rsidR="000530AC">
        <w:t xml:space="preserve"> </w:t>
      </w:r>
    </w:p>
    <w:p w14:paraId="4831270F" w14:textId="370C7501" w:rsidR="00B604B1" w:rsidRPr="004B7EF3" w:rsidRDefault="00B604B1" w:rsidP="00B604B1">
      <w:pPr>
        <w:spacing w:after="120"/>
      </w:pPr>
      <w:r w:rsidRPr="009B3A80">
        <w:t xml:space="preserve">The </w:t>
      </w:r>
      <w:r w:rsidRPr="009B3A80">
        <w:rPr>
          <w:i/>
        </w:rPr>
        <w:t>Broadcasting Services Act 1992</w:t>
      </w:r>
      <w:r w:rsidRPr="009B3A80">
        <w:t xml:space="preserve"> (BSA) provides the legislative framework for the anti-siphoning scheme (the scheme). </w:t>
      </w:r>
      <w:r>
        <w:t>Legislated</w:t>
      </w:r>
      <w:r w:rsidRPr="009B3A80">
        <w:t xml:space="preserve"> in 199</w:t>
      </w:r>
      <w:r>
        <w:t>2</w:t>
      </w:r>
      <w:r w:rsidRPr="009B3A80">
        <w:t xml:space="preserve">, </w:t>
      </w:r>
      <w:r w:rsidR="00AE68AF">
        <w:t xml:space="preserve">and commencing in 1994 with the making of the anti-siphoning list, </w:t>
      </w:r>
      <w:r w:rsidRPr="009B3A80">
        <w:t xml:space="preserve">the </w:t>
      </w:r>
      <w:r>
        <w:t xml:space="preserve">scheme </w:t>
      </w:r>
      <w:r w:rsidR="00DB11FA">
        <w:t>promote</w:t>
      </w:r>
      <w:r>
        <w:t>s</w:t>
      </w:r>
      <w:r w:rsidRPr="009B3A80">
        <w:t xml:space="preserve"> free access to televised coverage of events of national importance and cultural significance.</w:t>
      </w:r>
      <w:r>
        <w:t xml:space="preserve"> </w:t>
      </w:r>
    </w:p>
    <w:p w14:paraId="47326C28" w14:textId="746C0F1F" w:rsidR="002C2EF3" w:rsidRDefault="002C2EF3" w:rsidP="002670AA">
      <w:pPr>
        <w:pStyle w:val="Heading2"/>
      </w:pPr>
      <w:bookmarkStart w:id="24" w:name="_Toc150883251"/>
      <w:bookmarkStart w:id="25" w:name="_Toc151053033"/>
      <w:r>
        <w:t>The scheme</w:t>
      </w:r>
      <w:bookmarkEnd w:id="24"/>
      <w:bookmarkEnd w:id="25"/>
      <w:r>
        <w:t xml:space="preserve"> </w:t>
      </w:r>
    </w:p>
    <w:p w14:paraId="453CC75C" w14:textId="71476136" w:rsidR="00B604B1" w:rsidRPr="009B3A80" w:rsidRDefault="00B604B1" w:rsidP="00E5062A">
      <w:r w:rsidRPr="009B3A80">
        <w:t>The main elements of the anti</w:t>
      </w:r>
      <w:r>
        <w:noBreakHyphen/>
      </w:r>
      <w:r w:rsidRPr="009B3A80">
        <w:t>siphoning scheme are outlined in section 115 of the BSA, which includes a power for the Minister for Communications to list in a formal notice (known as the anti-siphoning list (the list)), events that should, in the opinion of the Minister, be available free to the general public.</w:t>
      </w:r>
    </w:p>
    <w:p w14:paraId="47B8EE43" w14:textId="120AC42C" w:rsidR="00B604B1" w:rsidRDefault="00B604B1" w:rsidP="00E5062A">
      <w:r w:rsidRPr="009B3A80">
        <w:t xml:space="preserve">The anti-siphoning scheme operates as a licence condition imposed under paragraph 10(1)(e) of Schedule 2 to the BSA on subscription television broadcasting licensees, preventing them from acquiring a right to televise an event on the anti-siphoning list unless a free-to-air television broadcaster (a national broadcaster or commercial television broadcasting </w:t>
      </w:r>
      <w:r w:rsidR="00EE246D" w:rsidRPr="009B3A80">
        <w:t>license</w:t>
      </w:r>
      <w:r w:rsidR="00EE246D">
        <w:t>e</w:t>
      </w:r>
      <w:r w:rsidRPr="009B3A80">
        <w:t>) has a</w:t>
      </w:r>
      <w:r>
        <w:t>cquired a</w:t>
      </w:r>
      <w:r w:rsidRPr="009B3A80">
        <w:t xml:space="preserve"> right. In this way, the scheme considers free</w:t>
      </w:r>
      <w:r w:rsidR="00634BC2">
        <w:noBreakHyphen/>
      </w:r>
      <w:r w:rsidRPr="009B3A80">
        <w:t>to</w:t>
      </w:r>
      <w:r w:rsidR="00634BC2">
        <w:noBreakHyphen/>
      </w:r>
      <w:r w:rsidRPr="009B3A80">
        <w:t xml:space="preserve">air broadcasting to be the medium by which listed events should be ‘freely available’, and provides free-to-air broadcasters the first opportunity to acquire rights to events on the list without competition from subscription television.    </w:t>
      </w:r>
    </w:p>
    <w:p w14:paraId="1C995204" w14:textId="636953D1" w:rsidR="00B604B1" w:rsidRDefault="00B604B1" w:rsidP="00E5062A">
      <w:r w:rsidRPr="009B3A80">
        <w:t xml:space="preserve">Under subsection 115(1AA) of the BSA, events are automatically removed (‘delisted’) </w:t>
      </w:r>
      <w:r w:rsidRPr="009B3A80">
        <w:rPr>
          <w:color w:val="000000"/>
          <w:shd w:val="clear" w:color="auto" w:fill="FFFFFF"/>
        </w:rPr>
        <w:t>4,368 hours</w:t>
      </w:r>
      <w:r w:rsidRPr="009B3A80">
        <w:t xml:space="preserve"> (26 weeks) before they commence to provide subscription television broadcasters with some opportunity to acquire the rights to events that free</w:t>
      </w:r>
      <w:r w:rsidRPr="009B3A80">
        <w:noBreakHyphen/>
        <w:t>to</w:t>
      </w:r>
      <w:r w:rsidRPr="009B3A80">
        <w:noBreakHyphen/>
        <w:t>air broadcasters have no</w:t>
      </w:r>
      <w:r w:rsidR="009C42FB">
        <w:t>t</w:t>
      </w:r>
      <w:r w:rsidRPr="009B3A80">
        <w:t xml:space="preserve"> acquir</w:t>
      </w:r>
      <w:r w:rsidR="009C42FB">
        <w:t>ed</w:t>
      </w:r>
      <w:r w:rsidRPr="009B3A80">
        <w:t>. However, the Minister can prevent automatic delisting and retain a particular event on the anti-siphoning list if they believe that a free</w:t>
      </w:r>
      <w:r w:rsidRPr="009B3A80">
        <w:noBreakHyphen/>
        <w:t>to</w:t>
      </w:r>
      <w:r w:rsidRPr="009B3A80">
        <w:noBreakHyphen/>
        <w:t>air broadcaster has not had a reasonable opportunity to acquire rights to the event in question.</w:t>
      </w:r>
      <w:r w:rsidR="00634BC2">
        <w:t xml:space="preserve"> The Minister can also remove events </w:t>
      </w:r>
      <w:r w:rsidR="00FA618D">
        <w:t>from</w:t>
      </w:r>
      <w:r w:rsidR="00634BC2">
        <w:t xml:space="preserve"> the list at any time.</w:t>
      </w:r>
    </w:p>
    <w:p w14:paraId="62EE7B87" w14:textId="46996EFA" w:rsidR="000F1284" w:rsidRDefault="009C42FB" w:rsidP="00E5062A">
      <w:r>
        <w:t>T</w:t>
      </w:r>
      <w:r w:rsidR="00B604B1">
        <w:t xml:space="preserve">he scheme does not </w:t>
      </w:r>
      <w:r w:rsidR="00B604B1" w:rsidRPr="006C6162">
        <w:t xml:space="preserve">force </w:t>
      </w:r>
      <w:r w:rsidR="00B604B1" w:rsidRPr="009B3A80">
        <w:t>free</w:t>
      </w:r>
      <w:r w:rsidR="00B604B1" w:rsidRPr="009B3A80">
        <w:noBreakHyphen/>
        <w:t>to</w:t>
      </w:r>
      <w:r w:rsidR="00B604B1" w:rsidRPr="009B3A80">
        <w:noBreakHyphen/>
        <w:t>air</w:t>
      </w:r>
      <w:r w:rsidR="00B604B1" w:rsidRPr="006C6162">
        <w:t xml:space="preserve"> broadcasters to acquire rights to televise events on the anti</w:t>
      </w:r>
      <w:r w:rsidR="00B604B1">
        <w:noBreakHyphen/>
      </w:r>
      <w:r w:rsidR="00B604B1" w:rsidRPr="006C6162">
        <w:t xml:space="preserve">siphoning list (this remains a decision for broadcasters). </w:t>
      </w:r>
      <w:r w:rsidR="00B604B1">
        <w:t xml:space="preserve">Nor does it </w:t>
      </w:r>
      <w:r w:rsidR="00B604B1" w:rsidRPr="006C6162">
        <w:t xml:space="preserve">oblige </w:t>
      </w:r>
      <w:r w:rsidR="00B604B1" w:rsidRPr="009B3A80">
        <w:t>free</w:t>
      </w:r>
      <w:r w:rsidR="00B604B1" w:rsidRPr="009B3A80">
        <w:noBreakHyphen/>
        <w:t>to</w:t>
      </w:r>
      <w:r w:rsidR="00B604B1" w:rsidRPr="009B3A80">
        <w:noBreakHyphen/>
        <w:t>air</w:t>
      </w:r>
      <w:r w:rsidR="00B604B1" w:rsidRPr="006C6162">
        <w:t xml:space="preserve"> broadcasters to provide any particular level or type of coverage of anti-siphoning events.  </w:t>
      </w:r>
    </w:p>
    <w:p w14:paraId="3F429001" w14:textId="4777FDE5" w:rsidR="00E5062A" w:rsidRDefault="00126B73" w:rsidP="00E5062A">
      <w:r>
        <w:t>T</w:t>
      </w:r>
      <w:r w:rsidR="000F1284">
        <w:t>he scheme also does not apply to online media</w:t>
      </w:r>
      <w:r w:rsidR="00E5062A">
        <w:t>, including:</w:t>
      </w:r>
    </w:p>
    <w:p w14:paraId="779B40D7" w14:textId="77777777" w:rsidR="00E5062A" w:rsidRDefault="00E5062A" w:rsidP="00E33CCD">
      <w:pPr>
        <w:pStyle w:val="ListParagraph"/>
        <w:numPr>
          <w:ilvl w:val="0"/>
          <w:numId w:val="32"/>
        </w:numPr>
        <w:suppressAutoHyphens w:val="0"/>
        <w:contextualSpacing w:val="0"/>
      </w:pPr>
      <w:r>
        <w:t>subscription streaming services, such as Netflix and Amazon Prime Video</w:t>
      </w:r>
    </w:p>
    <w:p w14:paraId="1A136714" w14:textId="77777777" w:rsidR="00E5062A" w:rsidRDefault="00E5062A" w:rsidP="00E33CCD">
      <w:pPr>
        <w:pStyle w:val="ListParagraph"/>
        <w:numPr>
          <w:ilvl w:val="0"/>
          <w:numId w:val="32"/>
        </w:numPr>
        <w:suppressAutoHyphens w:val="0"/>
        <w:contextualSpacing w:val="0"/>
      </w:pPr>
      <w:r>
        <w:t>dedicated sports streaming services, like Kayo Sports and Optus Sport</w:t>
      </w:r>
    </w:p>
    <w:p w14:paraId="75661E30" w14:textId="5B277B05" w:rsidR="00E5062A" w:rsidRDefault="00E5062A" w:rsidP="00E33CCD">
      <w:pPr>
        <w:pStyle w:val="ListParagraph"/>
        <w:numPr>
          <w:ilvl w:val="0"/>
          <w:numId w:val="32"/>
        </w:numPr>
        <w:suppressAutoHyphens w:val="0"/>
        <w:contextualSpacing w:val="0"/>
      </w:pPr>
      <w:r>
        <w:t xml:space="preserve">broadcast </w:t>
      </w:r>
      <w:r w:rsidR="008530D8">
        <w:t>v</w:t>
      </w:r>
      <w:r>
        <w:t>ideo</w:t>
      </w:r>
      <w:r w:rsidR="008530D8">
        <w:t>-o</w:t>
      </w:r>
      <w:r>
        <w:t>n</w:t>
      </w:r>
      <w:r w:rsidR="008530D8">
        <w:t>-d</w:t>
      </w:r>
      <w:r>
        <w:t>emand (BVOD) services, such as 9Now and 7plus</w:t>
      </w:r>
    </w:p>
    <w:p w14:paraId="40EC167B" w14:textId="5F443D6A" w:rsidR="00B604B1" w:rsidRPr="009B3A80" w:rsidRDefault="00E5062A" w:rsidP="00E33CCD">
      <w:pPr>
        <w:pStyle w:val="ListParagraph"/>
        <w:numPr>
          <w:ilvl w:val="0"/>
          <w:numId w:val="32"/>
        </w:numPr>
        <w:suppressAutoHyphens w:val="0"/>
        <w:contextualSpacing w:val="0"/>
      </w:pPr>
      <w:r>
        <w:t>digital platforms, including Twitter and YouTube.</w:t>
      </w:r>
    </w:p>
    <w:p w14:paraId="64DF619A" w14:textId="7DB57FF2" w:rsidR="00B604B1" w:rsidRDefault="00B604B1" w:rsidP="002C2EF3">
      <w:pPr>
        <w:pStyle w:val="Heading2"/>
      </w:pPr>
      <w:bookmarkStart w:id="26" w:name="_Toc150883252"/>
      <w:bookmarkStart w:id="27" w:name="_Toc151053034"/>
      <w:r>
        <w:t>The list</w:t>
      </w:r>
      <w:bookmarkEnd w:id="26"/>
      <w:bookmarkEnd w:id="27"/>
    </w:p>
    <w:p w14:paraId="3C273AE9" w14:textId="3ABAB500" w:rsidR="00B604B1" w:rsidRDefault="00B604B1" w:rsidP="00B604B1">
      <w:r w:rsidRPr="009B3A80">
        <w:t>The anti-siphoning list</w:t>
      </w:r>
      <w:r>
        <w:t xml:space="preserve"> </w:t>
      </w:r>
      <w:r w:rsidRPr="009B3A80">
        <w:t>is a legislative instrument made by the Minister specifying the events regulated under the scheme. The list has been amended at various points since it was first made in 1994, with events added and removed. To date, all events on the list have been sporting events</w:t>
      </w:r>
      <w:r>
        <w:t>. At</w:t>
      </w:r>
      <w:r w:rsidRPr="009B3A80">
        <w:t xml:space="preserve"> present, the list includes </w:t>
      </w:r>
      <w:r w:rsidR="00EE246D">
        <w:t>events</w:t>
      </w:r>
      <w:r w:rsidRPr="009B3A80">
        <w:t xml:space="preserve"> spanning 11 sports: Olympic and Commonwealth Games, horse racing, Australian Rules Football (AFL), rugby league, rugby union, cricket, soccer, tennis, netball, and motor sports.   </w:t>
      </w:r>
    </w:p>
    <w:p w14:paraId="480BC866" w14:textId="6528AB70" w:rsidR="00B604B1" w:rsidRDefault="00B604B1" w:rsidP="00B604B1">
      <w:r w:rsidRPr="009B3A80">
        <w:t xml:space="preserve">The current list – </w:t>
      </w:r>
      <w:r>
        <w:t xml:space="preserve">the </w:t>
      </w:r>
      <w:r w:rsidRPr="00B604B1">
        <w:rPr>
          <w:i/>
        </w:rPr>
        <w:t>Broadcasting Services (Events) Notice 2023</w:t>
      </w:r>
      <w:r w:rsidRPr="009B3A80">
        <w:t xml:space="preserve"> – was made in March 2023 as an interim arrangement </w:t>
      </w:r>
      <w:r>
        <w:t xml:space="preserve">to maintain the events on the list </w:t>
      </w:r>
      <w:r>
        <w:rPr>
          <w:color w:val="000000"/>
          <w:lang w:val="en-GB"/>
        </w:rPr>
        <w:t>(and, in turn, the operation of the anti-siphoning scheme) while broader legislative reforms to the anti-siphoning scheme are considered.</w:t>
      </w:r>
      <w:r>
        <w:rPr>
          <w:rStyle w:val="FootnoteReference"/>
          <w:color w:val="000000"/>
          <w:lang w:val="en-GB"/>
        </w:rPr>
        <w:footnoteReference w:id="6"/>
      </w:r>
      <w:r w:rsidR="000F1284">
        <w:t xml:space="preserve"> </w:t>
      </w:r>
      <w:r>
        <w:t>A further amendment</w:t>
      </w:r>
      <w:r w:rsidDel="004B7DA1">
        <w:rPr>
          <w:rStyle w:val="FootnoteReference"/>
        </w:rPr>
        <w:footnoteReference w:id="7"/>
      </w:r>
      <w:r w:rsidDel="004B7DA1">
        <w:t xml:space="preserve"> </w:t>
      </w:r>
      <w:r>
        <w:t xml:space="preserve">to the list was made in September 2023 to include select </w:t>
      </w:r>
      <w:r w:rsidR="00A04B23" w:rsidRPr="00801974">
        <w:rPr>
          <w:lang w:val="x-none"/>
        </w:rPr>
        <w:t xml:space="preserve">Fédération Internationale de Football Association </w:t>
      </w:r>
      <w:r w:rsidR="00A04B23">
        <w:t>(</w:t>
      </w:r>
      <w:r>
        <w:t>FIFA</w:t>
      </w:r>
      <w:r w:rsidR="00A04B23">
        <w:t>)</w:t>
      </w:r>
      <w:r>
        <w:t xml:space="preserve"> Women’s World Cup matches and qualifiers (the same as the men’s matches on the list) ahead of the closing of bids media rights for the 2027 tournament</w:t>
      </w:r>
      <w:r w:rsidDel="00A8287E">
        <w:t>.</w:t>
      </w:r>
    </w:p>
    <w:p w14:paraId="469673E1" w14:textId="73707A27" w:rsidR="002C2EF3" w:rsidRPr="000D19F0" w:rsidRDefault="002C2EF3" w:rsidP="002C2EF3">
      <w:pPr>
        <w:pStyle w:val="Heading2"/>
      </w:pPr>
      <w:bookmarkStart w:id="28" w:name="_Toc150883253"/>
      <w:bookmarkStart w:id="29" w:name="_Toc151053035"/>
      <w:bookmarkStart w:id="30" w:name="_Hlk149573726"/>
      <w:r>
        <w:t>Televised coverage of sport is important to Australians</w:t>
      </w:r>
      <w:bookmarkEnd w:id="28"/>
      <w:bookmarkEnd w:id="29"/>
      <w:r>
        <w:t xml:space="preserve"> </w:t>
      </w:r>
    </w:p>
    <w:p w14:paraId="3E2744EC" w14:textId="33FE5827" w:rsidR="0080633D" w:rsidRPr="00A50EB0" w:rsidRDefault="0080633D" w:rsidP="00A205EA">
      <w:pPr>
        <w:shd w:val="clear" w:color="auto" w:fill="FFFFFF" w:themeFill="background1"/>
        <w:textAlignment w:val="baseline"/>
        <w:rPr>
          <w:rFonts w:cs="Times New Roman"/>
        </w:rPr>
      </w:pPr>
      <w:r>
        <w:t xml:space="preserve">Most Australians hold </w:t>
      </w:r>
      <w:r w:rsidRPr="00C86692">
        <w:t xml:space="preserve">the view that access to sport is an important public policy goal. </w:t>
      </w:r>
      <w:r w:rsidRPr="00CF59BA">
        <w:t xml:space="preserve">A survey commissioned by Free TV in 2021 found that </w:t>
      </w:r>
      <w:r w:rsidR="00A205EA" w:rsidRPr="00B30FF5">
        <w:t xml:space="preserve">70 </w:t>
      </w:r>
      <w:r w:rsidRPr="00B30FF5">
        <w:t xml:space="preserve">per cent of respondents agreed that </w:t>
      </w:r>
      <w:r w:rsidR="00A205EA" w:rsidRPr="00C86692">
        <w:t>c</w:t>
      </w:r>
      <w:r w:rsidR="00A205EA" w:rsidRPr="00CF59BA">
        <w:t xml:space="preserve">ommercial television contributes </w:t>
      </w:r>
      <w:r w:rsidR="00A205EA" w:rsidRPr="00AB14B0">
        <w:t xml:space="preserve">to </w:t>
      </w:r>
      <w:r w:rsidR="00FA618D">
        <w:t>Australia’s</w:t>
      </w:r>
      <w:r w:rsidR="00A205EA" w:rsidRPr="00AB14B0">
        <w:t xml:space="preserve"> national unity by broadcasting major sporting events</w:t>
      </w:r>
      <w:r w:rsidRPr="00C86692">
        <w:t>.</w:t>
      </w:r>
      <w:r w:rsidRPr="00C86692">
        <w:rPr>
          <w:rStyle w:val="FootnoteReference"/>
        </w:rPr>
        <w:footnoteReference w:id="8"/>
      </w:r>
      <w:r w:rsidR="000F1284" w:rsidRPr="00C86692">
        <w:rPr>
          <w:iCs/>
        </w:rPr>
        <w:t xml:space="preserve"> </w:t>
      </w:r>
      <w:r w:rsidRPr="00AB14B0">
        <w:rPr>
          <w:iCs/>
        </w:rPr>
        <w:t xml:space="preserve">Australians </w:t>
      </w:r>
      <w:r w:rsidR="00A205EA" w:rsidRPr="00E52BF8">
        <w:rPr>
          <w:iCs/>
        </w:rPr>
        <w:t xml:space="preserve">also </w:t>
      </w:r>
      <w:r w:rsidRPr="00E52BF8">
        <w:rPr>
          <w:iCs/>
        </w:rPr>
        <w:t>watch sport on a</w:t>
      </w:r>
      <w:r>
        <w:rPr>
          <w:iCs/>
        </w:rPr>
        <w:t xml:space="preserve"> regular basis</w:t>
      </w:r>
      <w:r>
        <w:t>.</w:t>
      </w:r>
    </w:p>
    <w:p w14:paraId="038BE343" w14:textId="77777777" w:rsidR="0080633D" w:rsidRDefault="0080633D" w:rsidP="00E33CCD">
      <w:pPr>
        <w:pStyle w:val="ListParagraph"/>
        <w:numPr>
          <w:ilvl w:val="0"/>
          <w:numId w:val="20"/>
        </w:numPr>
        <w:suppressAutoHyphens w:val="0"/>
        <w:contextualSpacing w:val="0"/>
      </w:pPr>
      <w:r>
        <w:t>In 2022, some 67 per cent of Australian adults had watched sport in the preceding six months, with 42 per cent watching live sport in the preceding week.</w:t>
      </w:r>
    </w:p>
    <w:p w14:paraId="289A266E" w14:textId="77777777" w:rsidR="0080633D" w:rsidRDefault="0080633D" w:rsidP="00E33CCD">
      <w:pPr>
        <w:pStyle w:val="ListParagraph"/>
        <w:numPr>
          <w:ilvl w:val="0"/>
          <w:numId w:val="20"/>
        </w:numPr>
        <w:suppressAutoHyphens w:val="0"/>
        <w:contextualSpacing w:val="0"/>
      </w:pPr>
      <w:r>
        <w:t>46 per cent indicated that they had consumed sport in the past 7 days.</w:t>
      </w:r>
    </w:p>
    <w:p w14:paraId="3CC1206E" w14:textId="77777777" w:rsidR="0080633D" w:rsidRDefault="0080633D" w:rsidP="00E33CCD">
      <w:pPr>
        <w:pStyle w:val="ListParagraph"/>
        <w:numPr>
          <w:ilvl w:val="0"/>
          <w:numId w:val="20"/>
        </w:numPr>
        <w:suppressAutoHyphens w:val="0"/>
        <w:contextualSpacing w:val="0"/>
      </w:pPr>
      <w:r>
        <w:t>17 per cent of Australian adults typically watched sports one to two days a week over the past 6 months.</w:t>
      </w:r>
    </w:p>
    <w:p w14:paraId="5805E6F7" w14:textId="77777777" w:rsidR="0080633D" w:rsidRPr="002F3B87" w:rsidRDefault="0080633D" w:rsidP="00E33CCD">
      <w:pPr>
        <w:pStyle w:val="ListParagraph"/>
        <w:numPr>
          <w:ilvl w:val="0"/>
          <w:numId w:val="20"/>
        </w:numPr>
        <w:suppressAutoHyphens w:val="0"/>
        <w:contextualSpacing w:val="0"/>
      </w:pPr>
      <w:r>
        <w:t>For sports viewers, 36 per cent considered the most important feature was that the content is freely available on broadcast television.</w:t>
      </w:r>
      <w:r>
        <w:rPr>
          <w:rStyle w:val="FootnoteReference"/>
        </w:rPr>
        <w:footnoteReference w:id="9"/>
      </w:r>
    </w:p>
    <w:p w14:paraId="757A64C0" w14:textId="55F87850" w:rsidR="0080633D" w:rsidRPr="00DF06A1" w:rsidRDefault="002C2EF3" w:rsidP="002C2EF3">
      <w:pPr>
        <w:pStyle w:val="Heading2"/>
      </w:pPr>
      <w:bookmarkStart w:id="31" w:name="_Toc150883254"/>
      <w:bookmarkStart w:id="32" w:name="_Toc151053036"/>
      <w:bookmarkEnd w:id="30"/>
      <w:r>
        <w:t xml:space="preserve">Sport remains an </w:t>
      </w:r>
      <w:r w:rsidR="0080633D" w:rsidRPr="00DF06A1">
        <w:t xml:space="preserve">important </w:t>
      </w:r>
      <w:r>
        <w:t>program genre for broadcasters</w:t>
      </w:r>
      <w:bookmarkEnd w:id="31"/>
      <w:bookmarkEnd w:id="32"/>
      <w:r>
        <w:t xml:space="preserve"> </w:t>
      </w:r>
    </w:p>
    <w:p w14:paraId="1AD3C2F3" w14:textId="1D8CFAFF" w:rsidR="0080633D" w:rsidRPr="000F1284" w:rsidRDefault="0080633D" w:rsidP="000F1284">
      <w:pPr>
        <w:rPr>
          <w:iCs/>
        </w:rPr>
      </w:pPr>
      <w:r>
        <w:rPr>
          <w:iCs/>
        </w:rPr>
        <w:t>Televised sports can attract large audiences for broadcasters. The popularity and immediacy of sport (watching it unfold live rather than on delay) make it an attractive proposition for live broadcasting.</w:t>
      </w:r>
      <w:r w:rsidR="000F1284">
        <w:rPr>
          <w:iCs/>
        </w:rPr>
        <w:t xml:space="preserve"> </w:t>
      </w:r>
      <w:r w:rsidRPr="009B3A80">
        <w:t>Live sporting events consistently dominate the most popular programs on both free</w:t>
      </w:r>
      <w:r w:rsidRPr="009B3A80">
        <w:noBreakHyphen/>
        <w:t>to</w:t>
      </w:r>
      <w:r w:rsidRPr="009B3A80">
        <w:noBreakHyphen/>
        <w:t xml:space="preserve">air and subscription television. </w:t>
      </w:r>
      <w:r w:rsidR="003C37F2">
        <w:t>In 2022, s</w:t>
      </w:r>
      <w:r w:rsidR="003C37F2" w:rsidRPr="009B3A80">
        <w:t xml:space="preserve">port </w:t>
      </w:r>
      <w:r w:rsidRPr="009B3A80">
        <w:t>or sport-related programs accounted for 9 of the top 10 rating programs on free</w:t>
      </w:r>
      <w:r w:rsidRPr="009B3A80">
        <w:noBreakHyphen/>
        <w:t>to</w:t>
      </w:r>
      <w:r w:rsidRPr="009B3A80">
        <w:noBreakHyphen/>
        <w:t>air television, over half of the top 50 rated programs and a little under half of top 500 program</w:t>
      </w:r>
      <w:r w:rsidRPr="00E76985">
        <w:t>s.</w:t>
      </w:r>
    </w:p>
    <w:p w14:paraId="48EA9A13" w14:textId="45B4FC42" w:rsidR="0080633D" w:rsidRPr="009B3A80" w:rsidRDefault="0080633D" w:rsidP="00E4121D">
      <w:pPr>
        <w:pStyle w:val="Caption"/>
        <w:keepNext/>
        <w:keepLines/>
        <w:spacing w:before="120"/>
        <w:rPr>
          <w:highlight w:val="yellow"/>
        </w:rPr>
      </w:pPr>
      <w:bookmarkStart w:id="33" w:name="_Toc150883296"/>
      <w:bookmarkStart w:id="34" w:name="_Toc151053016"/>
      <w:r w:rsidRPr="009B3A80">
        <w:t>Table 1</w:t>
      </w:r>
      <w:r>
        <w:t>:</w:t>
      </w:r>
      <w:r w:rsidRPr="009B3A80">
        <w:t xml:space="preserve"> </w:t>
      </w:r>
      <w:r w:rsidR="000A5308">
        <w:t>Ten</w:t>
      </w:r>
      <w:r w:rsidR="000A5308" w:rsidRPr="009B3A80">
        <w:t xml:space="preserve"> </w:t>
      </w:r>
      <w:r w:rsidRPr="009B3A80">
        <w:t>most popular programs on free-to-air television in 2022 (metro areas)</w:t>
      </w:r>
      <w:bookmarkEnd w:id="33"/>
      <w:bookmarkEnd w:id="34"/>
    </w:p>
    <w:tbl>
      <w:tblPr>
        <w:tblStyle w:val="DefaultTable1"/>
        <w:tblW w:w="10016" w:type="dxa"/>
        <w:tblLook w:val="04A0" w:firstRow="1" w:lastRow="0" w:firstColumn="1" w:lastColumn="0" w:noHBand="0" w:noVBand="1"/>
        <w:tblCaption w:val="Sample table"/>
        <w:tblDescription w:val="Sample table"/>
      </w:tblPr>
      <w:tblGrid>
        <w:gridCol w:w="1418"/>
        <w:gridCol w:w="6520"/>
        <w:gridCol w:w="2078"/>
      </w:tblGrid>
      <w:tr w:rsidR="0080633D" w:rsidRPr="009B3A80" w14:paraId="4902EEB4" w14:textId="77777777" w:rsidTr="0080633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8" w:type="dxa"/>
          </w:tcPr>
          <w:p w14:paraId="6B25B4C6" w14:textId="77777777" w:rsidR="0080633D" w:rsidRPr="009B3A80" w:rsidRDefault="0080633D" w:rsidP="00E4121D">
            <w:pPr>
              <w:keepNext/>
              <w:keepLines/>
              <w:spacing w:before="40" w:after="40"/>
            </w:pPr>
            <w:r w:rsidRPr="009B3A80">
              <w:t>Rank</w:t>
            </w:r>
          </w:p>
        </w:tc>
        <w:tc>
          <w:tcPr>
            <w:tcW w:w="6520" w:type="dxa"/>
          </w:tcPr>
          <w:p w14:paraId="20950306" w14:textId="77777777" w:rsidR="0080633D" w:rsidRPr="009B3A80" w:rsidRDefault="0080633D" w:rsidP="00E4121D">
            <w:pPr>
              <w:keepNext/>
              <w:keepLines/>
              <w:spacing w:before="40" w:after="40"/>
              <w:cnfStyle w:val="100000000000" w:firstRow="1" w:lastRow="0" w:firstColumn="0" w:lastColumn="0" w:oddVBand="0" w:evenVBand="0" w:oddHBand="0" w:evenHBand="0" w:firstRowFirstColumn="0" w:firstRowLastColumn="0" w:lastRowFirstColumn="0" w:lastRowLastColumn="0"/>
            </w:pPr>
            <w:r w:rsidRPr="009B3A80">
              <w:t>Program</w:t>
            </w:r>
          </w:p>
        </w:tc>
        <w:tc>
          <w:tcPr>
            <w:tcW w:w="2078" w:type="dxa"/>
          </w:tcPr>
          <w:p w14:paraId="0FA1B0A9" w14:textId="77777777" w:rsidR="0080633D" w:rsidRPr="009B3A80" w:rsidRDefault="0080633D" w:rsidP="00E4121D">
            <w:pPr>
              <w:keepNext/>
              <w:keepLines/>
              <w:spacing w:before="40" w:after="40"/>
              <w:cnfStyle w:val="100000000000" w:firstRow="1" w:lastRow="0" w:firstColumn="0" w:lastColumn="0" w:oddVBand="0" w:evenVBand="0" w:oddHBand="0" w:evenHBand="0" w:firstRowFirstColumn="0" w:firstRowLastColumn="0" w:lastRowFirstColumn="0" w:lastRowLastColumn="0"/>
            </w:pPr>
            <w:r w:rsidRPr="009B3A80">
              <w:t xml:space="preserve">Audience </w:t>
            </w:r>
          </w:p>
        </w:tc>
      </w:tr>
      <w:tr w:rsidR="0080633D" w:rsidRPr="009B3A80" w14:paraId="4DF7E09C" w14:textId="77777777" w:rsidTr="0080633D">
        <w:trPr>
          <w:trHeight w:val="448"/>
        </w:trPr>
        <w:tc>
          <w:tcPr>
            <w:cnfStyle w:val="001000000000" w:firstRow="0" w:lastRow="0" w:firstColumn="1" w:lastColumn="0" w:oddVBand="0" w:evenVBand="0" w:oddHBand="0" w:evenHBand="0" w:firstRowFirstColumn="0" w:firstRowLastColumn="0" w:lastRowFirstColumn="0" w:lastRowLastColumn="0"/>
            <w:tcW w:w="1418" w:type="dxa"/>
          </w:tcPr>
          <w:p w14:paraId="108C48C9" w14:textId="77777777" w:rsidR="0080633D" w:rsidRPr="009B3A80" w:rsidRDefault="0080633D" w:rsidP="00E4121D">
            <w:pPr>
              <w:keepNext/>
              <w:keepLines/>
              <w:spacing w:before="40" w:after="40"/>
            </w:pPr>
            <w:r w:rsidRPr="009B3A80">
              <w:t>1</w:t>
            </w:r>
          </w:p>
        </w:tc>
        <w:tc>
          <w:tcPr>
            <w:tcW w:w="6520" w:type="dxa"/>
            <w:vAlign w:val="center"/>
          </w:tcPr>
          <w:p w14:paraId="70D0EEE1" w14:textId="77777777"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20"/>
                <w:szCs w:val="20"/>
                <w:lang w:eastAsia="en-AU"/>
              </w:rPr>
              <w:t xml:space="preserve">Tennis: </w:t>
            </w:r>
            <w:r w:rsidRPr="009B3A80">
              <w:rPr>
                <w:rFonts w:ascii="Arial" w:eastAsia="Times New Roman" w:hAnsi="Arial" w:cs="Arial"/>
                <w:color w:val="000000"/>
                <w:sz w:val="20"/>
                <w:szCs w:val="20"/>
                <w:lang w:eastAsia="en-AU"/>
              </w:rPr>
              <w:t>2022 Australian Open</w:t>
            </w:r>
            <w:r>
              <w:rPr>
                <w:rFonts w:ascii="Arial" w:eastAsia="Times New Roman" w:hAnsi="Arial" w:cs="Arial"/>
                <w:color w:val="000000"/>
                <w:sz w:val="20"/>
                <w:szCs w:val="20"/>
                <w:lang w:eastAsia="en-AU"/>
              </w:rPr>
              <w:t>:</w:t>
            </w:r>
            <w:r w:rsidRPr="009B3A80">
              <w:rPr>
                <w:rFonts w:ascii="Arial" w:eastAsia="Times New Roman" w:hAnsi="Arial" w:cs="Arial"/>
                <w:color w:val="000000"/>
                <w:sz w:val="20"/>
                <w:szCs w:val="20"/>
                <w:lang w:eastAsia="en-AU"/>
              </w:rPr>
              <w:t xml:space="preserve"> D</w:t>
            </w:r>
            <w:r>
              <w:rPr>
                <w:rFonts w:ascii="Arial" w:eastAsia="Times New Roman" w:hAnsi="Arial" w:cs="Arial"/>
                <w:color w:val="000000"/>
                <w:sz w:val="20"/>
                <w:szCs w:val="20"/>
                <w:lang w:eastAsia="en-AU"/>
              </w:rPr>
              <w:t xml:space="preserve">ay </w:t>
            </w:r>
            <w:r w:rsidRPr="009B3A80">
              <w:rPr>
                <w:rFonts w:ascii="Arial" w:eastAsia="Times New Roman" w:hAnsi="Arial" w:cs="Arial"/>
                <w:color w:val="000000"/>
                <w:sz w:val="20"/>
                <w:szCs w:val="20"/>
                <w:lang w:eastAsia="en-AU"/>
              </w:rPr>
              <w:t>13</w:t>
            </w:r>
            <w:r>
              <w:rPr>
                <w:rFonts w:ascii="Arial" w:eastAsia="Times New Roman" w:hAnsi="Arial" w:cs="Arial"/>
                <w:color w:val="000000"/>
                <w:sz w:val="20"/>
                <w:szCs w:val="20"/>
                <w:lang w:eastAsia="en-AU"/>
              </w:rPr>
              <w:t xml:space="preserve"> – </w:t>
            </w:r>
            <w:r w:rsidRPr="009B3A80">
              <w:rPr>
                <w:rFonts w:ascii="Arial" w:eastAsia="Times New Roman" w:hAnsi="Arial" w:cs="Arial"/>
                <w:color w:val="000000"/>
                <w:sz w:val="20"/>
                <w:szCs w:val="20"/>
                <w:lang w:eastAsia="en-AU"/>
              </w:rPr>
              <w:t xml:space="preserve">Women's Final </w:t>
            </w:r>
            <w:r>
              <w:rPr>
                <w:rFonts w:ascii="Arial" w:eastAsia="Times New Roman" w:hAnsi="Arial" w:cs="Arial"/>
                <w:color w:val="000000"/>
                <w:sz w:val="20"/>
                <w:szCs w:val="20"/>
                <w:lang w:eastAsia="en-AU"/>
              </w:rPr>
              <w:t xml:space="preserve">– </w:t>
            </w:r>
            <w:r w:rsidRPr="009B3A80">
              <w:rPr>
                <w:rFonts w:ascii="Arial" w:eastAsia="Times New Roman" w:hAnsi="Arial" w:cs="Arial"/>
                <w:color w:val="000000"/>
                <w:sz w:val="20"/>
                <w:szCs w:val="20"/>
                <w:lang w:eastAsia="en-AU"/>
              </w:rPr>
              <w:t>Presentation</w:t>
            </w:r>
          </w:p>
        </w:tc>
        <w:tc>
          <w:tcPr>
            <w:tcW w:w="2078" w:type="dxa"/>
            <w:vAlign w:val="center"/>
          </w:tcPr>
          <w:p w14:paraId="1A691FDB" w14:textId="77777777"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sidRPr="009B3A80">
              <w:rPr>
                <w:rFonts w:ascii="Arial" w:eastAsia="Times New Roman" w:hAnsi="Arial" w:cs="Arial"/>
                <w:color w:val="000000"/>
                <w:sz w:val="20"/>
                <w:szCs w:val="20"/>
                <w:lang w:eastAsia="en-AU"/>
              </w:rPr>
              <w:t>2,844,000</w:t>
            </w:r>
          </w:p>
        </w:tc>
      </w:tr>
      <w:tr w:rsidR="0080633D" w:rsidRPr="009B3A80" w14:paraId="54CE2E13" w14:textId="77777777" w:rsidTr="0080633D">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tcPr>
          <w:p w14:paraId="3970A886" w14:textId="77777777" w:rsidR="0080633D" w:rsidRPr="009B3A80" w:rsidRDefault="0080633D" w:rsidP="00E4121D">
            <w:pPr>
              <w:keepNext/>
              <w:keepLines/>
              <w:spacing w:before="40" w:after="40"/>
            </w:pPr>
            <w:r w:rsidRPr="009B3A80">
              <w:t>2</w:t>
            </w:r>
          </w:p>
        </w:tc>
        <w:tc>
          <w:tcPr>
            <w:tcW w:w="6520" w:type="dxa"/>
            <w:vAlign w:val="center"/>
          </w:tcPr>
          <w:p w14:paraId="31FDED14" w14:textId="77777777"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pPr>
            <w:r>
              <w:rPr>
                <w:rFonts w:ascii="Arial" w:eastAsia="Times New Roman" w:hAnsi="Arial" w:cs="Arial"/>
                <w:color w:val="000000"/>
                <w:sz w:val="20"/>
                <w:szCs w:val="20"/>
                <w:lang w:eastAsia="en-AU"/>
              </w:rPr>
              <w:t xml:space="preserve">Tennis: </w:t>
            </w:r>
            <w:r w:rsidRPr="009B3A80">
              <w:rPr>
                <w:rFonts w:ascii="Arial" w:eastAsia="Times New Roman" w:hAnsi="Arial" w:cs="Arial"/>
                <w:color w:val="000000"/>
                <w:sz w:val="20"/>
                <w:szCs w:val="20"/>
                <w:lang w:eastAsia="en-AU"/>
              </w:rPr>
              <w:t>2022 Australian Open</w:t>
            </w:r>
            <w:r>
              <w:rPr>
                <w:rFonts w:ascii="Arial" w:eastAsia="Times New Roman" w:hAnsi="Arial" w:cs="Arial"/>
                <w:color w:val="000000"/>
                <w:sz w:val="20"/>
                <w:szCs w:val="20"/>
                <w:lang w:eastAsia="en-AU"/>
              </w:rPr>
              <w:t>:</w:t>
            </w:r>
            <w:r w:rsidRPr="009B3A80">
              <w:rPr>
                <w:rFonts w:ascii="Arial" w:eastAsia="Times New Roman" w:hAnsi="Arial" w:cs="Arial"/>
                <w:color w:val="000000"/>
                <w:sz w:val="20"/>
                <w:szCs w:val="20"/>
                <w:lang w:eastAsia="en-AU"/>
              </w:rPr>
              <w:t xml:space="preserve"> D</w:t>
            </w:r>
            <w:r>
              <w:rPr>
                <w:rFonts w:ascii="Arial" w:eastAsia="Times New Roman" w:hAnsi="Arial" w:cs="Arial"/>
                <w:color w:val="000000"/>
                <w:sz w:val="20"/>
                <w:szCs w:val="20"/>
                <w:lang w:eastAsia="en-AU"/>
              </w:rPr>
              <w:t xml:space="preserve">ay </w:t>
            </w:r>
            <w:r w:rsidRPr="009B3A80">
              <w:rPr>
                <w:rFonts w:ascii="Arial" w:eastAsia="Times New Roman" w:hAnsi="Arial" w:cs="Arial"/>
                <w:color w:val="000000"/>
                <w:sz w:val="20"/>
                <w:szCs w:val="20"/>
                <w:lang w:eastAsia="en-AU"/>
              </w:rPr>
              <w:t>13</w:t>
            </w:r>
            <w:r>
              <w:rPr>
                <w:rFonts w:ascii="Arial" w:eastAsia="Times New Roman" w:hAnsi="Arial" w:cs="Arial"/>
                <w:color w:val="000000"/>
                <w:sz w:val="20"/>
                <w:szCs w:val="20"/>
                <w:lang w:eastAsia="en-AU"/>
              </w:rPr>
              <w:t xml:space="preserve"> – </w:t>
            </w:r>
            <w:r w:rsidRPr="009B3A80">
              <w:rPr>
                <w:rFonts w:ascii="Arial" w:eastAsia="Times New Roman" w:hAnsi="Arial" w:cs="Arial"/>
                <w:color w:val="000000"/>
                <w:sz w:val="20"/>
                <w:szCs w:val="20"/>
                <w:lang w:eastAsia="en-AU"/>
              </w:rPr>
              <w:t xml:space="preserve">Women's Final </w:t>
            </w:r>
            <w:r>
              <w:rPr>
                <w:rFonts w:ascii="Arial" w:eastAsia="Times New Roman" w:hAnsi="Arial" w:cs="Arial"/>
                <w:color w:val="000000"/>
                <w:sz w:val="20"/>
                <w:szCs w:val="20"/>
                <w:lang w:eastAsia="en-AU"/>
              </w:rPr>
              <w:t xml:space="preserve">– </w:t>
            </w:r>
            <w:r w:rsidRPr="009B3A80">
              <w:rPr>
                <w:rFonts w:ascii="Arial" w:eastAsia="Times New Roman" w:hAnsi="Arial" w:cs="Arial"/>
                <w:color w:val="000000"/>
                <w:sz w:val="20"/>
                <w:szCs w:val="20"/>
                <w:lang w:eastAsia="en-AU"/>
              </w:rPr>
              <w:t xml:space="preserve">Barty </w:t>
            </w:r>
            <w:r>
              <w:rPr>
                <w:rFonts w:ascii="Arial" w:eastAsia="Times New Roman" w:hAnsi="Arial" w:cs="Arial"/>
                <w:color w:val="000000"/>
                <w:sz w:val="20"/>
                <w:szCs w:val="20"/>
                <w:lang w:eastAsia="en-AU"/>
              </w:rPr>
              <w:t>v</w:t>
            </w:r>
            <w:r w:rsidRPr="009B3A80">
              <w:rPr>
                <w:rFonts w:ascii="Arial" w:eastAsia="Times New Roman" w:hAnsi="Arial" w:cs="Arial"/>
                <w:color w:val="000000"/>
                <w:sz w:val="20"/>
                <w:szCs w:val="20"/>
                <w:lang w:eastAsia="en-AU"/>
              </w:rPr>
              <w:t xml:space="preserve"> Collins</w:t>
            </w:r>
          </w:p>
        </w:tc>
        <w:tc>
          <w:tcPr>
            <w:tcW w:w="2078" w:type="dxa"/>
            <w:vAlign w:val="center"/>
          </w:tcPr>
          <w:p w14:paraId="757CEE48" w14:textId="77777777"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pPr>
            <w:r w:rsidRPr="009B3A80">
              <w:rPr>
                <w:rFonts w:ascii="Arial" w:eastAsia="Times New Roman" w:hAnsi="Arial" w:cs="Arial"/>
                <w:color w:val="000000"/>
                <w:sz w:val="20"/>
                <w:szCs w:val="20"/>
                <w:lang w:eastAsia="en-AU"/>
              </w:rPr>
              <w:t>2,591,000</w:t>
            </w:r>
          </w:p>
        </w:tc>
      </w:tr>
      <w:tr w:rsidR="0080633D" w:rsidRPr="009B3A80" w14:paraId="641AE7F9" w14:textId="77777777" w:rsidTr="0080633D">
        <w:trPr>
          <w:trHeight w:val="433"/>
        </w:trPr>
        <w:tc>
          <w:tcPr>
            <w:cnfStyle w:val="001000000000" w:firstRow="0" w:lastRow="0" w:firstColumn="1" w:lastColumn="0" w:oddVBand="0" w:evenVBand="0" w:oddHBand="0" w:evenHBand="0" w:firstRowFirstColumn="0" w:firstRowLastColumn="0" w:lastRowFirstColumn="0" w:lastRowLastColumn="0"/>
            <w:tcW w:w="1418" w:type="dxa"/>
          </w:tcPr>
          <w:p w14:paraId="04CA7ABA" w14:textId="77777777" w:rsidR="0080633D" w:rsidRPr="009B3A80" w:rsidRDefault="0080633D" w:rsidP="00E4121D">
            <w:pPr>
              <w:keepNext/>
              <w:keepLines/>
              <w:spacing w:before="40" w:after="40"/>
            </w:pPr>
            <w:r w:rsidRPr="009B3A80">
              <w:t>3</w:t>
            </w:r>
          </w:p>
        </w:tc>
        <w:tc>
          <w:tcPr>
            <w:tcW w:w="6520" w:type="dxa"/>
            <w:vAlign w:val="center"/>
          </w:tcPr>
          <w:p w14:paraId="66D2F3A8" w14:textId="77777777"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sidRPr="009B3A80">
              <w:rPr>
                <w:rFonts w:ascii="Arial" w:eastAsia="Times New Roman" w:hAnsi="Arial" w:cs="Arial"/>
                <w:color w:val="000000"/>
                <w:sz w:val="20"/>
                <w:szCs w:val="20"/>
                <w:lang w:eastAsia="en-AU"/>
              </w:rPr>
              <w:t>A</w:t>
            </w:r>
            <w:r>
              <w:rPr>
                <w:rFonts w:ascii="Arial" w:eastAsia="Times New Roman" w:hAnsi="Arial" w:cs="Arial"/>
                <w:color w:val="000000"/>
                <w:sz w:val="20"/>
                <w:szCs w:val="20"/>
                <w:lang w:eastAsia="en-AU"/>
              </w:rPr>
              <w:t>FL</w:t>
            </w:r>
            <w:r w:rsidRPr="009B3A80">
              <w:rPr>
                <w:rFonts w:ascii="Arial" w:eastAsia="Times New Roman" w:hAnsi="Arial" w:cs="Arial"/>
                <w:color w:val="000000"/>
                <w:sz w:val="20"/>
                <w:szCs w:val="20"/>
                <w:lang w:eastAsia="en-AU"/>
              </w:rPr>
              <w:t>: Grand Final</w:t>
            </w:r>
            <w:r>
              <w:rPr>
                <w:rFonts w:ascii="Arial" w:eastAsia="Times New Roman" w:hAnsi="Arial" w:cs="Arial"/>
                <w:color w:val="000000"/>
                <w:sz w:val="20"/>
                <w:szCs w:val="20"/>
                <w:lang w:eastAsia="en-AU"/>
              </w:rPr>
              <w:t xml:space="preserve"> –</w:t>
            </w:r>
            <w:r w:rsidRPr="009B3A80">
              <w:rPr>
                <w:rFonts w:ascii="Arial" w:eastAsia="Times New Roman" w:hAnsi="Arial" w:cs="Arial"/>
                <w:color w:val="000000"/>
                <w:sz w:val="20"/>
                <w:szCs w:val="20"/>
                <w:lang w:eastAsia="en-AU"/>
              </w:rPr>
              <w:t xml:space="preserve"> Geelong </w:t>
            </w:r>
            <w:r>
              <w:rPr>
                <w:rFonts w:ascii="Arial" w:eastAsia="Times New Roman" w:hAnsi="Arial" w:cs="Arial"/>
                <w:color w:val="000000"/>
                <w:sz w:val="20"/>
                <w:szCs w:val="20"/>
                <w:lang w:eastAsia="en-AU"/>
              </w:rPr>
              <w:t>v</w:t>
            </w:r>
            <w:r w:rsidRPr="009B3A80">
              <w:rPr>
                <w:rFonts w:ascii="Arial" w:eastAsia="Times New Roman" w:hAnsi="Arial" w:cs="Arial"/>
                <w:color w:val="000000"/>
                <w:sz w:val="20"/>
                <w:szCs w:val="20"/>
                <w:lang w:eastAsia="en-AU"/>
              </w:rPr>
              <w:t xml:space="preserve"> Sydney</w:t>
            </w:r>
          </w:p>
        </w:tc>
        <w:tc>
          <w:tcPr>
            <w:tcW w:w="2078" w:type="dxa"/>
            <w:vAlign w:val="center"/>
          </w:tcPr>
          <w:p w14:paraId="45DA55D0" w14:textId="77777777"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sidRPr="009B3A80">
              <w:rPr>
                <w:rFonts w:ascii="Arial" w:eastAsia="Times New Roman" w:hAnsi="Arial" w:cs="Arial"/>
                <w:color w:val="000000"/>
                <w:sz w:val="20"/>
                <w:szCs w:val="20"/>
                <w:lang w:eastAsia="en-AU"/>
              </w:rPr>
              <w:t>2,186,000</w:t>
            </w:r>
          </w:p>
        </w:tc>
      </w:tr>
      <w:tr w:rsidR="0080633D" w:rsidRPr="009B3A80" w14:paraId="60954447" w14:textId="77777777" w:rsidTr="0080633D">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tcPr>
          <w:p w14:paraId="77422C5F" w14:textId="77777777" w:rsidR="0080633D" w:rsidRPr="009B3A80" w:rsidRDefault="0080633D" w:rsidP="00E4121D">
            <w:pPr>
              <w:keepNext/>
              <w:keepLines/>
              <w:spacing w:before="40" w:after="40"/>
            </w:pPr>
            <w:r w:rsidRPr="009B3A80">
              <w:t>4</w:t>
            </w:r>
          </w:p>
        </w:tc>
        <w:tc>
          <w:tcPr>
            <w:tcW w:w="6520" w:type="dxa"/>
            <w:vAlign w:val="center"/>
          </w:tcPr>
          <w:p w14:paraId="40AD2E73" w14:textId="7458A5B0"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pPr>
            <w:r w:rsidRPr="009B3A80">
              <w:rPr>
                <w:rFonts w:ascii="Arial" w:eastAsia="Times New Roman" w:hAnsi="Arial" w:cs="Arial"/>
                <w:color w:val="000000"/>
                <w:sz w:val="20"/>
                <w:szCs w:val="20"/>
                <w:lang w:eastAsia="en-AU"/>
              </w:rPr>
              <w:t>State of Origin Rugby League</w:t>
            </w:r>
            <w:r>
              <w:rPr>
                <w:rFonts w:ascii="Arial" w:eastAsia="Times New Roman" w:hAnsi="Arial" w:cs="Arial"/>
                <w:color w:val="000000"/>
                <w:sz w:val="20"/>
                <w:szCs w:val="20"/>
                <w:lang w:eastAsia="en-AU"/>
              </w:rPr>
              <w:t>:</w:t>
            </w:r>
            <w:r w:rsidRPr="009B3A80">
              <w:rPr>
                <w:rFonts w:ascii="Arial" w:eastAsia="Times New Roman" w:hAnsi="Arial" w:cs="Arial"/>
                <w:color w:val="000000"/>
                <w:sz w:val="20"/>
                <w:szCs w:val="20"/>
                <w:lang w:eastAsia="en-AU"/>
              </w:rPr>
              <w:t xml:space="preserve"> </w:t>
            </w:r>
            <w:r>
              <w:t xml:space="preserve">Queensland </w:t>
            </w:r>
            <w:r w:rsidR="00EE246D">
              <w:t>v</w:t>
            </w:r>
            <w:r>
              <w:t xml:space="preserve"> New South Wales –</w:t>
            </w:r>
            <w:r w:rsidRPr="009B3A80">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third m</w:t>
            </w:r>
            <w:r w:rsidRPr="009B3A80">
              <w:rPr>
                <w:rFonts w:ascii="Arial" w:eastAsia="Times New Roman" w:hAnsi="Arial" w:cs="Arial"/>
                <w:color w:val="000000"/>
                <w:sz w:val="20"/>
                <w:szCs w:val="20"/>
                <w:lang w:eastAsia="en-AU"/>
              </w:rPr>
              <w:t>atch</w:t>
            </w:r>
          </w:p>
        </w:tc>
        <w:tc>
          <w:tcPr>
            <w:tcW w:w="2078" w:type="dxa"/>
            <w:vAlign w:val="center"/>
          </w:tcPr>
          <w:p w14:paraId="4EDBC805" w14:textId="77777777"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pPr>
            <w:r w:rsidRPr="009B3A80">
              <w:rPr>
                <w:rFonts w:ascii="Arial" w:eastAsia="Times New Roman" w:hAnsi="Arial" w:cs="Arial"/>
                <w:color w:val="000000"/>
                <w:sz w:val="20"/>
                <w:szCs w:val="20"/>
                <w:lang w:eastAsia="en-AU"/>
              </w:rPr>
              <w:t>1,812,000</w:t>
            </w:r>
          </w:p>
        </w:tc>
      </w:tr>
      <w:tr w:rsidR="0080633D" w:rsidRPr="009B3A80" w14:paraId="3896F2C5" w14:textId="77777777" w:rsidTr="0080633D">
        <w:trPr>
          <w:trHeight w:val="433"/>
        </w:trPr>
        <w:tc>
          <w:tcPr>
            <w:cnfStyle w:val="001000000000" w:firstRow="0" w:lastRow="0" w:firstColumn="1" w:lastColumn="0" w:oddVBand="0" w:evenVBand="0" w:oddHBand="0" w:evenHBand="0" w:firstRowFirstColumn="0" w:firstRowLastColumn="0" w:lastRowFirstColumn="0" w:lastRowLastColumn="0"/>
            <w:tcW w:w="1418" w:type="dxa"/>
          </w:tcPr>
          <w:p w14:paraId="5969372D" w14:textId="77777777" w:rsidR="0080633D" w:rsidRPr="009B3A80" w:rsidRDefault="0080633D" w:rsidP="00E4121D">
            <w:pPr>
              <w:keepNext/>
              <w:keepLines/>
              <w:spacing w:before="40" w:after="40"/>
            </w:pPr>
            <w:r w:rsidRPr="009B3A80">
              <w:t>5</w:t>
            </w:r>
          </w:p>
        </w:tc>
        <w:tc>
          <w:tcPr>
            <w:tcW w:w="6520" w:type="dxa"/>
            <w:vAlign w:val="center"/>
          </w:tcPr>
          <w:p w14:paraId="34769BF4" w14:textId="21F0E6ED"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sidRPr="009B3A80">
              <w:rPr>
                <w:rFonts w:ascii="Arial" w:eastAsia="Times New Roman" w:hAnsi="Arial" w:cs="Arial"/>
                <w:color w:val="000000"/>
                <w:sz w:val="20"/>
                <w:szCs w:val="20"/>
                <w:lang w:eastAsia="en-AU"/>
              </w:rPr>
              <w:t>State of Origin Rugby League</w:t>
            </w:r>
            <w:r>
              <w:rPr>
                <w:rFonts w:ascii="Arial" w:eastAsia="Times New Roman" w:hAnsi="Arial" w:cs="Arial"/>
                <w:color w:val="000000"/>
                <w:sz w:val="20"/>
                <w:szCs w:val="20"/>
                <w:lang w:eastAsia="en-AU"/>
              </w:rPr>
              <w:t>:</w:t>
            </w:r>
            <w:r w:rsidRPr="009B3A80">
              <w:rPr>
                <w:rFonts w:ascii="Arial" w:eastAsia="Times New Roman" w:hAnsi="Arial" w:cs="Arial"/>
                <w:color w:val="000000"/>
                <w:sz w:val="20"/>
                <w:szCs w:val="20"/>
                <w:lang w:eastAsia="en-AU"/>
              </w:rPr>
              <w:t xml:space="preserve"> </w:t>
            </w:r>
            <w:r>
              <w:t xml:space="preserve">Queensland </w:t>
            </w:r>
            <w:r w:rsidR="00EE246D">
              <w:t>v</w:t>
            </w:r>
            <w:r>
              <w:t xml:space="preserve"> New South Wales –</w:t>
            </w:r>
            <w:r w:rsidRPr="009B3A80">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second m</w:t>
            </w:r>
            <w:r w:rsidRPr="009B3A80">
              <w:rPr>
                <w:rFonts w:ascii="Arial" w:eastAsia="Times New Roman" w:hAnsi="Arial" w:cs="Arial"/>
                <w:color w:val="000000"/>
                <w:sz w:val="20"/>
                <w:szCs w:val="20"/>
                <w:lang w:eastAsia="en-AU"/>
              </w:rPr>
              <w:t>atch</w:t>
            </w:r>
          </w:p>
        </w:tc>
        <w:tc>
          <w:tcPr>
            <w:tcW w:w="2078" w:type="dxa"/>
            <w:vAlign w:val="center"/>
          </w:tcPr>
          <w:p w14:paraId="4549BAFA" w14:textId="77777777"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sidRPr="009B3A80">
              <w:rPr>
                <w:rFonts w:ascii="Arial" w:eastAsia="Times New Roman" w:hAnsi="Arial" w:cs="Arial"/>
                <w:color w:val="000000"/>
                <w:sz w:val="20"/>
                <w:szCs w:val="20"/>
                <w:lang w:eastAsia="en-AU"/>
              </w:rPr>
              <w:t>1,806,000</w:t>
            </w:r>
          </w:p>
        </w:tc>
      </w:tr>
      <w:tr w:rsidR="0080633D" w:rsidRPr="009B3A80" w14:paraId="1B6A3A02" w14:textId="77777777" w:rsidTr="0080633D">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tcPr>
          <w:p w14:paraId="11EC4344" w14:textId="77777777" w:rsidR="0080633D" w:rsidRPr="009B3A80" w:rsidRDefault="0080633D" w:rsidP="00E4121D">
            <w:pPr>
              <w:keepNext/>
              <w:keepLines/>
              <w:spacing w:before="40" w:after="40"/>
            </w:pPr>
            <w:r w:rsidRPr="009B3A80">
              <w:t>6</w:t>
            </w:r>
          </w:p>
        </w:tc>
        <w:tc>
          <w:tcPr>
            <w:tcW w:w="6520" w:type="dxa"/>
            <w:vAlign w:val="center"/>
          </w:tcPr>
          <w:p w14:paraId="2FDD370F" w14:textId="4C06358C"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pPr>
            <w:r w:rsidRPr="009B3A80">
              <w:rPr>
                <w:rFonts w:ascii="Arial" w:eastAsia="Times New Roman" w:hAnsi="Arial" w:cs="Arial"/>
                <w:color w:val="000000"/>
                <w:sz w:val="20"/>
                <w:szCs w:val="20"/>
                <w:lang w:eastAsia="en-AU"/>
              </w:rPr>
              <w:t>State of Origin Rugby League</w:t>
            </w:r>
            <w:r>
              <w:rPr>
                <w:rFonts w:ascii="Arial" w:eastAsia="Times New Roman" w:hAnsi="Arial" w:cs="Arial"/>
                <w:color w:val="000000"/>
                <w:sz w:val="20"/>
                <w:szCs w:val="20"/>
                <w:lang w:eastAsia="en-AU"/>
              </w:rPr>
              <w:t>:</w:t>
            </w:r>
            <w:r w:rsidRPr="009B3A80">
              <w:rPr>
                <w:rFonts w:ascii="Arial" w:eastAsia="Times New Roman" w:hAnsi="Arial" w:cs="Arial"/>
                <w:color w:val="000000"/>
                <w:sz w:val="20"/>
                <w:szCs w:val="20"/>
                <w:lang w:eastAsia="en-AU"/>
              </w:rPr>
              <w:t xml:space="preserve"> </w:t>
            </w:r>
            <w:r>
              <w:t xml:space="preserve">Queensland </w:t>
            </w:r>
            <w:r w:rsidR="00EE246D">
              <w:t>v</w:t>
            </w:r>
            <w:r>
              <w:t xml:space="preserve"> New South Wales –</w:t>
            </w:r>
            <w:r w:rsidRPr="009B3A80">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first m</w:t>
            </w:r>
            <w:r w:rsidRPr="009B3A80">
              <w:rPr>
                <w:rFonts w:ascii="Arial" w:eastAsia="Times New Roman" w:hAnsi="Arial" w:cs="Arial"/>
                <w:color w:val="000000"/>
                <w:sz w:val="20"/>
                <w:szCs w:val="20"/>
                <w:lang w:eastAsia="en-AU"/>
              </w:rPr>
              <w:t>atch</w:t>
            </w:r>
          </w:p>
        </w:tc>
        <w:tc>
          <w:tcPr>
            <w:tcW w:w="2078" w:type="dxa"/>
            <w:vAlign w:val="center"/>
          </w:tcPr>
          <w:p w14:paraId="54960C7F" w14:textId="77777777"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pPr>
            <w:r w:rsidRPr="009B3A80">
              <w:rPr>
                <w:rFonts w:ascii="Arial" w:eastAsia="Times New Roman" w:hAnsi="Arial" w:cs="Arial"/>
                <w:color w:val="000000"/>
                <w:sz w:val="20"/>
                <w:szCs w:val="20"/>
                <w:lang w:eastAsia="en-AU"/>
              </w:rPr>
              <w:t>1,784,000</w:t>
            </w:r>
          </w:p>
        </w:tc>
      </w:tr>
      <w:tr w:rsidR="0080633D" w:rsidRPr="009B3A80" w14:paraId="0DF3E73F" w14:textId="77777777" w:rsidTr="0080633D">
        <w:trPr>
          <w:trHeight w:val="433"/>
        </w:trPr>
        <w:tc>
          <w:tcPr>
            <w:cnfStyle w:val="001000000000" w:firstRow="0" w:lastRow="0" w:firstColumn="1" w:lastColumn="0" w:oddVBand="0" w:evenVBand="0" w:oddHBand="0" w:evenHBand="0" w:firstRowFirstColumn="0" w:firstRowLastColumn="0" w:lastRowFirstColumn="0" w:lastRowLastColumn="0"/>
            <w:tcW w:w="1418" w:type="dxa"/>
          </w:tcPr>
          <w:p w14:paraId="55401858" w14:textId="77777777" w:rsidR="0080633D" w:rsidRPr="009B3A80" w:rsidRDefault="0080633D" w:rsidP="00E4121D">
            <w:pPr>
              <w:keepNext/>
              <w:keepLines/>
              <w:spacing w:before="40" w:after="40"/>
            </w:pPr>
            <w:r w:rsidRPr="009B3A80">
              <w:t>7</w:t>
            </w:r>
          </w:p>
        </w:tc>
        <w:tc>
          <w:tcPr>
            <w:tcW w:w="6520" w:type="dxa"/>
            <w:vAlign w:val="center"/>
          </w:tcPr>
          <w:p w14:paraId="16F2DBF6" w14:textId="77777777"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sidRPr="009B3A80">
              <w:rPr>
                <w:rFonts w:ascii="Arial" w:eastAsia="Times New Roman" w:hAnsi="Arial" w:cs="Arial"/>
                <w:color w:val="000000"/>
                <w:sz w:val="20"/>
                <w:szCs w:val="20"/>
                <w:lang w:eastAsia="en-AU"/>
              </w:rPr>
              <w:t>A</w:t>
            </w:r>
            <w:r>
              <w:rPr>
                <w:rFonts w:ascii="Arial" w:eastAsia="Times New Roman" w:hAnsi="Arial" w:cs="Arial"/>
                <w:color w:val="000000"/>
                <w:sz w:val="20"/>
                <w:szCs w:val="20"/>
                <w:lang w:eastAsia="en-AU"/>
              </w:rPr>
              <w:t>FL</w:t>
            </w:r>
            <w:r w:rsidRPr="009B3A80">
              <w:rPr>
                <w:rFonts w:ascii="Arial" w:eastAsia="Times New Roman" w:hAnsi="Arial" w:cs="Arial"/>
                <w:color w:val="000000"/>
                <w:sz w:val="20"/>
                <w:szCs w:val="20"/>
                <w:lang w:eastAsia="en-AU"/>
              </w:rPr>
              <w:t>: Grand Final</w:t>
            </w:r>
            <w:r>
              <w:rPr>
                <w:rFonts w:ascii="Arial" w:eastAsia="Times New Roman" w:hAnsi="Arial" w:cs="Arial"/>
                <w:color w:val="000000"/>
                <w:sz w:val="20"/>
                <w:szCs w:val="20"/>
                <w:lang w:eastAsia="en-AU"/>
              </w:rPr>
              <w:t xml:space="preserve"> –</w:t>
            </w:r>
            <w:r w:rsidRPr="009B3A80">
              <w:rPr>
                <w:rFonts w:ascii="Arial" w:eastAsia="Times New Roman" w:hAnsi="Arial" w:cs="Arial"/>
                <w:color w:val="000000"/>
                <w:sz w:val="20"/>
                <w:szCs w:val="20"/>
                <w:lang w:eastAsia="en-AU"/>
              </w:rPr>
              <w:t xml:space="preserve"> Presentations</w:t>
            </w:r>
          </w:p>
        </w:tc>
        <w:tc>
          <w:tcPr>
            <w:tcW w:w="2078" w:type="dxa"/>
            <w:vAlign w:val="center"/>
          </w:tcPr>
          <w:p w14:paraId="7DED26BC" w14:textId="77777777"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sidRPr="009B3A80">
              <w:rPr>
                <w:rFonts w:ascii="Arial" w:eastAsia="Times New Roman" w:hAnsi="Arial" w:cs="Arial"/>
                <w:color w:val="000000"/>
                <w:sz w:val="20"/>
                <w:szCs w:val="20"/>
                <w:lang w:eastAsia="en-AU"/>
              </w:rPr>
              <w:t>1,776,000</w:t>
            </w:r>
          </w:p>
        </w:tc>
      </w:tr>
      <w:tr w:rsidR="0080633D" w:rsidRPr="009B3A80" w14:paraId="1D6DBBC6" w14:textId="77777777" w:rsidTr="0080633D">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tcPr>
          <w:p w14:paraId="60FB138F" w14:textId="77777777" w:rsidR="0080633D" w:rsidRPr="009B3A80" w:rsidRDefault="0080633D" w:rsidP="00E4121D">
            <w:pPr>
              <w:keepNext/>
              <w:keepLines/>
              <w:spacing w:before="40" w:after="40"/>
            </w:pPr>
            <w:r w:rsidRPr="009B3A80">
              <w:t>8</w:t>
            </w:r>
          </w:p>
        </w:tc>
        <w:tc>
          <w:tcPr>
            <w:tcW w:w="6520" w:type="dxa"/>
            <w:vAlign w:val="center"/>
          </w:tcPr>
          <w:p w14:paraId="1B2A2D38" w14:textId="77777777"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pPr>
            <w:r w:rsidRPr="009B3A80">
              <w:rPr>
                <w:rFonts w:ascii="Arial" w:eastAsia="Times New Roman" w:hAnsi="Arial" w:cs="Arial"/>
                <w:color w:val="000000"/>
                <w:sz w:val="20"/>
                <w:szCs w:val="20"/>
                <w:lang w:eastAsia="en-AU"/>
              </w:rPr>
              <w:t xml:space="preserve">The Block </w:t>
            </w:r>
            <w:r>
              <w:rPr>
                <w:rFonts w:ascii="Arial" w:eastAsia="Times New Roman" w:hAnsi="Arial" w:cs="Arial"/>
                <w:color w:val="000000"/>
                <w:sz w:val="20"/>
                <w:szCs w:val="20"/>
                <w:lang w:eastAsia="en-AU"/>
              </w:rPr>
              <w:t xml:space="preserve">– </w:t>
            </w:r>
            <w:r w:rsidRPr="009B3A80">
              <w:rPr>
                <w:rFonts w:ascii="Arial" w:eastAsia="Times New Roman" w:hAnsi="Arial" w:cs="Arial"/>
                <w:color w:val="000000"/>
                <w:sz w:val="20"/>
                <w:szCs w:val="20"/>
                <w:lang w:eastAsia="en-AU"/>
              </w:rPr>
              <w:t>Winner Announced</w:t>
            </w:r>
          </w:p>
        </w:tc>
        <w:tc>
          <w:tcPr>
            <w:tcW w:w="2078" w:type="dxa"/>
            <w:vAlign w:val="center"/>
          </w:tcPr>
          <w:p w14:paraId="3C156FC5" w14:textId="77777777"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pPr>
            <w:r w:rsidRPr="009B3A80">
              <w:rPr>
                <w:rFonts w:ascii="Arial" w:eastAsia="Times New Roman" w:hAnsi="Arial" w:cs="Arial"/>
                <w:color w:val="000000"/>
                <w:sz w:val="20"/>
                <w:szCs w:val="20"/>
                <w:lang w:eastAsia="en-AU"/>
              </w:rPr>
              <w:t>1,746,000</w:t>
            </w:r>
          </w:p>
        </w:tc>
      </w:tr>
      <w:tr w:rsidR="0080633D" w:rsidRPr="009B3A80" w14:paraId="4733F6BA" w14:textId="77777777" w:rsidTr="0080633D">
        <w:trPr>
          <w:trHeight w:val="433"/>
        </w:trPr>
        <w:tc>
          <w:tcPr>
            <w:cnfStyle w:val="001000000000" w:firstRow="0" w:lastRow="0" w:firstColumn="1" w:lastColumn="0" w:oddVBand="0" w:evenVBand="0" w:oddHBand="0" w:evenHBand="0" w:firstRowFirstColumn="0" w:firstRowLastColumn="0" w:lastRowFirstColumn="0" w:lastRowLastColumn="0"/>
            <w:tcW w:w="1418" w:type="dxa"/>
          </w:tcPr>
          <w:p w14:paraId="15C9614A" w14:textId="77777777" w:rsidR="0080633D" w:rsidRPr="009B3A80" w:rsidRDefault="0080633D" w:rsidP="00E4121D">
            <w:pPr>
              <w:keepNext/>
              <w:keepLines/>
              <w:spacing w:before="40" w:after="40"/>
            </w:pPr>
            <w:r w:rsidRPr="009B3A80">
              <w:t>9</w:t>
            </w:r>
          </w:p>
        </w:tc>
        <w:tc>
          <w:tcPr>
            <w:tcW w:w="6520" w:type="dxa"/>
            <w:vAlign w:val="center"/>
          </w:tcPr>
          <w:p w14:paraId="69A61CDC" w14:textId="77777777"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20"/>
                <w:szCs w:val="20"/>
                <w:lang w:eastAsia="en-AU"/>
              </w:rPr>
              <w:t xml:space="preserve">Tennis: </w:t>
            </w:r>
            <w:r w:rsidRPr="009B3A80">
              <w:rPr>
                <w:rFonts w:ascii="Arial" w:eastAsia="Times New Roman" w:hAnsi="Arial" w:cs="Arial"/>
                <w:color w:val="000000"/>
                <w:sz w:val="20"/>
                <w:szCs w:val="20"/>
                <w:lang w:eastAsia="en-AU"/>
              </w:rPr>
              <w:t>2022 Australian Open</w:t>
            </w:r>
            <w:r>
              <w:rPr>
                <w:rFonts w:ascii="Arial" w:eastAsia="Times New Roman" w:hAnsi="Arial" w:cs="Arial"/>
                <w:color w:val="000000"/>
                <w:sz w:val="20"/>
                <w:szCs w:val="20"/>
                <w:lang w:eastAsia="en-AU"/>
              </w:rPr>
              <w:t>:</w:t>
            </w:r>
            <w:r w:rsidRPr="009B3A80">
              <w:rPr>
                <w:rFonts w:ascii="Arial" w:eastAsia="Times New Roman" w:hAnsi="Arial" w:cs="Arial"/>
                <w:color w:val="000000"/>
                <w:sz w:val="20"/>
                <w:szCs w:val="20"/>
                <w:lang w:eastAsia="en-AU"/>
              </w:rPr>
              <w:t xml:space="preserve"> D</w:t>
            </w:r>
            <w:r>
              <w:rPr>
                <w:rFonts w:ascii="Arial" w:eastAsia="Times New Roman" w:hAnsi="Arial" w:cs="Arial"/>
                <w:color w:val="000000"/>
                <w:sz w:val="20"/>
                <w:szCs w:val="20"/>
                <w:lang w:eastAsia="en-AU"/>
              </w:rPr>
              <w:t xml:space="preserve">ay </w:t>
            </w:r>
            <w:r w:rsidRPr="009B3A80">
              <w:rPr>
                <w:rFonts w:ascii="Arial" w:eastAsia="Times New Roman" w:hAnsi="Arial" w:cs="Arial"/>
                <w:color w:val="000000"/>
                <w:sz w:val="20"/>
                <w:szCs w:val="20"/>
                <w:lang w:eastAsia="en-AU"/>
              </w:rPr>
              <w:t xml:space="preserve">13 </w:t>
            </w:r>
            <w:r>
              <w:rPr>
                <w:rFonts w:ascii="Arial" w:eastAsia="Times New Roman" w:hAnsi="Arial" w:cs="Arial"/>
                <w:color w:val="000000"/>
                <w:sz w:val="20"/>
                <w:szCs w:val="20"/>
                <w:lang w:eastAsia="en-AU"/>
              </w:rPr>
              <w:t xml:space="preserve">– </w:t>
            </w:r>
            <w:r w:rsidRPr="009B3A80">
              <w:rPr>
                <w:rFonts w:ascii="Arial" w:eastAsia="Times New Roman" w:hAnsi="Arial" w:cs="Arial"/>
                <w:color w:val="000000"/>
                <w:sz w:val="20"/>
                <w:szCs w:val="20"/>
                <w:lang w:eastAsia="en-AU"/>
              </w:rPr>
              <w:t>Men's Doubles Final</w:t>
            </w:r>
          </w:p>
        </w:tc>
        <w:tc>
          <w:tcPr>
            <w:tcW w:w="2078" w:type="dxa"/>
            <w:vAlign w:val="center"/>
          </w:tcPr>
          <w:p w14:paraId="24AE20FB" w14:textId="77777777" w:rsidR="0080633D" w:rsidRPr="009B3A80" w:rsidRDefault="0080633D" w:rsidP="00E4121D">
            <w:pPr>
              <w:keepNext/>
              <w:keepLines/>
              <w:spacing w:before="40" w:after="40"/>
              <w:cnfStyle w:val="000000000000" w:firstRow="0" w:lastRow="0" w:firstColumn="0" w:lastColumn="0" w:oddVBand="0" w:evenVBand="0" w:oddHBand="0" w:evenHBand="0" w:firstRowFirstColumn="0" w:firstRowLastColumn="0" w:lastRowFirstColumn="0" w:lastRowLastColumn="0"/>
            </w:pPr>
            <w:r w:rsidRPr="009B3A80">
              <w:rPr>
                <w:rFonts w:ascii="Arial" w:eastAsia="Times New Roman" w:hAnsi="Arial" w:cs="Arial"/>
                <w:color w:val="000000"/>
                <w:sz w:val="20"/>
                <w:szCs w:val="20"/>
                <w:lang w:eastAsia="en-AU"/>
              </w:rPr>
              <w:t>1,735,000</w:t>
            </w:r>
          </w:p>
        </w:tc>
      </w:tr>
      <w:tr w:rsidR="0080633D" w:rsidRPr="009B3A80" w14:paraId="0213EC90" w14:textId="77777777" w:rsidTr="0080633D">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tcPr>
          <w:p w14:paraId="2F8D2A98" w14:textId="77777777" w:rsidR="0080633D" w:rsidRPr="009B3A80" w:rsidRDefault="0080633D" w:rsidP="00E4121D">
            <w:pPr>
              <w:keepNext/>
              <w:keepLines/>
              <w:spacing w:before="40" w:after="40"/>
            </w:pPr>
            <w:r w:rsidRPr="009B3A80">
              <w:t>10</w:t>
            </w:r>
          </w:p>
        </w:tc>
        <w:tc>
          <w:tcPr>
            <w:tcW w:w="6520" w:type="dxa"/>
            <w:vAlign w:val="center"/>
          </w:tcPr>
          <w:p w14:paraId="55A7C7B5" w14:textId="77777777"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rPr>
                <w:b/>
              </w:rPr>
            </w:pPr>
            <w:r>
              <w:rPr>
                <w:rFonts w:ascii="Arial" w:eastAsia="Times New Roman" w:hAnsi="Arial" w:cs="Arial"/>
                <w:color w:val="000000"/>
                <w:sz w:val="20"/>
                <w:szCs w:val="20"/>
                <w:lang w:eastAsia="en-AU"/>
              </w:rPr>
              <w:t>AFL</w:t>
            </w:r>
            <w:r w:rsidRPr="009B3A80">
              <w:rPr>
                <w:rFonts w:ascii="Arial" w:eastAsia="Times New Roman" w:hAnsi="Arial" w:cs="Arial"/>
                <w:color w:val="000000"/>
                <w:sz w:val="20"/>
                <w:szCs w:val="20"/>
                <w:lang w:eastAsia="en-AU"/>
              </w:rPr>
              <w:t>: Grand Final</w:t>
            </w:r>
            <w:r>
              <w:rPr>
                <w:rFonts w:ascii="Arial" w:eastAsia="Times New Roman" w:hAnsi="Arial" w:cs="Arial"/>
                <w:color w:val="000000"/>
                <w:sz w:val="20"/>
                <w:szCs w:val="20"/>
                <w:lang w:eastAsia="en-AU"/>
              </w:rPr>
              <w:t xml:space="preserve"> –</w:t>
            </w:r>
            <w:r w:rsidRPr="009B3A80">
              <w:rPr>
                <w:rFonts w:ascii="Arial" w:eastAsia="Times New Roman" w:hAnsi="Arial" w:cs="Arial"/>
                <w:color w:val="000000"/>
                <w:sz w:val="20"/>
                <w:szCs w:val="20"/>
                <w:lang w:eastAsia="en-AU"/>
              </w:rPr>
              <w:t xml:space="preserve"> On The Ground</w:t>
            </w:r>
          </w:p>
        </w:tc>
        <w:tc>
          <w:tcPr>
            <w:tcW w:w="2078" w:type="dxa"/>
            <w:vAlign w:val="center"/>
          </w:tcPr>
          <w:p w14:paraId="20A55754" w14:textId="77777777" w:rsidR="0080633D" w:rsidRPr="009B3A80" w:rsidRDefault="0080633D" w:rsidP="00E4121D">
            <w:pPr>
              <w:keepNext/>
              <w:keepLines/>
              <w:spacing w:before="40" w:after="40"/>
              <w:cnfStyle w:val="000000010000" w:firstRow="0" w:lastRow="0" w:firstColumn="0" w:lastColumn="0" w:oddVBand="0" w:evenVBand="0" w:oddHBand="0" w:evenHBand="1" w:firstRowFirstColumn="0" w:firstRowLastColumn="0" w:lastRowFirstColumn="0" w:lastRowLastColumn="0"/>
              <w:rPr>
                <w:b/>
              </w:rPr>
            </w:pPr>
            <w:r w:rsidRPr="009B3A80">
              <w:rPr>
                <w:rFonts w:ascii="Arial" w:eastAsia="Times New Roman" w:hAnsi="Arial" w:cs="Arial"/>
                <w:color w:val="000000"/>
                <w:sz w:val="20"/>
                <w:szCs w:val="20"/>
                <w:lang w:eastAsia="en-AU"/>
              </w:rPr>
              <w:t>1,697,000</w:t>
            </w:r>
          </w:p>
        </w:tc>
      </w:tr>
    </w:tbl>
    <w:p w14:paraId="78CCA542" w14:textId="17F0133A" w:rsidR="0080633D" w:rsidRPr="00D906CB" w:rsidRDefault="0080633D" w:rsidP="00E4121D">
      <w:pPr>
        <w:pStyle w:val="Sourcenotes"/>
        <w:keepNext/>
        <w:keepLines/>
        <w:rPr>
          <w:rFonts w:cs="Times New Roman"/>
          <w:szCs w:val="24"/>
          <w:lang w:val="en-AU"/>
        </w:rPr>
      </w:pPr>
      <w:r w:rsidRPr="0029744A">
        <w:rPr>
          <w:lang w:val="en-AU"/>
        </w:rPr>
        <w:t xml:space="preserve">Source: OzTAM 5 City Metro | Consolidated 7 | Total Audience | </w:t>
      </w:r>
      <w:r w:rsidR="0002384B" w:rsidRPr="0029744A">
        <w:rPr>
          <w:lang w:val="en-AU"/>
        </w:rPr>
        <w:t>202</w:t>
      </w:r>
      <w:r w:rsidR="00BF5406" w:rsidRPr="0029744A">
        <w:rPr>
          <w:lang w:val="en-AU"/>
        </w:rPr>
        <w:t>2</w:t>
      </w:r>
      <w:r w:rsidR="0002384B" w:rsidRPr="0029744A">
        <w:rPr>
          <w:lang w:val="en-AU"/>
        </w:rPr>
        <w:t>.</w:t>
      </w:r>
      <w:r w:rsidRPr="0029744A">
        <w:rPr>
          <w:lang w:val="en-AU"/>
        </w:rPr>
        <w:t xml:space="preserve"> </w:t>
      </w:r>
      <w:r w:rsidRPr="0029744A">
        <w:rPr>
          <w:rFonts w:cs="Times New Roman"/>
          <w:szCs w:val="24"/>
          <w:lang w:val="en-AU"/>
        </w:rPr>
        <w:t xml:space="preserve">Data copyright </w:t>
      </w:r>
      <w:r w:rsidRPr="0029744A">
        <w:rPr>
          <w:rFonts w:cstheme="minorHAnsi"/>
          <w:szCs w:val="24"/>
          <w:lang w:val="en-AU"/>
        </w:rPr>
        <w:t>©</w:t>
      </w:r>
      <w:r w:rsidRPr="0029744A">
        <w:rPr>
          <w:rFonts w:cs="Times New Roman"/>
          <w:szCs w:val="24"/>
          <w:lang w:val="en-AU"/>
        </w:rPr>
        <w:t xml:space="preserve"> OzTAM </w:t>
      </w:r>
      <w:r w:rsidR="00647B32" w:rsidRPr="0029744A">
        <w:rPr>
          <w:rFonts w:cs="Times New Roman"/>
          <w:szCs w:val="24"/>
          <w:lang w:val="en-AU"/>
        </w:rPr>
        <w:t>202</w:t>
      </w:r>
      <w:r w:rsidR="00647B32">
        <w:rPr>
          <w:rFonts w:cs="Times New Roman"/>
          <w:szCs w:val="24"/>
          <w:lang w:val="en-AU"/>
        </w:rPr>
        <w:t>3</w:t>
      </w:r>
      <w:r w:rsidR="00030172">
        <w:rPr>
          <w:rStyle w:val="FootnoteReference"/>
          <w:rFonts w:cs="Times New Roman"/>
          <w:szCs w:val="24"/>
          <w:lang w:val="en-AU"/>
        </w:rPr>
        <w:footnoteReference w:id="10"/>
      </w:r>
    </w:p>
    <w:p w14:paraId="5DECE00B" w14:textId="12916E43" w:rsidR="0080633D" w:rsidRPr="0040388D" w:rsidRDefault="0080633D" w:rsidP="0080633D">
      <w:pPr>
        <w:spacing w:after="0"/>
      </w:pPr>
      <w:bookmarkStart w:id="35" w:name="_Toc112235049"/>
      <w:bookmarkStart w:id="36" w:name="_Toc114487432"/>
      <w:r w:rsidRPr="0040388D">
        <w:t>Sport or sport-related programs accounted for all of the top 50 rated programs and all but 7 of top 500 programs</w:t>
      </w:r>
      <w:r w:rsidRPr="00E76985">
        <w:t>.</w:t>
      </w:r>
    </w:p>
    <w:p w14:paraId="635BE4A1" w14:textId="79B476F7" w:rsidR="0080633D" w:rsidRDefault="0080633D" w:rsidP="0080633D">
      <w:pPr>
        <w:pStyle w:val="Caption"/>
        <w:spacing w:before="120"/>
      </w:pPr>
      <w:bookmarkStart w:id="37" w:name="_Toc150883297"/>
      <w:bookmarkStart w:id="38" w:name="_Toc151053017"/>
      <w:r w:rsidRPr="00D906CB">
        <w:t xml:space="preserve">Table 2: </w:t>
      </w:r>
      <w:r>
        <w:t>Ten</w:t>
      </w:r>
      <w:r w:rsidRPr="00D906CB">
        <w:t xml:space="preserve"> most popular programs on subscription television in 202</w:t>
      </w:r>
      <w:bookmarkEnd w:id="35"/>
      <w:bookmarkEnd w:id="36"/>
      <w:r w:rsidRPr="00D906CB">
        <w:t>2</w:t>
      </w:r>
      <w:r w:rsidR="00E4121D">
        <w:t xml:space="preserve"> (national)</w:t>
      </w:r>
      <w:bookmarkEnd w:id="37"/>
      <w:bookmarkEnd w:id="38"/>
    </w:p>
    <w:tbl>
      <w:tblPr>
        <w:tblStyle w:val="DefaultTable1"/>
        <w:tblW w:w="10016" w:type="dxa"/>
        <w:tblLook w:val="04A0" w:firstRow="1" w:lastRow="0" w:firstColumn="1" w:lastColumn="0" w:noHBand="0" w:noVBand="1"/>
      </w:tblPr>
      <w:tblGrid>
        <w:gridCol w:w="1418"/>
        <w:gridCol w:w="6520"/>
        <w:gridCol w:w="2078"/>
      </w:tblGrid>
      <w:tr w:rsidR="0080633D" w:rsidRPr="009B3A80" w14:paraId="535AFE06" w14:textId="77777777" w:rsidTr="0080633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8" w:type="dxa"/>
          </w:tcPr>
          <w:p w14:paraId="575EDE23" w14:textId="77777777" w:rsidR="0080633D" w:rsidRPr="009B3A80" w:rsidRDefault="0080633D" w:rsidP="00BD7537">
            <w:pPr>
              <w:spacing w:before="40" w:after="40"/>
            </w:pPr>
            <w:r w:rsidRPr="009B3A80">
              <w:t>Rank</w:t>
            </w:r>
          </w:p>
        </w:tc>
        <w:tc>
          <w:tcPr>
            <w:tcW w:w="6520" w:type="dxa"/>
          </w:tcPr>
          <w:p w14:paraId="6D7CC2E6" w14:textId="77777777" w:rsidR="0080633D" w:rsidRPr="009B3A80" w:rsidRDefault="0080633D" w:rsidP="00BD7537">
            <w:pPr>
              <w:spacing w:before="40" w:after="40"/>
              <w:cnfStyle w:val="100000000000" w:firstRow="1" w:lastRow="0" w:firstColumn="0" w:lastColumn="0" w:oddVBand="0" w:evenVBand="0" w:oddHBand="0" w:evenHBand="0" w:firstRowFirstColumn="0" w:firstRowLastColumn="0" w:lastRowFirstColumn="0" w:lastRowLastColumn="0"/>
            </w:pPr>
            <w:r w:rsidRPr="009B3A80">
              <w:t>Program</w:t>
            </w:r>
          </w:p>
        </w:tc>
        <w:tc>
          <w:tcPr>
            <w:tcW w:w="2078" w:type="dxa"/>
          </w:tcPr>
          <w:p w14:paraId="664DD7C1" w14:textId="77777777" w:rsidR="0080633D" w:rsidRPr="009B3A80" w:rsidRDefault="0080633D" w:rsidP="00BD7537">
            <w:pPr>
              <w:spacing w:before="40" w:after="40"/>
              <w:cnfStyle w:val="100000000000" w:firstRow="1" w:lastRow="0" w:firstColumn="0" w:lastColumn="0" w:oddVBand="0" w:evenVBand="0" w:oddHBand="0" w:evenHBand="0" w:firstRowFirstColumn="0" w:firstRowLastColumn="0" w:lastRowFirstColumn="0" w:lastRowLastColumn="0"/>
            </w:pPr>
            <w:r w:rsidRPr="009B3A80">
              <w:t xml:space="preserve">Audience </w:t>
            </w:r>
          </w:p>
        </w:tc>
      </w:tr>
      <w:tr w:rsidR="0080633D" w:rsidRPr="009B3A80" w14:paraId="424E8D12" w14:textId="77777777" w:rsidTr="0080633D">
        <w:trPr>
          <w:trHeight w:val="448"/>
        </w:trPr>
        <w:tc>
          <w:tcPr>
            <w:cnfStyle w:val="001000000000" w:firstRow="0" w:lastRow="0" w:firstColumn="1" w:lastColumn="0" w:oddVBand="0" w:evenVBand="0" w:oddHBand="0" w:evenHBand="0" w:firstRowFirstColumn="0" w:firstRowLastColumn="0" w:lastRowFirstColumn="0" w:lastRowLastColumn="0"/>
            <w:tcW w:w="1418" w:type="dxa"/>
          </w:tcPr>
          <w:p w14:paraId="64D01022" w14:textId="77777777" w:rsidR="0080633D" w:rsidRPr="009B3A80" w:rsidRDefault="0080633D" w:rsidP="00BD7537">
            <w:pPr>
              <w:spacing w:before="40" w:after="40"/>
            </w:pPr>
            <w:r w:rsidRPr="009B3A80">
              <w:t>1</w:t>
            </w:r>
          </w:p>
        </w:tc>
        <w:tc>
          <w:tcPr>
            <w:tcW w:w="6520" w:type="dxa"/>
          </w:tcPr>
          <w:p w14:paraId="1D07CE08" w14:textId="77777777" w:rsidR="0080633D" w:rsidRPr="000F5BA2"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rsidRPr="000F5BA2">
              <w:t>AFL: Preliminary Final</w:t>
            </w:r>
            <w:r>
              <w:t xml:space="preserve"> –</w:t>
            </w:r>
            <w:r w:rsidRPr="000F5BA2">
              <w:t xml:space="preserve"> </w:t>
            </w:r>
            <w:r>
              <w:t>S</w:t>
            </w:r>
            <w:r w:rsidRPr="000F5BA2">
              <w:t xml:space="preserve">ydney v </w:t>
            </w:r>
            <w:r>
              <w:t>C</w:t>
            </w:r>
            <w:r w:rsidRPr="000F5BA2">
              <w:t xml:space="preserve">ollingwood </w:t>
            </w:r>
          </w:p>
        </w:tc>
        <w:tc>
          <w:tcPr>
            <w:tcW w:w="2078" w:type="dxa"/>
          </w:tcPr>
          <w:p w14:paraId="4F77CF0A" w14:textId="77777777" w:rsidR="0080633D" w:rsidRPr="009B3A80"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rsidRPr="009B3A80">
              <w:t>469,000</w:t>
            </w:r>
          </w:p>
        </w:tc>
      </w:tr>
      <w:tr w:rsidR="0080633D" w:rsidRPr="009B3A80" w14:paraId="35A06770" w14:textId="77777777" w:rsidTr="0080633D">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18" w:type="dxa"/>
          </w:tcPr>
          <w:p w14:paraId="5A86CE98" w14:textId="77777777" w:rsidR="0080633D" w:rsidRPr="009B3A80" w:rsidRDefault="0080633D" w:rsidP="00BD7537">
            <w:pPr>
              <w:spacing w:before="40" w:after="40"/>
            </w:pPr>
            <w:r>
              <w:t>2</w:t>
            </w:r>
          </w:p>
        </w:tc>
        <w:tc>
          <w:tcPr>
            <w:tcW w:w="6520" w:type="dxa"/>
          </w:tcPr>
          <w:p w14:paraId="00B07C02" w14:textId="0DDC2826" w:rsidR="0080633D" w:rsidRPr="000F5BA2" w:rsidRDefault="0071330E" w:rsidP="00BD7537">
            <w:pPr>
              <w:spacing w:before="40" w:after="40"/>
              <w:cnfStyle w:val="000000010000" w:firstRow="0" w:lastRow="0" w:firstColumn="0" w:lastColumn="0" w:oddVBand="0" w:evenVBand="0" w:oddHBand="0" w:evenHBand="1" w:firstRowFirstColumn="0" w:firstRowLastColumn="0" w:lastRowFirstColumn="0" w:lastRowLastColumn="0"/>
            </w:pPr>
            <w:r>
              <w:t xml:space="preserve">Men’s </w:t>
            </w:r>
            <w:r w:rsidR="0080633D">
              <w:t>Cricket: Australia v South Africa –</w:t>
            </w:r>
            <w:r w:rsidR="0080633D" w:rsidRPr="000F5BA2">
              <w:t xml:space="preserve"> Second Test Day 2</w:t>
            </w:r>
            <w:r w:rsidR="0080633D">
              <w:t xml:space="preserve"> –</w:t>
            </w:r>
            <w:r w:rsidR="0080633D" w:rsidRPr="00B73E02">
              <w:t xml:space="preserve"> Session 3</w:t>
            </w:r>
          </w:p>
        </w:tc>
        <w:tc>
          <w:tcPr>
            <w:tcW w:w="2078" w:type="dxa"/>
          </w:tcPr>
          <w:p w14:paraId="0D920397" w14:textId="77777777" w:rsidR="0080633D" w:rsidRPr="009B3A80" w:rsidRDefault="0080633D" w:rsidP="00BD7537">
            <w:pPr>
              <w:spacing w:before="40" w:after="40"/>
              <w:cnfStyle w:val="000000010000" w:firstRow="0" w:lastRow="0" w:firstColumn="0" w:lastColumn="0" w:oddVBand="0" w:evenVBand="0" w:oddHBand="0" w:evenHBand="1" w:firstRowFirstColumn="0" w:firstRowLastColumn="0" w:lastRowFirstColumn="0" w:lastRowLastColumn="0"/>
            </w:pPr>
            <w:r w:rsidRPr="009B3A80">
              <w:t>433,000</w:t>
            </w:r>
          </w:p>
        </w:tc>
      </w:tr>
      <w:tr w:rsidR="0080633D" w:rsidRPr="009B3A80" w14:paraId="2B0E4516" w14:textId="77777777" w:rsidTr="0080633D">
        <w:trPr>
          <w:trHeight w:val="448"/>
        </w:trPr>
        <w:tc>
          <w:tcPr>
            <w:cnfStyle w:val="001000000000" w:firstRow="0" w:lastRow="0" w:firstColumn="1" w:lastColumn="0" w:oddVBand="0" w:evenVBand="0" w:oddHBand="0" w:evenHBand="0" w:firstRowFirstColumn="0" w:firstRowLastColumn="0" w:lastRowFirstColumn="0" w:lastRowLastColumn="0"/>
            <w:tcW w:w="1418" w:type="dxa"/>
          </w:tcPr>
          <w:p w14:paraId="65ACFFC6" w14:textId="77777777" w:rsidR="0080633D" w:rsidRPr="009B3A80" w:rsidRDefault="0080633D" w:rsidP="00BD7537">
            <w:pPr>
              <w:spacing w:before="40" w:after="40"/>
            </w:pPr>
            <w:r>
              <w:t>3</w:t>
            </w:r>
          </w:p>
        </w:tc>
        <w:tc>
          <w:tcPr>
            <w:tcW w:w="6520" w:type="dxa"/>
          </w:tcPr>
          <w:p w14:paraId="38DD4D69" w14:textId="77777777" w:rsidR="0080633D" w:rsidRPr="000F5BA2"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t>NRL</w:t>
            </w:r>
            <w:r w:rsidRPr="000F5BA2">
              <w:t>: Preliminary Final</w:t>
            </w:r>
            <w:r>
              <w:t xml:space="preserve"> –</w:t>
            </w:r>
            <w:r w:rsidRPr="000F5BA2">
              <w:t xml:space="preserve"> Cowboys </w:t>
            </w:r>
            <w:r>
              <w:t>v</w:t>
            </w:r>
            <w:r w:rsidRPr="000F5BA2">
              <w:t xml:space="preserve"> Eels</w:t>
            </w:r>
          </w:p>
        </w:tc>
        <w:tc>
          <w:tcPr>
            <w:tcW w:w="2078" w:type="dxa"/>
          </w:tcPr>
          <w:p w14:paraId="1CEF8000" w14:textId="77777777" w:rsidR="0080633D" w:rsidRPr="009B3A80"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rsidRPr="009B3A80">
              <w:t>426,000</w:t>
            </w:r>
          </w:p>
        </w:tc>
      </w:tr>
      <w:tr w:rsidR="0080633D" w:rsidRPr="009B3A80" w14:paraId="2F881F04" w14:textId="77777777" w:rsidTr="0080633D">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18" w:type="dxa"/>
          </w:tcPr>
          <w:p w14:paraId="5D7D2299" w14:textId="77777777" w:rsidR="0080633D" w:rsidRPr="009B3A80" w:rsidRDefault="0080633D" w:rsidP="00BD7537">
            <w:pPr>
              <w:spacing w:before="40" w:after="40"/>
            </w:pPr>
            <w:r>
              <w:t>4</w:t>
            </w:r>
          </w:p>
        </w:tc>
        <w:tc>
          <w:tcPr>
            <w:tcW w:w="6520" w:type="dxa"/>
          </w:tcPr>
          <w:p w14:paraId="24A53DF9" w14:textId="77777777" w:rsidR="0080633D" w:rsidRPr="000F5BA2" w:rsidRDefault="0080633D" w:rsidP="00BD7537">
            <w:pPr>
              <w:spacing w:before="40" w:after="40"/>
              <w:cnfStyle w:val="000000010000" w:firstRow="0" w:lastRow="0" w:firstColumn="0" w:lastColumn="0" w:oddVBand="0" w:evenVBand="0" w:oddHBand="0" w:evenHBand="1" w:firstRowFirstColumn="0" w:firstRowLastColumn="0" w:lastRowFirstColumn="0" w:lastRowLastColumn="0"/>
            </w:pPr>
            <w:r>
              <w:t xml:space="preserve">Cricket: </w:t>
            </w:r>
            <w:r w:rsidRPr="000F5BA2">
              <w:t>The Ashes: Aus</w:t>
            </w:r>
            <w:r>
              <w:t>tralia</w:t>
            </w:r>
            <w:r w:rsidRPr="000F5BA2">
              <w:t xml:space="preserve"> </w:t>
            </w:r>
            <w:r>
              <w:t>v</w:t>
            </w:r>
            <w:r w:rsidRPr="000F5BA2">
              <w:t xml:space="preserve"> Eng</w:t>
            </w:r>
            <w:r>
              <w:t>land –</w:t>
            </w:r>
            <w:r w:rsidRPr="000F5BA2">
              <w:t xml:space="preserve"> </w:t>
            </w:r>
            <w:r>
              <w:t>Fifth</w:t>
            </w:r>
            <w:r w:rsidRPr="000F5BA2">
              <w:t xml:space="preserve"> Test D</w:t>
            </w:r>
            <w:r>
              <w:t xml:space="preserve">ay </w:t>
            </w:r>
            <w:r w:rsidRPr="000F5BA2">
              <w:t>3</w:t>
            </w:r>
            <w:r>
              <w:t xml:space="preserve"> –</w:t>
            </w:r>
            <w:r w:rsidRPr="00B73E02">
              <w:t xml:space="preserve"> Session 3</w:t>
            </w:r>
          </w:p>
        </w:tc>
        <w:tc>
          <w:tcPr>
            <w:tcW w:w="2078" w:type="dxa"/>
          </w:tcPr>
          <w:p w14:paraId="72472CA1" w14:textId="77777777" w:rsidR="0080633D" w:rsidRPr="009B3A80" w:rsidRDefault="0080633D" w:rsidP="00BD7537">
            <w:pPr>
              <w:spacing w:before="40" w:after="40"/>
              <w:cnfStyle w:val="000000010000" w:firstRow="0" w:lastRow="0" w:firstColumn="0" w:lastColumn="0" w:oddVBand="0" w:evenVBand="0" w:oddHBand="0" w:evenHBand="1" w:firstRowFirstColumn="0" w:firstRowLastColumn="0" w:lastRowFirstColumn="0" w:lastRowLastColumn="0"/>
            </w:pPr>
            <w:r w:rsidRPr="009B3A80">
              <w:t>416,000</w:t>
            </w:r>
          </w:p>
        </w:tc>
      </w:tr>
      <w:tr w:rsidR="0080633D" w:rsidRPr="009B3A80" w14:paraId="0CB1A70D" w14:textId="77777777" w:rsidTr="0080633D">
        <w:trPr>
          <w:trHeight w:val="448"/>
        </w:trPr>
        <w:tc>
          <w:tcPr>
            <w:cnfStyle w:val="001000000000" w:firstRow="0" w:lastRow="0" w:firstColumn="1" w:lastColumn="0" w:oddVBand="0" w:evenVBand="0" w:oddHBand="0" w:evenHBand="0" w:firstRowFirstColumn="0" w:firstRowLastColumn="0" w:lastRowFirstColumn="0" w:lastRowLastColumn="0"/>
            <w:tcW w:w="1418" w:type="dxa"/>
          </w:tcPr>
          <w:p w14:paraId="141AA01E" w14:textId="77777777" w:rsidR="0080633D" w:rsidRPr="009B3A80" w:rsidRDefault="0080633D" w:rsidP="00BD7537">
            <w:pPr>
              <w:spacing w:before="40" w:after="40"/>
            </w:pPr>
            <w:r>
              <w:t>5</w:t>
            </w:r>
          </w:p>
        </w:tc>
        <w:tc>
          <w:tcPr>
            <w:tcW w:w="6520" w:type="dxa"/>
          </w:tcPr>
          <w:p w14:paraId="5C7D5332" w14:textId="77777777" w:rsidR="0080633D" w:rsidRPr="000F5BA2"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t xml:space="preserve">Cricket: </w:t>
            </w:r>
            <w:r w:rsidRPr="000F5BA2">
              <w:t>The Ashes: Aus</w:t>
            </w:r>
            <w:r>
              <w:t>tralia</w:t>
            </w:r>
            <w:r w:rsidRPr="000F5BA2">
              <w:t xml:space="preserve"> </w:t>
            </w:r>
            <w:r>
              <w:t>v</w:t>
            </w:r>
            <w:r w:rsidRPr="000F5BA2">
              <w:t xml:space="preserve"> Eng</w:t>
            </w:r>
            <w:r>
              <w:t>land –</w:t>
            </w:r>
            <w:r w:rsidRPr="000F5BA2">
              <w:t xml:space="preserve"> </w:t>
            </w:r>
            <w:r>
              <w:t>Fourth</w:t>
            </w:r>
            <w:r w:rsidRPr="000F5BA2">
              <w:t xml:space="preserve"> Test D</w:t>
            </w:r>
            <w:r>
              <w:t>ay 5 – Rain Delay</w:t>
            </w:r>
          </w:p>
        </w:tc>
        <w:tc>
          <w:tcPr>
            <w:tcW w:w="2078" w:type="dxa"/>
          </w:tcPr>
          <w:p w14:paraId="4EED9D20" w14:textId="77777777" w:rsidR="0080633D" w:rsidRPr="009B3A80"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rsidRPr="009B3A80">
              <w:t>412,000</w:t>
            </w:r>
          </w:p>
        </w:tc>
      </w:tr>
      <w:tr w:rsidR="0080633D" w:rsidRPr="009B3A80" w14:paraId="1CC25552" w14:textId="77777777" w:rsidTr="0080633D">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18" w:type="dxa"/>
          </w:tcPr>
          <w:p w14:paraId="166249B5" w14:textId="77777777" w:rsidR="0080633D" w:rsidRPr="009B3A80" w:rsidRDefault="0080633D" w:rsidP="00BD7537">
            <w:pPr>
              <w:spacing w:before="40" w:after="40"/>
            </w:pPr>
            <w:r>
              <w:t>6</w:t>
            </w:r>
          </w:p>
        </w:tc>
        <w:tc>
          <w:tcPr>
            <w:tcW w:w="6520" w:type="dxa"/>
          </w:tcPr>
          <w:p w14:paraId="53B27022" w14:textId="77777777" w:rsidR="0080633D" w:rsidRPr="000F5BA2" w:rsidRDefault="0080633D" w:rsidP="00BD7537">
            <w:pPr>
              <w:spacing w:before="40" w:after="40"/>
              <w:cnfStyle w:val="000000010000" w:firstRow="0" w:lastRow="0" w:firstColumn="0" w:lastColumn="0" w:oddVBand="0" w:evenVBand="0" w:oddHBand="0" w:evenHBand="1" w:firstRowFirstColumn="0" w:firstRowLastColumn="0" w:lastRowFirstColumn="0" w:lastRowLastColumn="0"/>
            </w:pPr>
            <w:r>
              <w:t xml:space="preserve">Cricket: </w:t>
            </w:r>
            <w:r w:rsidRPr="000F5BA2">
              <w:t>The Ashes: Aus</w:t>
            </w:r>
            <w:r>
              <w:t>tralia</w:t>
            </w:r>
            <w:r w:rsidRPr="000F5BA2">
              <w:t xml:space="preserve"> </w:t>
            </w:r>
            <w:r>
              <w:t>v</w:t>
            </w:r>
            <w:r w:rsidRPr="000F5BA2">
              <w:t xml:space="preserve"> Eng</w:t>
            </w:r>
            <w:r>
              <w:t>land –</w:t>
            </w:r>
            <w:r w:rsidRPr="000F5BA2">
              <w:t xml:space="preserve"> </w:t>
            </w:r>
            <w:r>
              <w:t>Fifth</w:t>
            </w:r>
            <w:r w:rsidRPr="000F5BA2">
              <w:t xml:space="preserve"> Test D</w:t>
            </w:r>
            <w:r>
              <w:t xml:space="preserve">ay </w:t>
            </w:r>
            <w:r w:rsidRPr="000F5BA2">
              <w:t>3</w:t>
            </w:r>
            <w:r>
              <w:t xml:space="preserve"> –</w:t>
            </w:r>
            <w:r w:rsidRPr="00B73E02">
              <w:t xml:space="preserve"> Session </w:t>
            </w:r>
            <w:r>
              <w:t>2</w:t>
            </w:r>
          </w:p>
        </w:tc>
        <w:tc>
          <w:tcPr>
            <w:tcW w:w="2078" w:type="dxa"/>
          </w:tcPr>
          <w:p w14:paraId="7F8497D9" w14:textId="77777777" w:rsidR="0080633D" w:rsidRPr="009B3A80" w:rsidRDefault="0080633D" w:rsidP="00BD7537">
            <w:pPr>
              <w:spacing w:before="40" w:after="40"/>
              <w:cnfStyle w:val="000000010000" w:firstRow="0" w:lastRow="0" w:firstColumn="0" w:lastColumn="0" w:oddVBand="0" w:evenVBand="0" w:oddHBand="0" w:evenHBand="1" w:firstRowFirstColumn="0" w:firstRowLastColumn="0" w:lastRowFirstColumn="0" w:lastRowLastColumn="0"/>
            </w:pPr>
            <w:r w:rsidRPr="009B3A80">
              <w:t>405,000</w:t>
            </w:r>
          </w:p>
        </w:tc>
      </w:tr>
      <w:tr w:rsidR="0080633D" w:rsidRPr="009B3A80" w14:paraId="79700747" w14:textId="77777777" w:rsidTr="0080633D">
        <w:trPr>
          <w:trHeight w:val="448"/>
        </w:trPr>
        <w:tc>
          <w:tcPr>
            <w:cnfStyle w:val="001000000000" w:firstRow="0" w:lastRow="0" w:firstColumn="1" w:lastColumn="0" w:oddVBand="0" w:evenVBand="0" w:oddHBand="0" w:evenHBand="0" w:firstRowFirstColumn="0" w:firstRowLastColumn="0" w:lastRowFirstColumn="0" w:lastRowLastColumn="0"/>
            <w:tcW w:w="1418" w:type="dxa"/>
          </w:tcPr>
          <w:p w14:paraId="664FFD6F" w14:textId="77777777" w:rsidR="0080633D" w:rsidRPr="009B3A80" w:rsidRDefault="0080633D" w:rsidP="00BD7537">
            <w:pPr>
              <w:spacing w:before="40" w:after="40"/>
            </w:pPr>
            <w:r>
              <w:t>7</w:t>
            </w:r>
          </w:p>
        </w:tc>
        <w:tc>
          <w:tcPr>
            <w:tcW w:w="6520" w:type="dxa"/>
          </w:tcPr>
          <w:p w14:paraId="25BA7294" w14:textId="77777777" w:rsidR="0080633D" w:rsidRPr="000F5BA2"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t>Cricket: Australia v South Africa –</w:t>
            </w:r>
            <w:r w:rsidRPr="000F5BA2">
              <w:t xml:space="preserve"> Day 2</w:t>
            </w:r>
            <w:r>
              <w:t xml:space="preserve"> –</w:t>
            </w:r>
            <w:r w:rsidRPr="00B73E02">
              <w:t xml:space="preserve"> Session </w:t>
            </w:r>
            <w:r>
              <w:t>2</w:t>
            </w:r>
          </w:p>
        </w:tc>
        <w:tc>
          <w:tcPr>
            <w:tcW w:w="2078" w:type="dxa"/>
          </w:tcPr>
          <w:p w14:paraId="7CCA56C7" w14:textId="77777777" w:rsidR="0080633D" w:rsidRPr="009B3A80"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rsidRPr="009B3A80">
              <w:t>398,000</w:t>
            </w:r>
          </w:p>
        </w:tc>
      </w:tr>
      <w:tr w:rsidR="0080633D" w:rsidRPr="009B3A80" w14:paraId="51D3CEE3" w14:textId="77777777" w:rsidTr="0080633D">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18" w:type="dxa"/>
          </w:tcPr>
          <w:p w14:paraId="59D419B7" w14:textId="77777777" w:rsidR="0080633D" w:rsidRPr="009B3A80" w:rsidRDefault="0080633D" w:rsidP="00BD7537">
            <w:pPr>
              <w:spacing w:before="40" w:after="40"/>
            </w:pPr>
            <w:r>
              <w:t>8</w:t>
            </w:r>
          </w:p>
        </w:tc>
        <w:tc>
          <w:tcPr>
            <w:tcW w:w="6520" w:type="dxa"/>
          </w:tcPr>
          <w:p w14:paraId="38EB631D" w14:textId="77777777" w:rsidR="0080633D" w:rsidRPr="000F5BA2" w:rsidRDefault="0080633D" w:rsidP="00BD7537">
            <w:pPr>
              <w:spacing w:before="40" w:after="40"/>
              <w:cnfStyle w:val="000000010000" w:firstRow="0" w:lastRow="0" w:firstColumn="0" w:lastColumn="0" w:oddVBand="0" w:evenVBand="0" w:oddHBand="0" w:evenHBand="1" w:firstRowFirstColumn="0" w:firstRowLastColumn="0" w:lastRowFirstColumn="0" w:lastRowLastColumn="0"/>
            </w:pPr>
            <w:r>
              <w:t>NRL</w:t>
            </w:r>
            <w:r w:rsidRPr="000F5BA2">
              <w:t>: Preliminary Final</w:t>
            </w:r>
            <w:r>
              <w:t xml:space="preserve"> –</w:t>
            </w:r>
            <w:r w:rsidRPr="000F5BA2">
              <w:t xml:space="preserve"> Panthers </w:t>
            </w:r>
            <w:r>
              <w:t>v</w:t>
            </w:r>
            <w:r w:rsidRPr="000F5BA2">
              <w:t xml:space="preserve"> Rabbitohs</w:t>
            </w:r>
          </w:p>
        </w:tc>
        <w:tc>
          <w:tcPr>
            <w:tcW w:w="2078" w:type="dxa"/>
          </w:tcPr>
          <w:p w14:paraId="39461D03" w14:textId="77777777" w:rsidR="0080633D" w:rsidRPr="009B3A80" w:rsidRDefault="0080633D" w:rsidP="00BD7537">
            <w:pPr>
              <w:spacing w:before="40" w:after="40"/>
              <w:cnfStyle w:val="000000010000" w:firstRow="0" w:lastRow="0" w:firstColumn="0" w:lastColumn="0" w:oddVBand="0" w:evenVBand="0" w:oddHBand="0" w:evenHBand="1" w:firstRowFirstColumn="0" w:firstRowLastColumn="0" w:lastRowFirstColumn="0" w:lastRowLastColumn="0"/>
            </w:pPr>
            <w:r w:rsidRPr="009B3A80">
              <w:t>398,000</w:t>
            </w:r>
          </w:p>
        </w:tc>
      </w:tr>
      <w:tr w:rsidR="0080633D" w:rsidRPr="009B3A80" w14:paraId="3F09A351" w14:textId="77777777" w:rsidTr="0080633D">
        <w:trPr>
          <w:trHeight w:val="448"/>
        </w:trPr>
        <w:tc>
          <w:tcPr>
            <w:cnfStyle w:val="001000000000" w:firstRow="0" w:lastRow="0" w:firstColumn="1" w:lastColumn="0" w:oddVBand="0" w:evenVBand="0" w:oddHBand="0" w:evenHBand="0" w:firstRowFirstColumn="0" w:firstRowLastColumn="0" w:lastRowFirstColumn="0" w:lastRowLastColumn="0"/>
            <w:tcW w:w="1418" w:type="dxa"/>
          </w:tcPr>
          <w:p w14:paraId="45B4A94A" w14:textId="77777777" w:rsidR="0080633D" w:rsidRPr="009B3A80" w:rsidRDefault="0080633D" w:rsidP="00BD7537">
            <w:pPr>
              <w:spacing w:before="40" w:after="40"/>
            </w:pPr>
            <w:r>
              <w:t>9</w:t>
            </w:r>
          </w:p>
        </w:tc>
        <w:tc>
          <w:tcPr>
            <w:tcW w:w="6520" w:type="dxa"/>
          </w:tcPr>
          <w:p w14:paraId="3ECF5905" w14:textId="09B9F532" w:rsidR="0080633D" w:rsidRPr="000F5BA2"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t>Cricket: International Cricket Council Twenty20</w:t>
            </w:r>
            <w:r w:rsidR="00647B32">
              <w:t xml:space="preserve"> </w:t>
            </w:r>
            <w:r>
              <w:t>(</w:t>
            </w:r>
            <w:r w:rsidRPr="000F5BA2">
              <w:t>T20</w:t>
            </w:r>
            <w:r>
              <w:t>) World Cup</w:t>
            </w:r>
            <w:r w:rsidRPr="000F5BA2">
              <w:t>: Final Pak</w:t>
            </w:r>
            <w:r>
              <w:t>istan</w:t>
            </w:r>
            <w:r w:rsidRPr="000F5BA2">
              <w:t xml:space="preserve"> </w:t>
            </w:r>
            <w:r>
              <w:t>v</w:t>
            </w:r>
            <w:r w:rsidRPr="000F5BA2">
              <w:t xml:space="preserve"> Eng</w:t>
            </w:r>
            <w:r>
              <w:t>land</w:t>
            </w:r>
          </w:p>
        </w:tc>
        <w:tc>
          <w:tcPr>
            <w:tcW w:w="2078" w:type="dxa"/>
          </w:tcPr>
          <w:p w14:paraId="3396E631" w14:textId="77777777" w:rsidR="0080633D" w:rsidRPr="009B3A80" w:rsidRDefault="0080633D" w:rsidP="00BD7537">
            <w:pPr>
              <w:spacing w:before="40" w:after="40"/>
              <w:cnfStyle w:val="000000000000" w:firstRow="0" w:lastRow="0" w:firstColumn="0" w:lastColumn="0" w:oddVBand="0" w:evenVBand="0" w:oddHBand="0" w:evenHBand="0" w:firstRowFirstColumn="0" w:firstRowLastColumn="0" w:lastRowFirstColumn="0" w:lastRowLastColumn="0"/>
            </w:pPr>
            <w:r w:rsidRPr="009B3A80">
              <w:t>390,000</w:t>
            </w:r>
          </w:p>
        </w:tc>
      </w:tr>
      <w:tr w:rsidR="0080633D" w:rsidRPr="009B3A80" w14:paraId="60699DFA" w14:textId="77777777" w:rsidTr="0080633D">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18" w:type="dxa"/>
          </w:tcPr>
          <w:p w14:paraId="6FCB3922" w14:textId="77777777" w:rsidR="0080633D" w:rsidRPr="009B3A80" w:rsidRDefault="0080633D" w:rsidP="00BD7537">
            <w:pPr>
              <w:spacing w:before="40" w:after="40"/>
            </w:pPr>
            <w:r>
              <w:t>10</w:t>
            </w:r>
          </w:p>
        </w:tc>
        <w:tc>
          <w:tcPr>
            <w:tcW w:w="6520" w:type="dxa"/>
          </w:tcPr>
          <w:p w14:paraId="625BBDF8" w14:textId="77777777" w:rsidR="0080633D" w:rsidRPr="009B3A80" w:rsidRDefault="0080633D" w:rsidP="00BD7537">
            <w:pPr>
              <w:spacing w:before="40" w:after="40"/>
              <w:cnfStyle w:val="000000010000" w:firstRow="0" w:lastRow="0" w:firstColumn="0" w:lastColumn="0" w:oddVBand="0" w:evenVBand="0" w:oddHBand="0" w:evenHBand="1" w:firstRowFirstColumn="0" w:firstRowLastColumn="0" w:lastRowFirstColumn="0" w:lastRowLastColumn="0"/>
            </w:pPr>
            <w:r w:rsidRPr="000F5BA2">
              <w:t>AFL: Preliminary Final</w:t>
            </w:r>
            <w:r>
              <w:t xml:space="preserve"> –</w:t>
            </w:r>
            <w:r w:rsidRPr="000F5BA2">
              <w:t xml:space="preserve"> </w:t>
            </w:r>
            <w:r w:rsidRPr="00B73E02">
              <w:t>Geelong v Brisbane</w:t>
            </w:r>
          </w:p>
        </w:tc>
        <w:tc>
          <w:tcPr>
            <w:tcW w:w="2078" w:type="dxa"/>
          </w:tcPr>
          <w:p w14:paraId="7493AD3B" w14:textId="77777777" w:rsidR="0080633D" w:rsidRPr="009B3A80" w:rsidRDefault="0080633D" w:rsidP="00BD7537">
            <w:pPr>
              <w:spacing w:before="40" w:after="40"/>
              <w:cnfStyle w:val="000000010000" w:firstRow="0" w:lastRow="0" w:firstColumn="0" w:lastColumn="0" w:oddVBand="0" w:evenVBand="0" w:oddHBand="0" w:evenHBand="1" w:firstRowFirstColumn="0" w:firstRowLastColumn="0" w:lastRowFirstColumn="0" w:lastRowLastColumn="0"/>
            </w:pPr>
            <w:r w:rsidRPr="009B3A80">
              <w:t>388,000</w:t>
            </w:r>
          </w:p>
        </w:tc>
      </w:tr>
    </w:tbl>
    <w:p w14:paraId="7362AAB5" w14:textId="701E5D27" w:rsidR="00647B32" w:rsidRPr="00647B32" w:rsidRDefault="00647B32" w:rsidP="00647B32">
      <w:pPr>
        <w:pStyle w:val="Sourcenotes"/>
      </w:pPr>
      <w:r w:rsidRPr="00647B32">
        <w:rPr>
          <w:rFonts w:cs="Times New Roman"/>
          <w:szCs w:val="24"/>
          <w:lang w:val="en-AU"/>
        </w:rPr>
        <w:t>Source: OzTAM National STV | Consolidated 7 | Total Audience | 202</w:t>
      </w:r>
      <w:r>
        <w:rPr>
          <w:rFonts w:cs="Times New Roman"/>
          <w:szCs w:val="24"/>
          <w:lang w:val="en-AU"/>
        </w:rPr>
        <w:t>2</w:t>
      </w:r>
      <w:r w:rsidRPr="00647B32">
        <w:rPr>
          <w:rFonts w:cs="Times New Roman"/>
          <w:szCs w:val="24"/>
          <w:lang w:val="en-AU"/>
        </w:rPr>
        <w:t>. Data copyright © OzTAM 202</w:t>
      </w:r>
      <w:r>
        <w:rPr>
          <w:rFonts w:cs="Times New Roman"/>
          <w:szCs w:val="24"/>
          <w:lang w:val="en-AU"/>
        </w:rPr>
        <w:t>3</w:t>
      </w:r>
      <w:r w:rsidRPr="00647B32">
        <w:rPr>
          <w:rFonts w:cs="Times New Roman"/>
          <w:szCs w:val="24"/>
          <w:lang w:val="en-AU"/>
        </w:rPr>
        <w:t xml:space="preserve"> </w:t>
      </w:r>
    </w:p>
    <w:p w14:paraId="465E54D2" w14:textId="6B23ACC6" w:rsidR="0080633D" w:rsidRPr="00490365" w:rsidRDefault="0080633D" w:rsidP="002C2EF3">
      <w:pPr>
        <w:pStyle w:val="Heading2"/>
      </w:pPr>
      <w:bookmarkStart w:id="39" w:name="_Toc150883255"/>
      <w:bookmarkStart w:id="40" w:name="_Toc151053037"/>
      <w:r w:rsidRPr="00490365">
        <w:t xml:space="preserve">Media rights </w:t>
      </w:r>
      <w:r w:rsidR="000530AC">
        <w:t>are</w:t>
      </w:r>
      <w:r w:rsidRPr="00490365">
        <w:t xml:space="preserve"> a </w:t>
      </w:r>
      <w:r w:rsidR="002C2EF3">
        <w:t>key</w:t>
      </w:r>
      <w:r w:rsidRPr="00490365">
        <w:t xml:space="preserve"> source of revenue for sporting bodies</w:t>
      </w:r>
      <w:bookmarkEnd w:id="39"/>
      <w:bookmarkEnd w:id="40"/>
    </w:p>
    <w:p w14:paraId="2BE8D814" w14:textId="57E88D23" w:rsidR="0080633D" w:rsidRDefault="0080633D" w:rsidP="0080633D">
      <w:pPr>
        <w:rPr>
          <w:rFonts w:cs="Times New Roman"/>
          <w:szCs w:val="24"/>
        </w:rPr>
      </w:pPr>
      <w:r w:rsidRPr="00E1618B">
        <w:rPr>
          <w:rFonts w:cs="Times New Roman"/>
          <w:szCs w:val="24"/>
        </w:rPr>
        <w:t>Media rights are also critical to the sporting bodies and codes themselves</w:t>
      </w:r>
      <w:r>
        <w:rPr>
          <w:rFonts w:cs="Times New Roman"/>
          <w:szCs w:val="24"/>
        </w:rPr>
        <w:t>. For example, i</w:t>
      </w:r>
      <w:r w:rsidRPr="000E1293">
        <w:rPr>
          <w:rFonts w:cs="Times New Roman"/>
          <w:szCs w:val="24"/>
        </w:rPr>
        <w:t>n 20</w:t>
      </w:r>
      <w:r>
        <w:rPr>
          <w:rFonts w:cs="Times New Roman"/>
          <w:szCs w:val="24"/>
        </w:rPr>
        <w:t xml:space="preserve">21 </w:t>
      </w:r>
      <w:r w:rsidRPr="000E1293">
        <w:rPr>
          <w:rFonts w:cs="Times New Roman"/>
          <w:szCs w:val="24"/>
        </w:rPr>
        <w:t>over half of the AFL’s total revenue of $</w:t>
      </w:r>
      <w:r>
        <w:rPr>
          <w:rFonts w:cs="Times New Roman"/>
          <w:szCs w:val="24"/>
        </w:rPr>
        <w:t>738</w:t>
      </w:r>
      <w:r w:rsidRPr="0035568A">
        <w:rPr>
          <w:rFonts w:cs="Times New Roman"/>
          <w:szCs w:val="24"/>
        </w:rPr>
        <w:t>.</w:t>
      </w:r>
      <w:r>
        <w:rPr>
          <w:rFonts w:cs="Times New Roman"/>
          <w:szCs w:val="24"/>
        </w:rPr>
        <w:t>1</w:t>
      </w:r>
      <w:r w:rsidRPr="000E1293">
        <w:rPr>
          <w:rFonts w:cs="Times New Roman"/>
          <w:szCs w:val="24"/>
        </w:rPr>
        <w:t xml:space="preserve"> million was sourced from </w:t>
      </w:r>
      <w:r>
        <w:rPr>
          <w:rFonts w:cs="Times New Roman"/>
          <w:szCs w:val="24"/>
        </w:rPr>
        <w:t>broadcasting and media agreements.</w:t>
      </w:r>
      <w:r>
        <w:rPr>
          <w:rStyle w:val="FootnoteReference"/>
          <w:rFonts w:cs="Times New Roman"/>
          <w:szCs w:val="24"/>
        </w:rPr>
        <w:footnoteReference w:id="11"/>
      </w:r>
      <w:r>
        <w:rPr>
          <w:rFonts w:cs="Times New Roman"/>
          <w:szCs w:val="24"/>
        </w:rPr>
        <w:t xml:space="preserve"> In the same year, </w:t>
      </w:r>
      <w:r w:rsidR="00FF474E">
        <w:rPr>
          <w:rFonts w:cs="Times New Roman"/>
          <w:szCs w:val="24"/>
        </w:rPr>
        <w:t>the NRL returned r</w:t>
      </w:r>
      <w:r w:rsidR="00FF474E" w:rsidRPr="00FF474E">
        <w:rPr>
          <w:rFonts w:cs="Times New Roman"/>
          <w:szCs w:val="24"/>
        </w:rPr>
        <w:t xml:space="preserve">evenues over $550 million and secured agreements </w:t>
      </w:r>
      <w:r w:rsidR="00FF474E">
        <w:rPr>
          <w:rFonts w:cs="Times New Roman"/>
          <w:szCs w:val="24"/>
        </w:rPr>
        <w:t>for</w:t>
      </w:r>
      <w:r w:rsidR="00FF474E" w:rsidRPr="00FF474E">
        <w:rPr>
          <w:rFonts w:cs="Times New Roman"/>
          <w:szCs w:val="24"/>
        </w:rPr>
        <w:t xml:space="preserve"> broadcast investment increase to over $400 million a year from 2023</w:t>
      </w:r>
      <w:r>
        <w:rPr>
          <w:rFonts w:cs="Times New Roman"/>
          <w:szCs w:val="24"/>
        </w:rPr>
        <w:t>.</w:t>
      </w:r>
      <w:r>
        <w:rPr>
          <w:rStyle w:val="FootnoteReference"/>
          <w:rFonts w:cs="Times New Roman"/>
          <w:szCs w:val="24"/>
        </w:rPr>
        <w:footnoteReference w:id="12"/>
      </w:r>
    </w:p>
    <w:p w14:paraId="1EB63E4D" w14:textId="3FA2A666" w:rsidR="0080633D" w:rsidRDefault="0080633D" w:rsidP="0080633D">
      <w:r>
        <w:t>In recent years</w:t>
      </w:r>
      <w:r w:rsidRPr="00C25418">
        <w:t xml:space="preserve">, the willingness of broadcasters to invest significant sums to secure </w:t>
      </w:r>
      <w:r>
        <w:t>television</w:t>
      </w:r>
      <w:r w:rsidRPr="00C25418">
        <w:t xml:space="preserve"> rights has been increasing.</w:t>
      </w:r>
      <w:r>
        <w:t xml:space="preserve"> </w:t>
      </w:r>
      <w:bookmarkStart w:id="41" w:name="_Hlk150877980"/>
      <w:r w:rsidRPr="00C25418">
        <w:t>Although the full details of these rights deals are not always public, given the commercial nature of the information, the available data suggests that this value is continuing to grow</w:t>
      </w:r>
      <w:r w:rsidR="007E7D2D">
        <w:t xml:space="preserve"> (see Figure 1)</w:t>
      </w:r>
      <w:r w:rsidRPr="00C25418">
        <w:t xml:space="preserve">. </w:t>
      </w:r>
      <w:bookmarkEnd w:id="41"/>
    </w:p>
    <w:p w14:paraId="5080CAF1" w14:textId="1B7C49E3" w:rsidR="0080633D" w:rsidRDefault="0080633D" w:rsidP="0080633D">
      <w:pPr>
        <w:pStyle w:val="Caption"/>
      </w:pPr>
      <w:bookmarkStart w:id="42" w:name="_Toc150883298"/>
      <w:bookmarkStart w:id="43" w:name="_Toc151053018"/>
      <w:r>
        <w:t xml:space="preserve">Figure </w:t>
      </w:r>
      <w:r w:rsidR="00442D8D">
        <w:t>1</w:t>
      </w:r>
      <w:r>
        <w:t>: Value of select sports broadcasting rights in the Australian market</w:t>
      </w:r>
      <w:bookmarkEnd w:id="42"/>
      <w:bookmarkEnd w:id="43"/>
    </w:p>
    <w:p w14:paraId="77F65783" w14:textId="5F459F84" w:rsidR="0080633D" w:rsidRDefault="000A5FA8" w:rsidP="0080633D">
      <w:r>
        <w:rPr>
          <w:noProof/>
          <w:lang w:eastAsia="en-AU"/>
        </w:rPr>
        <w:drawing>
          <wp:inline distT="0" distB="0" distL="0" distR="0" wp14:anchorId="75DC7BC0" wp14:editId="0D056279">
            <wp:extent cx="5956300" cy="3291840"/>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6300" cy="3291840"/>
                    </a:xfrm>
                    <a:prstGeom prst="rect">
                      <a:avLst/>
                    </a:prstGeom>
                    <a:noFill/>
                  </pic:spPr>
                </pic:pic>
              </a:graphicData>
            </a:graphic>
          </wp:inline>
        </w:drawing>
      </w:r>
    </w:p>
    <w:p w14:paraId="4088463C" w14:textId="77777777" w:rsidR="0080633D" w:rsidRDefault="0080633D" w:rsidP="0080633D">
      <w:pPr>
        <w:pStyle w:val="Sourcenotes"/>
        <w:rPr>
          <w:lang w:val="en-US"/>
        </w:rPr>
      </w:pPr>
      <w:r>
        <w:t xml:space="preserve">Source: SportBusiness </w:t>
      </w:r>
      <w:r>
        <w:rPr>
          <w:lang w:val="en-US"/>
        </w:rPr>
        <w:t>Rights Tracker. Includes available values of sports rights contracts for live and delayed free-to-air broadcast, pay TV, online/streaming, mobile, exclusive and non-exclusive. Available values of sports rights contracts have been annualised and summed by event. Converted from USD to AUD using average annual exchange rate, and indexed to 2022 dollars with CPI.</w:t>
      </w:r>
    </w:p>
    <w:p w14:paraId="46FB3933" w14:textId="77777777" w:rsidR="0080633D" w:rsidRPr="002F3B87" w:rsidRDefault="0080633D" w:rsidP="0080633D">
      <w:pPr>
        <w:pStyle w:val="Sourcenotes"/>
        <w:rPr>
          <w:lang w:val="en-US"/>
        </w:rPr>
      </w:pPr>
      <w:r>
        <w:rPr>
          <w:lang w:val="en-US"/>
        </w:rPr>
        <w:t>Notes: the reduction in value for sports rights in 2020 and 2021 reflects adjustments to contracting and other arrangements stemming from COVID-19.</w:t>
      </w:r>
    </w:p>
    <w:p w14:paraId="16367406" w14:textId="26B86A9B" w:rsidR="00D2261A" w:rsidRDefault="00D2261A" w:rsidP="00D2261A">
      <w:pPr>
        <w:pStyle w:val="Heading2"/>
      </w:pPr>
      <w:bookmarkStart w:id="44" w:name="_Toc150883256"/>
      <w:bookmarkStart w:id="45" w:name="_Toc151053038"/>
      <w:r>
        <w:t>Review of the scheme and list</w:t>
      </w:r>
      <w:bookmarkEnd w:id="44"/>
      <w:bookmarkEnd w:id="45"/>
      <w:r>
        <w:t xml:space="preserve"> </w:t>
      </w:r>
    </w:p>
    <w:p w14:paraId="2A6CFA17" w14:textId="37CF93B6" w:rsidR="00D2261A" w:rsidRDefault="009C42FB" w:rsidP="006F593C">
      <w:pPr>
        <w:suppressAutoHyphens w:val="0"/>
      </w:pPr>
      <w:r>
        <w:t>I</w:t>
      </w:r>
      <w:r w:rsidRPr="00C10DE5">
        <w:t>n the context of the 2022 Federal Election</w:t>
      </w:r>
      <w:r>
        <w:t>,</w:t>
      </w:r>
      <w:r w:rsidRPr="00C10DE5">
        <w:t xml:space="preserve"> </w:t>
      </w:r>
      <w:r>
        <w:t>t</w:t>
      </w:r>
      <w:r w:rsidR="00D2261A" w:rsidRPr="00C10DE5">
        <w:t xml:space="preserve">he Albanese Government committed to undertake a review of the anti-siphoning scheme </w:t>
      </w:r>
      <w:r w:rsidR="00B90348" w:rsidRPr="00C10DE5">
        <w:t>and give working families the chance to watch, for free, events of national and cultural significance</w:t>
      </w:r>
      <w:r w:rsidR="00D2261A" w:rsidRPr="00C10DE5">
        <w:t>.</w:t>
      </w:r>
      <w:bookmarkStart w:id="46" w:name="_Hlk142045510"/>
      <w:r w:rsidR="006F593C">
        <w:t xml:space="preserve"> </w:t>
      </w:r>
      <w:r w:rsidR="00D2261A">
        <w:t xml:space="preserve">This review was initiated in October 2022 with the release of the </w:t>
      </w:r>
      <w:r w:rsidR="00D2261A">
        <w:rPr>
          <w:i/>
        </w:rPr>
        <w:t>Review of the anti</w:t>
      </w:r>
      <w:r w:rsidR="008A11CA">
        <w:rPr>
          <w:i/>
        </w:rPr>
        <w:noBreakHyphen/>
      </w:r>
      <w:r w:rsidR="00D2261A">
        <w:rPr>
          <w:i/>
        </w:rPr>
        <w:t>siphoning scheme: consultation paper</w:t>
      </w:r>
      <w:r w:rsidR="00D2261A" w:rsidRPr="00C263D6">
        <w:t>.</w:t>
      </w:r>
      <w:r w:rsidR="00D2261A" w:rsidRPr="00C263D6">
        <w:rPr>
          <w:rStyle w:val="FootnoteReference"/>
        </w:rPr>
        <w:footnoteReference w:id="13"/>
      </w:r>
      <w:r w:rsidR="00D2261A">
        <w:t xml:space="preserve"> That consultation paper sought comment from interested parties on a wide range of issues associated with the scheme and the regulation of television coverage of key sporting events.</w:t>
      </w:r>
    </w:p>
    <w:p w14:paraId="6142E7C0" w14:textId="41EBB61D" w:rsidR="00D2261A" w:rsidRDefault="00D2261A" w:rsidP="00D2261A">
      <w:r>
        <w:t xml:space="preserve">Respondents generally recognised the continued importance of </w:t>
      </w:r>
      <w:r w:rsidR="00DB11FA">
        <w:t xml:space="preserve">promoting </w:t>
      </w:r>
      <w:r>
        <w:t xml:space="preserve">free access to televised coverage of nationally important and culturally significant sporting events. They also provided comment on the growing coverage of sporting events online and the acquisition of media rights by streaming services and digital platforms. </w:t>
      </w:r>
      <w:bookmarkEnd w:id="46"/>
      <w:r>
        <w:t xml:space="preserve">Respondents to this initial consultation process requested that they be afforded the opportunity to provide comment on any specific proposals to the scheme and list before they are introduced into the Parliament. </w:t>
      </w:r>
    </w:p>
    <w:p w14:paraId="0A0455F2" w14:textId="7AE43D76" w:rsidR="007E16AA" w:rsidRDefault="00D2261A" w:rsidP="00D2261A">
      <w:r>
        <w:t xml:space="preserve">The second phase of the review was undertaken in August 2023 with the release of the </w:t>
      </w:r>
      <w:r w:rsidRPr="007E16AA">
        <w:rPr>
          <w:i/>
        </w:rPr>
        <w:t>Anti-siphoning review</w:t>
      </w:r>
      <w:r w:rsidR="007E16AA" w:rsidRPr="007E16AA">
        <w:rPr>
          <w:i/>
        </w:rPr>
        <w:t xml:space="preserve">: </w:t>
      </w:r>
      <w:r w:rsidRPr="007E16AA">
        <w:rPr>
          <w:i/>
        </w:rPr>
        <w:t xml:space="preserve"> proposals paper</w:t>
      </w:r>
      <w:r>
        <w:t>.</w:t>
      </w:r>
      <w:r w:rsidR="007E16AA">
        <w:rPr>
          <w:rStyle w:val="FootnoteReference"/>
        </w:rPr>
        <w:footnoteReference w:id="14"/>
      </w:r>
      <w:r>
        <w:t xml:space="preserve"> This paper identifie</w:t>
      </w:r>
      <w:r w:rsidR="0057465D">
        <w:t>d</w:t>
      </w:r>
      <w:r>
        <w:t xml:space="preserve"> the Government’s preferred reform model and preferred list option, along with a range of alternative models and options. The </w:t>
      </w:r>
      <w:r w:rsidR="007E16AA">
        <w:t xml:space="preserve">potential </w:t>
      </w:r>
      <w:r>
        <w:t xml:space="preserve">impacts of these models and options are </w:t>
      </w:r>
      <w:r w:rsidR="007E16AA">
        <w:t>considered</w:t>
      </w:r>
      <w:r>
        <w:t xml:space="preserve"> in this IA, informed by the </w:t>
      </w:r>
      <w:r w:rsidR="007E16AA">
        <w:t xml:space="preserve">successive consultation processes undertaken in 2022 and 2023. </w:t>
      </w:r>
    </w:p>
    <w:p w14:paraId="3957DE8C" w14:textId="0D628C86" w:rsidR="00186821" w:rsidRDefault="00186821" w:rsidP="00D2261A">
      <w:r>
        <w:t xml:space="preserve">The review is discussed in more detail in chapter 5. </w:t>
      </w:r>
    </w:p>
    <w:p w14:paraId="02CAF43C" w14:textId="4C0314F0" w:rsidR="000530AC" w:rsidRPr="009B3A80" w:rsidRDefault="000530AC" w:rsidP="00BE6FD4">
      <w:pPr>
        <w:pStyle w:val="Heading1Numbered"/>
        <w:spacing w:before="360"/>
      </w:pPr>
      <w:bookmarkStart w:id="47" w:name="_Toc150883257"/>
      <w:bookmarkStart w:id="48" w:name="_Toc151053039"/>
      <w:r w:rsidRPr="009B3A80">
        <w:t xml:space="preserve">What is the </w:t>
      </w:r>
      <w:r>
        <w:t>p</w:t>
      </w:r>
      <w:r w:rsidRPr="009B3A80">
        <w:t>roblem?</w:t>
      </w:r>
      <w:bookmarkEnd w:id="47"/>
      <w:bookmarkEnd w:id="48"/>
    </w:p>
    <w:p w14:paraId="5B6F7DAE" w14:textId="1E8428C3" w:rsidR="006C1DDC" w:rsidRDefault="006C1DDC" w:rsidP="006C1DDC">
      <w:pPr>
        <w:pStyle w:val="Heading2"/>
        <w:spacing w:before="240"/>
      </w:pPr>
      <w:bookmarkStart w:id="49" w:name="_Toc150883258"/>
      <w:bookmarkStart w:id="50" w:name="_Toc151053040"/>
      <w:r>
        <w:t>The changing media environment</w:t>
      </w:r>
      <w:bookmarkEnd w:id="49"/>
      <w:bookmarkEnd w:id="50"/>
      <w:r>
        <w:t xml:space="preserve"> </w:t>
      </w:r>
    </w:p>
    <w:p w14:paraId="50E1A914" w14:textId="39307288" w:rsidR="00AE68AF" w:rsidRDefault="00C26FD3" w:rsidP="002670AA">
      <w:r>
        <w:t>T</w:t>
      </w:r>
      <w:r w:rsidR="002670AA">
        <w:t>he</w:t>
      </w:r>
      <w:r w:rsidR="00AE68AF">
        <w:t xml:space="preserve"> ways in which Australians now consume media content, including sport content, has changed dramatically</w:t>
      </w:r>
      <w:r>
        <w:t xml:space="preserve"> since </w:t>
      </w:r>
      <w:r w:rsidR="007A26CC">
        <w:t xml:space="preserve">the anti-siphoning scheme was introduced </w:t>
      </w:r>
      <w:r>
        <w:t>1992.</w:t>
      </w:r>
      <w:r w:rsidR="00AE68AF">
        <w:t xml:space="preserve"> It is no longer a choice between free</w:t>
      </w:r>
      <w:r w:rsidR="00EB7245">
        <w:noBreakHyphen/>
      </w:r>
      <w:r w:rsidR="00AE68AF">
        <w:t>to</w:t>
      </w:r>
      <w:r w:rsidR="00EB7245">
        <w:noBreakHyphen/>
      </w:r>
      <w:r w:rsidR="00AE68AF">
        <w:t>air and subscription television services, and audiences are migrating from traditional broadcasts to online services.</w:t>
      </w:r>
      <w:r w:rsidR="00AE68AF">
        <w:rPr>
          <w:rStyle w:val="FootnoteReference"/>
        </w:rPr>
        <w:footnoteReference w:id="15"/>
      </w:r>
    </w:p>
    <w:p w14:paraId="7C204452" w14:textId="27E1880F" w:rsidR="00AE68AF" w:rsidRDefault="00AE68AF" w:rsidP="002670AA">
      <w:r>
        <w:t xml:space="preserve">This is the case for a range of content consumption, </w:t>
      </w:r>
      <w:r w:rsidR="00271730">
        <w:t xml:space="preserve">including live sports. </w:t>
      </w:r>
      <w:r>
        <w:t>While free-to-air and subscription broadcasting remain key avenues by which Australians access coverage of sporting events, there has been a significant expansion in the range of television and television-like services capable of providing this coverage.</w:t>
      </w:r>
    </w:p>
    <w:p w14:paraId="7CE9F8BE" w14:textId="7BBD7B47" w:rsidR="00AE68AF" w:rsidRDefault="00AE68AF" w:rsidP="002670AA">
      <w:pPr>
        <w:pStyle w:val="Box2Text"/>
      </w:pPr>
      <w:r>
        <w:rPr>
          <w:b/>
          <w:lang w:val="en-AU"/>
        </w:rPr>
        <w:t xml:space="preserve">Subscription streaming </w:t>
      </w:r>
      <w:r>
        <w:rPr>
          <w:b/>
        </w:rPr>
        <w:t>services</w:t>
      </w:r>
      <w:r>
        <w:rPr>
          <w:lang w:val="en-AU"/>
        </w:rPr>
        <w:t>,</w:t>
      </w:r>
      <w:r>
        <w:rPr>
          <w:b/>
          <w:lang w:val="en-AU"/>
        </w:rPr>
        <w:t xml:space="preserve"> </w:t>
      </w:r>
      <w:r>
        <w:t>such as Paramount+ and Amazon Prime Video</w:t>
      </w:r>
      <w:r>
        <w:rPr>
          <w:lang w:val="en-AU"/>
        </w:rPr>
        <w:t>,</w:t>
      </w:r>
      <w:r>
        <w:t xml:space="preserve"> a</w:t>
      </w:r>
      <w:r>
        <w:rPr>
          <w:lang w:val="en-AU"/>
        </w:rPr>
        <w:t>long with dedicated</w:t>
      </w:r>
      <w:r>
        <w:t xml:space="preserve"> sports services, like Kayo Sports. </w:t>
      </w:r>
      <w:r>
        <w:rPr>
          <w:lang w:val="en-AU"/>
        </w:rPr>
        <w:t xml:space="preserve">The latter in particular provide extensive coverage of live sports content. </w:t>
      </w:r>
      <w:r>
        <w:t>Some sports bodies also provide direct streaming options</w:t>
      </w:r>
      <w:r>
        <w:rPr>
          <w:lang w:val="en-AU"/>
        </w:rPr>
        <w:t>.</w:t>
      </w:r>
    </w:p>
    <w:p w14:paraId="36F89413" w14:textId="624A550F" w:rsidR="00AE68AF" w:rsidRDefault="00AE68AF" w:rsidP="002670AA">
      <w:pPr>
        <w:pStyle w:val="Box2Text"/>
        <w:rPr>
          <w:b/>
        </w:rPr>
      </w:pPr>
      <w:r>
        <w:rPr>
          <w:b/>
        </w:rPr>
        <w:t>Broadcast video on demand (BVOD)</w:t>
      </w:r>
      <w:r>
        <w:rPr>
          <w:b/>
          <w:lang w:val="en-AU"/>
        </w:rPr>
        <w:t xml:space="preserve"> services</w:t>
      </w:r>
      <w:r>
        <w:rPr>
          <w:lang w:val="en-AU"/>
        </w:rPr>
        <w:t xml:space="preserve">, such as 9Now and 7plus, provide access to coverage of sporting content, often in conjunction with </w:t>
      </w:r>
      <w:r>
        <w:t>linear broadcast</w:t>
      </w:r>
      <w:r>
        <w:rPr>
          <w:lang w:val="en-AU"/>
        </w:rPr>
        <w:t xml:space="preserve">s. </w:t>
      </w:r>
      <w:r>
        <w:t xml:space="preserve">While </w:t>
      </w:r>
      <w:r>
        <w:rPr>
          <w:lang w:val="en-AU"/>
        </w:rPr>
        <w:t xml:space="preserve">users </w:t>
      </w:r>
      <w:r>
        <w:t>typically hav</w:t>
      </w:r>
      <w:r>
        <w:rPr>
          <w:lang w:val="en-AU"/>
        </w:rPr>
        <w:t>e</w:t>
      </w:r>
      <w:r>
        <w:t xml:space="preserve"> to sign up to an account for these services, the service itself operates on a free-to-access</w:t>
      </w:r>
      <w:r>
        <w:rPr>
          <w:lang w:val="en-AU"/>
        </w:rPr>
        <w:t>,</w:t>
      </w:r>
      <w:r>
        <w:t xml:space="preserve"> ad-supported </w:t>
      </w:r>
      <w:r>
        <w:rPr>
          <w:lang w:val="en-AU"/>
        </w:rPr>
        <w:t>basis.</w:t>
      </w:r>
    </w:p>
    <w:p w14:paraId="79556AE6" w14:textId="77777777" w:rsidR="00AE68AF" w:rsidRDefault="00AE68AF" w:rsidP="002670AA">
      <w:pPr>
        <w:pStyle w:val="Box2Text"/>
      </w:pPr>
      <w:r>
        <w:rPr>
          <w:b/>
        </w:rPr>
        <w:t xml:space="preserve">Mobile services </w:t>
      </w:r>
      <w:r>
        <w:t xml:space="preserve">that are accessed through apps on portable devices, such as phones and tablets, can include subscription streaming services </w:t>
      </w:r>
      <w:r>
        <w:rPr>
          <w:lang w:val="en-AU"/>
        </w:rPr>
        <w:t xml:space="preserve">as well as </w:t>
      </w:r>
      <w:r>
        <w:t>free-to-air BVOD services</w:t>
      </w:r>
      <w:r>
        <w:rPr>
          <w:lang w:val="en-AU"/>
        </w:rPr>
        <w:t xml:space="preserve">. They may also </w:t>
      </w:r>
      <w:r>
        <w:t xml:space="preserve">have links to the provision of internet or phone services, such as </w:t>
      </w:r>
      <w:r>
        <w:rPr>
          <w:lang w:val="en-AU"/>
        </w:rPr>
        <w:t xml:space="preserve">with </w:t>
      </w:r>
      <w:r>
        <w:t>Optus Sport.</w:t>
      </w:r>
    </w:p>
    <w:p w14:paraId="5CF2FD21" w14:textId="77777777" w:rsidR="00AE68AF" w:rsidRDefault="00AE68AF" w:rsidP="002670AA">
      <w:pPr>
        <w:pStyle w:val="Box2Text"/>
      </w:pPr>
      <w:r>
        <w:rPr>
          <w:b/>
        </w:rPr>
        <w:t>Gambling apps and platforms</w:t>
      </w:r>
      <w:r>
        <w:t xml:space="preserve">, such as </w:t>
      </w:r>
      <w:r>
        <w:rPr>
          <w:lang w:val="en-AU"/>
        </w:rPr>
        <w:t xml:space="preserve">Tabcorp and </w:t>
      </w:r>
      <w:r>
        <w:t>Bet365, provide limited access to live streaming of sports for their users. Although these activities can be limited as a result of the digital rights held by other media entities, it has a growing market and audience.</w:t>
      </w:r>
    </w:p>
    <w:p w14:paraId="70E5B353" w14:textId="5FE52AC2" w:rsidR="00AE68AF" w:rsidRDefault="00AE68AF" w:rsidP="002670AA">
      <w:pPr>
        <w:pStyle w:val="Box2Text"/>
      </w:pPr>
      <w:r>
        <w:rPr>
          <w:b/>
        </w:rPr>
        <w:t>Digital platforms</w:t>
      </w:r>
      <w:r>
        <w:t>, such as YouTube, make large amounts of content available daily</w:t>
      </w:r>
      <w:r>
        <w:rPr>
          <w:lang w:val="en-AU"/>
        </w:rPr>
        <w:t>, including channels that offer highlights and replay content for the AFL, NRL and the Olympics, among other sports. YouTube has also recently secured rights to stream some NFL (American football) matches.</w:t>
      </w:r>
      <w:r>
        <w:rPr>
          <w:rStyle w:val="FootnoteReference"/>
          <w:lang w:val="en-AU"/>
        </w:rPr>
        <w:footnoteReference w:id="16"/>
      </w:r>
    </w:p>
    <w:p w14:paraId="371D7D46" w14:textId="77777777" w:rsidR="00AE68AF" w:rsidRDefault="00AE68AF" w:rsidP="002670AA">
      <w:r>
        <w:t>Some of these services are supported by advertising and are ‘free’ in the sense of no explicit payment by viewers.</w:t>
      </w:r>
      <w:r>
        <w:rPr>
          <w:rStyle w:val="FootnoteReference"/>
        </w:rPr>
        <w:footnoteReference w:id="17"/>
      </w:r>
      <w:r>
        <w:t xml:space="preserve"> However, many are based on subscription models, including subscription models that offer some free programs, or ‘freebies’, and these services have been embraced by Australians.</w:t>
      </w:r>
    </w:p>
    <w:p w14:paraId="015BC5AB" w14:textId="77777777" w:rsidR="00AE68AF" w:rsidRDefault="00AE68AF" w:rsidP="00E33CCD">
      <w:pPr>
        <w:pStyle w:val="ListParagraph"/>
        <w:numPr>
          <w:ilvl w:val="0"/>
          <w:numId w:val="31"/>
        </w:numPr>
        <w:suppressAutoHyphens w:val="0"/>
        <w:contextualSpacing w:val="0"/>
      </w:pPr>
      <w:r>
        <w:t>In the first quarter of 2023, Kantar found that 6.12 million Australian homes, or 61.5 per cent of households, are subscribed to at least one streaming service.</w:t>
      </w:r>
      <w:r>
        <w:rPr>
          <w:rStyle w:val="FootnoteReference"/>
        </w:rPr>
        <w:footnoteReference w:id="18"/>
      </w:r>
    </w:p>
    <w:p w14:paraId="38BADF6D" w14:textId="07CBEB73" w:rsidR="00AE68AF" w:rsidRDefault="00AE68AF" w:rsidP="00E33CCD">
      <w:pPr>
        <w:pStyle w:val="ListParagraph"/>
        <w:numPr>
          <w:ilvl w:val="0"/>
          <w:numId w:val="31"/>
        </w:numPr>
        <w:suppressAutoHyphens w:val="0"/>
        <w:contextualSpacing w:val="0"/>
      </w:pPr>
      <w:r>
        <w:t xml:space="preserve">The number of Australian subscriptions to Subscription Video on Demand (SVOD) services increased from 12.3 </w:t>
      </w:r>
      <w:r w:rsidRPr="000A1F9A">
        <w:t xml:space="preserve">million to </w:t>
      </w:r>
      <w:r w:rsidR="00933345" w:rsidRPr="000A1F9A">
        <w:t>24</w:t>
      </w:r>
      <w:r w:rsidRPr="000A1F9A">
        <w:t>.</w:t>
      </w:r>
      <w:r w:rsidR="00933345" w:rsidRPr="000A1F9A">
        <w:t xml:space="preserve">6 </w:t>
      </w:r>
      <w:r w:rsidRPr="000A1F9A">
        <w:t>million between June 2019</w:t>
      </w:r>
      <w:r w:rsidRPr="000A1F9A">
        <w:rPr>
          <w:rStyle w:val="FootnoteReference"/>
        </w:rPr>
        <w:footnoteReference w:id="19"/>
      </w:r>
      <w:r w:rsidRPr="000A1F9A">
        <w:t xml:space="preserve"> and June</w:t>
      </w:r>
      <w:r w:rsidRPr="00D37200">
        <w:t xml:space="preserve"> </w:t>
      </w:r>
      <w:r w:rsidR="00933345" w:rsidRPr="00D37200">
        <w:t>2023</w:t>
      </w:r>
      <w:r>
        <w:t>.</w:t>
      </w:r>
      <w:r>
        <w:rPr>
          <w:rStyle w:val="FootnoteReference"/>
          <w:rFonts w:cs="Segoe UI"/>
          <w:szCs w:val="21"/>
        </w:rPr>
        <w:footnoteReference w:id="20"/>
      </w:r>
    </w:p>
    <w:p w14:paraId="741A3C2D" w14:textId="239335F6" w:rsidR="00AE68AF" w:rsidRDefault="00AE68AF" w:rsidP="00E33CCD">
      <w:pPr>
        <w:pStyle w:val="ListParagraph"/>
        <w:numPr>
          <w:ilvl w:val="0"/>
          <w:numId w:val="31"/>
        </w:numPr>
        <w:suppressAutoHyphens w:val="0"/>
        <w:contextualSpacing w:val="0"/>
      </w:pPr>
      <w:r>
        <w:t xml:space="preserve">ACMA reported that in </w:t>
      </w:r>
      <w:r w:rsidR="00D40685">
        <w:t>2022</w:t>
      </w:r>
      <w:r w:rsidR="00271730">
        <w:t>-</w:t>
      </w:r>
      <w:r w:rsidR="00D40685">
        <w:t>23</w:t>
      </w:r>
      <w:r>
        <w:t xml:space="preserve">, there were </w:t>
      </w:r>
      <w:r w:rsidR="00D40685">
        <w:t>6</w:t>
      </w:r>
      <w:r>
        <w:t>,</w:t>
      </w:r>
      <w:r w:rsidR="00D40685">
        <w:t>021</w:t>
      </w:r>
      <w:r>
        <w:t xml:space="preserve"> hours of Australian sports content available across five SVOD services operating in Australia</w:t>
      </w:r>
      <w:r w:rsidR="00D40685">
        <w:t xml:space="preserve"> – almost double the figure from 2021-22 and </w:t>
      </w:r>
      <w:r>
        <w:t xml:space="preserve">representing </w:t>
      </w:r>
      <w:r w:rsidR="00D40685">
        <w:t xml:space="preserve">more than </w:t>
      </w:r>
      <w:r>
        <w:t>half of all Australian content on these services.</w:t>
      </w:r>
      <w:r>
        <w:rPr>
          <w:vertAlign w:val="superscript"/>
        </w:rPr>
        <w:footnoteReference w:id="21"/>
      </w:r>
    </w:p>
    <w:p w14:paraId="2D837F03" w14:textId="77777777" w:rsidR="00AE68AF" w:rsidRDefault="00AE68AF" w:rsidP="002670AA">
      <w:r>
        <w:t>This trend is also reflected in sports-specific streaming services:</w:t>
      </w:r>
    </w:p>
    <w:p w14:paraId="28AC68E3" w14:textId="77777777" w:rsidR="00AE68AF" w:rsidRDefault="00AE68AF" w:rsidP="00E33CCD">
      <w:pPr>
        <w:pStyle w:val="ListParagraph"/>
        <w:numPr>
          <w:ilvl w:val="0"/>
          <w:numId w:val="28"/>
        </w:numPr>
        <w:suppressAutoHyphens w:val="0"/>
        <w:contextualSpacing w:val="0"/>
      </w:pPr>
      <w:r>
        <w:t>In 2022, Deloitte found that 30 per cent of Australian households have at least one sports subscription service, largely driven by subscriptions to Kayo (owned by Foxtel) and Optus Sport.</w:t>
      </w:r>
      <w:r>
        <w:rPr>
          <w:rStyle w:val="FootnoteReference"/>
        </w:rPr>
        <w:footnoteReference w:id="22"/>
      </w:r>
    </w:p>
    <w:p w14:paraId="79409B49" w14:textId="77777777" w:rsidR="00AE68AF" w:rsidRDefault="00AE68AF" w:rsidP="00E33CCD">
      <w:pPr>
        <w:pStyle w:val="ListParagraph"/>
        <w:numPr>
          <w:ilvl w:val="0"/>
          <w:numId w:val="28"/>
        </w:numPr>
        <w:suppressAutoHyphens w:val="0"/>
        <w:contextualSpacing w:val="0"/>
      </w:pPr>
      <w:r>
        <w:t>In 2023, Foxtel reported that Kayo had 1.411 million active subscribers (1.401 million paid) for the quarter ending 30 June 2023.</w:t>
      </w:r>
      <w:r>
        <w:rPr>
          <w:rStyle w:val="FootnoteReference"/>
        </w:rPr>
        <w:footnoteReference w:id="23"/>
      </w:r>
    </w:p>
    <w:p w14:paraId="3E924305" w14:textId="77777777" w:rsidR="006C1DDC" w:rsidRDefault="00AE68AF" w:rsidP="00E33CCD">
      <w:pPr>
        <w:pStyle w:val="ListParagraph"/>
        <w:numPr>
          <w:ilvl w:val="0"/>
          <w:numId w:val="28"/>
        </w:numPr>
        <w:suppressAutoHyphens w:val="0"/>
        <w:contextualSpacing w:val="0"/>
      </w:pPr>
      <w:r>
        <w:t>SingTel, of which Optus is a subsidiary, reported that Optus Sport had 926,000 active subscriptions in the financial year ending 31 March 2023.</w:t>
      </w:r>
      <w:r>
        <w:rPr>
          <w:rStyle w:val="FootnoteReference"/>
        </w:rPr>
        <w:footnoteReference w:id="24"/>
      </w:r>
    </w:p>
    <w:p w14:paraId="3C65B58F" w14:textId="069076EA" w:rsidR="006C1DDC" w:rsidRDefault="006C1DDC" w:rsidP="006C1DDC">
      <w:pPr>
        <w:suppressAutoHyphens w:val="0"/>
      </w:pPr>
      <w:r>
        <w:t xml:space="preserve">These changes in the Australian media market have exposed gaps in the anti-siphoning scheme and imbalances in the composition of the anti-siphoning list. </w:t>
      </w:r>
    </w:p>
    <w:p w14:paraId="0E49DAB0" w14:textId="6766E125" w:rsidR="00C26FD3" w:rsidRPr="00E23450" w:rsidRDefault="00796D55" w:rsidP="00C32BDC">
      <w:pPr>
        <w:pStyle w:val="Heading2"/>
        <w:spacing w:before="240"/>
      </w:pPr>
      <w:bookmarkStart w:id="51" w:name="_Toc150883259"/>
      <w:bookmarkStart w:id="52" w:name="_Toc151053041"/>
      <w:r>
        <w:t>G</w:t>
      </w:r>
      <w:r w:rsidR="00E23450">
        <w:t>aps in the scheme</w:t>
      </w:r>
      <w:bookmarkEnd w:id="51"/>
      <w:bookmarkEnd w:id="52"/>
    </w:p>
    <w:p w14:paraId="6A61D70E" w14:textId="21BD11DC" w:rsidR="00C26FD3" w:rsidRDefault="00C26FD3" w:rsidP="00D56791">
      <w:r>
        <w:t>The r</w:t>
      </w:r>
      <w:r w:rsidR="00AE68AF">
        <w:t>eview of the anti-siphoning scheme</w:t>
      </w:r>
      <w:r>
        <w:t xml:space="preserve"> </w:t>
      </w:r>
      <w:r w:rsidR="00AE68AF">
        <w:t>considered whether there is a material risk of nationally important and culturally significant sport</w:t>
      </w:r>
      <w:r w:rsidR="0071330E">
        <w:t>ing</w:t>
      </w:r>
      <w:r w:rsidR="00AE68AF">
        <w:t xml:space="preserve"> </w:t>
      </w:r>
      <w:r w:rsidR="005275A0">
        <w:t>events</w:t>
      </w:r>
      <w:r w:rsidR="00AE68AF">
        <w:t xml:space="preserve"> migrating to online services and, in particular, to subscription-based platforms.</w:t>
      </w:r>
      <w:r w:rsidR="00D56791">
        <w:t xml:space="preserve"> </w:t>
      </w:r>
    </w:p>
    <w:p w14:paraId="0EB765CE" w14:textId="777ED5E5" w:rsidR="00C26FD3" w:rsidRDefault="00D56791" w:rsidP="00482C77">
      <w:r>
        <w:rPr>
          <w:iCs/>
        </w:rPr>
        <w:t>The review found that in a contemporary media environment</w:t>
      </w:r>
      <w:r>
        <w:t xml:space="preserve"> this risk </w:t>
      </w:r>
      <w:r>
        <w:rPr>
          <w:iCs/>
        </w:rPr>
        <w:t>remains</w:t>
      </w:r>
      <w:r w:rsidR="006F593C">
        <w:rPr>
          <w:iCs/>
        </w:rPr>
        <w:t>. Th</w:t>
      </w:r>
      <w:r>
        <w:rPr>
          <w:iCs/>
        </w:rPr>
        <w:t>e</w:t>
      </w:r>
      <w:r>
        <w:t xml:space="preserve"> concern</w:t>
      </w:r>
      <w:r w:rsidR="006F593C">
        <w:t xml:space="preserve"> that key events would be siphoned behind paywalls </w:t>
      </w:r>
      <w:r>
        <w:t xml:space="preserve">when the scheme was first introduced </w:t>
      </w:r>
      <w:r w:rsidR="009F2422">
        <w:t>is</w:t>
      </w:r>
      <w:r>
        <w:t xml:space="preserve"> also present in a digital environment</w:t>
      </w:r>
      <w:r w:rsidR="00C26FD3">
        <w:t>, albeit in a different form</w:t>
      </w:r>
      <w:r>
        <w:t>.</w:t>
      </w:r>
      <w:r w:rsidR="00C26FD3">
        <w:t xml:space="preserve"> </w:t>
      </w:r>
      <w:r w:rsidR="006F593C">
        <w:t xml:space="preserve">The scheme </w:t>
      </w:r>
      <w:r w:rsidR="00C26FD3">
        <w:t>needs to be broadened to incorporate online services</w:t>
      </w:r>
      <w:r w:rsidR="006F593C">
        <w:t>, and t</w:t>
      </w:r>
      <w:r>
        <w:t xml:space="preserve">here are a number of factors that support this preliminary finding. </w:t>
      </w:r>
    </w:p>
    <w:p w14:paraId="04177777" w14:textId="2F2DE503" w:rsidR="00D56791" w:rsidRDefault="00D56791" w:rsidP="00482C77">
      <w:r>
        <w:t>In recent years, subscription and free-to-air broadcasters have increasingly acquired online rights as part of their media rights packages.</w:t>
      </w:r>
    </w:p>
    <w:p w14:paraId="134EC309" w14:textId="77777777" w:rsidR="00D56791" w:rsidRDefault="00D56791" w:rsidP="00163BBD">
      <w:pPr>
        <w:pStyle w:val="Box1Bullet1"/>
        <w:numPr>
          <w:ilvl w:val="0"/>
          <w:numId w:val="0"/>
        </w:numPr>
        <w:spacing w:before="0" w:after="120"/>
        <w:rPr>
          <w:sz w:val="22"/>
          <w:szCs w:val="22"/>
          <w:lang w:val="en-US"/>
        </w:rPr>
      </w:pPr>
      <w:r>
        <w:rPr>
          <w:b/>
          <w:sz w:val="22"/>
          <w:szCs w:val="22"/>
          <w:lang w:val="en-US"/>
        </w:rPr>
        <w:t xml:space="preserve">Foxtel </w:t>
      </w:r>
      <w:r>
        <w:rPr>
          <w:sz w:val="22"/>
          <w:szCs w:val="22"/>
          <w:lang w:val="en-US"/>
        </w:rPr>
        <w:t xml:space="preserve">has obtained online sports rights to a range of events and typically provides coverage to subscribers through its </w:t>
      </w:r>
      <w:r>
        <w:rPr>
          <w:sz w:val="22"/>
          <w:szCs w:val="22"/>
        </w:rPr>
        <w:t>dedicated</w:t>
      </w:r>
      <w:r>
        <w:rPr>
          <w:sz w:val="22"/>
          <w:szCs w:val="22"/>
          <w:lang w:val="en-US"/>
        </w:rPr>
        <w:t xml:space="preserve"> Kayo streaming service. A wide range of sports and competitions are available through the service, including the vast majority of AFL and NRL Premiership matches.</w:t>
      </w:r>
    </w:p>
    <w:p w14:paraId="4F9CE997" w14:textId="14A75E63" w:rsidR="00D56791" w:rsidRDefault="00D56791" w:rsidP="00163BBD">
      <w:pPr>
        <w:pStyle w:val="Box1Bullet1"/>
        <w:numPr>
          <w:ilvl w:val="0"/>
          <w:numId w:val="0"/>
        </w:numPr>
        <w:spacing w:before="0" w:after="120"/>
        <w:rPr>
          <w:sz w:val="22"/>
          <w:szCs w:val="22"/>
          <w:lang w:val="en-AU"/>
        </w:rPr>
      </w:pPr>
      <w:r>
        <w:rPr>
          <w:b/>
          <w:sz w:val="22"/>
          <w:szCs w:val="22"/>
        </w:rPr>
        <w:t xml:space="preserve">Seven </w:t>
      </w:r>
      <w:r>
        <w:rPr>
          <w:b/>
          <w:sz w:val="22"/>
          <w:szCs w:val="22"/>
          <w:lang w:val="en-US"/>
        </w:rPr>
        <w:t>West Media</w:t>
      </w:r>
      <w:r>
        <w:rPr>
          <w:sz w:val="22"/>
          <w:szCs w:val="22"/>
        </w:rPr>
        <w:t xml:space="preserve"> obtained the broadcast rights to the 2020 Tokyo Olympic Games, as well as the rights to stream the Games. Audiences were able to access </w:t>
      </w:r>
      <w:r>
        <w:rPr>
          <w:sz w:val="22"/>
          <w:szCs w:val="22"/>
          <w:lang w:val="en-AU"/>
        </w:rPr>
        <w:t xml:space="preserve">coverage of </w:t>
      </w:r>
      <w:r>
        <w:rPr>
          <w:sz w:val="22"/>
          <w:szCs w:val="22"/>
        </w:rPr>
        <w:t xml:space="preserve">events </w:t>
      </w:r>
      <w:r>
        <w:rPr>
          <w:sz w:val="22"/>
          <w:szCs w:val="22"/>
          <w:lang w:val="en-AU"/>
        </w:rPr>
        <w:t>via 45 channels across Seven and 7plus</w:t>
      </w:r>
      <w:r w:rsidR="00126E7C">
        <w:rPr>
          <w:sz w:val="22"/>
          <w:szCs w:val="22"/>
          <w:lang w:val="en-AU"/>
        </w:rPr>
        <w:t>.</w:t>
      </w:r>
      <w:r>
        <w:rPr>
          <w:rStyle w:val="FootnoteReference"/>
          <w:sz w:val="22"/>
          <w:szCs w:val="22"/>
          <w:lang w:val="en-AU"/>
        </w:rPr>
        <w:footnoteReference w:id="25"/>
      </w:r>
    </w:p>
    <w:p w14:paraId="51BA1DF8" w14:textId="77777777" w:rsidR="00D56791" w:rsidRDefault="00D56791" w:rsidP="00163BBD">
      <w:pPr>
        <w:pStyle w:val="Box1Bullet1"/>
        <w:numPr>
          <w:ilvl w:val="0"/>
          <w:numId w:val="0"/>
        </w:numPr>
        <w:spacing w:before="0" w:after="120"/>
        <w:rPr>
          <w:sz w:val="22"/>
          <w:szCs w:val="22"/>
          <w:lang w:val="en-US"/>
        </w:rPr>
      </w:pPr>
      <w:r>
        <w:rPr>
          <w:b/>
          <w:sz w:val="22"/>
          <w:szCs w:val="22"/>
        </w:rPr>
        <w:t>Nine Entertainment Co</w:t>
      </w:r>
      <w:r>
        <w:rPr>
          <w:sz w:val="22"/>
          <w:szCs w:val="22"/>
        </w:rPr>
        <w:t xml:space="preserve"> uses its BVOD platform 9Now to simulcast </w:t>
      </w:r>
      <w:r>
        <w:rPr>
          <w:sz w:val="22"/>
          <w:szCs w:val="22"/>
          <w:lang w:val="en-AU"/>
        </w:rPr>
        <w:t>a range of sporting events</w:t>
      </w:r>
      <w:r>
        <w:rPr>
          <w:sz w:val="22"/>
          <w:szCs w:val="22"/>
          <w:lang w:val="en-US"/>
        </w:rPr>
        <w:t>, including NRL matches and the 2023 Ashes. It has also provided extensive coverage of matches of the Australian Open through 9Now.</w:t>
      </w:r>
    </w:p>
    <w:p w14:paraId="21D85626" w14:textId="7ACE7D90" w:rsidR="00D56791" w:rsidRDefault="00D56791" w:rsidP="00D56791">
      <w:pPr>
        <w:spacing w:after="120"/>
      </w:pPr>
      <w:r>
        <w:t>Subscription-based streaming services that are not owned by broadcasting service providers have also made some forays into the sports rights market in Australia</w:t>
      </w:r>
      <w:r w:rsidR="00EA6EDA">
        <w:t xml:space="preserve">. </w:t>
      </w:r>
    </w:p>
    <w:p w14:paraId="036DB591" w14:textId="334FCE9F" w:rsidR="00D56791" w:rsidRDefault="00D56791" w:rsidP="00163BBD">
      <w:pPr>
        <w:pStyle w:val="Box1Bullet1"/>
        <w:numPr>
          <w:ilvl w:val="0"/>
          <w:numId w:val="0"/>
        </w:numPr>
        <w:spacing w:before="0" w:after="120"/>
        <w:rPr>
          <w:sz w:val="22"/>
          <w:szCs w:val="22"/>
        </w:rPr>
      </w:pPr>
      <w:r>
        <w:rPr>
          <w:sz w:val="22"/>
          <w:szCs w:val="22"/>
          <w:lang w:val="en-US"/>
        </w:rPr>
        <w:t xml:space="preserve">In February 2021, </w:t>
      </w:r>
      <w:r>
        <w:rPr>
          <w:b/>
          <w:sz w:val="22"/>
          <w:szCs w:val="22"/>
          <w:lang w:val="en-US"/>
        </w:rPr>
        <w:t>Amazon Prime</w:t>
      </w:r>
      <w:r w:rsidR="00824C8F">
        <w:rPr>
          <w:b/>
          <w:sz w:val="22"/>
          <w:szCs w:val="22"/>
          <w:lang w:val="en-US"/>
        </w:rPr>
        <w:t xml:space="preserve"> Video</w:t>
      </w:r>
      <w:r>
        <w:rPr>
          <w:sz w:val="22"/>
          <w:szCs w:val="22"/>
          <w:lang w:val="en-US"/>
        </w:rPr>
        <w:t xml:space="preserve"> secured a two-year exclusive agreement with Swimming Australia to stream several Australian swimming events not on the anti-siphoning list.</w:t>
      </w:r>
      <w:r>
        <w:rPr>
          <w:rStyle w:val="FootnoteReference"/>
          <w:sz w:val="22"/>
          <w:szCs w:val="22"/>
          <w:lang w:val="en-US"/>
        </w:rPr>
        <w:footnoteReference w:id="26"/>
      </w:r>
      <w:r>
        <w:rPr>
          <w:sz w:val="22"/>
          <w:szCs w:val="22"/>
          <w:lang w:val="en-US"/>
        </w:rPr>
        <w:t xml:space="preserve"> This included the Australian Swimming Trials in the lead up to the 2020 Tokyo Olympic and Paralympic Games and the qualifying events for the 2022 Birmingham Commonwealth Games.</w:t>
      </w:r>
    </w:p>
    <w:p w14:paraId="22DB3346" w14:textId="19A50769" w:rsidR="00D56791" w:rsidRDefault="00D56791" w:rsidP="00163BBD">
      <w:pPr>
        <w:pStyle w:val="Box1Bullet1"/>
        <w:numPr>
          <w:ilvl w:val="0"/>
          <w:numId w:val="0"/>
        </w:numPr>
        <w:suppressAutoHyphens w:val="0"/>
        <w:rPr>
          <w:sz w:val="22"/>
          <w:szCs w:val="22"/>
        </w:rPr>
      </w:pPr>
      <w:r>
        <w:rPr>
          <w:sz w:val="22"/>
          <w:szCs w:val="22"/>
        </w:rPr>
        <w:t>In</w:t>
      </w:r>
      <w:r>
        <w:rPr>
          <w:sz w:val="22"/>
          <w:szCs w:val="22"/>
          <w:lang w:val="en-AU"/>
        </w:rPr>
        <w:t xml:space="preserve"> June 2023, </w:t>
      </w:r>
      <w:r>
        <w:rPr>
          <w:b/>
          <w:sz w:val="22"/>
          <w:szCs w:val="22"/>
        </w:rPr>
        <w:t>Tabcorp</w:t>
      </w:r>
      <w:r>
        <w:rPr>
          <w:sz w:val="22"/>
          <w:szCs w:val="22"/>
        </w:rPr>
        <w:t xml:space="preserve"> secured the digital, free-to-air and subscription television rights to the Melbourne Cup.</w:t>
      </w:r>
      <w:r>
        <w:rPr>
          <w:rStyle w:val="FootnoteReference"/>
          <w:rFonts w:asciiTheme="majorHAnsi" w:hAnsiTheme="majorHAnsi" w:cstheme="majorHAnsi"/>
          <w:sz w:val="22"/>
          <w:szCs w:val="22"/>
          <w:lang w:val="en-AU"/>
        </w:rPr>
        <w:footnoteReference w:id="27"/>
      </w:r>
      <w:r>
        <w:rPr>
          <w:rStyle w:val="FootnoteReference"/>
          <w:rFonts w:asciiTheme="majorHAnsi" w:hAnsiTheme="majorHAnsi" w:cstheme="majorHAnsi"/>
          <w:sz w:val="22"/>
          <w:szCs w:val="22"/>
          <w:lang w:val="en-AU"/>
        </w:rPr>
        <w:t xml:space="preserve"> </w:t>
      </w:r>
      <w:r>
        <w:rPr>
          <w:sz w:val="22"/>
          <w:szCs w:val="22"/>
        </w:rPr>
        <w:t>Tabcorp is not a licensed broadcaster</w:t>
      </w:r>
      <w:r>
        <w:rPr>
          <w:sz w:val="22"/>
          <w:szCs w:val="22"/>
          <w:lang w:val="en-AU"/>
        </w:rPr>
        <w:t xml:space="preserve"> </w:t>
      </w:r>
      <w:r w:rsidR="00EA6EDA">
        <w:rPr>
          <w:sz w:val="22"/>
          <w:szCs w:val="22"/>
          <w:lang w:val="en-AU"/>
        </w:rPr>
        <w:t>and</w:t>
      </w:r>
      <w:r w:rsidR="00256D58">
        <w:rPr>
          <w:sz w:val="22"/>
          <w:szCs w:val="22"/>
          <w:lang w:val="en-AU"/>
        </w:rPr>
        <w:t xml:space="preserve"> </w:t>
      </w:r>
      <w:r w:rsidR="0047336A">
        <w:rPr>
          <w:sz w:val="22"/>
          <w:szCs w:val="22"/>
          <w:lang w:val="en-AU"/>
        </w:rPr>
        <w:t xml:space="preserve">the event was subsequently shown on Channel 10 </w:t>
      </w:r>
      <w:r w:rsidR="00D37200">
        <w:rPr>
          <w:sz w:val="22"/>
          <w:szCs w:val="22"/>
          <w:lang w:val="en-AU"/>
        </w:rPr>
        <w:t>and streamed on</w:t>
      </w:r>
      <w:r w:rsidR="0047336A">
        <w:rPr>
          <w:sz w:val="22"/>
          <w:szCs w:val="22"/>
          <w:lang w:val="en-AU"/>
        </w:rPr>
        <w:t xml:space="preserve"> Kayo Sports and Racing.com</w:t>
      </w:r>
      <w:r>
        <w:rPr>
          <w:sz w:val="22"/>
          <w:szCs w:val="22"/>
          <w:lang w:val="en-AU"/>
        </w:rPr>
        <w:t>.</w:t>
      </w:r>
      <w:r w:rsidR="0047336A">
        <w:rPr>
          <w:rStyle w:val="FootnoteReference"/>
          <w:sz w:val="22"/>
          <w:szCs w:val="22"/>
          <w:lang w:val="en-AU"/>
        </w:rPr>
        <w:footnoteReference w:id="28"/>
      </w:r>
    </w:p>
    <w:p w14:paraId="4E4AD5BA" w14:textId="5DBED348" w:rsidR="00D56791" w:rsidRDefault="00D56791" w:rsidP="00163BBD">
      <w:pPr>
        <w:pStyle w:val="Box1Bullet1"/>
        <w:numPr>
          <w:ilvl w:val="0"/>
          <w:numId w:val="0"/>
        </w:numPr>
        <w:suppressAutoHyphens w:val="0"/>
        <w:rPr>
          <w:b/>
          <w:sz w:val="22"/>
          <w:szCs w:val="22"/>
        </w:rPr>
      </w:pPr>
      <w:bookmarkStart w:id="53" w:name="_Hlk150873414"/>
      <w:r>
        <w:rPr>
          <w:b/>
          <w:sz w:val="22"/>
          <w:szCs w:val="22"/>
          <w:lang w:val="en-AU"/>
        </w:rPr>
        <w:t>Optus Sport</w:t>
      </w:r>
      <w:r>
        <w:rPr>
          <w:sz w:val="22"/>
          <w:szCs w:val="22"/>
          <w:lang w:val="en-AU"/>
        </w:rPr>
        <w:t xml:space="preserve"> holds the exclusive rights to televise a range of European, Asian and international soccer matches in Australia. In 2021, Optus Sport acquired the right to stream all 64 matches of the 2023 FIFA Women’s World Cup, hosted by Australia and New Zealand.</w:t>
      </w:r>
      <w:r>
        <w:rPr>
          <w:rStyle w:val="FootnoteReference"/>
          <w:sz w:val="22"/>
          <w:szCs w:val="22"/>
          <w:lang w:val="en-AU"/>
        </w:rPr>
        <w:footnoteReference w:id="29"/>
      </w:r>
      <w:r>
        <w:rPr>
          <w:sz w:val="22"/>
          <w:szCs w:val="22"/>
          <w:lang w:val="en-AU"/>
        </w:rPr>
        <w:t xml:space="preserve"> Fifteen matches </w:t>
      </w:r>
      <w:r w:rsidR="00126E7C">
        <w:rPr>
          <w:sz w:val="22"/>
          <w:szCs w:val="22"/>
          <w:lang w:val="en-AU"/>
        </w:rPr>
        <w:t>were</w:t>
      </w:r>
      <w:r>
        <w:rPr>
          <w:sz w:val="22"/>
          <w:szCs w:val="22"/>
          <w:lang w:val="en-AU"/>
        </w:rPr>
        <w:t xml:space="preserve"> made available on the Seven Network,</w:t>
      </w:r>
      <w:r>
        <w:rPr>
          <w:rStyle w:val="FootnoteReference"/>
          <w:sz w:val="22"/>
          <w:szCs w:val="22"/>
          <w:lang w:val="en-AU"/>
        </w:rPr>
        <w:footnoteReference w:id="30"/>
      </w:r>
      <w:r>
        <w:rPr>
          <w:sz w:val="22"/>
          <w:szCs w:val="22"/>
          <w:lang w:val="en-AU"/>
        </w:rPr>
        <w:t xml:space="preserve"> and Optus Sport </w:t>
      </w:r>
      <w:r w:rsidR="00126E7C">
        <w:rPr>
          <w:sz w:val="22"/>
          <w:szCs w:val="22"/>
          <w:lang w:val="en-AU"/>
        </w:rPr>
        <w:t xml:space="preserve">made </w:t>
      </w:r>
      <w:r>
        <w:rPr>
          <w:sz w:val="22"/>
          <w:szCs w:val="22"/>
          <w:lang w:val="en-AU"/>
        </w:rPr>
        <w:t xml:space="preserve">eleven </w:t>
      </w:r>
      <w:r w:rsidR="00126E7C">
        <w:rPr>
          <w:sz w:val="22"/>
          <w:szCs w:val="22"/>
          <w:lang w:val="en-AU"/>
        </w:rPr>
        <w:t>additional</w:t>
      </w:r>
      <w:r>
        <w:rPr>
          <w:sz w:val="22"/>
          <w:szCs w:val="22"/>
          <w:lang w:val="en-AU"/>
        </w:rPr>
        <w:t xml:space="preserve"> matches available for free on its platform. However, the remainder </w:t>
      </w:r>
      <w:r w:rsidR="00126E7C">
        <w:rPr>
          <w:sz w:val="22"/>
          <w:szCs w:val="22"/>
          <w:lang w:val="en-AU"/>
        </w:rPr>
        <w:t xml:space="preserve">of the matches were </w:t>
      </w:r>
      <w:r>
        <w:rPr>
          <w:sz w:val="22"/>
          <w:szCs w:val="22"/>
          <w:lang w:val="en-AU"/>
        </w:rPr>
        <w:t>available only to Optus Sport subscribers.</w:t>
      </w:r>
    </w:p>
    <w:p w14:paraId="7188C0CA" w14:textId="43C606AC" w:rsidR="007F3CD1" w:rsidRPr="007F3CD1" w:rsidRDefault="007F3CD1" w:rsidP="00CC5516">
      <w:pPr>
        <w:pStyle w:val="Heading3"/>
      </w:pPr>
      <w:bookmarkStart w:id="54" w:name="_Toc150883260"/>
      <w:bookmarkStart w:id="55" w:name="_Toc151053042"/>
      <w:bookmarkEnd w:id="53"/>
      <w:r>
        <w:t>International approach</w:t>
      </w:r>
      <w:r w:rsidR="00756ACD">
        <w:t>es and trends</w:t>
      </w:r>
      <w:bookmarkEnd w:id="54"/>
      <w:bookmarkEnd w:id="55"/>
    </w:p>
    <w:p w14:paraId="27F61D7C" w14:textId="3D6E3FEA" w:rsidR="00D56791" w:rsidRDefault="00D56791" w:rsidP="006F593C">
      <w:pPr>
        <w:rPr>
          <w:rFonts w:asciiTheme="majorHAnsi" w:hAnsiTheme="majorHAnsi" w:cstheme="majorHAnsi"/>
        </w:rPr>
      </w:pPr>
      <w:r>
        <w:rPr>
          <w:rFonts w:asciiTheme="majorHAnsi" w:hAnsiTheme="majorHAnsi" w:cstheme="majorHAnsi"/>
        </w:rPr>
        <w:t>Around the world, there has also been a trend towards exclusive online coverage of live sports, reflecting changes in viewer preferences as well as adjustments in the business strategies of streaming services.</w:t>
      </w:r>
    </w:p>
    <w:p w14:paraId="27D5DA84" w14:textId="77777777" w:rsidR="00D56791" w:rsidRDefault="00D56791" w:rsidP="00E33CCD">
      <w:pPr>
        <w:pStyle w:val="ListParagraph"/>
        <w:numPr>
          <w:ilvl w:val="0"/>
          <w:numId w:val="33"/>
        </w:numPr>
        <w:suppressAutoHyphens w:val="0"/>
        <w:contextualSpacing w:val="0"/>
        <w:rPr>
          <w:rFonts w:asciiTheme="majorHAnsi" w:hAnsiTheme="majorHAnsi" w:cstheme="majorHAnsi"/>
        </w:rPr>
      </w:pPr>
      <w:r>
        <w:rPr>
          <w:rFonts w:asciiTheme="majorHAnsi" w:hAnsiTheme="majorHAnsi" w:cstheme="majorHAnsi"/>
        </w:rPr>
        <w:t>Forty per cent of global fans now opt to stream live sports events through digital platforms,</w:t>
      </w:r>
      <w:r>
        <w:rPr>
          <w:rStyle w:val="FootnoteReference"/>
          <w:rFonts w:asciiTheme="majorHAnsi" w:hAnsiTheme="majorHAnsi" w:cstheme="majorHAnsi"/>
        </w:rPr>
        <w:footnoteReference w:id="31"/>
      </w:r>
      <w:r>
        <w:rPr>
          <w:rFonts w:asciiTheme="majorHAnsi" w:hAnsiTheme="majorHAnsi" w:cstheme="majorHAnsi"/>
        </w:rPr>
        <w:t xml:space="preserve"> and subscription-based streaming services are prominent in a number of jurisdictions.</w:t>
      </w:r>
    </w:p>
    <w:p w14:paraId="522CC3D5" w14:textId="77777777" w:rsidR="00D56791" w:rsidRDefault="00D56791" w:rsidP="00E33CCD">
      <w:pPr>
        <w:pStyle w:val="ListParagraph"/>
        <w:numPr>
          <w:ilvl w:val="1"/>
          <w:numId w:val="33"/>
        </w:numPr>
        <w:suppressAutoHyphens w:val="0"/>
        <w:ind w:left="709"/>
        <w:contextualSpacing w:val="0"/>
        <w:rPr>
          <w:rFonts w:asciiTheme="majorHAnsi" w:hAnsiTheme="majorHAnsi" w:cstheme="majorHAnsi"/>
        </w:rPr>
      </w:pPr>
      <w:r>
        <w:rPr>
          <w:rFonts w:asciiTheme="majorHAnsi" w:hAnsiTheme="majorHAnsi" w:cstheme="majorHAnsi"/>
        </w:rPr>
        <w:t>In 2021, around 25 per cent of the annual spend on sports coverage rights in Germany was derived from subscription streaming services and this figure was around 35 per cent in Italy.</w:t>
      </w:r>
      <w:r>
        <w:rPr>
          <w:rStyle w:val="FootnoteReference"/>
          <w:rFonts w:asciiTheme="majorHAnsi" w:hAnsiTheme="majorHAnsi" w:cstheme="majorHAnsi"/>
        </w:rPr>
        <w:footnoteReference w:id="32"/>
      </w:r>
    </w:p>
    <w:p w14:paraId="1A619FF8" w14:textId="77777777" w:rsidR="00D56791" w:rsidRDefault="00D56791" w:rsidP="00E33CCD">
      <w:pPr>
        <w:pStyle w:val="ListParagraph"/>
        <w:numPr>
          <w:ilvl w:val="1"/>
          <w:numId w:val="33"/>
        </w:numPr>
        <w:suppressAutoHyphens w:val="0"/>
        <w:ind w:left="709"/>
        <w:contextualSpacing w:val="0"/>
        <w:rPr>
          <w:rFonts w:asciiTheme="majorHAnsi" w:hAnsiTheme="majorHAnsi" w:cstheme="majorHAnsi"/>
        </w:rPr>
      </w:pPr>
      <w:r>
        <w:rPr>
          <w:rFonts w:asciiTheme="majorHAnsi" w:hAnsiTheme="majorHAnsi" w:cstheme="majorHAnsi"/>
        </w:rPr>
        <w:t>This number was estimated to rise to 53 per cent for the Italian market in 2022.</w:t>
      </w:r>
      <w:r>
        <w:rPr>
          <w:rStyle w:val="FootnoteReference"/>
          <w:rFonts w:asciiTheme="majorHAnsi" w:hAnsiTheme="majorHAnsi" w:cstheme="majorHAnsi"/>
        </w:rPr>
        <w:footnoteReference w:id="33"/>
      </w:r>
    </w:p>
    <w:p w14:paraId="2E429B8D" w14:textId="258B9B05" w:rsidR="00D56791" w:rsidRDefault="00D56791" w:rsidP="00E33CCD">
      <w:pPr>
        <w:pStyle w:val="ListParagraph"/>
        <w:numPr>
          <w:ilvl w:val="0"/>
          <w:numId w:val="33"/>
        </w:numPr>
        <w:suppressAutoHyphens w:val="0"/>
        <w:contextualSpacing w:val="0"/>
        <w:rPr>
          <w:rFonts w:asciiTheme="majorHAnsi" w:hAnsiTheme="majorHAnsi" w:cstheme="majorHAnsi"/>
        </w:rPr>
      </w:pPr>
      <w:r>
        <w:rPr>
          <w:rFonts w:asciiTheme="majorHAnsi" w:hAnsiTheme="majorHAnsi" w:cstheme="majorHAnsi"/>
        </w:rPr>
        <w:t xml:space="preserve">The global spend on sports rights by subscription streaming services is forecast to reach US$8.5 billion in 2023, a 64 per cent increase from US$5.2 billion in 2022 and </w:t>
      </w:r>
      <w:r w:rsidR="004D1C8E">
        <w:rPr>
          <w:rFonts w:asciiTheme="majorHAnsi" w:hAnsiTheme="majorHAnsi" w:cstheme="majorHAnsi"/>
        </w:rPr>
        <w:t xml:space="preserve">up from </w:t>
      </w:r>
      <w:r>
        <w:rPr>
          <w:rFonts w:asciiTheme="majorHAnsi" w:hAnsiTheme="majorHAnsi" w:cstheme="majorHAnsi"/>
        </w:rPr>
        <w:t>US$2.9 billion in 2021, with the majority of the spend coming from North America and Western Europe.</w:t>
      </w:r>
      <w:r>
        <w:rPr>
          <w:rStyle w:val="FootnoteReference"/>
          <w:rFonts w:asciiTheme="majorHAnsi" w:hAnsiTheme="majorHAnsi" w:cstheme="majorHAnsi"/>
        </w:rPr>
        <w:footnoteReference w:id="34"/>
      </w:r>
    </w:p>
    <w:p w14:paraId="4C563B60" w14:textId="77777777" w:rsidR="00D56791" w:rsidRDefault="00D56791" w:rsidP="006F593C">
      <w:pPr>
        <w:rPr>
          <w:rFonts w:asciiTheme="majorHAnsi" w:hAnsiTheme="majorHAnsi" w:cstheme="majorHAnsi"/>
        </w:rPr>
      </w:pPr>
      <w:r>
        <w:rPr>
          <w:rFonts w:asciiTheme="majorHAnsi" w:hAnsiTheme="majorHAnsi" w:cstheme="majorHAnsi"/>
        </w:rPr>
        <w:t>The increasing consumer take-up of subscription-based services to access coverage of major sporting events is mirrored in some significant rights deals over recent years.</w:t>
      </w:r>
    </w:p>
    <w:p w14:paraId="2330B2D6" w14:textId="2BFF1675" w:rsidR="00D56791" w:rsidRDefault="00D56791" w:rsidP="008A11CA">
      <w:pPr>
        <w:spacing w:before="0" w:after="0"/>
        <w:rPr>
          <w:rFonts w:asciiTheme="majorHAnsi" w:hAnsiTheme="majorHAnsi" w:cstheme="majorHAnsi"/>
        </w:rPr>
      </w:pPr>
    </w:p>
    <w:p w14:paraId="1E4970DE" w14:textId="30C081B0" w:rsidR="00D56791" w:rsidRDefault="00D56791" w:rsidP="009D0AF8">
      <w:pPr>
        <w:pStyle w:val="Box1Bullet1"/>
        <w:numPr>
          <w:ilvl w:val="0"/>
          <w:numId w:val="0"/>
        </w:numPr>
        <w:spacing w:before="0" w:after="120"/>
        <w:rPr>
          <w:sz w:val="22"/>
          <w:szCs w:val="22"/>
          <w:lang w:val="en-US"/>
        </w:rPr>
      </w:pPr>
      <w:r>
        <w:rPr>
          <w:sz w:val="22"/>
          <w:szCs w:val="22"/>
          <w:lang w:val="en-US"/>
        </w:rPr>
        <w:t xml:space="preserve">In the UK, </w:t>
      </w:r>
      <w:r>
        <w:rPr>
          <w:b/>
          <w:sz w:val="22"/>
          <w:szCs w:val="22"/>
          <w:lang w:val="en-US"/>
        </w:rPr>
        <w:t>Amazon</w:t>
      </w:r>
      <w:r>
        <w:rPr>
          <w:sz w:val="22"/>
          <w:szCs w:val="22"/>
          <w:lang w:val="en-US"/>
        </w:rPr>
        <w:t xml:space="preserve"> acquired exclusive rights to televise 20 English Premier League games per season across three years, starting in 2019. Amazon shared the rights with two major pay TV broadcasters – Sky Sports and BT Sport. While Amazon did not disclose how much it paid for the rights, Sky is reported to have paid around GBP 3.58 billion, while BT Sports reportedly paid GBP 885 million.</w:t>
      </w:r>
      <w:r>
        <w:rPr>
          <w:sz w:val="22"/>
          <w:szCs w:val="22"/>
          <w:vertAlign w:val="superscript"/>
          <w:lang w:val="en-US"/>
        </w:rPr>
        <w:footnoteReference w:id="35"/>
      </w:r>
      <w:r>
        <w:rPr>
          <w:sz w:val="22"/>
          <w:szCs w:val="22"/>
          <w:vertAlign w:val="superscript"/>
          <w:lang w:val="en-US"/>
        </w:rPr>
        <w:t xml:space="preserve"> </w:t>
      </w:r>
      <w:r>
        <w:rPr>
          <w:sz w:val="22"/>
          <w:szCs w:val="22"/>
          <w:lang w:val="en-US"/>
        </w:rPr>
        <w:t>The deal was renewed in 2021 to span the 2022 to 2025 seasons.</w:t>
      </w:r>
      <w:r>
        <w:rPr>
          <w:sz w:val="22"/>
          <w:szCs w:val="22"/>
          <w:vertAlign w:val="superscript"/>
          <w:lang w:val="en-US"/>
        </w:rPr>
        <w:footnoteReference w:id="36"/>
      </w:r>
    </w:p>
    <w:p w14:paraId="027BC62D" w14:textId="77777777" w:rsidR="00D56791" w:rsidRDefault="00D56791" w:rsidP="009D0AF8">
      <w:pPr>
        <w:pStyle w:val="Box1Bullet1"/>
        <w:numPr>
          <w:ilvl w:val="0"/>
          <w:numId w:val="0"/>
        </w:numPr>
        <w:spacing w:before="0" w:after="120"/>
        <w:rPr>
          <w:sz w:val="22"/>
          <w:szCs w:val="22"/>
          <w:lang w:val="en-US"/>
        </w:rPr>
      </w:pPr>
      <w:r>
        <w:rPr>
          <w:sz w:val="22"/>
          <w:szCs w:val="22"/>
          <w:lang w:val="en-US"/>
        </w:rPr>
        <w:t xml:space="preserve">In France, </w:t>
      </w:r>
      <w:r>
        <w:rPr>
          <w:b/>
          <w:sz w:val="22"/>
          <w:szCs w:val="22"/>
          <w:lang w:val="en-US"/>
        </w:rPr>
        <w:t>Amazon</w:t>
      </w:r>
      <w:r>
        <w:rPr>
          <w:sz w:val="22"/>
          <w:szCs w:val="22"/>
          <w:lang w:val="en-US"/>
        </w:rPr>
        <w:t xml:space="preserve"> has recently extended its rights deal for the French Open tennis tournament, initially in place from 2019, and will provide exclusive coverage of the premier match each evening for the tournament’s initial 11 days for the period 2024 to 2027.</w:t>
      </w:r>
      <w:r>
        <w:rPr>
          <w:rStyle w:val="FootnoteReference"/>
          <w:sz w:val="22"/>
          <w:szCs w:val="22"/>
          <w:lang w:val="en-US"/>
        </w:rPr>
        <w:footnoteReference w:id="37"/>
      </w:r>
      <w:r>
        <w:rPr>
          <w:sz w:val="22"/>
          <w:szCs w:val="22"/>
          <w:lang w:val="en-US"/>
        </w:rPr>
        <w:t xml:space="preserve"> It will jointly provide coverage of all high profile matches from the semi-finals onwards along with broadcaster </w:t>
      </w:r>
      <w:r>
        <w:rPr>
          <w:b/>
          <w:sz w:val="22"/>
          <w:szCs w:val="22"/>
          <w:lang w:val="en-US"/>
        </w:rPr>
        <w:t>France TV</w:t>
      </w:r>
      <w:r>
        <w:rPr>
          <w:sz w:val="22"/>
          <w:szCs w:val="22"/>
          <w:lang w:val="en-US"/>
        </w:rPr>
        <w:t>.</w:t>
      </w:r>
    </w:p>
    <w:p w14:paraId="616E516F" w14:textId="768F76A6" w:rsidR="00D56791" w:rsidRDefault="00D56791" w:rsidP="009D0AF8">
      <w:pPr>
        <w:pStyle w:val="Box1Bullet1"/>
        <w:numPr>
          <w:ilvl w:val="0"/>
          <w:numId w:val="0"/>
        </w:numPr>
        <w:spacing w:before="0" w:after="120"/>
        <w:rPr>
          <w:sz w:val="22"/>
          <w:szCs w:val="22"/>
          <w:lang w:val="en-US"/>
        </w:rPr>
      </w:pPr>
      <w:r>
        <w:rPr>
          <w:sz w:val="22"/>
          <w:szCs w:val="22"/>
          <w:lang w:val="en-US"/>
        </w:rPr>
        <w:t xml:space="preserve">In Italy, streaming service </w:t>
      </w:r>
      <w:r>
        <w:rPr>
          <w:b/>
          <w:sz w:val="22"/>
          <w:szCs w:val="22"/>
          <w:lang w:val="en-US"/>
        </w:rPr>
        <w:t>DAZN</w:t>
      </w:r>
      <w:r>
        <w:rPr>
          <w:sz w:val="22"/>
          <w:szCs w:val="22"/>
          <w:lang w:val="en-US"/>
        </w:rPr>
        <w:t xml:space="preserve"> acquired the </w:t>
      </w:r>
      <w:r w:rsidR="007914CC">
        <w:rPr>
          <w:sz w:val="22"/>
          <w:szCs w:val="22"/>
          <w:lang w:val="en-US"/>
        </w:rPr>
        <w:t xml:space="preserve">exclusive </w:t>
      </w:r>
      <w:r>
        <w:rPr>
          <w:sz w:val="22"/>
          <w:szCs w:val="22"/>
          <w:lang w:val="en-US"/>
        </w:rPr>
        <w:t xml:space="preserve">right to televise </w:t>
      </w:r>
      <w:r w:rsidR="007914CC">
        <w:rPr>
          <w:sz w:val="22"/>
          <w:szCs w:val="22"/>
          <w:lang w:val="en-US"/>
        </w:rPr>
        <w:t>7</w:t>
      </w:r>
      <w:r w:rsidR="007914CC" w:rsidRPr="007914CC">
        <w:rPr>
          <w:sz w:val="22"/>
          <w:szCs w:val="22"/>
          <w:lang w:val="en-US"/>
        </w:rPr>
        <w:t xml:space="preserve"> out of 10 games per matchday</w:t>
      </w:r>
      <w:r w:rsidR="007914CC">
        <w:rPr>
          <w:sz w:val="22"/>
          <w:szCs w:val="22"/>
          <w:lang w:val="en-US"/>
        </w:rPr>
        <w:t xml:space="preserve"> in the </w:t>
      </w:r>
      <w:r>
        <w:rPr>
          <w:sz w:val="22"/>
          <w:szCs w:val="22"/>
          <w:lang w:val="en-US"/>
        </w:rPr>
        <w:t>Serie A soccer for three years from 2021.</w:t>
      </w:r>
      <w:r>
        <w:rPr>
          <w:rStyle w:val="FootnoteReference"/>
          <w:sz w:val="22"/>
          <w:szCs w:val="22"/>
          <w:lang w:val="en-US"/>
        </w:rPr>
        <w:footnoteReference w:id="38"/>
      </w:r>
    </w:p>
    <w:p w14:paraId="3ADA3C8A" w14:textId="3F4F3A1D" w:rsidR="00D56791" w:rsidRDefault="00D56791" w:rsidP="009D0AF8">
      <w:pPr>
        <w:pStyle w:val="Box1Bullet1"/>
        <w:numPr>
          <w:ilvl w:val="0"/>
          <w:numId w:val="0"/>
        </w:numPr>
        <w:spacing w:before="0" w:after="120"/>
        <w:rPr>
          <w:sz w:val="22"/>
          <w:szCs w:val="22"/>
          <w:lang w:val="en-US"/>
        </w:rPr>
      </w:pPr>
      <w:r>
        <w:rPr>
          <w:sz w:val="22"/>
          <w:szCs w:val="22"/>
        </w:rPr>
        <w:t>In the United States, the National Football League has agreed an 11-year deal, valued at over US$100</w:t>
      </w:r>
      <w:r w:rsidR="00E6307F">
        <w:rPr>
          <w:sz w:val="22"/>
          <w:szCs w:val="22"/>
          <w:lang w:val="en-US"/>
        </w:rPr>
        <w:t> </w:t>
      </w:r>
      <w:r>
        <w:rPr>
          <w:sz w:val="22"/>
          <w:szCs w:val="22"/>
        </w:rPr>
        <w:t>billion, with all rights partners across digital and broadcast platforms.</w:t>
      </w:r>
      <w:r>
        <w:rPr>
          <w:rStyle w:val="FootnoteReference"/>
          <w:rFonts w:asciiTheme="majorHAnsi" w:hAnsiTheme="majorHAnsi" w:cstheme="majorHAnsi"/>
          <w:sz w:val="22"/>
          <w:szCs w:val="22"/>
          <w:lang w:val="en-AU"/>
        </w:rPr>
        <w:footnoteReference w:id="39"/>
      </w:r>
      <w:r>
        <w:rPr>
          <w:rStyle w:val="FootnoteReference"/>
          <w:rFonts w:asciiTheme="majorHAnsi" w:hAnsiTheme="majorHAnsi" w:cstheme="majorHAnsi"/>
          <w:sz w:val="22"/>
          <w:szCs w:val="22"/>
          <w:lang w:val="en-AU"/>
        </w:rPr>
        <w:t xml:space="preserve"> </w:t>
      </w:r>
      <w:r>
        <w:rPr>
          <w:b/>
          <w:sz w:val="22"/>
          <w:szCs w:val="22"/>
        </w:rPr>
        <w:t>Amazon</w:t>
      </w:r>
      <w:r>
        <w:rPr>
          <w:sz w:val="22"/>
          <w:szCs w:val="22"/>
        </w:rPr>
        <w:t xml:space="preserve"> is reported to be paying around US$1 billion per year for the exclusive right to distribute the NFL’s Thursday night matches.</w:t>
      </w:r>
      <w:r>
        <w:rPr>
          <w:rStyle w:val="FootnoteReference"/>
          <w:rFonts w:asciiTheme="majorHAnsi" w:hAnsiTheme="majorHAnsi" w:cstheme="majorHAnsi"/>
          <w:sz w:val="22"/>
          <w:szCs w:val="22"/>
          <w:lang w:val="en-AU"/>
        </w:rPr>
        <w:footnoteReference w:id="40"/>
      </w:r>
      <w:r>
        <w:rPr>
          <w:sz w:val="22"/>
          <w:szCs w:val="22"/>
        </w:rPr>
        <w:t xml:space="preserve"> The NFL also provides a direct streaming option via NFL.com, including live video streaming and other </w:t>
      </w:r>
      <w:r>
        <w:rPr>
          <w:sz w:val="22"/>
          <w:szCs w:val="22"/>
          <w:lang w:val="en-AU"/>
        </w:rPr>
        <w:t>streaming</w:t>
      </w:r>
      <w:r>
        <w:rPr>
          <w:sz w:val="22"/>
          <w:szCs w:val="22"/>
        </w:rPr>
        <w:t xml:space="preserve"> services. Through this direct service the NFL is able to manage global distribution of its events not already covered by other rights deals</w:t>
      </w:r>
      <w:r>
        <w:rPr>
          <w:sz w:val="22"/>
          <w:szCs w:val="22"/>
          <w:lang w:val="en-AU"/>
        </w:rPr>
        <w:t>.</w:t>
      </w:r>
    </w:p>
    <w:p w14:paraId="0D3C5DDE" w14:textId="58BBAE24" w:rsidR="006F593C" w:rsidRDefault="006F593C" w:rsidP="00482C77">
      <w:pPr>
        <w:spacing w:before="360"/>
        <w:rPr>
          <w:rFonts w:cstheme="minorHAnsi"/>
        </w:rPr>
      </w:pPr>
      <w:r>
        <w:rPr>
          <w:rFonts w:cstheme="minorHAnsi"/>
        </w:rPr>
        <w:t xml:space="preserve">There are a range of factors that suggest that Australia will experience similar trends. </w:t>
      </w:r>
    </w:p>
    <w:p w14:paraId="7B259F8E" w14:textId="7ABEBF64" w:rsidR="00D56791" w:rsidRDefault="00D56791" w:rsidP="00E33CCD">
      <w:pPr>
        <w:pStyle w:val="ListParagraph"/>
        <w:numPr>
          <w:ilvl w:val="0"/>
          <w:numId w:val="10"/>
        </w:numPr>
        <w:suppressAutoHyphens w:val="0"/>
        <w:ind w:left="357" w:hanging="357"/>
        <w:rPr>
          <w:rFonts w:cstheme="minorHAnsi"/>
        </w:rPr>
      </w:pPr>
      <w:r>
        <w:rPr>
          <w:rFonts w:cstheme="minorHAnsi"/>
        </w:rPr>
        <w:t>Australia is one of the strongest adopters of new communications technologies in the world. In 2016, the World Bank’s Digital Adoption Index showed Australia’s digital adoption to be roughly 74 per cent higher than the global average.</w:t>
      </w:r>
      <w:r>
        <w:rPr>
          <w:rStyle w:val="FootnoteReference"/>
          <w:rFonts w:cstheme="minorHAnsi"/>
        </w:rPr>
        <w:footnoteReference w:id="41"/>
      </w:r>
      <w:r>
        <w:rPr>
          <w:rFonts w:cstheme="minorHAnsi"/>
        </w:rPr>
        <w:t xml:space="preserve"> This is reflected in research </w:t>
      </w:r>
      <w:r w:rsidR="00561AA5">
        <w:rPr>
          <w:rFonts w:cstheme="minorHAnsi"/>
        </w:rPr>
        <w:t xml:space="preserve">that found </w:t>
      </w:r>
      <w:r>
        <w:rPr>
          <w:rFonts w:cstheme="minorHAnsi"/>
        </w:rPr>
        <w:t>that Australians have been particularly enthusiastic adopters of smart phones compared with other countries</w:t>
      </w:r>
      <w:r w:rsidR="000865F4">
        <w:rPr>
          <w:rFonts w:cstheme="minorHAnsi"/>
        </w:rPr>
        <w:t>.</w:t>
      </w:r>
      <w:r>
        <w:rPr>
          <w:rStyle w:val="FootnoteReference"/>
          <w:rFonts w:cstheme="minorHAnsi"/>
        </w:rPr>
        <w:t xml:space="preserve"> </w:t>
      </w:r>
      <w:r>
        <w:rPr>
          <w:rStyle w:val="FootnoteReference"/>
          <w:rFonts w:cstheme="minorHAnsi"/>
        </w:rPr>
        <w:footnoteReference w:id="42"/>
      </w:r>
    </w:p>
    <w:p w14:paraId="65568A9D" w14:textId="77777777" w:rsidR="00482C77" w:rsidRDefault="00482C77" w:rsidP="00482C77">
      <w:pPr>
        <w:pStyle w:val="ListParagraph"/>
        <w:suppressAutoHyphens w:val="0"/>
        <w:ind w:left="357"/>
        <w:rPr>
          <w:rFonts w:cstheme="minorHAnsi"/>
        </w:rPr>
      </w:pPr>
    </w:p>
    <w:p w14:paraId="6D66FC79" w14:textId="6B19F586" w:rsidR="00D56791" w:rsidRDefault="00D56791" w:rsidP="00E33CCD">
      <w:pPr>
        <w:pStyle w:val="ListParagraph"/>
        <w:numPr>
          <w:ilvl w:val="0"/>
          <w:numId w:val="10"/>
        </w:numPr>
        <w:suppressAutoHyphens w:val="0"/>
        <w:ind w:left="357" w:hanging="357"/>
        <w:rPr>
          <w:rFonts w:cstheme="minorHAnsi"/>
        </w:rPr>
      </w:pPr>
      <w:r>
        <w:rPr>
          <w:rFonts w:cstheme="minorHAnsi"/>
        </w:rPr>
        <w:t>Given the take up of communications technology, Australia is clearly an attractive market for subscription</w:t>
      </w:r>
      <w:r w:rsidR="00D37200">
        <w:rPr>
          <w:rFonts w:cstheme="minorHAnsi"/>
        </w:rPr>
        <w:noBreakHyphen/>
      </w:r>
      <w:r>
        <w:rPr>
          <w:rFonts w:cstheme="minorHAnsi"/>
        </w:rPr>
        <w:t>based media. Netflix launched in Australia in 2015. Since this time, a significant number of new, online-only streaming services have come to Australia. These include Amazon Prime Video, Disney+, Apple TV+ and Paramount+. This is in addition to the domestic streaming offerings of Stan (launched in 2015)</w:t>
      </w:r>
      <w:r w:rsidR="00EB472B">
        <w:rPr>
          <w:rFonts w:cstheme="minorHAnsi"/>
        </w:rPr>
        <w:t>, Optus Sport (in 2016),</w:t>
      </w:r>
      <w:r>
        <w:rPr>
          <w:rFonts w:cstheme="minorHAnsi"/>
        </w:rPr>
        <w:t xml:space="preserve">  Kayo Sports (in 2018) and BINGE (in 2020).</w:t>
      </w:r>
    </w:p>
    <w:p w14:paraId="074CA453" w14:textId="77777777" w:rsidR="00482C77" w:rsidRDefault="00482C77" w:rsidP="00482C77">
      <w:pPr>
        <w:pStyle w:val="ListParagraph"/>
        <w:suppressAutoHyphens w:val="0"/>
        <w:ind w:left="357"/>
        <w:rPr>
          <w:rFonts w:cstheme="minorHAnsi"/>
        </w:rPr>
      </w:pPr>
    </w:p>
    <w:p w14:paraId="22F0B1C2" w14:textId="7858F0C7" w:rsidR="00D56791" w:rsidRDefault="00D56791" w:rsidP="00E33CCD">
      <w:pPr>
        <w:pStyle w:val="ListParagraph"/>
        <w:numPr>
          <w:ilvl w:val="0"/>
          <w:numId w:val="10"/>
        </w:numPr>
        <w:suppressAutoHyphens w:val="0"/>
        <w:ind w:left="357" w:hanging="357"/>
        <w:rPr>
          <w:rFonts w:cstheme="minorHAnsi"/>
        </w:rPr>
      </w:pPr>
      <w:r>
        <w:rPr>
          <w:rFonts w:cstheme="minorHAnsi"/>
        </w:rPr>
        <w:t>While the rate of new entrants to the Australian market is expected to moderate, the overall streaming market is forecast to continue to grow. The global video streaming market was valued at US$89</w:t>
      </w:r>
      <w:r>
        <w:rPr>
          <w:rFonts w:cstheme="minorHAnsi"/>
          <w:sz w:val="24"/>
        </w:rPr>
        <w:t>.</w:t>
      </w:r>
      <w:r>
        <w:rPr>
          <w:rFonts w:cstheme="minorHAnsi"/>
        </w:rPr>
        <w:t>03 billion in 2022 and is expected to grow at a compound annual growth rate of 21.5 per cent from 2023 to 2030.</w:t>
      </w:r>
      <w:r>
        <w:rPr>
          <w:rStyle w:val="FootnoteReference"/>
          <w:rFonts w:cstheme="minorHAnsi"/>
        </w:rPr>
        <w:footnoteReference w:id="43"/>
      </w:r>
    </w:p>
    <w:p w14:paraId="4BFA74B2" w14:textId="77777777" w:rsidR="00482C77" w:rsidRDefault="00482C77" w:rsidP="00482C77">
      <w:pPr>
        <w:pStyle w:val="ListParagraph"/>
        <w:suppressAutoHyphens w:val="0"/>
        <w:ind w:left="357"/>
        <w:rPr>
          <w:rFonts w:cstheme="minorHAnsi"/>
        </w:rPr>
      </w:pPr>
    </w:p>
    <w:p w14:paraId="06E02670" w14:textId="666C55D5" w:rsidR="00D56791" w:rsidRDefault="00D56791" w:rsidP="00E33CCD">
      <w:pPr>
        <w:pStyle w:val="ListParagraph"/>
        <w:numPr>
          <w:ilvl w:val="0"/>
          <w:numId w:val="10"/>
        </w:numPr>
        <w:suppressAutoHyphens w:val="0"/>
        <w:ind w:left="357" w:hanging="357"/>
        <w:rPr>
          <w:rFonts w:cstheme="minorHAnsi"/>
        </w:rPr>
      </w:pPr>
      <w:r>
        <w:rPr>
          <w:rFonts w:cstheme="minorHAnsi"/>
        </w:rPr>
        <w:t xml:space="preserve">As noted previously, sports bodies and broadcasters have indicated through the initial review </w:t>
      </w:r>
      <w:r w:rsidR="009F2422">
        <w:rPr>
          <w:rFonts w:cstheme="minorHAnsi"/>
        </w:rPr>
        <w:t xml:space="preserve">consultation </w:t>
      </w:r>
      <w:r>
        <w:rPr>
          <w:rFonts w:cstheme="minorHAnsi"/>
        </w:rPr>
        <w:t>process that online rights are critical to their future, with consumers increasingly demanding online sporting coverage and the associated rights deals providing critical income for sports bodies.</w:t>
      </w:r>
    </w:p>
    <w:p w14:paraId="24B13745" w14:textId="1A2A2DB3" w:rsidR="00FF6DFD" w:rsidRDefault="00D56791" w:rsidP="00D56791">
      <w:r>
        <w:t xml:space="preserve">In sum, there is a ‘regulatory gap’ in </w:t>
      </w:r>
      <w:r w:rsidR="006F593C">
        <w:t xml:space="preserve">the anti-siphoning scheme in </w:t>
      </w:r>
      <w:r>
        <w:t>relation to online services</w:t>
      </w:r>
      <w:r w:rsidR="00482C77">
        <w:t>,</w:t>
      </w:r>
      <w:r>
        <w:t xml:space="preserve"> and a </w:t>
      </w:r>
      <w:r w:rsidR="00482C77">
        <w:t xml:space="preserve">strong </w:t>
      </w:r>
      <w:r>
        <w:t xml:space="preserve">case to broaden the remit of the </w:t>
      </w:r>
      <w:r w:rsidR="00482C77">
        <w:t>scheme</w:t>
      </w:r>
      <w:r>
        <w:t xml:space="preserve"> to mitigate the attendant risks.</w:t>
      </w:r>
    </w:p>
    <w:p w14:paraId="41A7170A" w14:textId="57E79845" w:rsidR="000F7E6E" w:rsidRPr="00FA394C" w:rsidRDefault="000F7E6E" w:rsidP="000F7E6E">
      <w:pPr>
        <w:rPr>
          <w:b/>
        </w:rPr>
      </w:pPr>
      <w:r w:rsidRPr="00FA394C">
        <w:rPr>
          <w:b/>
        </w:rPr>
        <w:t>Regulation</w:t>
      </w:r>
    </w:p>
    <w:p w14:paraId="2F2B64AF" w14:textId="2EA69703" w:rsidR="003159D8" w:rsidRPr="00FA394C" w:rsidRDefault="003159D8" w:rsidP="000F7E6E">
      <w:r w:rsidRPr="00FA394C">
        <w:t xml:space="preserve">A number of overseas countries operate schemes that are similar to Australia’s anti-siphoning scheme. These schemes are concerned with protecting free access </w:t>
      </w:r>
      <w:r w:rsidR="004968E3" w:rsidRPr="00FA394C">
        <w:t>to</w:t>
      </w:r>
      <w:r w:rsidRPr="00FA394C">
        <w:t xml:space="preserve"> television coverage of sporting or cultural events of major importance to citizens in the relevant </w:t>
      </w:r>
      <w:r w:rsidR="00915E63" w:rsidRPr="00FA394C">
        <w:t>jurisdictions</w:t>
      </w:r>
      <w:r w:rsidRPr="00FA394C">
        <w:t>. While these schemes are similar in purpose to Australia’s</w:t>
      </w:r>
      <w:r w:rsidR="00B848DE" w:rsidRPr="00FA394C">
        <w:t xml:space="preserve"> anti-siphoning scheme</w:t>
      </w:r>
      <w:r w:rsidRPr="00FA394C">
        <w:t xml:space="preserve">, the composition and rationale for listing certain events and the type of coverage expected on free-to-air television is different. </w:t>
      </w:r>
    </w:p>
    <w:p w14:paraId="23AE25B7" w14:textId="77777777" w:rsidR="008A11CA" w:rsidRPr="00FA394C" w:rsidRDefault="008A11CA" w:rsidP="008A11CA">
      <w:pPr>
        <w:rPr>
          <w:rFonts w:cstheme="minorHAnsi"/>
        </w:rPr>
      </w:pPr>
      <w:bookmarkStart w:id="57" w:name="_Toc147622200"/>
      <w:r w:rsidRPr="00FA394C">
        <w:rPr>
          <w:rFonts w:cstheme="minorHAnsi"/>
        </w:rPr>
        <w:t xml:space="preserve">The UK listed events regime works by prohibiting the broadcast of exclusive rights of an event on the list without prior consent from the UK regulator, Office of Communications (Ofcom). The UK’s current list is divided into two categories (Group A and Group B). Where rights holders make an event available, full live coverage must be offered for purchase first to free-to-air channels for events in Group A. Group B events may have live coverage on subscription television provided that secondary coverage or highlights are offered for purchase first to free-to-air broadcasters. The UK Government has released a draft legislation </w:t>
      </w:r>
      <w:r w:rsidRPr="00FA394C">
        <w:t>to clarify that only public service broadcasting (free</w:t>
      </w:r>
      <w:r w:rsidRPr="00FA394C">
        <w:noBreakHyphen/>
        <w:t>to-air) services will qualify to bid for the rights to show listed events.</w:t>
      </w:r>
      <w:r w:rsidRPr="00FA394C">
        <w:rPr>
          <w:rStyle w:val="FootnoteReference"/>
        </w:rPr>
        <w:footnoteReference w:id="44"/>
      </w:r>
    </w:p>
    <w:p w14:paraId="6AE9ABC7" w14:textId="6FE63D09" w:rsidR="008A11CA" w:rsidRPr="00FA394C" w:rsidRDefault="008A11CA" w:rsidP="008A11CA">
      <w:r w:rsidRPr="00FA394C">
        <w:rPr>
          <w:rFonts w:cstheme="minorHAnsi"/>
        </w:rPr>
        <w:t>In the European Union, the Audiovisual Media Services Directive 2010, allows each member state to draw up a list of designated events to ensure that broadcasters under that state’s jurisdiction do not broadcast on these events on an exclusive basis events. Member states may determine whether these events should be available by whole or partial live coverage, or partial deferred coverage.</w:t>
      </w:r>
      <w:r w:rsidRPr="00FA394C">
        <w:rPr>
          <w:vertAlign w:val="superscript"/>
        </w:rPr>
        <w:footnoteReference w:id="45"/>
      </w:r>
      <w:r w:rsidRPr="00FA394C">
        <w:rPr>
          <w:rFonts w:cstheme="minorHAnsi"/>
        </w:rPr>
        <w:t xml:space="preserve"> Legislation has been enacted in a number of countries to implement this directive, including </w:t>
      </w:r>
      <w:r w:rsidRPr="00FA394C">
        <w:t xml:space="preserve">Austria, Belgium, Denmark, Finland, France, Germany, Ireland and Italy. </w:t>
      </w:r>
    </w:p>
    <w:p w14:paraId="276D0F1F" w14:textId="24780FA0" w:rsidR="00FF6DFD" w:rsidRPr="00FA394C" w:rsidRDefault="00FF6DFD" w:rsidP="00FF6DFD">
      <w:pPr>
        <w:pStyle w:val="Heading3"/>
      </w:pPr>
      <w:bookmarkStart w:id="58" w:name="_Toc150883261"/>
      <w:bookmarkStart w:id="59" w:name="_Toc151053043"/>
      <w:r w:rsidRPr="00FA394C">
        <w:t>Impact on Australian audiences</w:t>
      </w:r>
      <w:bookmarkEnd w:id="57"/>
      <w:bookmarkEnd w:id="58"/>
      <w:bookmarkEnd w:id="59"/>
    </w:p>
    <w:p w14:paraId="1DE9F10E" w14:textId="25D58ED5" w:rsidR="00FF1EF4" w:rsidRPr="00FA394C" w:rsidRDefault="000F7E6E" w:rsidP="00FF6DFD">
      <w:r w:rsidRPr="00FA394C">
        <w:rPr>
          <w:caps/>
          <w:color w:val="000000"/>
          <w:shd w:val="clear" w:color="auto" w:fill="FFFFFF"/>
        </w:rPr>
        <w:t>A</w:t>
      </w:r>
      <w:r w:rsidRPr="00FA394C">
        <w:rPr>
          <w:color w:val="000000"/>
          <w:shd w:val="clear" w:color="auto" w:fill="FFFFFF"/>
        </w:rPr>
        <w:t xml:space="preserve">s the boundaries between broadcasting and new media </w:t>
      </w:r>
      <w:r w:rsidR="003159D8" w:rsidRPr="00FA394C">
        <w:rPr>
          <w:color w:val="000000"/>
          <w:shd w:val="clear" w:color="auto" w:fill="FFFFFF"/>
        </w:rPr>
        <w:t>are increasingly eroded</w:t>
      </w:r>
      <w:r w:rsidRPr="00FA394C">
        <w:rPr>
          <w:color w:val="000000"/>
          <w:shd w:val="clear" w:color="auto" w:fill="FFFFFF"/>
        </w:rPr>
        <w:t xml:space="preserve">, there is a risk that </w:t>
      </w:r>
      <w:r w:rsidR="00FF1EF4" w:rsidRPr="00FA394C">
        <w:t xml:space="preserve">Australians </w:t>
      </w:r>
      <w:r w:rsidR="004968E3" w:rsidRPr="00FA394C">
        <w:t>may</w:t>
      </w:r>
      <w:r w:rsidR="00FF1EF4" w:rsidRPr="00FA394C">
        <w:t xml:space="preserve"> miss out on watching events of national importance and cultural significance. This </w:t>
      </w:r>
      <w:r w:rsidRPr="00FA394C">
        <w:t>impacts Australians a number of ways.</w:t>
      </w:r>
    </w:p>
    <w:p w14:paraId="180205F2" w14:textId="14845B3B" w:rsidR="002520AB" w:rsidRPr="00FA394C" w:rsidRDefault="002520AB" w:rsidP="00FF6DFD">
      <w:pPr>
        <w:rPr>
          <w:b/>
        </w:rPr>
      </w:pPr>
      <w:r w:rsidRPr="00FA394C">
        <w:rPr>
          <w:b/>
        </w:rPr>
        <w:t>Direct costs</w:t>
      </w:r>
    </w:p>
    <w:p w14:paraId="25CD0AD2" w14:textId="676C4982" w:rsidR="008746DC" w:rsidRPr="00FA394C" w:rsidRDefault="008746DC" w:rsidP="007F3CD1">
      <w:pPr>
        <w:rPr>
          <w:rFonts w:ascii="Calibri" w:eastAsia="Calibri" w:hAnsi="Calibri" w:cs="Calibri"/>
          <w:color w:val="000000"/>
        </w:rPr>
      </w:pPr>
      <w:r w:rsidRPr="00FA394C">
        <w:t>A</w:t>
      </w:r>
      <w:r w:rsidR="00E04333" w:rsidRPr="00FA394C">
        <w:t xml:space="preserve">s noted above, many online services </w:t>
      </w:r>
      <w:r w:rsidR="004968E3" w:rsidRPr="00FA394C">
        <w:t xml:space="preserve">operate on a </w:t>
      </w:r>
      <w:r w:rsidR="00E04333" w:rsidRPr="00FA394C">
        <w:t xml:space="preserve">subscription </w:t>
      </w:r>
      <w:r w:rsidR="004968E3" w:rsidRPr="00FA394C">
        <w:t>basis</w:t>
      </w:r>
      <w:r w:rsidR="00E04333" w:rsidRPr="00FA394C">
        <w:t xml:space="preserve">. </w:t>
      </w:r>
      <w:r w:rsidR="00916CC1" w:rsidRPr="00FA394C">
        <w:t xml:space="preserve">While there are some free </w:t>
      </w:r>
      <w:r w:rsidR="004968E3" w:rsidRPr="00FA394C">
        <w:t xml:space="preserve">content </w:t>
      </w:r>
      <w:r w:rsidR="00916CC1" w:rsidRPr="00FA394C">
        <w:t xml:space="preserve">offerings, </w:t>
      </w:r>
      <w:r w:rsidR="004968E3" w:rsidRPr="00FA394C">
        <w:t xml:space="preserve">most are based on monthly fees. For example, </w:t>
      </w:r>
      <w:r w:rsidR="00916CC1" w:rsidRPr="00FA394C">
        <w:t>Kayo Sports charges $25 to $35 per month</w:t>
      </w:r>
      <w:r w:rsidR="005C4B58" w:rsidRPr="00FA394C">
        <w:t>,</w:t>
      </w:r>
      <w:r w:rsidR="00916CC1" w:rsidRPr="00FA394C">
        <w:rPr>
          <w:rStyle w:val="FootnoteReference"/>
        </w:rPr>
        <w:footnoteReference w:id="46"/>
      </w:r>
      <w:r w:rsidR="005C4B58" w:rsidRPr="00FA394C">
        <w:t xml:space="preserve"> </w:t>
      </w:r>
      <w:r w:rsidR="004968E3" w:rsidRPr="00FA394C">
        <w:t xml:space="preserve">while </w:t>
      </w:r>
      <w:r w:rsidR="005C4B58" w:rsidRPr="00FA394C">
        <w:t xml:space="preserve">Optus Sports charges $6.99 per month for </w:t>
      </w:r>
      <w:r w:rsidR="008A11CA" w:rsidRPr="00FA394C">
        <w:t>eligible</w:t>
      </w:r>
      <w:r w:rsidR="004968E3" w:rsidRPr="00FA394C">
        <w:t xml:space="preserve"> Optus</w:t>
      </w:r>
      <w:r w:rsidR="005C4B58" w:rsidRPr="00FA394C">
        <w:t xml:space="preserve"> customers</w:t>
      </w:r>
      <w:r w:rsidR="004968E3" w:rsidRPr="00FA394C">
        <w:t xml:space="preserve">, or </w:t>
      </w:r>
      <w:r w:rsidR="005C4B58" w:rsidRPr="00FA394C">
        <w:t>$24.99 per month or $199 per year</w:t>
      </w:r>
      <w:r w:rsidR="00B458D9" w:rsidRPr="00FA394C">
        <w:t xml:space="preserve"> for non-Optus customers.</w:t>
      </w:r>
      <w:r w:rsidR="00797E0C" w:rsidRPr="00FA394C">
        <w:rPr>
          <w:rStyle w:val="FootnoteReference"/>
        </w:rPr>
        <w:footnoteReference w:id="47"/>
      </w:r>
      <w:r w:rsidR="005C4B58" w:rsidRPr="00FA394C">
        <w:t xml:space="preserve"> </w:t>
      </w:r>
      <w:r w:rsidRPr="00FA394C">
        <w:t>Without regulat</w:t>
      </w:r>
      <w:r w:rsidR="009F2422">
        <w:t xml:space="preserve">ory </w:t>
      </w:r>
      <w:r w:rsidR="004968E3" w:rsidRPr="00FA394C">
        <w:t xml:space="preserve">intervention, </w:t>
      </w:r>
      <w:r w:rsidRPr="00FA394C">
        <w:t xml:space="preserve">there is a risk that </w:t>
      </w:r>
      <w:r w:rsidR="005C4B58" w:rsidRPr="00FA394C">
        <w:t xml:space="preserve">Australians </w:t>
      </w:r>
      <w:r w:rsidRPr="00FA394C">
        <w:t xml:space="preserve">would have to pay </w:t>
      </w:r>
      <w:r w:rsidR="004968E3" w:rsidRPr="00FA394C">
        <w:t>to continue to watch the events that they have traditionally viewed without fees or explicit payment</w:t>
      </w:r>
      <w:r w:rsidR="00E43E92" w:rsidRPr="00FA394C">
        <w:t>.</w:t>
      </w:r>
      <w:r w:rsidR="005C4B58" w:rsidRPr="00FA394C">
        <w:t xml:space="preserve"> </w:t>
      </w:r>
      <w:r w:rsidRPr="00FA394C">
        <w:rPr>
          <w:rFonts w:ascii="Calibri" w:eastAsia="Calibri" w:hAnsi="Calibri" w:cs="Calibri"/>
          <w:color w:val="000000"/>
        </w:rPr>
        <w:t xml:space="preserve">Research has found that cost is the most common factor </w:t>
      </w:r>
      <w:r w:rsidR="009F2422">
        <w:rPr>
          <w:rFonts w:ascii="Calibri" w:eastAsia="Calibri" w:hAnsi="Calibri" w:cs="Calibri"/>
          <w:color w:val="000000"/>
        </w:rPr>
        <w:t xml:space="preserve">considered by </w:t>
      </w:r>
      <w:r w:rsidRPr="00FA394C">
        <w:rPr>
          <w:rFonts w:ascii="Calibri" w:eastAsia="Calibri" w:hAnsi="Calibri" w:cs="Calibri"/>
          <w:color w:val="000000"/>
        </w:rPr>
        <w:t>consumers when determining whether to cancel an SVOD service.</w:t>
      </w:r>
      <w:r w:rsidRPr="00FA394C">
        <w:rPr>
          <w:rFonts w:ascii="Calibri" w:eastAsia="Calibri" w:hAnsi="Calibri" w:cs="Calibri"/>
          <w:color w:val="000000"/>
          <w:vertAlign w:val="superscript"/>
        </w:rPr>
        <w:footnoteReference w:id="48"/>
      </w:r>
    </w:p>
    <w:p w14:paraId="5D9EE58C" w14:textId="48415F3C" w:rsidR="002520AB" w:rsidRPr="00C10DE5" w:rsidRDefault="002520AB" w:rsidP="007F3CD1">
      <w:pPr>
        <w:rPr>
          <w:b/>
        </w:rPr>
      </w:pPr>
      <w:r w:rsidRPr="00C10DE5">
        <w:rPr>
          <w:b/>
        </w:rPr>
        <w:t>Indirect costs</w:t>
      </w:r>
    </w:p>
    <w:p w14:paraId="0ED08663" w14:textId="103EF775" w:rsidR="00D16A21" w:rsidRPr="00C10DE5" w:rsidRDefault="00E43E92" w:rsidP="00E43E92">
      <w:pPr>
        <w:suppressAutoHyphens w:val="0"/>
        <w:rPr>
          <w:rFonts w:ascii="Calibri" w:eastAsia="Calibri" w:hAnsi="Calibri" w:cs="Times New Roman"/>
          <w:color w:val="000000"/>
          <w:szCs w:val="18"/>
        </w:rPr>
      </w:pPr>
      <w:r w:rsidRPr="00C10DE5">
        <w:rPr>
          <w:rFonts w:ascii="Calibri" w:eastAsia="Calibri" w:hAnsi="Calibri" w:cs="Calibri"/>
          <w:color w:val="000000"/>
        </w:rPr>
        <w:t>A</w:t>
      </w:r>
      <w:r w:rsidR="00D16A21" w:rsidRPr="00C10DE5">
        <w:rPr>
          <w:rFonts w:ascii="Calibri" w:eastAsia="Calibri" w:hAnsi="Calibri" w:cs="Calibri"/>
          <w:color w:val="000000"/>
        </w:rPr>
        <w:t xml:space="preserve">ccessing services online </w:t>
      </w:r>
      <w:r w:rsidR="004968E3" w:rsidRPr="00C10DE5">
        <w:rPr>
          <w:rFonts w:ascii="Calibri" w:eastAsia="Calibri" w:hAnsi="Calibri" w:cs="Calibri"/>
          <w:color w:val="000000"/>
        </w:rPr>
        <w:t xml:space="preserve">also </w:t>
      </w:r>
      <w:r w:rsidR="00D16A21" w:rsidRPr="00C10DE5">
        <w:rPr>
          <w:rFonts w:ascii="Calibri" w:eastAsia="Calibri" w:hAnsi="Calibri" w:cs="Calibri"/>
          <w:color w:val="000000"/>
        </w:rPr>
        <w:t>involves additional, indirect costs associated</w:t>
      </w:r>
      <w:r w:rsidR="004968E3" w:rsidRPr="00C10DE5">
        <w:rPr>
          <w:rFonts w:ascii="Calibri" w:eastAsia="Calibri" w:hAnsi="Calibri" w:cs="Calibri"/>
          <w:color w:val="000000"/>
        </w:rPr>
        <w:t xml:space="preserve"> </w:t>
      </w:r>
      <w:r w:rsidR="00D16A21" w:rsidRPr="00C10DE5">
        <w:rPr>
          <w:rFonts w:ascii="Calibri" w:eastAsia="Calibri" w:hAnsi="Calibri" w:cs="Calibri"/>
          <w:color w:val="000000"/>
        </w:rPr>
        <w:t>with an internet connection</w:t>
      </w:r>
      <w:r w:rsidRPr="00C10DE5">
        <w:rPr>
          <w:rFonts w:ascii="Calibri" w:eastAsia="Calibri" w:hAnsi="Calibri" w:cs="Calibri"/>
          <w:color w:val="000000"/>
        </w:rPr>
        <w:t xml:space="preserve">, including </w:t>
      </w:r>
      <w:r w:rsidR="00D16A21" w:rsidRPr="00C10DE5">
        <w:rPr>
          <w:rFonts w:ascii="Calibri" w:eastAsia="Calibri" w:hAnsi="Calibri" w:cs="Calibri"/>
          <w:color w:val="000000"/>
        </w:rPr>
        <w:t>fixed broadband service</w:t>
      </w:r>
      <w:r w:rsidR="004968E3" w:rsidRPr="00C10DE5">
        <w:rPr>
          <w:rFonts w:ascii="Calibri" w:eastAsia="Calibri" w:hAnsi="Calibri" w:cs="Calibri"/>
          <w:color w:val="000000"/>
        </w:rPr>
        <w:t>s</w:t>
      </w:r>
      <w:r w:rsidR="00D16A21" w:rsidRPr="00C10DE5">
        <w:rPr>
          <w:rFonts w:ascii="Calibri" w:eastAsia="Calibri" w:hAnsi="Calibri" w:cs="Calibri"/>
          <w:color w:val="000000"/>
        </w:rPr>
        <w:t>, mobile broadband service</w:t>
      </w:r>
      <w:r w:rsidR="004968E3" w:rsidRPr="00C10DE5">
        <w:rPr>
          <w:rFonts w:ascii="Calibri" w:eastAsia="Calibri" w:hAnsi="Calibri" w:cs="Calibri"/>
          <w:color w:val="000000"/>
        </w:rPr>
        <w:t>s</w:t>
      </w:r>
      <w:r w:rsidR="00D16A21" w:rsidRPr="00C10DE5">
        <w:rPr>
          <w:rFonts w:ascii="Calibri" w:eastAsia="Calibri" w:hAnsi="Calibri" w:cs="Calibri"/>
          <w:color w:val="000000"/>
        </w:rPr>
        <w:t>, mobile service</w:t>
      </w:r>
      <w:r w:rsidR="004968E3" w:rsidRPr="00C10DE5">
        <w:rPr>
          <w:rFonts w:ascii="Calibri" w:eastAsia="Calibri" w:hAnsi="Calibri" w:cs="Calibri"/>
          <w:color w:val="000000"/>
        </w:rPr>
        <w:t>s</w:t>
      </w:r>
      <w:r w:rsidR="00D16A21" w:rsidRPr="00C10DE5">
        <w:rPr>
          <w:rFonts w:ascii="Calibri" w:eastAsia="Calibri" w:hAnsi="Calibri" w:cs="Calibri"/>
          <w:color w:val="000000"/>
        </w:rPr>
        <w:t>, satellite or ADSL service</w:t>
      </w:r>
      <w:r w:rsidR="004968E3" w:rsidRPr="00C10DE5">
        <w:rPr>
          <w:rFonts w:ascii="Calibri" w:eastAsia="Calibri" w:hAnsi="Calibri" w:cs="Calibri"/>
          <w:color w:val="000000"/>
        </w:rPr>
        <w:t>s</w:t>
      </w:r>
      <w:r w:rsidR="00D16A21" w:rsidRPr="00C10DE5">
        <w:rPr>
          <w:rFonts w:ascii="Calibri" w:eastAsia="Calibri" w:hAnsi="Calibri" w:cs="Calibri"/>
          <w:color w:val="000000"/>
        </w:rPr>
        <w:t xml:space="preserve">. Each </w:t>
      </w:r>
      <w:r w:rsidRPr="00C10DE5">
        <w:rPr>
          <w:rFonts w:ascii="Calibri" w:eastAsia="Calibri" w:hAnsi="Calibri" w:cs="Calibri"/>
          <w:color w:val="000000"/>
        </w:rPr>
        <w:t xml:space="preserve">service </w:t>
      </w:r>
      <w:r w:rsidR="00D16A21" w:rsidRPr="00C10DE5">
        <w:rPr>
          <w:rFonts w:ascii="Calibri" w:eastAsia="Calibri" w:hAnsi="Calibri" w:cs="Calibri"/>
          <w:color w:val="000000"/>
        </w:rPr>
        <w:t xml:space="preserve">will have costs, typically charged monthly, as well as upfront costs. </w:t>
      </w:r>
      <w:r w:rsidR="004968E3" w:rsidRPr="00C10DE5">
        <w:rPr>
          <w:rFonts w:ascii="Calibri" w:eastAsia="Calibri" w:hAnsi="Calibri" w:cs="Calibri"/>
          <w:color w:val="000000"/>
        </w:rPr>
        <w:t>While</w:t>
      </w:r>
      <w:r w:rsidR="00D16A21" w:rsidRPr="00C10DE5">
        <w:rPr>
          <w:rFonts w:ascii="Calibri" w:eastAsia="Calibri" w:hAnsi="Calibri" w:cs="Calibri"/>
          <w:color w:val="000000"/>
        </w:rPr>
        <w:t xml:space="preserve"> the majority of Australians can afford to meet these access costs</w:t>
      </w:r>
      <w:r w:rsidR="004968E3" w:rsidRPr="00C10DE5">
        <w:rPr>
          <w:rFonts w:ascii="Calibri" w:eastAsia="Calibri" w:hAnsi="Calibri" w:cs="Calibri"/>
          <w:color w:val="000000"/>
        </w:rPr>
        <w:t xml:space="preserve">, a small but significant proportion cannot. </w:t>
      </w:r>
      <w:r w:rsidR="00D16A21" w:rsidRPr="00C10DE5">
        <w:rPr>
          <w:rFonts w:ascii="Calibri" w:eastAsia="Calibri" w:hAnsi="Calibri" w:cs="Times New Roman"/>
          <w:color w:val="000000"/>
          <w:szCs w:val="18"/>
        </w:rPr>
        <w:t>In 2022, 4 per cent of Australians needed to pay more than 10 per cent of their household income to gain quality, reliable internet connectivity, with this figure at 27 per cent of those in the lowest income quintile.</w:t>
      </w:r>
      <w:r w:rsidR="00D16A21" w:rsidRPr="00C10DE5">
        <w:rPr>
          <w:rFonts w:ascii="Calibri" w:eastAsia="Calibri" w:hAnsi="Calibri" w:cs="Times New Roman"/>
          <w:color w:val="000000"/>
          <w:szCs w:val="18"/>
          <w:vertAlign w:val="superscript"/>
        </w:rPr>
        <w:footnoteReference w:id="49"/>
      </w:r>
      <w:r w:rsidRPr="00C10DE5">
        <w:rPr>
          <w:rFonts w:ascii="Calibri" w:eastAsia="Calibri" w:hAnsi="Calibri" w:cs="Calibri"/>
          <w:color w:val="000000"/>
        </w:rPr>
        <w:t xml:space="preserve"> </w:t>
      </w:r>
      <w:r w:rsidR="00D16A21" w:rsidRPr="00C10DE5">
        <w:rPr>
          <w:rFonts w:ascii="Calibri" w:eastAsia="Calibri" w:hAnsi="Calibri" w:cs="Times New Roman"/>
          <w:color w:val="000000"/>
          <w:szCs w:val="18"/>
        </w:rPr>
        <w:t>This research also found that, in 2022, 32 per cent of those in the lowest income quintile and 27 per cent of those in the second lowest income quintile expressed some level of concern over the cost of internet access.</w:t>
      </w:r>
      <w:r w:rsidR="00D16A21" w:rsidRPr="00C10DE5">
        <w:rPr>
          <w:rFonts w:ascii="Calibri" w:eastAsia="Calibri" w:hAnsi="Calibri" w:cs="Times New Roman"/>
          <w:color w:val="000000"/>
          <w:vertAlign w:val="superscript"/>
        </w:rPr>
        <w:footnoteReference w:id="50"/>
      </w:r>
    </w:p>
    <w:p w14:paraId="70C04A9F" w14:textId="05E9A023" w:rsidR="00D16A21" w:rsidRPr="00C10DE5" w:rsidRDefault="00A11784" w:rsidP="007F3CD1">
      <w:pPr>
        <w:spacing w:after="0"/>
        <w:rPr>
          <w:b/>
        </w:rPr>
      </w:pPr>
      <w:r w:rsidRPr="00C10DE5">
        <w:rPr>
          <w:b/>
        </w:rPr>
        <w:t>Access</w:t>
      </w:r>
    </w:p>
    <w:p w14:paraId="1BFB9A9E" w14:textId="57E3B771" w:rsidR="00FF1EF4" w:rsidRPr="00C10DE5" w:rsidRDefault="006504E2" w:rsidP="00FF1EF4">
      <w:pPr>
        <w:spacing w:after="0"/>
        <w:rPr>
          <w:rFonts w:ascii="Calibri" w:eastAsia="Calibri" w:hAnsi="Calibri" w:cs="Times New Roman"/>
          <w:color w:val="000000"/>
        </w:rPr>
      </w:pPr>
      <w:r w:rsidRPr="00C10DE5">
        <w:rPr>
          <w:rFonts w:ascii="Calibri" w:eastAsia="Calibri" w:hAnsi="Calibri" w:cs="Times New Roman"/>
          <w:color w:val="000000"/>
        </w:rPr>
        <w:t>T</w:t>
      </w:r>
      <w:r w:rsidR="00FF1EF4" w:rsidRPr="00C10DE5">
        <w:rPr>
          <w:rFonts w:ascii="Calibri" w:eastAsia="Calibri" w:hAnsi="Calibri" w:cs="Times New Roman"/>
          <w:color w:val="000000"/>
        </w:rPr>
        <w:t>ake-up of broadband services is high at an aggregate level</w:t>
      </w:r>
      <w:r w:rsidRPr="00C10DE5">
        <w:rPr>
          <w:rFonts w:ascii="Calibri" w:eastAsia="Calibri" w:hAnsi="Calibri" w:cs="Times New Roman"/>
          <w:color w:val="000000"/>
        </w:rPr>
        <w:t>; as at June</w:t>
      </w:r>
      <w:r w:rsidRPr="00C10DE5">
        <w:rPr>
          <w:rFonts w:ascii="Calibri" w:eastAsia="Calibri" w:hAnsi="Calibri" w:cs="Calibri"/>
          <w:color w:val="000000"/>
        </w:rPr>
        <w:t xml:space="preserve"> 2022,</w:t>
      </w:r>
      <w:r w:rsidR="00FF1EF4" w:rsidRPr="00C10DE5">
        <w:rPr>
          <w:rFonts w:ascii="Calibri" w:eastAsia="Calibri" w:hAnsi="Calibri" w:cs="Times New Roman"/>
          <w:color w:val="000000"/>
        </w:rPr>
        <w:t xml:space="preserve"> </w:t>
      </w:r>
      <w:r w:rsidR="00FF1EF4" w:rsidRPr="00C10DE5">
        <w:rPr>
          <w:rFonts w:ascii="Calibri" w:eastAsia="Times New Roman" w:hAnsi="Calibri" w:cs="Calibri"/>
          <w:color w:val="000000"/>
          <w:lang w:val="x-none"/>
        </w:rPr>
        <w:t>99</w:t>
      </w:r>
      <w:r w:rsidR="00FF1EF4" w:rsidRPr="00C10DE5">
        <w:rPr>
          <w:rFonts w:ascii="Calibri" w:eastAsia="Times New Roman" w:hAnsi="Calibri" w:cs="Calibri"/>
          <w:color w:val="000000"/>
        </w:rPr>
        <w:t xml:space="preserve"> per cent</w:t>
      </w:r>
      <w:r w:rsidR="00FF1EF4" w:rsidRPr="00C10DE5">
        <w:rPr>
          <w:rFonts w:ascii="Calibri" w:eastAsia="Times New Roman" w:hAnsi="Calibri" w:cs="Calibri"/>
          <w:color w:val="000000"/>
          <w:lang w:val="x-none"/>
        </w:rPr>
        <w:t xml:space="preserve"> of Australian</w:t>
      </w:r>
      <w:r w:rsidR="00140527" w:rsidRPr="00C10DE5">
        <w:rPr>
          <w:rFonts w:ascii="Calibri" w:eastAsia="Times New Roman" w:hAnsi="Calibri" w:cs="Calibri"/>
          <w:color w:val="000000"/>
        </w:rPr>
        <w:t xml:space="preserve"> adults</w:t>
      </w:r>
      <w:r w:rsidRPr="00C10DE5">
        <w:rPr>
          <w:rFonts w:ascii="Calibri" w:eastAsia="Times New Roman" w:hAnsi="Calibri" w:cs="Calibri"/>
          <w:color w:val="000000"/>
          <w:lang w:val="en-US"/>
        </w:rPr>
        <w:t xml:space="preserve"> had some form</w:t>
      </w:r>
      <w:r w:rsidR="00FF1EF4" w:rsidRPr="00C10DE5">
        <w:rPr>
          <w:rFonts w:ascii="Calibri" w:eastAsia="Times New Roman" w:hAnsi="Calibri" w:cs="Calibri"/>
          <w:color w:val="000000"/>
          <w:lang w:val="x-none"/>
        </w:rPr>
        <w:t xml:space="preserve"> </w:t>
      </w:r>
      <w:r w:rsidR="009F2422">
        <w:rPr>
          <w:rFonts w:ascii="Calibri" w:eastAsia="Times New Roman" w:hAnsi="Calibri" w:cs="Calibri"/>
          <w:color w:val="000000"/>
        </w:rPr>
        <w:t xml:space="preserve">of </w:t>
      </w:r>
      <w:r w:rsidR="00FF1EF4" w:rsidRPr="00C10DE5">
        <w:rPr>
          <w:rFonts w:ascii="Calibri" w:eastAsia="Times New Roman" w:hAnsi="Calibri" w:cs="Calibri"/>
          <w:color w:val="000000"/>
          <w:lang w:val="x-none"/>
        </w:rPr>
        <w:t xml:space="preserve">access </w:t>
      </w:r>
      <w:r w:rsidRPr="00C10DE5">
        <w:rPr>
          <w:rFonts w:ascii="Calibri" w:eastAsia="Times New Roman" w:hAnsi="Calibri" w:cs="Calibri"/>
          <w:color w:val="000000"/>
          <w:lang w:val="en-US"/>
        </w:rPr>
        <w:t xml:space="preserve">to </w:t>
      </w:r>
      <w:r w:rsidR="00FF1EF4" w:rsidRPr="00C10DE5">
        <w:rPr>
          <w:rFonts w:ascii="Calibri" w:eastAsia="Times New Roman" w:hAnsi="Calibri" w:cs="Calibri"/>
          <w:color w:val="000000"/>
          <w:lang w:val="x-none"/>
        </w:rPr>
        <w:t>the internet</w:t>
      </w:r>
      <w:r w:rsidR="00FF1EF4" w:rsidRPr="00C10DE5">
        <w:rPr>
          <w:rFonts w:ascii="Calibri" w:eastAsia="Calibri" w:hAnsi="Calibri" w:cs="Times New Roman"/>
          <w:color w:val="000000"/>
        </w:rPr>
        <w:t>.</w:t>
      </w:r>
      <w:r w:rsidR="00FF1EF4" w:rsidRPr="00C10DE5">
        <w:rPr>
          <w:rFonts w:ascii="Calibri" w:eastAsia="Calibri" w:hAnsi="Calibri" w:cs="Calibri"/>
          <w:color w:val="000000"/>
          <w:vertAlign w:val="superscript"/>
        </w:rPr>
        <w:footnoteReference w:id="51"/>
      </w:r>
      <w:r w:rsidR="00FF1EF4" w:rsidRPr="00C10DE5">
        <w:rPr>
          <w:rFonts w:ascii="Calibri" w:eastAsia="Calibri" w:hAnsi="Calibri" w:cs="Calibri"/>
          <w:color w:val="000000"/>
        </w:rPr>
        <w:t xml:space="preserve"> However, many Australians have not taken up a home internet connection. In 2022, 6.82 per cent of Australian</w:t>
      </w:r>
      <w:r w:rsidR="00170E06">
        <w:rPr>
          <w:rFonts w:ascii="Calibri" w:eastAsia="Calibri" w:hAnsi="Calibri" w:cs="Calibri"/>
          <w:color w:val="000000"/>
        </w:rPr>
        <w:t xml:space="preserve"> </w:t>
      </w:r>
      <w:r w:rsidR="00170E06" w:rsidRPr="00C10DE5">
        <w:rPr>
          <w:rFonts w:ascii="Calibri" w:eastAsia="Calibri" w:hAnsi="Calibri" w:cs="Calibri"/>
          <w:color w:val="000000"/>
        </w:rPr>
        <w:t>adults</w:t>
      </w:r>
      <w:r w:rsidR="00FF1EF4" w:rsidRPr="00C10DE5">
        <w:rPr>
          <w:rFonts w:ascii="Calibri" w:eastAsia="Calibri" w:hAnsi="Calibri" w:cs="Calibri"/>
          <w:color w:val="000000"/>
        </w:rPr>
        <w:t xml:space="preserve"> had no internet connection at home,</w:t>
      </w:r>
      <w:r w:rsidR="00FF1EF4" w:rsidRPr="00C10DE5">
        <w:rPr>
          <w:rFonts w:ascii="Calibri" w:eastAsia="Calibri" w:hAnsi="Calibri" w:cs="Calibri"/>
          <w:color w:val="000000"/>
          <w:vertAlign w:val="superscript"/>
        </w:rPr>
        <w:footnoteReference w:id="52"/>
      </w:r>
      <w:r w:rsidR="00FF1EF4" w:rsidRPr="00C10DE5">
        <w:rPr>
          <w:rFonts w:ascii="Calibri" w:eastAsia="Calibri" w:hAnsi="Calibri" w:cs="Calibri"/>
          <w:color w:val="000000"/>
        </w:rPr>
        <w:t xml:space="preserve"> and lower take-up is more prevalent among particular groups:</w:t>
      </w:r>
    </w:p>
    <w:p w14:paraId="1E6765C2" w14:textId="22F016CA" w:rsidR="00FF1EF4" w:rsidRPr="00C10DE5" w:rsidRDefault="00FF1EF4" w:rsidP="00FF1EF4">
      <w:pPr>
        <w:numPr>
          <w:ilvl w:val="0"/>
          <w:numId w:val="12"/>
        </w:numPr>
        <w:spacing w:after="0"/>
        <w:rPr>
          <w:rFonts w:ascii="Calibri" w:eastAsia="Calibri" w:hAnsi="Calibri" w:cs="Calibri"/>
          <w:color w:val="000000"/>
        </w:rPr>
      </w:pPr>
      <w:r w:rsidRPr="00C10DE5">
        <w:rPr>
          <w:rFonts w:ascii="Calibri" w:eastAsia="Calibri" w:hAnsi="Calibri" w:cs="Calibri"/>
          <w:color w:val="000000"/>
        </w:rPr>
        <w:t>8.51 per cent of regional Australian</w:t>
      </w:r>
      <w:r w:rsidR="00170E06">
        <w:rPr>
          <w:rFonts w:ascii="Calibri" w:eastAsia="Calibri" w:hAnsi="Calibri" w:cs="Calibri"/>
          <w:color w:val="000000"/>
        </w:rPr>
        <w:t xml:space="preserve"> </w:t>
      </w:r>
      <w:r w:rsidR="00170E06" w:rsidRPr="00C10DE5">
        <w:rPr>
          <w:rFonts w:ascii="Calibri" w:eastAsia="Calibri" w:hAnsi="Calibri" w:cs="Calibri"/>
          <w:color w:val="000000"/>
        </w:rPr>
        <w:t>adults</w:t>
      </w:r>
      <w:r w:rsidRPr="00C10DE5">
        <w:rPr>
          <w:rFonts w:ascii="Calibri" w:eastAsia="Calibri" w:hAnsi="Calibri" w:cs="Calibri"/>
          <w:color w:val="000000"/>
        </w:rPr>
        <w:t xml:space="preserve"> had no internet connection at home, compared with 5.93 per cent of those in metropolitan areas.</w:t>
      </w:r>
      <w:r w:rsidRPr="00C10DE5">
        <w:rPr>
          <w:rFonts w:ascii="Calibri" w:eastAsia="Calibri" w:hAnsi="Calibri" w:cs="Calibri"/>
          <w:color w:val="000000"/>
          <w:vertAlign w:val="superscript"/>
        </w:rPr>
        <w:footnoteReference w:id="53"/>
      </w:r>
    </w:p>
    <w:p w14:paraId="7FB78C74" w14:textId="76B4A0EC" w:rsidR="00FF1EF4" w:rsidRPr="00C10DE5" w:rsidRDefault="00FF1EF4" w:rsidP="00FF1EF4">
      <w:pPr>
        <w:numPr>
          <w:ilvl w:val="0"/>
          <w:numId w:val="12"/>
        </w:numPr>
        <w:spacing w:after="0"/>
        <w:rPr>
          <w:rFonts w:ascii="Calibri" w:eastAsia="Calibri" w:hAnsi="Calibri" w:cs="Calibri"/>
          <w:color w:val="000000"/>
        </w:rPr>
      </w:pPr>
      <w:r w:rsidRPr="00C10DE5">
        <w:rPr>
          <w:rFonts w:ascii="Calibri" w:eastAsia="Calibri" w:hAnsi="Calibri" w:cs="Calibri"/>
          <w:color w:val="000000"/>
        </w:rPr>
        <w:t>11.71 per cent of Australian</w:t>
      </w:r>
      <w:r w:rsidR="00170E06">
        <w:rPr>
          <w:rFonts w:ascii="Calibri" w:eastAsia="Calibri" w:hAnsi="Calibri" w:cs="Calibri"/>
          <w:color w:val="000000"/>
        </w:rPr>
        <w:t xml:space="preserve"> </w:t>
      </w:r>
      <w:r w:rsidRPr="00C10DE5">
        <w:rPr>
          <w:rFonts w:ascii="Calibri" w:eastAsia="Calibri" w:hAnsi="Calibri" w:cs="Calibri"/>
          <w:color w:val="000000"/>
        </w:rPr>
        <w:t>over the age of 75 had no internet connection at home.</w:t>
      </w:r>
      <w:r w:rsidRPr="00C10DE5">
        <w:rPr>
          <w:rFonts w:ascii="Calibri" w:eastAsia="Calibri" w:hAnsi="Calibri" w:cs="Calibri"/>
          <w:color w:val="000000"/>
          <w:vertAlign w:val="superscript"/>
        </w:rPr>
        <w:footnoteReference w:id="54"/>
      </w:r>
    </w:p>
    <w:p w14:paraId="34AFCD26" w14:textId="1209BA2E" w:rsidR="00FF1EF4" w:rsidRPr="00C10DE5" w:rsidRDefault="00FF1EF4" w:rsidP="007F3CD1">
      <w:pPr>
        <w:spacing w:after="0"/>
        <w:rPr>
          <w:rFonts w:ascii="Calibri" w:eastAsia="Calibri" w:hAnsi="Calibri" w:cs="Times New Roman"/>
          <w:color w:val="000000"/>
        </w:rPr>
      </w:pPr>
      <w:r w:rsidRPr="00C10DE5">
        <w:rPr>
          <w:rFonts w:ascii="Calibri" w:eastAsia="Calibri" w:hAnsi="Calibri" w:cs="Calibri"/>
          <w:color w:val="000000"/>
        </w:rPr>
        <w:t xml:space="preserve">Other surveys have found that, although the </w:t>
      </w:r>
      <w:r w:rsidRPr="00C10DE5">
        <w:rPr>
          <w:rFonts w:ascii="Calibri" w:eastAsia="Calibri" w:hAnsi="Calibri" w:cs="Times New Roman"/>
          <w:color w:val="000000"/>
        </w:rPr>
        <w:t>divide between metropolitan and regional areas has narrowed in recent years, it remains marked, and that those aged over 75 continue to be left behind.</w:t>
      </w:r>
      <w:r w:rsidRPr="00C10DE5">
        <w:rPr>
          <w:rFonts w:ascii="Calibri" w:eastAsia="Calibri" w:hAnsi="Calibri" w:cs="Times New Roman"/>
          <w:color w:val="000000"/>
          <w:vertAlign w:val="superscript"/>
        </w:rPr>
        <w:footnoteReference w:id="55"/>
      </w:r>
      <w:r w:rsidRPr="00C10DE5">
        <w:rPr>
          <w:rFonts w:ascii="Calibri" w:eastAsia="Calibri" w:hAnsi="Calibri" w:cs="Times New Roman"/>
          <w:color w:val="000000"/>
        </w:rPr>
        <w:t xml:space="preserve"> While the availability of internet services is close to universal, there are gaps and discrepancies in terms of take-up for certain groups within Australian society. For these Australians, </w:t>
      </w:r>
      <w:r w:rsidR="00D16A21" w:rsidRPr="00C10DE5">
        <w:rPr>
          <w:rFonts w:ascii="Calibri" w:eastAsia="Calibri" w:hAnsi="Calibri" w:cs="Times New Roman"/>
          <w:color w:val="000000"/>
        </w:rPr>
        <w:t>there is a risk that a move away from free</w:t>
      </w:r>
      <w:r w:rsidR="00D16A21" w:rsidRPr="00C10DE5">
        <w:rPr>
          <w:rFonts w:ascii="Calibri" w:eastAsia="Calibri" w:hAnsi="Calibri" w:cs="Times New Roman"/>
          <w:color w:val="000000"/>
        </w:rPr>
        <w:noBreakHyphen/>
        <w:t>to</w:t>
      </w:r>
      <w:r w:rsidR="00D16A21" w:rsidRPr="00C10DE5">
        <w:rPr>
          <w:rFonts w:ascii="Calibri" w:eastAsia="Calibri" w:hAnsi="Calibri" w:cs="Times New Roman"/>
          <w:color w:val="000000"/>
        </w:rPr>
        <w:noBreakHyphen/>
        <w:t>air broadcasting services would</w:t>
      </w:r>
      <w:r w:rsidRPr="00C10DE5">
        <w:rPr>
          <w:rFonts w:ascii="Calibri" w:eastAsia="Calibri" w:hAnsi="Calibri" w:cs="Times New Roman"/>
          <w:color w:val="000000"/>
        </w:rPr>
        <w:t xml:space="preserve"> result in a reduction of free access to televised coverage of nationally important and culturally significant events as they migrate to freely available, but inaccessible, online platforms.</w:t>
      </w:r>
    </w:p>
    <w:p w14:paraId="750C29C5" w14:textId="38F1D73D" w:rsidR="00FB2E01" w:rsidRPr="00C10DE5" w:rsidRDefault="00F66A65" w:rsidP="007F3CD1">
      <w:pPr>
        <w:pStyle w:val="Heading3"/>
      </w:pPr>
      <w:bookmarkStart w:id="60" w:name="_Toc150883262"/>
      <w:bookmarkStart w:id="61" w:name="_Toc151053044"/>
      <w:r w:rsidRPr="00C10DE5">
        <w:t xml:space="preserve">Impacts on </w:t>
      </w:r>
      <w:r w:rsidR="00E840C1" w:rsidRPr="00C10DE5">
        <w:t>industry</w:t>
      </w:r>
      <w:bookmarkEnd w:id="60"/>
      <w:bookmarkEnd w:id="61"/>
    </w:p>
    <w:p w14:paraId="3ED8D402" w14:textId="04068E15" w:rsidR="00F66A65" w:rsidRPr="00C10DE5" w:rsidRDefault="005F3395" w:rsidP="007F3CD1">
      <w:r w:rsidRPr="00C10DE5">
        <w:t>As demonstrated by Table 1, s</w:t>
      </w:r>
      <w:r w:rsidR="00133B7C" w:rsidRPr="00C10DE5">
        <w:t>port is critical for the sustainability of the advertis</w:t>
      </w:r>
      <w:r w:rsidR="00B458D9" w:rsidRPr="00C10DE5">
        <w:t>ing-</w:t>
      </w:r>
      <w:r w:rsidR="00133B7C" w:rsidRPr="00C10DE5">
        <w:t xml:space="preserve">funded services provided by commercial free-to-air broadcasters. </w:t>
      </w:r>
      <w:r w:rsidR="00364C4C" w:rsidRPr="00C10DE5">
        <w:t>Th</w:t>
      </w:r>
      <w:r w:rsidR="00B458D9" w:rsidRPr="00C10DE5">
        <w:t xml:space="preserve">is content genre </w:t>
      </w:r>
      <w:r w:rsidR="00F8088A" w:rsidRPr="00C10DE5">
        <w:t xml:space="preserve">also helps </w:t>
      </w:r>
      <w:r w:rsidR="00D97DF7" w:rsidRPr="00C10DE5">
        <w:t xml:space="preserve">commercial </w:t>
      </w:r>
      <w:r w:rsidR="00F8088A" w:rsidRPr="00C10DE5">
        <w:t xml:space="preserve">broadcasters to </w:t>
      </w:r>
      <w:r w:rsidR="00364C4C" w:rsidRPr="00C10DE5">
        <w:t xml:space="preserve">attract audiences to other adjacent </w:t>
      </w:r>
      <w:r w:rsidR="00D97DF7" w:rsidRPr="00C10DE5">
        <w:t xml:space="preserve">content </w:t>
      </w:r>
      <w:r w:rsidR="00364C4C" w:rsidRPr="00C10DE5">
        <w:t>offerings.</w:t>
      </w:r>
      <w:r w:rsidR="00364C4C" w:rsidRPr="00C10DE5">
        <w:rPr>
          <w:rStyle w:val="FootnoteReference"/>
        </w:rPr>
        <w:footnoteReference w:id="56"/>
      </w:r>
      <w:r w:rsidR="00364C4C" w:rsidRPr="00C10DE5">
        <w:t xml:space="preserve"> </w:t>
      </w:r>
      <w:r w:rsidR="00F8088A" w:rsidRPr="00C10DE5">
        <w:t xml:space="preserve">The review has found that without regulatory intervention, there is a risk of </w:t>
      </w:r>
      <w:r w:rsidRPr="00C10DE5">
        <w:t xml:space="preserve">iconic sporting events </w:t>
      </w:r>
      <w:r w:rsidR="00F8088A" w:rsidRPr="00C10DE5">
        <w:t>migrating</w:t>
      </w:r>
      <w:r w:rsidRPr="00C10DE5">
        <w:t xml:space="preserve"> behind online paywalls</w:t>
      </w:r>
      <w:r w:rsidR="00364C4C" w:rsidRPr="00C10DE5">
        <w:t>.</w:t>
      </w:r>
      <w:r w:rsidR="00F8088A" w:rsidRPr="00C10DE5">
        <w:t xml:space="preserve"> This, in turn, would impact the </w:t>
      </w:r>
      <w:r w:rsidRPr="00C10DE5">
        <w:t>sustainability of the business model of commercial free-to-air broadcast</w:t>
      </w:r>
      <w:r w:rsidR="00F8088A" w:rsidRPr="00C10DE5">
        <w:t>ing.</w:t>
      </w:r>
      <w:r w:rsidR="00E840C1" w:rsidRPr="00C10DE5">
        <w:rPr>
          <w:rStyle w:val="FootnoteReference"/>
        </w:rPr>
        <w:footnoteReference w:id="57"/>
      </w:r>
      <w:r w:rsidRPr="00C10DE5">
        <w:t xml:space="preserve"> </w:t>
      </w:r>
    </w:p>
    <w:p w14:paraId="78636546" w14:textId="54D2C2B4" w:rsidR="00936970" w:rsidRDefault="00936970" w:rsidP="007F3CD1">
      <w:r w:rsidRPr="00C10DE5">
        <w:t>Under the status quo</w:t>
      </w:r>
      <w:r w:rsidR="00F8088A" w:rsidRPr="00C10DE5">
        <w:t xml:space="preserve">, </w:t>
      </w:r>
      <w:r w:rsidRPr="00C10DE5">
        <w:t xml:space="preserve">subscription television broadcasting licensees </w:t>
      </w:r>
      <w:r w:rsidR="00F8088A" w:rsidRPr="00C10DE5">
        <w:t>are affected by the scheme and are limited in terms of their acquisition of rights to events on the anti-siphoning list. Although not directly regulated, the scheme also impacts sports bodies as it affects the negotiation process and sequence of acquisition of rights to sporting events.</w:t>
      </w:r>
      <w:r w:rsidRPr="00C10DE5">
        <w:t xml:space="preserve"> Any extension of the</w:t>
      </w:r>
      <w:r w:rsidR="00F8088A" w:rsidRPr="00C10DE5">
        <w:t xml:space="preserve"> current acquisition-based rule in the </w:t>
      </w:r>
      <w:r w:rsidRPr="00C10DE5">
        <w:t xml:space="preserve">scheme to address </w:t>
      </w:r>
      <w:r w:rsidR="00F8088A" w:rsidRPr="00C10DE5">
        <w:t xml:space="preserve">the gap in regulation in relation to online media </w:t>
      </w:r>
      <w:r w:rsidR="007301BB">
        <w:t>services</w:t>
      </w:r>
      <w:r w:rsidR="00F8088A" w:rsidRPr="00C10DE5">
        <w:t xml:space="preserve"> is likely to further </w:t>
      </w:r>
      <w:r w:rsidRPr="00C10DE5">
        <w:t xml:space="preserve">restrict these parties </w:t>
      </w:r>
      <w:r w:rsidR="00D97DF7" w:rsidRPr="00C10DE5">
        <w:t xml:space="preserve">in terms of their negotiation over media rights. </w:t>
      </w:r>
    </w:p>
    <w:p w14:paraId="02581882" w14:textId="35ACA7E5" w:rsidR="00C26FD3" w:rsidRPr="00C26FD3" w:rsidRDefault="00796D55" w:rsidP="00C32BDC">
      <w:pPr>
        <w:pStyle w:val="Heading2"/>
        <w:spacing w:before="240"/>
      </w:pPr>
      <w:bookmarkStart w:id="62" w:name="_Toc150883263"/>
      <w:bookmarkStart w:id="63" w:name="_Toc151053045"/>
      <w:bookmarkStart w:id="64" w:name="_Hlk149833250"/>
      <w:r>
        <w:t>I</w:t>
      </w:r>
      <w:r w:rsidR="007523B9">
        <w:t>mbalances</w:t>
      </w:r>
      <w:r w:rsidR="00E23450">
        <w:t xml:space="preserve"> in the list</w:t>
      </w:r>
      <w:bookmarkEnd w:id="62"/>
      <w:bookmarkEnd w:id="63"/>
      <w:r w:rsidR="00E23450">
        <w:t xml:space="preserve"> </w:t>
      </w:r>
      <w:bookmarkEnd w:id="64"/>
    </w:p>
    <w:p w14:paraId="2F6A24CA" w14:textId="028BF086" w:rsidR="00E23450" w:rsidRDefault="00D56791" w:rsidP="00E23450">
      <w:r>
        <w:t xml:space="preserve">The review of the scheme </w:t>
      </w:r>
      <w:r w:rsidR="00F63AF2">
        <w:t xml:space="preserve">has </w:t>
      </w:r>
      <w:r>
        <w:t>also considered the anti-siphoning list</w:t>
      </w:r>
      <w:r w:rsidR="00C26FD3">
        <w:t>, and found a case for its composition to be reconsidered.</w:t>
      </w:r>
      <w:r w:rsidR="00C26FD3">
        <w:rPr>
          <w:rStyle w:val="FootnoteReference"/>
        </w:rPr>
        <w:footnoteReference w:id="58"/>
      </w:r>
      <w:r w:rsidR="00C26FD3">
        <w:t xml:space="preserve"> </w:t>
      </w:r>
      <w:r w:rsidR="00E23450">
        <w:t xml:space="preserve">To date, the list has tended to include sports that involve athletes without disabilities. To a lesser extent, it has also tended to involve competitions in which men compete. </w:t>
      </w:r>
      <w:r w:rsidR="003659DA">
        <w:t xml:space="preserve">This isn’t the product of </w:t>
      </w:r>
      <w:r w:rsidR="00E23450">
        <w:t>conscious and deliberate discrimination</w:t>
      </w:r>
      <w:r w:rsidR="003659DA">
        <w:t xml:space="preserve">. Rather, it reflects the fact that </w:t>
      </w:r>
      <w:r w:rsidR="00E23450">
        <w:t xml:space="preserve">the coverage of sporting events that have been considered nationally important and culturally significant </w:t>
      </w:r>
      <w:r w:rsidR="00F63AF2">
        <w:t>has</w:t>
      </w:r>
      <w:r w:rsidR="00E23450">
        <w:t xml:space="preserve"> historically tended to involve men and </w:t>
      </w:r>
      <w:r w:rsidR="00F63AF2">
        <w:t>has</w:t>
      </w:r>
      <w:r w:rsidR="00E23450">
        <w:t xml:space="preserve"> historically tended to involve athletes without a disability.</w:t>
      </w:r>
      <w:r w:rsidR="006F593C">
        <w:t xml:space="preserve"> </w:t>
      </w:r>
      <w:r w:rsidR="00E23450">
        <w:t xml:space="preserve">This is changing. The sports ecosystem in Australia is continuing to evolve as competitions develop and grow, and as audience attitudes and preferences change. </w:t>
      </w:r>
    </w:p>
    <w:p w14:paraId="16121986" w14:textId="77777777" w:rsidR="00E23450" w:rsidRDefault="00E23450" w:rsidP="00470028">
      <w:pPr>
        <w:pStyle w:val="Introduction"/>
      </w:pPr>
      <w:r>
        <w:t>Women’s sports</w:t>
      </w:r>
    </w:p>
    <w:p w14:paraId="4F69EFBD" w14:textId="4D96F6CE" w:rsidR="00E23450" w:rsidRDefault="00A11784" w:rsidP="00E23450">
      <w:r>
        <w:t>Historically, the</w:t>
      </w:r>
      <w:r w:rsidR="00E23450">
        <w:t xml:space="preserve"> list </w:t>
      </w:r>
      <w:r>
        <w:t>has been</w:t>
      </w:r>
      <w:r w:rsidR="00E23450">
        <w:t xml:space="preserve"> skewed towards men’s sports. In many cases, national women’s competitions were either not in existence at the time that the last major changes to the list were considered (at or before 2017), or those competitions were relatively nascent in terms of their development and popularity.</w:t>
      </w:r>
    </w:p>
    <w:p w14:paraId="2E1EF922" w14:textId="19943CDE" w:rsidR="00E23450" w:rsidRDefault="00E23450" w:rsidP="00E23450">
      <w:r>
        <w:t>Since that time, many competitions that involve women athletes have undergone significant growth and development. Participation rates for women and girls are at record levels for many sports, and many competitions have gone from strength the strength with growing club memberships and greater media coverage. In 2022, Fox Sports reported that roughly 70 per cent of Australians watched more women’s sport than they did before 2020.</w:t>
      </w:r>
      <w:r>
        <w:rPr>
          <w:rStyle w:val="FootnoteReference"/>
        </w:rPr>
        <w:footnoteReference w:id="59"/>
      </w:r>
    </w:p>
    <w:p w14:paraId="1B3B6B9A" w14:textId="77777777" w:rsidR="00C950F2" w:rsidRDefault="0084739A" w:rsidP="001B0967">
      <w:r w:rsidRPr="00C10DE5">
        <w:t>The Australian Government has already acted to increase the inclusion of women’s sport with the addition of select FIFA Women’s World Cup matches and qualifiers to the list in September 2023 (ahead of the close of bids for media rights the 2027 tournament).</w:t>
      </w:r>
      <w:r w:rsidR="00F64D8C" w:rsidRPr="00C10DE5">
        <w:rPr>
          <w:rStyle w:val="FootnoteReference"/>
        </w:rPr>
        <w:footnoteReference w:id="60"/>
      </w:r>
      <w:r w:rsidRPr="00C10DE5" w:rsidDel="00F64D8C">
        <w:t xml:space="preserve"> </w:t>
      </w:r>
      <w:r w:rsidRPr="00C10DE5">
        <w:t xml:space="preserve">However, </w:t>
      </w:r>
      <w:r w:rsidR="00A11784" w:rsidRPr="00C10DE5">
        <w:t>this is a first step</w:t>
      </w:r>
      <w:r w:rsidR="00F1420D" w:rsidRPr="00C10DE5">
        <w:t>.</w:t>
      </w:r>
      <w:r w:rsidR="0061612D" w:rsidRPr="00C10DE5">
        <w:t xml:space="preserve"> </w:t>
      </w:r>
      <w:r w:rsidR="001B0967" w:rsidRPr="00C10DE5">
        <w:t>Without inclusion on the list</w:t>
      </w:r>
      <w:r w:rsidR="0061612D" w:rsidRPr="00C10DE5">
        <w:t>,</w:t>
      </w:r>
      <w:r w:rsidR="001B0967" w:rsidRPr="00C10DE5">
        <w:t xml:space="preserve"> there is a risk events </w:t>
      </w:r>
      <w:r w:rsidR="007E2425" w:rsidRPr="00C10DE5">
        <w:t xml:space="preserve">such as these </w:t>
      </w:r>
      <w:r w:rsidR="001B0967" w:rsidRPr="00C10DE5">
        <w:t>would move behind</w:t>
      </w:r>
      <w:r w:rsidR="00620A56" w:rsidRPr="00C10DE5">
        <w:t xml:space="preserve"> paywalls</w:t>
      </w:r>
      <w:r w:rsidR="001B0967" w:rsidRPr="00C10DE5">
        <w:t>.</w:t>
      </w:r>
    </w:p>
    <w:p w14:paraId="4C35DA2D" w14:textId="4AD97FF3" w:rsidR="0061612D" w:rsidRPr="0061612D" w:rsidRDefault="00C950F2" w:rsidP="001B0967">
      <w:r>
        <w:t>It is important to acknowledge that t</w:t>
      </w:r>
      <w:r w:rsidR="007E2425" w:rsidRPr="00C10DE5">
        <w:t>his risk is not arising at present for all women’s sports. T</w:t>
      </w:r>
      <w:r w:rsidR="001B0967" w:rsidRPr="00C10DE5">
        <w:t>he AFL</w:t>
      </w:r>
      <w:r w:rsidR="007E2425" w:rsidRPr="00C10DE5">
        <w:t xml:space="preserve">, for example, </w:t>
      </w:r>
      <w:r w:rsidR="001B0967" w:rsidRPr="00C10DE5">
        <w:t xml:space="preserve">has entered into a </w:t>
      </w:r>
      <w:r w:rsidR="00AE1A55" w:rsidRPr="00C10DE5">
        <w:t>rights agreement</w:t>
      </w:r>
      <w:r w:rsidR="001B0967" w:rsidRPr="00C10DE5">
        <w:t xml:space="preserve"> </w:t>
      </w:r>
      <w:r w:rsidR="00AE1A55" w:rsidRPr="00C10DE5">
        <w:t>between 2025 and</w:t>
      </w:r>
      <w:r w:rsidR="001B0967" w:rsidRPr="00C10DE5">
        <w:t xml:space="preserve"> 2031</w:t>
      </w:r>
      <w:r w:rsidR="007E2425" w:rsidRPr="00C10DE5">
        <w:t xml:space="preserve"> that </w:t>
      </w:r>
      <w:r w:rsidR="0061612D" w:rsidRPr="00C10DE5">
        <w:t xml:space="preserve">provides for </w:t>
      </w:r>
      <w:r w:rsidR="001B0967" w:rsidRPr="00C10DE5">
        <w:t xml:space="preserve">the finals series and the Grand Final </w:t>
      </w:r>
      <w:r w:rsidR="007E2425" w:rsidRPr="00C10DE5">
        <w:t xml:space="preserve">of the AFL Women’s (AFLW) Premiership </w:t>
      </w:r>
      <w:r w:rsidR="0061612D" w:rsidRPr="00C10DE5">
        <w:t>to</w:t>
      </w:r>
      <w:r w:rsidR="001B0967" w:rsidRPr="00C10DE5">
        <w:t xml:space="preserve"> be televised on the Seven Network and 7plus.</w:t>
      </w:r>
      <w:r w:rsidR="001B0967" w:rsidRPr="00C10DE5">
        <w:rPr>
          <w:rStyle w:val="FootnoteReference"/>
        </w:rPr>
        <w:footnoteReference w:id="61"/>
      </w:r>
      <w:r w:rsidR="001B0967" w:rsidRPr="00C10DE5">
        <w:t xml:space="preserve"> Similarly, for the 2023 season, all matches in NRL Women’s (NRLW) Premiership and the NRLW State of Origin are being broadcast live on the Nine Network and 9Now.</w:t>
      </w:r>
      <w:r w:rsidR="001B0967" w:rsidRPr="00C10DE5">
        <w:rPr>
          <w:rStyle w:val="FootnoteReference"/>
        </w:rPr>
        <w:footnoteReference w:id="62"/>
      </w:r>
      <w:r w:rsidR="007E2425" w:rsidRPr="00C10DE5">
        <w:t xml:space="preserve"> </w:t>
      </w:r>
      <w:r w:rsidR="001B0967" w:rsidRPr="00C10DE5">
        <w:t xml:space="preserve">However, given that media rights deals are often made years in advance (see Table </w:t>
      </w:r>
      <w:r w:rsidR="00786567">
        <w:t>9</w:t>
      </w:r>
      <w:r w:rsidR="00AE1A55" w:rsidRPr="00C10DE5">
        <w:t xml:space="preserve">), there is a risk that these events may not be available for free in </w:t>
      </w:r>
      <w:r w:rsidR="00D37200">
        <w:t>the future</w:t>
      </w:r>
      <w:r w:rsidR="00AE1A55" w:rsidRPr="00C10DE5">
        <w:t>. Including the</w:t>
      </w:r>
      <w:r w:rsidR="00D37200">
        <w:t>se events</w:t>
      </w:r>
      <w:r w:rsidR="00AE1A55" w:rsidRPr="00C10DE5">
        <w:t xml:space="preserve"> on the list will help promote</w:t>
      </w:r>
      <w:r w:rsidR="00355FE5">
        <w:t xml:space="preserve"> the likelihood of</w:t>
      </w:r>
      <w:r w:rsidR="00AE1A55" w:rsidRPr="00C10DE5">
        <w:t xml:space="preserve"> </w:t>
      </w:r>
      <w:r w:rsidR="00ED16A7">
        <w:t xml:space="preserve">these events </w:t>
      </w:r>
      <w:r w:rsidR="00355FE5">
        <w:t>being</w:t>
      </w:r>
      <w:r w:rsidR="00ED16A7">
        <w:t xml:space="preserve"> shown on free-to-air television</w:t>
      </w:r>
      <w:r w:rsidR="00AE1A55" w:rsidRPr="00C10DE5">
        <w:t>.</w:t>
      </w:r>
    </w:p>
    <w:p w14:paraId="4DB84EDB" w14:textId="3B38BCED" w:rsidR="00E23450" w:rsidRPr="0061612D" w:rsidRDefault="00E23450" w:rsidP="00470028">
      <w:pPr>
        <w:pStyle w:val="Introduction"/>
      </w:pPr>
      <w:r w:rsidRPr="0061612D">
        <w:t>Paralympics</w:t>
      </w:r>
    </w:p>
    <w:p w14:paraId="59A9171E" w14:textId="0D7FFD1A" w:rsidR="000865F4" w:rsidRDefault="00E23450" w:rsidP="00E23450">
      <w:r>
        <w:t>Unlike the Olympic Games and Commonwealth Games, the Paralympics are not included in the current list.</w:t>
      </w:r>
      <w:r w:rsidR="00470028">
        <w:t xml:space="preserve">  </w:t>
      </w:r>
      <w:r>
        <w:t>While Australian Para-athletes have successfully competed in the Paralympics and world championships for many decades, their efforts have historically received relatively modest reporting and television coverage, particularly prior to the 2000 Summer Paralympics.</w:t>
      </w:r>
      <w:r w:rsidR="00470028">
        <w:t xml:space="preserve"> This is changing. In 2023</w:t>
      </w:r>
      <w:r>
        <w:t>, Paralympics Australia announced that the Nine Entertainment Co. would be the broadcasting partner for the Para-Athletics World Championships in July 2023</w:t>
      </w:r>
      <w:r>
        <w:rPr>
          <w:rStyle w:val="FootnoteReference"/>
        </w:rPr>
        <w:footnoteReference w:id="63"/>
      </w:r>
      <w:r>
        <w:t xml:space="preserve"> and the 2024 Paralympics.</w:t>
      </w:r>
      <w:r>
        <w:rPr>
          <w:vertAlign w:val="superscript"/>
        </w:rPr>
        <w:footnoteReference w:id="64"/>
      </w:r>
      <w:r>
        <w:t xml:space="preserve"> Nine intends to provide coverage of the event via its free-to-air broadcasting services, its BVOD services, as well as via subscription streaming service Stan and commercial radio outlets. This rights agreement demonstrates the extent to which the position of Para-sports is changing in the Australian media landscape.</w:t>
      </w:r>
      <w:r w:rsidR="006F593C">
        <w:t xml:space="preserve"> </w:t>
      </w:r>
    </w:p>
    <w:p w14:paraId="4E3A34FD" w14:textId="7B6909A0" w:rsidR="007E2425" w:rsidRDefault="00AE1A55" w:rsidP="00AE1A55">
      <w:pPr>
        <w:suppressAutoHyphens w:val="0"/>
      </w:pPr>
      <w:r w:rsidRPr="00C10DE5">
        <w:t xml:space="preserve">However, </w:t>
      </w:r>
      <w:r w:rsidR="007E2425" w:rsidRPr="00C10DE5">
        <w:t xml:space="preserve">under the current scheme, </w:t>
      </w:r>
      <w:r w:rsidRPr="00C10DE5">
        <w:t>the</w:t>
      </w:r>
      <w:r w:rsidR="007E2425" w:rsidRPr="00C10DE5">
        <w:t>re would be nothing to prevent f</w:t>
      </w:r>
      <w:r w:rsidR="00862CAC" w:rsidRPr="00C10DE5">
        <w:t xml:space="preserve">uture Paralympics </w:t>
      </w:r>
      <w:r w:rsidR="007E2425" w:rsidRPr="00C10DE5">
        <w:t xml:space="preserve">from moving </w:t>
      </w:r>
      <w:r w:rsidR="00862CAC" w:rsidRPr="00C10DE5">
        <w:t xml:space="preserve">behind </w:t>
      </w:r>
      <w:r w:rsidR="007E2425" w:rsidRPr="00C10DE5">
        <w:t xml:space="preserve">online </w:t>
      </w:r>
      <w:r w:rsidR="00862CAC" w:rsidRPr="00C10DE5">
        <w:t>paywalls. This would be a loss for Australians</w:t>
      </w:r>
      <w:r w:rsidR="007E2425" w:rsidRPr="00C10DE5">
        <w:t xml:space="preserve">; </w:t>
      </w:r>
      <w:r w:rsidR="00862CAC" w:rsidRPr="00C10DE5">
        <w:t>68 percent of whom watched some part of the Tokyo Paralympics.</w:t>
      </w:r>
      <w:r w:rsidR="00862CAC" w:rsidRPr="00C10DE5">
        <w:rPr>
          <w:rStyle w:val="FootnoteReference"/>
        </w:rPr>
        <w:footnoteReference w:id="65"/>
      </w:r>
      <w:r w:rsidR="00862CAC" w:rsidRPr="00C10DE5">
        <w:t xml:space="preserve"> </w:t>
      </w:r>
      <w:r w:rsidR="007E2425" w:rsidRPr="00C10DE5">
        <w:t xml:space="preserve">The Australian Paralympic Team enjoys strong support, with a 2021 </w:t>
      </w:r>
      <w:r w:rsidR="00862CAC" w:rsidRPr="00C10DE5">
        <w:t>survey</w:t>
      </w:r>
      <w:r w:rsidR="007E2425" w:rsidRPr="00C10DE5">
        <w:t xml:space="preserve"> </w:t>
      </w:r>
      <w:r w:rsidR="00862CAC" w:rsidRPr="00C10DE5">
        <w:t>plac</w:t>
      </w:r>
      <w:r w:rsidR="007E2425" w:rsidRPr="00C10DE5">
        <w:t>ing</w:t>
      </w:r>
      <w:r w:rsidR="00862CAC" w:rsidRPr="00C10DE5">
        <w:t xml:space="preserve"> interest in the Australian Paralympic Team (28 percent) only marginally behind the Australian cricket team (32 percent).</w:t>
      </w:r>
      <w:r w:rsidR="00862CAC" w:rsidRPr="00C10DE5">
        <w:rPr>
          <w:rStyle w:val="FootnoteReference"/>
        </w:rPr>
        <w:footnoteReference w:id="66"/>
      </w:r>
      <w:r w:rsidR="00F64D8C">
        <w:t xml:space="preserve"> </w:t>
      </w:r>
    </w:p>
    <w:p w14:paraId="6C371C28" w14:textId="3235E83F" w:rsidR="00C26FD3" w:rsidRDefault="00470028" w:rsidP="00D56791">
      <w:r>
        <w:t xml:space="preserve">The review </w:t>
      </w:r>
      <w:r w:rsidR="007E2425">
        <w:t xml:space="preserve">has </w:t>
      </w:r>
      <w:r>
        <w:t xml:space="preserve">found that there is a </w:t>
      </w:r>
      <w:r w:rsidR="00E23450">
        <w:t xml:space="preserve">reasonable case to consider the composition of the list with respect to women’s events and Para-sports. </w:t>
      </w:r>
    </w:p>
    <w:p w14:paraId="59622019" w14:textId="301BF5B7" w:rsidR="00273D8A" w:rsidRDefault="00D0790D" w:rsidP="00707129">
      <w:pPr>
        <w:pStyle w:val="Heading1Numbered"/>
      </w:pPr>
      <w:bookmarkStart w:id="65" w:name="_Toc150883264"/>
      <w:bookmarkStart w:id="66" w:name="_Toc151053046"/>
      <w:r w:rsidRPr="009B3A80">
        <w:t>Why is Government action needed?</w:t>
      </w:r>
      <w:bookmarkEnd w:id="65"/>
      <w:bookmarkEnd w:id="66"/>
    </w:p>
    <w:p w14:paraId="1CB4245A" w14:textId="2D280CF0" w:rsidR="00FD5E59" w:rsidRPr="00C10DE5" w:rsidRDefault="00333CF2" w:rsidP="00FD5E59">
      <w:bookmarkStart w:id="67" w:name="_Hlk148001440"/>
      <w:r>
        <w:t>T</w:t>
      </w:r>
      <w:r w:rsidR="007A26CC">
        <w:t xml:space="preserve">he anti-siphoning scheme was introduced in 1992 to address the </w:t>
      </w:r>
      <w:r w:rsidR="007A26CC" w:rsidRPr="004B7EF3">
        <w:t>concern that</w:t>
      </w:r>
      <w:r w:rsidR="00F53824">
        <w:t xml:space="preserve"> </w:t>
      </w:r>
      <w:r w:rsidR="007A26CC" w:rsidRPr="004B7EF3">
        <w:t xml:space="preserve">nationally important and culturally significant events would be siphoned behind the paywalls of services to which </w:t>
      </w:r>
      <w:r w:rsidR="00F53824">
        <w:t xml:space="preserve">most </w:t>
      </w:r>
      <w:r w:rsidR="007A26CC" w:rsidRPr="004B7EF3">
        <w:t xml:space="preserve">Australians didn’t have access. </w:t>
      </w:r>
      <w:r w:rsidRPr="00C10DE5">
        <w:rPr>
          <w:lang w:val="en-US"/>
        </w:rPr>
        <w:t xml:space="preserve">This </w:t>
      </w:r>
      <w:r w:rsidR="00FD5E59" w:rsidRPr="00C10DE5">
        <w:rPr>
          <w:lang w:val="en-US"/>
        </w:rPr>
        <w:t>aligns with</w:t>
      </w:r>
      <w:r w:rsidR="00961137" w:rsidRPr="00C10DE5">
        <w:rPr>
          <w:lang w:val="en-US"/>
        </w:rPr>
        <w:t xml:space="preserve"> several of</w:t>
      </w:r>
      <w:r w:rsidR="00FD5E59" w:rsidRPr="00C10DE5">
        <w:rPr>
          <w:lang w:val="en-US"/>
        </w:rPr>
        <w:t xml:space="preserve"> the objects contained in subsection 3(1) of the BSA, including:</w:t>
      </w:r>
      <w:r w:rsidR="00961137" w:rsidRPr="00C10DE5">
        <w:rPr>
          <w:rStyle w:val="FootnoteReference"/>
          <w:lang w:val="en-US"/>
        </w:rPr>
        <w:footnoteReference w:id="67"/>
      </w:r>
    </w:p>
    <w:p w14:paraId="45E342D3" w14:textId="77777777" w:rsidR="00FD5E59" w:rsidRPr="00C10DE5" w:rsidRDefault="00FD5E59" w:rsidP="00FD5E59">
      <w:pPr>
        <w:ind w:left="720" w:right="284" w:hanging="436"/>
      </w:pPr>
      <w:r w:rsidRPr="00C10DE5">
        <w:t xml:space="preserve">(a) </w:t>
      </w:r>
      <w:r w:rsidRPr="00C10DE5">
        <w:tab/>
        <w:t>to promote the availability to audiences throughout Australia of a diverse range of radio and television services offering entertainment, education and information.</w:t>
      </w:r>
    </w:p>
    <w:p w14:paraId="3A875FFC" w14:textId="77777777" w:rsidR="00FD5E59" w:rsidRPr="00C56D6A" w:rsidRDefault="00FD5E59" w:rsidP="00FD5E59">
      <w:pPr>
        <w:ind w:left="720" w:right="284" w:hanging="436"/>
      </w:pPr>
      <w:r w:rsidRPr="00C56D6A">
        <w:t xml:space="preserve">(b) </w:t>
      </w:r>
      <w:r w:rsidRPr="00C56D6A">
        <w:tab/>
        <w:t>to provide a regulatory environment that will facilitate the development of a broadcasting industry in Australia that is efficient, competitive and responsive to audience needs.</w:t>
      </w:r>
    </w:p>
    <w:p w14:paraId="767A1D63" w14:textId="77777777" w:rsidR="00FD5E59" w:rsidRPr="00C56D6A" w:rsidRDefault="00FD5E59" w:rsidP="00FD5E59">
      <w:pPr>
        <w:ind w:left="720" w:right="284" w:hanging="436"/>
      </w:pPr>
      <w:r w:rsidRPr="00C56D6A">
        <w:t xml:space="preserve">(e) </w:t>
      </w:r>
      <w:r w:rsidRPr="00C56D6A">
        <w:tab/>
        <w:t>to promote the role of broadcasting services in developing and reflecting a sense of Australian identity, character and cultural diversity.</w:t>
      </w:r>
    </w:p>
    <w:p w14:paraId="45C64CCF" w14:textId="77777777" w:rsidR="00FD5E59" w:rsidRPr="00C56D6A" w:rsidRDefault="00FD5E59" w:rsidP="00FD5E59">
      <w:pPr>
        <w:ind w:left="720" w:right="284" w:hanging="436"/>
      </w:pPr>
      <w:r w:rsidRPr="00C56D6A">
        <w:t>(ea)</w:t>
      </w:r>
      <w:r w:rsidRPr="00C56D6A">
        <w:tab/>
        <w:t>to promote the availability to audiences throughout Australia of television and radio programs about matters of local significance.</w:t>
      </w:r>
    </w:p>
    <w:p w14:paraId="637D8620" w14:textId="77777777" w:rsidR="00FD5E59" w:rsidRPr="00C56D6A" w:rsidRDefault="00FD5E59" w:rsidP="00FD5E59">
      <w:pPr>
        <w:ind w:left="720" w:right="284" w:hanging="436"/>
      </w:pPr>
      <w:r w:rsidRPr="00C56D6A">
        <w:t xml:space="preserve">(f) </w:t>
      </w:r>
      <w:r w:rsidRPr="00C56D6A">
        <w:tab/>
        <w:t>to promote the provision of high quality and innovative programming by providers of broadcasting services.</w:t>
      </w:r>
    </w:p>
    <w:p w14:paraId="618F6D2A" w14:textId="77777777" w:rsidR="00FD5E59" w:rsidRPr="00C56D6A" w:rsidRDefault="00FD5E59" w:rsidP="00FD5E59">
      <w:pPr>
        <w:ind w:left="720" w:right="284" w:hanging="436"/>
      </w:pPr>
      <w:r w:rsidRPr="00C56D6A">
        <w:t xml:space="preserve">(g)  </w:t>
      </w:r>
      <w:r w:rsidRPr="00C56D6A">
        <w:tab/>
        <w:t>to encourage providers of commercial and community broadcasting services to be responsive to the need … for an appropriate coverage of matters of local significance. </w:t>
      </w:r>
    </w:p>
    <w:p w14:paraId="3DCBFD1F" w14:textId="62FE8778" w:rsidR="00F21B6F" w:rsidRDefault="00FD5E59" w:rsidP="0032029D">
      <w:r w:rsidRPr="00C56D6A">
        <w:t xml:space="preserve">As noted in </w:t>
      </w:r>
      <w:r w:rsidR="00482C60" w:rsidRPr="00C56D6A">
        <w:t>c</w:t>
      </w:r>
      <w:r w:rsidRPr="00C56D6A">
        <w:t>hapter 1, a</w:t>
      </w:r>
      <w:r w:rsidR="007A26CC" w:rsidRPr="00C56D6A">
        <w:t>t the time, relevant paywalled services were limited to subscription television.</w:t>
      </w:r>
      <w:r w:rsidRPr="00C56D6A">
        <w:t xml:space="preserve"> Since this time</w:t>
      </w:r>
      <w:r w:rsidR="005417D9" w:rsidRPr="00C56D6A">
        <w:t>,</w:t>
      </w:r>
      <w:r w:rsidR="007F7C2E" w:rsidRPr="00C56D6A">
        <w:t xml:space="preserve"> </w:t>
      </w:r>
      <w:r w:rsidRPr="00C56D6A">
        <w:t xml:space="preserve">the </w:t>
      </w:r>
      <w:r w:rsidR="007A26CC" w:rsidRPr="00C56D6A">
        <w:t>risk</w:t>
      </w:r>
      <w:r w:rsidR="005417D9" w:rsidRPr="00C56D6A">
        <w:t xml:space="preserve"> </w:t>
      </w:r>
      <w:r w:rsidR="007F7C2E" w:rsidRPr="00C56D6A">
        <w:t xml:space="preserve">of </w:t>
      </w:r>
      <w:r w:rsidRPr="00C56D6A">
        <w:t xml:space="preserve">nationally important and culturally significant programs being siphoned </w:t>
      </w:r>
      <w:r w:rsidR="007A26CC" w:rsidRPr="00C56D6A">
        <w:t xml:space="preserve">hasn’t abated or diminished, but has been </w:t>
      </w:r>
      <w:r w:rsidR="00F53824" w:rsidRPr="00C56D6A">
        <w:t>altered and potentially amplified in a contemporary media environment.</w:t>
      </w:r>
      <w:r w:rsidR="00F53824">
        <w:t xml:space="preserve"> </w:t>
      </w:r>
      <w:r w:rsidR="0032029D">
        <w:t>There is a latent</w:t>
      </w:r>
      <w:r w:rsidR="007F7C2E">
        <w:t>,</w:t>
      </w:r>
      <w:r w:rsidR="0032029D">
        <w:t xml:space="preserve"> although material</w:t>
      </w:r>
      <w:r w:rsidR="007F7C2E">
        <w:t>,</w:t>
      </w:r>
      <w:r w:rsidR="0032029D">
        <w:t xml:space="preserve"> risk of listed events migrating behind online paywalls in the coming years. International trends have seen the rights to single competitions or leagues being taken up by multiple providers, which can require consumers to pay for a number of services to gain access to the competition or league in question. </w:t>
      </w:r>
    </w:p>
    <w:p w14:paraId="66ECFF2C" w14:textId="7912F018" w:rsidR="0032029D" w:rsidRDefault="0032029D" w:rsidP="007A26CC">
      <w:r>
        <w:t xml:space="preserve">The status quo – the maintenance of the current scheme and the current list – will put at risk the achievement of the policy objective of free access to televised coverage of </w:t>
      </w:r>
      <w:r w:rsidRPr="004B7EF3">
        <w:t>nationally important and culturally significant events</w:t>
      </w:r>
      <w:r>
        <w:t xml:space="preserve">. The review has affirmed that this core objective of the scheme remains relevant, and there was general agreement among stakeholders that </w:t>
      </w:r>
      <w:r w:rsidRPr="000B5357">
        <w:t xml:space="preserve">providing </w:t>
      </w:r>
      <w:r>
        <w:t xml:space="preserve">Australians with free </w:t>
      </w:r>
      <w:r w:rsidRPr="000B5357">
        <w:t xml:space="preserve">access to coverage of </w:t>
      </w:r>
      <w:r>
        <w:t xml:space="preserve">iconic </w:t>
      </w:r>
      <w:r w:rsidRPr="000B5357">
        <w:t xml:space="preserve">sporting events remains </w:t>
      </w:r>
      <w:r>
        <w:t xml:space="preserve">an </w:t>
      </w:r>
      <w:r w:rsidRPr="000B5357">
        <w:t>appropriate</w:t>
      </w:r>
      <w:r>
        <w:t xml:space="preserve"> aim</w:t>
      </w:r>
      <w:r w:rsidRPr="000B5357">
        <w:t>.</w:t>
      </w:r>
    </w:p>
    <w:p w14:paraId="6691D38F" w14:textId="31BF6951" w:rsidR="0032029D" w:rsidRDefault="0032029D" w:rsidP="007A26CC">
      <w:r>
        <w:t>There is a strong case to maintain regulatory intervention to support this objective</w:t>
      </w:r>
      <w:r w:rsidR="00A00492">
        <w:t>,</w:t>
      </w:r>
      <w:r>
        <w:t xml:space="preserve"> and to modernise the form of this intervention</w:t>
      </w:r>
      <w:r w:rsidR="00C950F2">
        <w:t xml:space="preserve"> </w:t>
      </w:r>
      <w:r>
        <w:t>to accommodate changes in technology</w:t>
      </w:r>
      <w:r w:rsidR="00A00492">
        <w:t xml:space="preserve">, </w:t>
      </w:r>
      <w:r>
        <w:t>consumption patterns and preferences for live sport.</w:t>
      </w:r>
      <w:r w:rsidR="001A7F11">
        <w:t xml:space="preserve"> The impacts and net benefits of the alternative models and options for this reform are the subject of this IA. </w:t>
      </w:r>
      <w:r>
        <w:t xml:space="preserve"> </w:t>
      </w:r>
    </w:p>
    <w:p w14:paraId="114EB3D1" w14:textId="77777777" w:rsidR="0090196B" w:rsidRPr="00C10DE5" w:rsidRDefault="0090196B" w:rsidP="0090196B">
      <w:r w:rsidRPr="00C10DE5">
        <w:rPr>
          <w:rFonts w:asciiTheme="majorHAnsi" w:eastAsiaTheme="majorEastAsia" w:hAnsiTheme="majorHAnsi" w:cstheme="majorBidi"/>
          <w:color w:val="081E3E" w:themeColor="text2"/>
          <w:sz w:val="36"/>
          <w:szCs w:val="26"/>
        </w:rPr>
        <w:t>Objectives of reform</w:t>
      </w:r>
    </w:p>
    <w:p w14:paraId="2CC094AB" w14:textId="1C56F020" w:rsidR="00BC0276" w:rsidRPr="00C10DE5" w:rsidRDefault="00BC0276" w:rsidP="0025022D">
      <w:r w:rsidRPr="00C10DE5">
        <w:t xml:space="preserve">The proposed reforms to the </w:t>
      </w:r>
      <w:r w:rsidR="0090196B" w:rsidRPr="00C10DE5">
        <w:t>anti-siphoning scheme seek to address the challenges identified above</w:t>
      </w:r>
      <w:r w:rsidRPr="00C10DE5">
        <w:t xml:space="preserve"> and </w:t>
      </w:r>
      <w:r w:rsidR="00ED16A7">
        <w:t xml:space="preserve">align with the objects of the BSA to </w:t>
      </w:r>
      <w:r w:rsidR="00DB11FA">
        <w:t>promote</w:t>
      </w:r>
      <w:r w:rsidRPr="00C10DE5">
        <w:t xml:space="preserve"> </w:t>
      </w:r>
      <w:r w:rsidR="00376170" w:rsidRPr="00C10DE5">
        <w:t xml:space="preserve">the </w:t>
      </w:r>
      <w:r w:rsidR="0025022D" w:rsidRPr="00C10DE5">
        <w:t xml:space="preserve">continued </w:t>
      </w:r>
      <w:r w:rsidR="0090196B" w:rsidRPr="00C10DE5">
        <w:t xml:space="preserve">free access </w:t>
      </w:r>
      <w:r w:rsidRPr="00C10DE5">
        <w:t xml:space="preserve">to </w:t>
      </w:r>
      <w:r w:rsidR="0090196B" w:rsidRPr="00C10DE5">
        <w:t>nationally important and culturally significant event</w:t>
      </w:r>
      <w:r w:rsidR="007F272F" w:rsidRPr="00C10DE5">
        <w:t>s</w:t>
      </w:r>
      <w:r w:rsidR="0090196B" w:rsidRPr="00C10DE5">
        <w:t xml:space="preserve"> </w:t>
      </w:r>
      <w:r w:rsidRPr="00C10DE5">
        <w:t>by</w:t>
      </w:r>
      <w:r w:rsidR="0090196B" w:rsidRPr="00C10DE5">
        <w:t xml:space="preserve"> all Australians. </w:t>
      </w:r>
      <w:r w:rsidR="000C19A9" w:rsidRPr="00C10DE5">
        <w:t xml:space="preserve">Consistent with the objects of the BSA, Australians have come to expect </w:t>
      </w:r>
      <w:r w:rsidRPr="00C10DE5">
        <w:t xml:space="preserve">to be able to freely access </w:t>
      </w:r>
      <w:r w:rsidR="000C19A9" w:rsidRPr="00C10DE5">
        <w:t xml:space="preserve">sporting content that develops and reflects the Australian identity, </w:t>
      </w:r>
      <w:bookmarkStart w:id="68" w:name="_Hlk150268626"/>
      <w:r w:rsidR="000C19A9" w:rsidRPr="00C10DE5">
        <w:t xml:space="preserve">character and cultural diversity (object 3(e)), and </w:t>
      </w:r>
      <w:r w:rsidRPr="00C10DE5">
        <w:t xml:space="preserve">that </w:t>
      </w:r>
      <w:r w:rsidR="000C19A9" w:rsidRPr="00C10DE5">
        <w:t>reflects matters of local significance (objects 3(</w:t>
      </w:r>
      <w:r w:rsidRPr="00C10DE5">
        <w:t>1)(</w:t>
      </w:r>
      <w:r w:rsidR="000C19A9" w:rsidRPr="00C10DE5">
        <w:t>ea) and 3(</w:t>
      </w:r>
      <w:r w:rsidRPr="00C10DE5">
        <w:t>1)(</w:t>
      </w:r>
      <w:r w:rsidR="000C19A9" w:rsidRPr="00C10DE5">
        <w:t xml:space="preserve">g)). </w:t>
      </w:r>
      <w:r w:rsidRPr="00C10DE5">
        <w:t xml:space="preserve">The review has found a strong case to maintain and modernise regulatory interventions that </w:t>
      </w:r>
      <w:r w:rsidR="00BC5113">
        <w:t>promote free access</w:t>
      </w:r>
      <w:r w:rsidRPr="00C10DE5">
        <w:t xml:space="preserve"> to these events. </w:t>
      </w:r>
    </w:p>
    <w:bookmarkEnd w:id="68"/>
    <w:p w14:paraId="6BC5D008" w14:textId="42E80865" w:rsidR="0090196B" w:rsidRPr="00C10DE5" w:rsidRDefault="00BC0276" w:rsidP="0090196B">
      <w:pPr>
        <w:rPr>
          <w:rFonts w:eastAsia="Times New Roman" w:cstheme="minorHAnsi"/>
          <w:color w:val="000000"/>
        </w:rPr>
      </w:pPr>
      <w:r w:rsidRPr="00C10DE5">
        <w:t>Any reforms will also need to consider the impact of the scheme on industry</w:t>
      </w:r>
      <w:r w:rsidR="000C19A9" w:rsidRPr="00C10DE5">
        <w:rPr>
          <w:rFonts w:eastAsia="Times New Roman" w:cstheme="minorHAnsi"/>
          <w:color w:val="000000"/>
        </w:rPr>
        <w:t xml:space="preserve">. </w:t>
      </w:r>
      <w:r w:rsidR="0090196B" w:rsidRPr="00C10DE5">
        <w:t>Consistent with object 3</w:t>
      </w:r>
      <w:r w:rsidRPr="00C10DE5">
        <w:t>(1)</w:t>
      </w:r>
      <w:r w:rsidR="0090196B" w:rsidRPr="00C10DE5">
        <w:t xml:space="preserve">(b) of the BSA, </w:t>
      </w:r>
      <w:r w:rsidR="00DA65DE" w:rsidRPr="00C10DE5">
        <w:t>reform</w:t>
      </w:r>
      <w:r w:rsidR="0090196B" w:rsidRPr="00C10DE5">
        <w:t xml:space="preserve"> </w:t>
      </w:r>
      <w:r w:rsidR="00D74B46" w:rsidRPr="00C10DE5">
        <w:t xml:space="preserve">should </w:t>
      </w:r>
      <w:r w:rsidRPr="00C10DE5">
        <w:t>support</w:t>
      </w:r>
      <w:r w:rsidR="0090196B" w:rsidRPr="00C10DE5">
        <w:t xml:space="preserve"> the development of a broadcasting industry in Australia that is efficient, competitive and responsive to audience needs</w:t>
      </w:r>
      <w:r w:rsidR="00DA65DE" w:rsidRPr="00C10DE5">
        <w:t>, building</w:t>
      </w:r>
      <w:r w:rsidR="0090196B" w:rsidRPr="00C10DE5">
        <w:rPr>
          <w:lang w:val="en-US"/>
        </w:rPr>
        <w:t xml:space="preserve"> on the existing scheme</w:t>
      </w:r>
      <w:r w:rsidR="00DA65DE" w:rsidRPr="00C10DE5">
        <w:rPr>
          <w:lang w:val="en-US"/>
        </w:rPr>
        <w:t>.</w:t>
      </w:r>
      <w:r w:rsidR="0090196B" w:rsidRPr="00C10DE5">
        <w:rPr>
          <w:lang w:val="en-US"/>
        </w:rPr>
        <w:t xml:space="preserve"> </w:t>
      </w:r>
      <w:r w:rsidR="00DA65DE" w:rsidRPr="00C10DE5">
        <w:rPr>
          <w:rFonts w:eastAsia="Times New Roman" w:cstheme="minorHAnsi"/>
          <w:color w:val="000000"/>
        </w:rPr>
        <w:t>It should not</w:t>
      </w:r>
      <w:r w:rsidR="00DA65DE" w:rsidRPr="00C10DE5">
        <w:t xml:space="preserve"> unnecessarily interfere with the market</w:t>
      </w:r>
      <w:r w:rsidR="00C950F2">
        <w:t xml:space="preserve"> or </w:t>
      </w:r>
      <w:r w:rsidR="00DA65DE" w:rsidRPr="00C10DE5">
        <w:t>impose unnecessary cost</w:t>
      </w:r>
      <w:r w:rsidRPr="00C10DE5">
        <w:t>s</w:t>
      </w:r>
      <w:r w:rsidR="00C950F2">
        <w:t>.</w:t>
      </w:r>
      <w:r w:rsidR="00D74B46" w:rsidRPr="00C10DE5">
        <w:t xml:space="preserve"> </w:t>
      </w:r>
      <w:r w:rsidRPr="00C10DE5">
        <w:t>Any i</w:t>
      </w:r>
      <w:r w:rsidR="00D74B46" w:rsidRPr="00C10DE5">
        <w:t xml:space="preserve">nterference should </w:t>
      </w:r>
      <w:r w:rsidR="00C950F2">
        <w:t>support</w:t>
      </w:r>
      <w:r w:rsidR="00DA65DE" w:rsidRPr="00C10DE5">
        <w:t xml:space="preserve"> the objective of the scheme</w:t>
      </w:r>
      <w:r w:rsidR="00D74B46" w:rsidRPr="00C10DE5">
        <w:t xml:space="preserve"> (as </w:t>
      </w:r>
      <w:r w:rsidR="0090196B" w:rsidRPr="00C10DE5">
        <w:rPr>
          <w:lang w:val="en-US"/>
        </w:rPr>
        <w:t>set out in the Explanatory Memorandum to the bill that introduced the scheme</w:t>
      </w:r>
      <w:r w:rsidR="00D74B46" w:rsidRPr="00C10DE5">
        <w:rPr>
          <w:lang w:val="en-US"/>
        </w:rPr>
        <w:t>)</w:t>
      </w:r>
      <w:r w:rsidR="0090196B" w:rsidRPr="00C10DE5">
        <w:rPr>
          <w:lang w:val="en-US"/>
        </w:rPr>
        <w:t>:</w:t>
      </w:r>
    </w:p>
    <w:p w14:paraId="1ECABF70" w14:textId="77777777" w:rsidR="0090196B" w:rsidRPr="00C10DE5" w:rsidRDefault="0090196B" w:rsidP="0090196B">
      <w:pPr>
        <w:spacing w:before="80"/>
        <w:ind w:left="567" w:right="794"/>
        <w:rPr>
          <w:lang w:val="en-US"/>
        </w:rPr>
      </w:pPr>
      <w:r w:rsidRPr="00C10DE5">
        <w:rPr>
          <w:lang w:val="en-US"/>
        </w:rPr>
        <w:t>“</w:t>
      </w:r>
      <w:r w:rsidRPr="00C10DE5">
        <w:rPr>
          <w:i/>
          <w:lang w:val="en-US"/>
        </w:rPr>
        <w:t>…on equity grounds, that Australians will continue to have free access to important events. It will, however, also allow subscription television broadcasters to negotiate subsequent rights to complementary, or more detailed, coverage of events</w:t>
      </w:r>
      <w:r w:rsidRPr="00C10DE5">
        <w:rPr>
          <w:lang w:val="en-US"/>
        </w:rPr>
        <w:t>.”</w:t>
      </w:r>
      <w:r w:rsidRPr="00C10DE5">
        <w:rPr>
          <w:rStyle w:val="FootnoteReference"/>
          <w:lang w:val="en-US"/>
        </w:rPr>
        <w:footnoteReference w:id="68"/>
      </w:r>
      <w:r w:rsidRPr="00C10DE5">
        <w:rPr>
          <w:lang w:val="en-US"/>
        </w:rPr>
        <w:t xml:space="preserve"> </w:t>
      </w:r>
    </w:p>
    <w:p w14:paraId="50A8DAE4" w14:textId="77777777" w:rsidR="00065BE4" w:rsidRDefault="00065BE4" w:rsidP="00BC0276">
      <w:pPr>
        <w:spacing w:after="0"/>
      </w:pPr>
      <w:r w:rsidRPr="00C10DE5">
        <w:t xml:space="preserve">Reform should also seek to provide appropriate opportunity for subscription television broadcasting licensees and online services to acquire the rights to events on the list, provided that the overall objective of the scheme can be supported and the risk of events migrating behind paywalls can be mitigated. </w:t>
      </w:r>
    </w:p>
    <w:p w14:paraId="45727D0D" w14:textId="4E46BB9D" w:rsidR="00BC0276" w:rsidRPr="00C10DE5" w:rsidRDefault="0090196B" w:rsidP="00BC0276">
      <w:pPr>
        <w:spacing w:after="0"/>
      </w:pPr>
      <w:r w:rsidRPr="00C10DE5">
        <w:t xml:space="preserve">The existing scheme and list are relatively simple in terms of their legislative </w:t>
      </w:r>
      <w:r w:rsidR="00BC0276" w:rsidRPr="00C10DE5">
        <w:t>design. They o</w:t>
      </w:r>
      <w:r w:rsidRPr="00C10DE5">
        <w:t xml:space="preserve">perate to restrict subscription television broadcasting licensees acquiring </w:t>
      </w:r>
      <w:r w:rsidR="00551929" w:rsidRPr="00C10DE5">
        <w:t xml:space="preserve">events </w:t>
      </w:r>
      <w:r w:rsidRPr="00C10DE5">
        <w:t xml:space="preserve">on a list until free-to-air broadcasters have acquired a right (or the event is delisted). Any changes to the scheme and list should continue to be as </w:t>
      </w:r>
      <w:r w:rsidR="00BC0276" w:rsidRPr="00C10DE5">
        <w:t xml:space="preserve">simple and </w:t>
      </w:r>
      <w:r w:rsidR="0038235C" w:rsidRPr="00C10DE5">
        <w:t xml:space="preserve">as </w:t>
      </w:r>
      <w:r w:rsidRPr="00C10DE5">
        <w:t>uncomplicated as necessary in order to achieve its objectives.</w:t>
      </w:r>
      <w:r w:rsidR="00BC0276" w:rsidRPr="00C10DE5">
        <w:t xml:space="preserve"> </w:t>
      </w:r>
    </w:p>
    <w:p w14:paraId="05ACF055" w14:textId="77777777" w:rsidR="0097698F" w:rsidRPr="00C10DE5" w:rsidRDefault="0097698F" w:rsidP="0097698F">
      <w:r w:rsidRPr="00C10DE5">
        <w:rPr>
          <w:rFonts w:asciiTheme="majorHAnsi" w:eastAsiaTheme="majorEastAsia" w:hAnsiTheme="majorHAnsi" w:cstheme="majorBidi"/>
          <w:color w:val="081E3E" w:themeColor="text2"/>
          <w:sz w:val="36"/>
          <w:szCs w:val="26"/>
        </w:rPr>
        <w:t>Risks</w:t>
      </w:r>
    </w:p>
    <w:p w14:paraId="568CB0D6" w14:textId="4C94A28C" w:rsidR="0097698F" w:rsidRPr="00C10DE5" w:rsidRDefault="00CA35F8" w:rsidP="00CA35F8">
      <w:r w:rsidRPr="00C10DE5">
        <w:t>Extending</w:t>
      </w:r>
      <w:r w:rsidR="0097698F" w:rsidRPr="00C10DE5">
        <w:t xml:space="preserve"> the application of the scheme </w:t>
      </w:r>
      <w:r w:rsidR="0038235C" w:rsidRPr="00C10DE5">
        <w:t xml:space="preserve">to online media </w:t>
      </w:r>
      <w:r w:rsidR="0097698F" w:rsidRPr="00C10DE5">
        <w:t xml:space="preserve">creates the potential </w:t>
      </w:r>
      <w:r w:rsidR="0038235C" w:rsidRPr="00C10DE5">
        <w:t>for it to beco</w:t>
      </w:r>
      <w:r w:rsidR="0097698F" w:rsidRPr="00C10DE5">
        <w:t xml:space="preserve">me restrictive to the point where it limits the ability for sporting bodies to maximise their revenue. The Government has sought to mitigate this risk through two phases of consultation — a consultation paper that considered all issues relating to the scheme and the list, and a proposals paper that set out three </w:t>
      </w:r>
      <w:r w:rsidR="0038235C" w:rsidRPr="00C10DE5">
        <w:t>models</w:t>
      </w:r>
      <w:r w:rsidR="0097698F" w:rsidRPr="00C10DE5">
        <w:t xml:space="preserve"> for reform of the scheme and three </w:t>
      </w:r>
      <w:r w:rsidR="0038235C" w:rsidRPr="00C10DE5">
        <w:t xml:space="preserve">options for the </w:t>
      </w:r>
      <w:r w:rsidR="004052E3" w:rsidRPr="00C10DE5">
        <w:t>remaking of the l</w:t>
      </w:r>
      <w:r w:rsidR="0097698F" w:rsidRPr="00C10DE5">
        <w:t xml:space="preserve">ist. Feedback from these processes has </w:t>
      </w:r>
      <w:r w:rsidR="0038235C" w:rsidRPr="00C10DE5">
        <w:t xml:space="preserve">informed consideration of the optimal way forward. </w:t>
      </w:r>
    </w:p>
    <w:p w14:paraId="6E68F847" w14:textId="10EF4E08" w:rsidR="0097698F" w:rsidRPr="00C10DE5" w:rsidRDefault="0097698F" w:rsidP="00CA35F8">
      <w:r w:rsidRPr="00C10DE5">
        <w:t xml:space="preserve">There is </w:t>
      </w:r>
      <w:r w:rsidR="0038235C" w:rsidRPr="00C10DE5">
        <w:t xml:space="preserve">also a </w:t>
      </w:r>
      <w:r w:rsidRPr="00C10DE5">
        <w:t>risk that</w:t>
      </w:r>
      <w:r w:rsidR="0038235C" w:rsidRPr="00C10DE5">
        <w:t xml:space="preserve"> by</w:t>
      </w:r>
      <w:r w:rsidRPr="00C10DE5">
        <w:t xml:space="preserve"> expanding the scheme to online services, </w:t>
      </w:r>
      <w:r w:rsidR="0038235C" w:rsidRPr="00C10DE5">
        <w:t xml:space="preserve">this will </w:t>
      </w:r>
      <w:r w:rsidRPr="00C10DE5">
        <w:t>capture intermediaries that hold the rights to events, such as sporting bodies</w:t>
      </w:r>
      <w:r w:rsidR="0038235C" w:rsidRPr="00C10DE5">
        <w:t xml:space="preserve"> or other parties, </w:t>
      </w:r>
      <w:r w:rsidRPr="00C10DE5">
        <w:t xml:space="preserve">that are </w:t>
      </w:r>
      <w:r w:rsidR="0038235C" w:rsidRPr="00C10DE5">
        <w:t xml:space="preserve">legitimately </w:t>
      </w:r>
      <w:r w:rsidR="00ED16A7">
        <w:t>holding</w:t>
      </w:r>
      <w:r w:rsidRPr="00C10DE5">
        <w:t xml:space="preserve"> the rights. </w:t>
      </w:r>
      <w:bookmarkStart w:id="69" w:name="_Hlk150930384"/>
      <w:r w:rsidRPr="00C10DE5">
        <w:t>To mitigate this risk, legislation to implement reform</w:t>
      </w:r>
      <w:r w:rsidR="0038235C" w:rsidRPr="00C10DE5">
        <w:t>s</w:t>
      </w:r>
      <w:r w:rsidRPr="00C10DE5">
        <w:t xml:space="preserve"> </w:t>
      </w:r>
      <w:r w:rsidR="0038235C" w:rsidRPr="00C10DE5">
        <w:t xml:space="preserve">to the scheme </w:t>
      </w:r>
      <w:r w:rsidR="0038235C" w:rsidRPr="00065BE4">
        <w:t xml:space="preserve">will need to be </w:t>
      </w:r>
      <w:r w:rsidRPr="00065BE4">
        <w:t xml:space="preserve">carefully </w:t>
      </w:r>
      <w:r w:rsidR="0038235C" w:rsidRPr="00065BE4">
        <w:t>constructed</w:t>
      </w:r>
      <w:r w:rsidR="0038235C" w:rsidRPr="00C10DE5">
        <w:t xml:space="preserve"> with </w:t>
      </w:r>
      <w:r w:rsidRPr="00C10DE5">
        <w:t xml:space="preserve">regard to concepts such as </w:t>
      </w:r>
      <w:r w:rsidR="0038235C" w:rsidRPr="00C10DE5">
        <w:t>‘</w:t>
      </w:r>
      <w:r w:rsidRPr="00C10DE5">
        <w:t>content service</w:t>
      </w:r>
      <w:r w:rsidR="0038235C" w:rsidRPr="00C10DE5">
        <w:t xml:space="preserve">s’ and ‘content service providers’ </w:t>
      </w:r>
      <w:r w:rsidR="00CA35F8" w:rsidRPr="00C10DE5">
        <w:t>(or similar constructions)</w:t>
      </w:r>
      <w:r w:rsidR="00027CB9">
        <w:rPr>
          <w:rStyle w:val="FootnoteReference"/>
        </w:rPr>
        <w:footnoteReference w:id="69"/>
      </w:r>
      <w:r w:rsidR="00CA35F8" w:rsidRPr="00C10DE5">
        <w:t xml:space="preserve"> </w:t>
      </w:r>
      <w:r w:rsidRPr="00C10DE5">
        <w:t xml:space="preserve">to </w:t>
      </w:r>
      <w:r w:rsidR="00C950F2">
        <w:t xml:space="preserve">avoid </w:t>
      </w:r>
      <w:r w:rsidR="0038235C" w:rsidRPr="00C10DE5">
        <w:t xml:space="preserve">imposing regulations that are unreasonably </w:t>
      </w:r>
      <w:r w:rsidRPr="00C10DE5">
        <w:t xml:space="preserve">broad. </w:t>
      </w:r>
      <w:bookmarkEnd w:id="69"/>
    </w:p>
    <w:p w14:paraId="7A9C53C8" w14:textId="22FADEE8" w:rsidR="00CA35F8" w:rsidRDefault="0097698F" w:rsidP="007A26CC">
      <w:r w:rsidRPr="00C10DE5">
        <w:t xml:space="preserve">Adding events to the list could </w:t>
      </w:r>
      <w:r w:rsidR="00C950F2">
        <w:t xml:space="preserve">create a </w:t>
      </w:r>
      <w:r w:rsidRPr="00C10DE5">
        <w:t>risk t</w:t>
      </w:r>
      <w:r w:rsidR="00C950F2">
        <w:t>hat th</w:t>
      </w:r>
      <w:r w:rsidRPr="00C10DE5">
        <w:t>e</w:t>
      </w:r>
      <w:r w:rsidR="0038235C" w:rsidRPr="00C10DE5">
        <w:t xml:space="preserve"> rights to these events </w:t>
      </w:r>
      <w:r w:rsidR="00C950F2">
        <w:t>are not</w:t>
      </w:r>
      <w:r w:rsidR="0038235C" w:rsidRPr="00C10DE5">
        <w:t xml:space="preserve"> acquired by </w:t>
      </w:r>
      <w:r w:rsidRPr="00C10DE5">
        <w:t xml:space="preserve">free-to-air broadcasters and remain unsold until they are automatically delisted. </w:t>
      </w:r>
      <w:r w:rsidR="0038235C" w:rsidRPr="00C10DE5">
        <w:t xml:space="preserve">Market trends over the past decade suggest that this risk is </w:t>
      </w:r>
      <w:r w:rsidR="002E1ADB" w:rsidRPr="00C10DE5">
        <w:t>negligible</w:t>
      </w:r>
      <w:r w:rsidR="0038235C" w:rsidRPr="00C10DE5">
        <w:t xml:space="preserve">, as sports content is highly sought after by free-to-air broadcasters and critical to their overall service offering. However, any potential additions to the list will need to be carefully considered. This </w:t>
      </w:r>
      <w:r w:rsidR="002E1ADB" w:rsidRPr="00C10DE5">
        <w:t xml:space="preserve">consideration </w:t>
      </w:r>
      <w:r w:rsidR="0038235C" w:rsidRPr="00C10DE5">
        <w:t xml:space="preserve">will be informed by the </w:t>
      </w:r>
      <w:r w:rsidRPr="00C10DE5">
        <w:t xml:space="preserve">extensive </w:t>
      </w:r>
      <w:r w:rsidR="00C950F2">
        <w:t>engagement</w:t>
      </w:r>
      <w:r w:rsidRPr="00C10DE5">
        <w:t xml:space="preserve"> </w:t>
      </w:r>
      <w:r w:rsidR="002E1ADB" w:rsidRPr="00C10DE5">
        <w:t xml:space="preserve">undertaken, </w:t>
      </w:r>
      <w:r w:rsidRPr="00C10DE5">
        <w:t xml:space="preserve">and </w:t>
      </w:r>
      <w:r w:rsidR="00C950F2">
        <w:t xml:space="preserve">feedback </w:t>
      </w:r>
      <w:r w:rsidRPr="00C10DE5">
        <w:t xml:space="preserve">received </w:t>
      </w:r>
      <w:r w:rsidR="002E1ADB" w:rsidRPr="00C10DE5">
        <w:t>through, the</w:t>
      </w:r>
      <w:r w:rsidR="0038235C" w:rsidRPr="00C10DE5">
        <w:t xml:space="preserve"> </w:t>
      </w:r>
      <w:r w:rsidR="00C950F2">
        <w:t xml:space="preserve">consultation processes in </w:t>
      </w:r>
      <w:r w:rsidR="002E1ADB" w:rsidRPr="00C10DE5">
        <w:t>2022 and 2023</w:t>
      </w:r>
      <w:r w:rsidR="0038235C" w:rsidRPr="00C10DE5">
        <w:t xml:space="preserve">. </w:t>
      </w:r>
    </w:p>
    <w:p w14:paraId="2A22FDEF" w14:textId="77777777" w:rsidR="00B903F0" w:rsidRPr="00B903F0" w:rsidRDefault="00D0790D" w:rsidP="00CA3E79">
      <w:pPr>
        <w:pStyle w:val="Heading1Numbered"/>
        <w:spacing w:before="360"/>
      </w:pPr>
      <w:bookmarkStart w:id="70" w:name="_Toc150883265"/>
      <w:bookmarkStart w:id="71" w:name="_Toc151053047"/>
      <w:r w:rsidRPr="009B3A80">
        <w:t>Policy options considered</w:t>
      </w:r>
      <w:bookmarkEnd w:id="70"/>
      <w:bookmarkEnd w:id="71"/>
    </w:p>
    <w:p w14:paraId="13CF9C01" w14:textId="788F840C" w:rsidR="00287214" w:rsidRPr="009B3A80" w:rsidRDefault="009C7379" w:rsidP="00287214">
      <w:pPr>
        <w:pStyle w:val="Heading2"/>
      </w:pPr>
      <w:bookmarkStart w:id="72" w:name="_Toc150883266"/>
      <w:bookmarkStart w:id="73" w:name="_Toc151053048"/>
      <w:bookmarkEnd w:id="67"/>
      <w:r>
        <w:t>The s</w:t>
      </w:r>
      <w:r w:rsidR="00287214" w:rsidRPr="009B3A80">
        <w:t>cheme</w:t>
      </w:r>
      <w:bookmarkEnd w:id="72"/>
      <w:bookmarkEnd w:id="73"/>
    </w:p>
    <w:p w14:paraId="0E77689E" w14:textId="5E81CDD1" w:rsidR="00287214" w:rsidRDefault="00586BE0" w:rsidP="00586BE0">
      <w:r>
        <w:t xml:space="preserve">The scheme does not currently apply to online media services, and </w:t>
      </w:r>
      <w:r w:rsidR="00287214">
        <w:t xml:space="preserve">three models for reform are proposed to address this gap. The status quo – maintaining the scheme as it currently stands – is also considered. </w:t>
      </w:r>
    </w:p>
    <w:p w14:paraId="0FF01968" w14:textId="3AE157CA" w:rsidR="00586BE0" w:rsidRPr="006E2C76" w:rsidRDefault="00586BE0" w:rsidP="00586BE0">
      <w:pPr>
        <w:pStyle w:val="Caption"/>
      </w:pPr>
      <w:bookmarkStart w:id="74" w:name="_Toc143250745"/>
      <w:bookmarkStart w:id="75" w:name="_Toc150883299"/>
      <w:bookmarkStart w:id="76" w:name="_Toc151053019"/>
      <w:r w:rsidRPr="00B61C3D">
        <w:t xml:space="preserve">Table </w:t>
      </w:r>
      <w:r w:rsidR="00442D8D">
        <w:t>3</w:t>
      </w:r>
      <w:r w:rsidRPr="006E2C76">
        <w:t>: Summary of models to reform the anti-siphoning scheme</w:t>
      </w:r>
      <w:bookmarkEnd w:id="74"/>
      <w:bookmarkEnd w:id="75"/>
      <w:bookmarkEnd w:id="76"/>
    </w:p>
    <w:tbl>
      <w:tblPr>
        <w:tblStyle w:val="DefaultTable1"/>
        <w:tblpPr w:leftFromText="180" w:rightFromText="180" w:vertAnchor="text" w:tblpXSpec="center" w:tblpY="1"/>
        <w:tblOverlap w:val="never"/>
        <w:tblW w:w="5000" w:type="pct"/>
        <w:jc w:val="center"/>
        <w:tblLook w:val="04A0" w:firstRow="1" w:lastRow="0" w:firstColumn="1" w:lastColumn="0" w:noHBand="0" w:noVBand="1"/>
        <w:tblCaption w:val="Sample table"/>
        <w:tblDescription w:val="Sample table"/>
      </w:tblPr>
      <w:tblGrid>
        <w:gridCol w:w="1464"/>
        <w:gridCol w:w="2101"/>
        <w:gridCol w:w="2101"/>
        <w:gridCol w:w="2099"/>
        <w:gridCol w:w="2099"/>
      </w:tblGrid>
      <w:tr w:rsidR="00586BE0" w:rsidRPr="00F45796" w14:paraId="52DEA038" w14:textId="1056B9A2" w:rsidTr="009F185A">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42" w:type="pct"/>
            <w:tcBorders>
              <w:bottom w:val="single" w:sz="4" w:space="0" w:color="008089" w:themeColor="accent2"/>
            </w:tcBorders>
            <w:vAlign w:val="center"/>
          </w:tcPr>
          <w:p w14:paraId="090B65E7" w14:textId="77777777" w:rsidR="00586BE0" w:rsidRPr="00F45796" w:rsidRDefault="00586BE0" w:rsidP="009F185A">
            <w:pPr>
              <w:spacing w:before="40" w:after="40"/>
              <w:rPr>
                <w:sz w:val="20"/>
                <w:szCs w:val="20"/>
              </w:rPr>
            </w:pPr>
          </w:p>
        </w:tc>
        <w:tc>
          <w:tcPr>
            <w:tcW w:w="1065" w:type="pct"/>
            <w:tcBorders>
              <w:bottom w:val="single" w:sz="4" w:space="0" w:color="008089" w:themeColor="accent2"/>
            </w:tcBorders>
            <w:vAlign w:val="center"/>
          </w:tcPr>
          <w:p w14:paraId="15510E76" w14:textId="77777777" w:rsidR="00586BE0" w:rsidRPr="00F45796" w:rsidRDefault="00586BE0" w:rsidP="00E33CCD">
            <w:pPr>
              <w:pStyle w:val="ListParagraph"/>
              <w:numPr>
                <w:ilvl w:val="0"/>
                <w:numId w:val="37"/>
              </w:numPr>
              <w:suppressAutoHyphens w:val="0"/>
              <w:spacing w:before="40" w:after="40"/>
              <w:ind w:left="213" w:hanging="213"/>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F45796">
              <w:rPr>
                <w:sz w:val="20"/>
                <w:szCs w:val="20"/>
              </w:rPr>
              <w:t>Free</w:t>
            </w:r>
            <w:r w:rsidRPr="00EE40A1">
              <w:rPr>
                <w:sz w:val="20"/>
                <w:szCs w:val="20"/>
              </w:rPr>
              <w:t>-</w:t>
            </w:r>
            <w:r w:rsidRPr="00F45796">
              <w:rPr>
                <w:sz w:val="20"/>
                <w:szCs w:val="20"/>
              </w:rPr>
              <w:t>to</w:t>
            </w:r>
            <w:r w:rsidRPr="00EE40A1">
              <w:rPr>
                <w:sz w:val="20"/>
                <w:szCs w:val="20"/>
              </w:rPr>
              <w:t>-</w:t>
            </w:r>
            <w:r w:rsidRPr="00F45796">
              <w:rPr>
                <w:sz w:val="20"/>
                <w:szCs w:val="20"/>
              </w:rPr>
              <w:t>view</w:t>
            </w:r>
          </w:p>
        </w:tc>
        <w:tc>
          <w:tcPr>
            <w:tcW w:w="1065" w:type="pct"/>
            <w:tcBorders>
              <w:bottom w:val="single" w:sz="4" w:space="0" w:color="008089" w:themeColor="accent2"/>
            </w:tcBorders>
            <w:vAlign w:val="center"/>
          </w:tcPr>
          <w:p w14:paraId="61A4798A" w14:textId="77777777" w:rsidR="00586BE0" w:rsidRPr="000C1CBF" w:rsidRDefault="00586BE0" w:rsidP="00E33CCD">
            <w:pPr>
              <w:pStyle w:val="ListParagraph"/>
              <w:numPr>
                <w:ilvl w:val="0"/>
                <w:numId w:val="37"/>
              </w:numPr>
              <w:suppressAutoHyphens w:val="0"/>
              <w:spacing w:before="40" w:after="40"/>
              <w:ind w:left="294"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0C1CBF">
              <w:rPr>
                <w:sz w:val="20"/>
                <w:szCs w:val="20"/>
              </w:rPr>
              <w:t>Broadcasting safety</w:t>
            </w:r>
            <w:r>
              <w:rPr>
                <w:sz w:val="20"/>
                <w:szCs w:val="20"/>
              </w:rPr>
              <w:t xml:space="preserve"> </w:t>
            </w:r>
            <w:r w:rsidRPr="000C1CBF">
              <w:rPr>
                <w:sz w:val="20"/>
                <w:szCs w:val="20"/>
              </w:rPr>
              <w:t>net</w:t>
            </w:r>
          </w:p>
        </w:tc>
        <w:tc>
          <w:tcPr>
            <w:tcW w:w="1064" w:type="pct"/>
            <w:tcBorders>
              <w:bottom w:val="single" w:sz="4" w:space="0" w:color="008089" w:themeColor="accent2"/>
            </w:tcBorders>
            <w:vAlign w:val="center"/>
          </w:tcPr>
          <w:p w14:paraId="7DD79791" w14:textId="77777777" w:rsidR="00586BE0" w:rsidRPr="00F45796" w:rsidRDefault="00586BE0" w:rsidP="00E33CCD">
            <w:pPr>
              <w:pStyle w:val="ListParagraph"/>
              <w:numPr>
                <w:ilvl w:val="0"/>
                <w:numId w:val="37"/>
              </w:numPr>
              <w:suppressAutoHyphens w:val="0"/>
              <w:spacing w:before="40" w:after="40"/>
              <w:ind w:left="232"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0C1CBF">
              <w:rPr>
                <w:sz w:val="20"/>
                <w:szCs w:val="20"/>
              </w:rPr>
              <w:t xml:space="preserve">Free-to-air first  </w:t>
            </w:r>
          </w:p>
        </w:tc>
        <w:tc>
          <w:tcPr>
            <w:tcW w:w="1064" w:type="pct"/>
            <w:tcBorders>
              <w:bottom w:val="single" w:sz="4" w:space="0" w:color="008089" w:themeColor="accent2"/>
            </w:tcBorders>
            <w:vAlign w:val="center"/>
          </w:tcPr>
          <w:p w14:paraId="0DCCFAD5" w14:textId="39DF80D4" w:rsidR="009F185A" w:rsidRDefault="009F185A" w:rsidP="00E33CCD">
            <w:pPr>
              <w:pStyle w:val="ListParagraph"/>
              <w:numPr>
                <w:ilvl w:val="0"/>
                <w:numId w:val="37"/>
              </w:numPr>
              <w:suppressAutoHyphens w:val="0"/>
              <w:spacing w:before="40" w:after="40"/>
              <w:ind w:left="232"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Status </w:t>
            </w:r>
            <w:r w:rsidR="00907BE0">
              <w:rPr>
                <w:sz w:val="20"/>
                <w:szCs w:val="20"/>
              </w:rPr>
              <w:t>q</w:t>
            </w:r>
            <w:r>
              <w:rPr>
                <w:sz w:val="20"/>
                <w:szCs w:val="20"/>
              </w:rPr>
              <w:t>uo</w:t>
            </w:r>
          </w:p>
        </w:tc>
      </w:tr>
      <w:tr w:rsidR="00586BE0" w:rsidRPr="00F45796" w14:paraId="192CDAC4" w14:textId="03F7C65A" w:rsidTr="009F185A">
        <w:trPr>
          <w:jc w:val="center"/>
        </w:trPr>
        <w:tc>
          <w:tcPr>
            <w:cnfStyle w:val="001000000000" w:firstRow="0" w:lastRow="0" w:firstColumn="1" w:lastColumn="0" w:oddVBand="0" w:evenVBand="0" w:oddHBand="0" w:evenHBand="0" w:firstRowFirstColumn="0" w:firstRowLastColumn="0" w:lastRowFirstColumn="0" w:lastRowLastColumn="0"/>
            <w:tcW w:w="742" w:type="pct"/>
          </w:tcPr>
          <w:p w14:paraId="41B558A3" w14:textId="77777777" w:rsidR="00586BE0" w:rsidRPr="00F45796" w:rsidRDefault="00586BE0" w:rsidP="009F185A">
            <w:pPr>
              <w:spacing w:before="40" w:after="40"/>
              <w:rPr>
                <w:sz w:val="20"/>
                <w:szCs w:val="20"/>
              </w:rPr>
            </w:pPr>
            <w:r>
              <w:rPr>
                <w:sz w:val="20"/>
                <w:szCs w:val="20"/>
              </w:rPr>
              <w:t>Summary</w:t>
            </w:r>
          </w:p>
        </w:tc>
        <w:tc>
          <w:tcPr>
            <w:tcW w:w="1065" w:type="pct"/>
          </w:tcPr>
          <w:p w14:paraId="65164C50" w14:textId="0DB054E2" w:rsidR="00586BE0" w:rsidRPr="00213CB9" w:rsidRDefault="00586BE0"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 xml:space="preserve">A new scheme (to replace the current scheme) that would impose </w:t>
            </w:r>
            <w:r w:rsidR="00065BE4">
              <w:rPr>
                <w:sz w:val="20"/>
                <w:szCs w:val="20"/>
              </w:rPr>
              <w:t>regulatory obligations (free, live, in full, on a broadly available platform)</w:t>
            </w:r>
            <w:r w:rsidR="00065BE4" w:rsidRPr="00213CB9">
              <w:rPr>
                <w:sz w:val="20"/>
                <w:szCs w:val="20"/>
              </w:rPr>
              <w:t xml:space="preserve"> </w:t>
            </w:r>
            <w:r w:rsidRPr="00213CB9">
              <w:rPr>
                <w:sz w:val="20"/>
                <w:szCs w:val="20"/>
              </w:rPr>
              <w:t>on all content services (online, broadcast or any other media service) that provide coverage of iconic sporting events to Australian audiences.</w:t>
            </w:r>
          </w:p>
        </w:tc>
        <w:tc>
          <w:tcPr>
            <w:tcW w:w="1065" w:type="pct"/>
          </w:tcPr>
          <w:p w14:paraId="237A96DF" w14:textId="40B522FD" w:rsidR="00586BE0" w:rsidRPr="00213CB9" w:rsidRDefault="00586BE0"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An extension of the current scheme to prevent the acquisition of a</w:t>
            </w:r>
            <w:r>
              <w:rPr>
                <w:sz w:val="20"/>
                <w:szCs w:val="20"/>
              </w:rPr>
              <w:t>ny type of</w:t>
            </w:r>
            <w:r w:rsidRPr="00213CB9">
              <w:rPr>
                <w:sz w:val="20"/>
                <w:szCs w:val="20"/>
              </w:rPr>
              <w:t xml:space="preserve"> right to provide coverage of an iconic sporting event to Australians by a content service </w:t>
            </w:r>
            <w:r>
              <w:rPr>
                <w:sz w:val="20"/>
                <w:szCs w:val="20"/>
              </w:rPr>
              <w:t xml:space="preserve">provider </w:t>
            </w:r>
            <w:r w:rsidRPr="00213CB9">
              <w:rPr>
                <w:sz w:val="20"/>
                <w:szCs w:val="20"/>
              </w:rPr>
              <w:t>until a free-to-air broadcaster has a right to televise the event on a broadcasting service</w:t>
            </w:r>
            <w:r>
              <w:rPr>
                <w:sz w:val="20"/>
                <w:szCs w:val="20"/>
              </w:rPr>
              <w:t xml:space="preserve">, or the event is automatically </w:t>
            </w:r>
            <w:r w:rsidRPr="00455C23">
              <w:rPr>
                <w:sz w:val="20"/>
                <w:szCs w:val="20"/>
              </w:rPr>
              <w:t>delisted</w:t>
            </w:r>
            <w:r w:rsidR="00ED16A7">
              <w:rPr>
                <w:sz w:val="20"/>
                <w:szCs w:val="20"/>
              </w:rPr>
              <w:t xml:space="preserve"> 12 months prior to commencement</w:t>
            </w:r>
            <w:r w:rsidRPr="00455C23">
              <w:rPr>
                <w:sz w:val="20"/>
                <w:szCs w:val="20"/>
              </w:rPr>
              <w:t>.</w:t>
            </w:r>
          </w:p>
        </w:tc>
        <w:tc>
          <w:tcPr>
            <w:tcW w:w="1064" w:type="pct"/>
          </w:tcPr>
          <w:p w14:paraId="30FA9B84" w14:textId="05A4E20E" w:rsidR="00586BE0" w:rsidRPr="00213CB9" w:rsidRDefault="00586BE0"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A significant extension of the current scheme to prevent the acquisition of a</w:t>
            </w:r>
            <w:r>
              <w:rPr>
                <w:sz w:val="20"/>
                <w:szCs w:val="20"/>
              </w:rPr>
              <w:t xml:space="preserve">ny type of </w:t>
            </w:r>
            <w:r w:rsidRPr="00213CB9">
              <w:rPr>
                <w:sz w:val="20"/>
                <w:szCs w:val="20"/>
              </w:rPr>
              <w:t>right to provide coverage of an iconic sporting event to Australians by a content service</w:t>
            </w:r>
            <w:r>
              <w:rPr>
                <w:sz w:val="20"/>
                <w:szCs w:val="20"/>
              </w:rPr>
              <w:t xml:space="preserve"> provider</w:t>
            </w:r>
            <w:r w:rsidRPr="00213CB9">
              <w:rPr>
                <w:sz w:val="20"/>
                <w:szCs w:val="20"/>
              </w:rPr>
              <w:t xml:space="preserve"> until a free-to-air broadcaster has both a right to televise the event on a broadcasting service </w:t>
            </w:r>
            <w:r w:rsidRPr="00213CB9">
              <w:rPr>
                <w:sz w:val="20"/>
                <w:szCs w:val="20"/>
                <w:u w:val="single"/>
              </w:rPr>
              <w:t>and</w:t>
            </w:r>
            <w:r w:rsidRPr="00213CB9">
              <w:rPr>
                <w:sz w:val="20"/>
                <w:szCs w:val="20"/>
              </w:rPr>
              <w:t xml:space="preserve"> a right to provide coverage of the event on a</w:t>
            </w:r>
            <w:r>
              <w:rPr>
                <w:sz w:val="20"/>
                <w:szCs w:val="20"/>
              </w:rPr>
              <w:t xml:space="preserve"> </w:t>
            </w:r>
            <w:r w:rsidRPr="00213CB9">
              <w:rPr>
                <w:sz w:val="20"/>
                <w:szCs w:val="20"/>
              </w:rPr>
              <w:t>content service</w:t>
            </w:r>
            <w:r>
              <w:rPr>
                <w:sz w:val="20"/>
                <w:szCs w:val="20"/>
              </w:rPr>
              <w:t>, or the event is automatically delisted</w:t>
            </w:r>
            <w:r w:rsidR="00ED16A7">
              <w:rPr>
                <w:sz w:val="20"/>
                <w:szCs w:val="20"/>
              </w:rPr>
              <w:t xml:space="preserve"> 26 weeks prior to commencement.</w:t>
            </w:r>
          </w:p>
        </w:tc>
        <w:tc>
          <w:tcPr>
            <w:tcW w:w="1064" w:type="pct"/>
          </w:tcPr>
          <w:p w14:paraId="17C2EAB8" w14:textId="2180EE82" w:rsidR="009F185A" w:rsidRDefault="009F185A"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change to the existing anti-siphoning scheme,</w:t>
            </w:r>
            <w:r w:rsidR="00C950F2">
              <w:rPr>
                <w:sz w:val="20"/>
                <w:szCs w:val="20"/>
              </w:rPr>
              <w:t xml:space="preserve"> with</w:t>
            </w:r>
            <w:r>
              <w:rPr>
                <w:sz w:val="20"/>
                <w:szCs w:val="20"/>
              </w:rPr>
              <w:t xml:space="preserve"> the current restriction </w:t>
            </w:r>
            <w:r w:rsidR="00BF5406">
              <w:rPr>
                <w:sz w:val="20"/>
                <w:szCs w:val="20"/>
              </w:rPr>
              <w:t>preventing subscription</w:t>
            </w:r>
            <w:r w:rsidR="00C950F2">
              <w:rPr>
                <w:sz w:val="20"/>
                <w:szCs w:val="20"/>
              </w:rPr>
              <w:t xml:space="preserve"> television </w:t>
            </w:r>
            <w:r w:rsidR="00BF5406">
              <w:rPr>
                <w:sz w:val="20"/>
                <w:szCs w:val="20"/>
              </w:rPr>
              <w:t xml:space="preserve">broadcasting licensees from acquiring events on the anti-siphoning list </w:t>
            </w:r>
            <w:r w:rsidR="00E14525">
              <w:rPr>
                <w:sz w:val="20"/>
                <w:szCs w:val="20"/>
              </w:rPr>
              <w:t xml:space="preserve">until </w:t>
            </w:r>
            <w:r w:rsidR="00C950F2">
              <w:rPr>
                <w:sz w:val="20"/>
                <w:szCs w:val="20"/>
              </w:rPr>
              <w:t>a</w:t>
            </w:r>
            <w:r w:rsidR="00E14525">
              <w:rPr>
                <w:sz w:val="20"/>
                <w:szCs w:val="20"/>
              </w:rPr>
              <w:t xml:space="preserve"> right is acquired by a free-to-air broadcaster o</w:t>
            </w:r>
            <w:r w:rsidR="00EA6EDA">
              <w:rPr>
                <w:sz w:val="20"/>
                <w:szCs w:val="20"/>
              </w:rPr>
              <w:t>r</w:t>
            </w:r>
            <w:r w:rsidR="00E14525">
              <w:rPr>
                <w:sz w:val="20"/>
                <w:szCs w:val="20"/>
              </w:rPr>
              <w:t xml:space="preserve"> the events is automatically delisted 26 weeks prior to commencement</w:t>
            </w:r>
            <w:r w:rsidR="00BF5406">
              <w:rPr>
                <w:sz w:val="20"/>
                <w:szCs w:val="20"/>
              </w:rPr>
              <w:t xml:space="preserve"> </w:t>
            </w:r>
            <w:r w:rsidR="00C950F2">
              <w:rPr>
                <w:sz w:val="20"/>
                <w:szCs w:val="20"/>
              </w:rPr>
              <w:t>to</w:t>
            </w:r>
            <w:r w:rsidR="00BF5406">
              <w:rPr>
                <w:sz w:val="20"/>
                <w:szCs w:val="20"/>
              </w:rPr>
              <w:t xml:space="preserve"> remain.</w:t>
            </w:r>
          </w:p>
        </w:tc>
      </w:tr>
      <w:tr w:rsidR="00586BE0" w:rsidRPr="00F45796" w14:paraId="3C551E72" w14:textId="15F12725" w:rsidTr="009F185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2" w:type="pct"/>
          </w:tcPr>
          <w:p w14:paraId="68D15370" w14:textId="77777777" w:rsidR="00586BE0" w:rsidRDefault="00586BE0" w:rsidP="009F185A">
            <w:pPr>
              <w:spacing w:before="40" w:after="40"/>
              <w:rPr>
                <w:sz w:val="20"/>
                <w:szCs w:val="20"/>
              </w:rPr>
            </w:pPr>
            <w:r>
              <w:rPr>
                <w:sz w:val="20"/>
                <w:szCs w:val="20"/>
              </w:rPr>
              <w:t>Restriction on rights acquisition?</w:t>
            </w:r>
          </w:p>
        </w:tc>
        <w:tc>
          <w:tcPr>
            <w:tcW w:w="1065" w:type="pct"/>
          </w:tcPr>
          <w:p w14:paraId="417ADF68" w14:textId="77777777" w:rsidR="00586BE0" w:rsidRDefault="00586BE0" w:rsidP="009F185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1065" w:type="pct"/>
          </w:tcPr>
          <w:p w14:paraId="21D96BF4" w14:textId="77777777" w:rsidR="00586BE0" w:rsidRPr="00216AEA" w:rsidRDefault="00586BE0" w:rsidP="009F185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216AEA">
              <w:rPr>
                <w:sz w:val="20"/>
                <w:szCs w:val="20"/>
              </w:rPr>
              <w:t>Yes</w:t>
            </w:r>
          </w:p>
        </w:tc>
        <w:tc>
          <w:tcPr>
            <w:tcW w:w="1064" w:type="pct"/>
          </w:tcPr>
          <w:p w14:paraId="2D0F3AF2" w14:textId="77777777" w:rsidR="00586BE0" w:rsidRPr="00216AEA" w:rsidRDefault="00586BE0" w:rsidP="009F185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216AEA">
              <w:rPr>
                <w:sz w:val="20"/>
                <w:szCs w:val="20"/>
              </w:rPr>
              <w:t>Yes</w:t>
            </w:r>
          </w:p>
        </w:tc>
        <w:tc>
          <w:tcPr>
            <w:tcW w:w="1064" w:type="pct"/>
          </w:tcPr>
          <w:p w14:paraId="7FD3794A" w14:textId="3C985E52" w:rsidR="009F185A" w:rsidRPr="00216AEA" w:rsidRDefault="00BF5406" w:rsidP="009F185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Yes</w:t>
            </w:r>
          </w:p>
        </w:tc>
      </w:tr>
      <w:tr w:rsidR="00586BE0" w:rsidRPr="00F45796" w14:paraId="6935673C" w14:textId="1616212D" w:rsidTr="009F185A">
        <w:trPr>
          <w:jc w:val="center"/>
        </w:trPr>
        <w:tc>
          <w:tcPr>
            <w:cnfStyle w:val="001000000000" w:firstRow="0" w:lastRow="0" w:firstColumn="1" w:lastColumn="0" w:oddVBand="0" w:evenVBand="0" w:oddHBand="0" w:evenHBand="0" w:firstRowFirstColumn="0" w:firstRowLastColumn="0" w:lastRowFirstColumn="0" w:lastRowLastColumn="0"/>
            <w:tcW w:w="742" w:type="pct"/>
          </w:tcPr>
          <w:p w14:paraId="287DCEA9" w14:textId="7B3777DA" w:rsidR="00586BE0" w:rsidRDefault="005A1F1F" w:rsidP="009F185A">
            <w:pPr>
              <w:spacing w:before="40" w:after="40"/>
              <w:rPr>
                <w:sz w:val="20"/>
                <w:szCs w:val="20"/>
              </w:rPr>
            </w:pPr>
            <w:r>
              <w:rPr>
                <w:sz w:val="20"/>
                <w:szCs w:val="20"/>
              </w:rPr>
              <w:t xml:space="preserve">Free and broadly available </w:t>
            </w:r>
            <w:r w:rsidR="00586BE0">
              <w:rPr>
                <w:sz w:val="20"/>
                <w:szCs w:val="20"/>
              </w:rPr>
              <w:t>obligation</w:t>
            </w:r>
            <w:r w:rsidR="00586BE0" w:rsidRPr="0062213F">
              <w:rPr>
                <w:sz w:val="20"/>
                <w:szCs w:val="20"/>
              </w:rPr>
              <w:t>s</w:t>
            </w:r>
            <w:r w:rsidR="00586BE0">
              <w:rPr>
                <w:sz w:val="20"/>
                <w:szCs w:val="20"/>
              </w:rPr>
              <w:t>?</w:t>
            </w:r>
          </w:p>
        </w:tc>
        <w:tc>
          <w:tcPr>
            <w:tcW w:w="1065" w:type="pct"/>
          </w:tcPr>
          <w:p w14:paraId="7D6DFBAA" w14:textId="77777777" w:rsidR="00586BE0" w:rsidRPr="00F45796" w:rsidRDefault="00586BE0"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065" w:type="pct"/>
          </w:tcPr>
          <w:p w14:paraId="7F5C9387" w14:textId="77777777" w:rsidR="00586BE0" w:rsidRDefault="00586BE0"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064" w:type="pct"/>
          </w:tcPr>
          <w:p w14:paraId="1D949C1B" w14:textId="77777777" w:rsidR="00586BE0" w:rsidRDefault="00586BE0"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064" w:type="pct"/>
          </w:tcPr>
          <w:p w14:paraId="2D25F035" w14:textId="15D9DC7D" w:rsidR="009F185A" w:rsidRDefault="00BF5406"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r w:rsidR="00586BE0" w:rsidRPr="00F45796" w14:paraId="2DA5C6A4" w14:textId="55CF9681" w:rsidTr="009F185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2" w:type="pct"/>
          </w:tcPr>
          <w:p w14:paraId="40C6682D" w14:textId="5686763F" w:rsidR="00586BE0" w:rsidRPr="00F45796" w:rsidRDefault="005A1F1F" w:rsidP="009F185A">
            <w:pPr>
              <w:spacing w:before="40" w:after="40"/>
              <w:rPr>
                <w:sz w:val="20"/>
                <w:szCs w:val="20"/>
              </w:rPr>
            </w:pPr>
            <w:r>
              <w:rPr>
                <w:sz w:val="20"/>
                <w:szCs w:val="20"/>
              </w:rPr>
              <w:t>Live and in full</w:t>
            </w:r>
            <w:r w:rsidR="00586BE0" w:rsidRPr="00F45796">
              <w:rPr>
                <w:sz w:val="20"/>
                <w:szCs w:val="20"/>
              </w:rPr>
              <w:t xml:space="preserve"> </w:t>
            </w:r>
            <w:r w:rsidR="00586BE0">
              <w:rPr>
                <w:sz w:val="20"/>
                <w:szCs w:val="20"/>
              </w:rPr>
              <w:t>obligation</w:t>
            </w:r>
            <w:r w:rsidR="00586BE0" w:rsidRPr="0062213F">
              <w:rPr>
                <w:sz w:val="20"/>
                <w:szCs w:val="20"/>
              </w:rPr>
              <w:t>s</w:t>
            </w:r>
            <w:r w:rsidR="00586BE0">
              <w:rPr>
                <w:sz w:val="20"/>
                <w:szCs w:val="20"/>
              </w:rPr>
              <w:t>?</w:t>
            </w:r>
          </w:p>
        </w:tc>
        <w:tc>
          <w:tcPr>
            <w:tcW w:w="1065" w:type="pct"/>
          </w:tcPr>
          <w:p w14:paraId="16975819" w14:textId="77777777" w:rsidR="00586BE0" w:rsidRPr="00F45796" w:rsidRDefault="00586BE0" w:rsidP="009F185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F45796">
              <w:rPr>
                <w:sz w:val="20"/>
                <w:szCs w:val="20"/>
              </w:rPr>
              <w:t>Yes</w:t>
            </w:r>
          </w:p>
        </w:tc>
        <w:tc>
          <w:tcPr>
            <w:tcW w:w="1065" w:type="pct"/>
          </w:tcPr>
          <w:p w14:paraId="471B7114" w14:textId="77777777" w:rsidR="00586BE0" w:rsidRDefault="00586BE0" w:rsidP="009F185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1064" w:type="pct"/>
          </w:tcPr>
          <w:p w14:paraId="02CDD660" w14:textId="77777777" w:rsidR="00586BE0" w:rsidRPr="00F45796" w:rsidRDefault="00586BE0" w:rsidP="009F185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1064" w:type="pct"/>
          </w:tcPr>
          <w:p w14:paraId="34CB4ABD" w14:textId="61EC59EA" w:rsidR="009F185A" w:rsidRDefault="00BF5406" w:rsidP="009F185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r>
      <w:tr w:rsidR="00586BE0" w:rsidRPr="00F45796" w14:paraId="4A69FEB2" w14:textId="22B3A885" w:rsidTr="009F185A">
        <w:trPr>
          <w:jc w:val="center"/>
        </w:trPr>
        <w:tc>
          <w:tcPr>
            <w:cnfStyle w:val="001000000000" w:firstRow="0" w:lastRow="0" w:firstColumn="1" w:lastColumn="0" w:oddVBand="0" w:evenVBand="0" w:oddHBand="0" w:evenHBand="0" w:firstRowFirstColumn="0" w:firstRowLastColumn="0" w:lastRowFirstColumn="0" w:lastRowLastColumn="0"/>
            <w:tcW w:w="742" w:type="pct"/>
          </w:tcPr>
          <w:p w14:paraId="4BC24A09" w14:textId="77777777" w:rsidR="00586BE0" w:rsidRPr="00F45796" w:rsidRDefault="00586BE0" w:rsidP="009F185A">
            <w:pPr>
              <w:spacing w:before="40" w:after="40"/>
              <w:rPr>
                <w:sz w:val="20"/>
                <w:szCs w:val="20"/>
              </w:rPr>
            </w:pPr>
            <w:r>
              <w:rPr>
                <w:sz w:val="20"/>
                <w:szCs w:val="20"/>
              </w:rPr>
              <w:t>Reduction of the</w:t>
            </w:r>
            <w:r w:rsidRPr="00F45796">
              <w:rPr>
                <w:sz w:val="20"/>
                <w:szCs w:val="20"/>
              </w:rPr>
              <w:t xml:space="preserve"> list?</w:t>
            </w:r>
          </w:p>
        </w:tc>
        <w:tc>
          <w:tcPr>
            <w:tcW w:w="1065" w:type="pct"/>
          </w:tcPr>
          <w:p w14:paraId="779F1E8C" w14:textId="77777777" w:rsidR="00586BE0" w:rsidRPr="00F45796" w:rsidRDefault="00586BE0"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5796">
              <w:rPr>
                <w:sz w:val="20"/>
                <w:szCs w:val="20"/>
              </w:rPr>
              <w:t>Yes</w:t>
            </w:r>
          </w:p>
        </w:tc>
        <w:tc>
          <w:tcPr>
            <w:tcW w:w="1065" w:type="pct"/>
          </w:tcPr>
          <w:p w14:paraId="2E63D48D" w14:textId="77777777" w:rsidR="00586BE0" w:rsidRDefault="00586BE0"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064" w:type="pct"/>
          </w:tcPr>
          <w:p w14:paraId="46DDEA15" w14:textId="77777777" w:rsidR="00586BE0" w:rsidRPr="00F45796" w:rsidRDefault="00586BE0"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064" w:type="pct"/>
          </w:tcPr>
          <w:p w14:paraId="0959DF59" w14:textId="434240D2" w:rsidR="009F185A" w:rsidRDefault="00BF5406" w:rsidP="009F1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bl>
    <w:p w14:paraId="54894F0B" w14:textId="4777B767" w:rsidR="00226B05" w:rsidRPr="009B3A80" w:rsidRDefault="00586BE0" w:rsidP="00226B05">
      <w:pPr>
        <w:pStyle w:val="Heading3"/>
      </w:pPr>
      <w:bookmarkStart w:id="77" w:name="_Toc150883267"/>
      <w:bookmarkStart w:id="78" w:name="_Toc151053049"/>
      <w:r>
        <w:t xml:space="preserve">Model </w:t>
      </w:r>
      <w:r w:rsidR="00226B05" w:rsidRPr="009B3A80">
        <w:t>1: ‘</w:t>
      </w:r>
      <w:r w:rsidR="005A6E07">
        <w:t>f</w:t>
      </w:r>
      <w:r w:rsidR="00226B05" w:rsidRPr="009B3A80">
        <w:t>ree-to-view’</w:t>
      </w:r>
      <w:bookmarkEnd w:id="77"/>
      <w:bookmarkEnd w:id="78"/>
      <w:r w:rsidR="00226B05" w:rsidRPr="009B3A80">
        <w:t xml:space="preserve"> </w:t>
      </w:r>
    </w:p>
    <w:p w14:paraId="32A79225" w14:textId="6F7AD297" w:rsidR="00317E00" w:rsidRPr="00F5016C" w:rsidRDefault="00876C20" w:rsidP="00317E00">
      <w:pPr>
        <w:spacing w:after="0"/>
      </w:pPr>
      <w:bookmarkStart w:id="79" w:name="_Hlk139541351"/>
      <w:r w:rsidRPr="00EB6AD5">
        <w:t xml:space="preserve">Under this </w:t>
      </w:r>
      <w:r w:rsidR="00C35F41">
        <w:t>model</w:t>
      </w:r>
      <w:r w:rsidRPr="00EB6AD5">
        <w:t xml:space="preserve">, the </w:t>
      </w:r>
      <w:r>
        <w:t xml:space="preserve">current </w:t>
      </w:r>
      <w:r w:rsidRPr="00EB6AD5">
        <w:t xml:space="preserve">anti-siphoning scheme would </w:t>
      </w:r>
      <w:r>
        <w:t xml:space="preserve">be replaced by a new scheme. This new scheme would not impose any </w:t>
      </w:r>
      <w:r w:rsidRPr="00F5016C">
        <w:t>restriction</w:t>
      </w:r>
      <w:r>
        <w:t>s on the acquisition of media rights to listed</w:t>
      </w:r>
      <w:r w:rsidRPr="00EB6AD5">
        <w:t xml:space="preserve"> </w:t>
      </w:r>
      <w:r>
        <w:t xml:space="preserve">events. However, if coverage of those events is made available to audiences in Australia, </w:t>
      </w:r>
      <w:bookmarkEnd w:id="79"/>
      <w:r w:rsidR="00317E00">
        <w:t xml:space="preserve">the relevant content service </w:t>
      </w:r>
      <w:r w:rsidR="00317E00" w:rsidRPr="00F5016C">
        <w:t xml:space="preserve">(any online, broadcasting or other media service) </w:t>
      </w:r>
      <w:r w:rsidR="00317E00">
        <w:t xml:space="preserve">would need to ensure that coverage </w:t>
      </w:r>
      <w:r w:rsidR="00605C23">
        <w:t>complies with the following regulatory obligations</w:t>
      </w:r>
      <w:r w:rsidR="00E14525">
        <w:t xml:space="preserve"> in relation to the event</w:t>
      </w:r>
      <w:r w:rsidR="00317E00">
        <w:t>:</w:t>
      </w:r>
    </w:p>
    <w:p w14:paraId="619E6D2E" w14:textId="6A4AA646" w:rsidR="00317E00" w:rsidRPr="00F5016C" w:rsidRDefault="00317E00" w:rsidP="007C2F3E">
      <w:pPr>
        <w:pStyle w:val="Bullet1"/>
      </w:pPr>
      <w:r>
        <w:t>ma</w:t>
      </w:r>
      <w:r w:rsidR="00E14525">
        <w:rPr>
          <w:lang w:val="en-AU"/>
        </w:rPr>
        <w:t>k</w:t>
      </w:r>
      <w:r>
        <w:t xml:space="preserve">e </w:t>
      </w:r>
      <w:r w:rsidR="00E14525">
        <w:rPr>
          <w:lang w:val="en-AU"/>
        </w:rPr>
        <w:t>it</w:t>
      </w:r>
      <w:r>
        <w:rPr>
          <w:lang w:val="en-AU"/>
        </w:rPr>
        <w:t xml:space="preserve"> </w:t>
      </w:r>
      <w:r>
        <w:t xml:space="preserve">available </w:t>
      </w:r>
      <w:r w:rsidRPr="00F5016C">
        <w:t xml:space="preserve">to </w:t>
      </w:r>
      <w:r>
        <w:t xml:space="preserve">the Australian public for </w:t>
      </w:r>
      <w:r w:rsidRPr="007B0730">
        <w:rPr>
          <w:u w:val="single"/>
        </w:rPr>
        <w:t>free</w:t>
      </w:r>
      <w:r>
        <w:t xml:space="preserve"> and on a </w:t>
      </w:r>
      <w:r w:rsidRPr="007B0730">
        <w:rPr>
          <w:u w:val="single"/>
        </w:rPr>
        <w:t>broadly available technology platform</w:t>
      </w:r>
      <w:r>
        <w:t>; and</w:t>
      </w:r>
    </w:p>
    <w:p w14:paraId="2F3B8344" w14:textId="01CBB53C" w:rsidR="00591869" w:rsidRDefault="00E14525" w:rsidP="007C2F3E">
      <w:pPr>
        <w:pStyle w:val="Bullet1"/>
      </w:pPr>
      <w:r>
        <w:rPr>
          <w:lang w:val="en-AU"/>
        </w:rPr>
        <w:t xml:space="preserve">show it </w:t>
      </w:r>
      <w:r w:rsidR="00317E00" w:rsidRPr="007B0730">
        <w:rPr>
          <w:u w:val="single"/>
        </w:rPr>
        <w:t>live</w:t>
      </w:r>
      <w:r w:rsidR="00317E00">
        <w:t xml:space="preserve"> and </w:t>
      </w:r>
      <w:r w:rsidR="00317E00" w:rsidRPr="007B0730">
        <w:rPr>
          <w:u w:val="single"/>
        </w:rPr>
        <w:t>in full</w:t>
      </w:r>
      <w:r w:rsidR="00317E00" w:rsidRPr="00EB6AD5">
        <w:t>.</w:t>
      </w:r>
    </w:p>
    <w:p w14:paraId="047D9094" w14:textId="77777777" w:rsidR="007C26CB" w:rsidRPr="00591869" w:rsidRDefault="007C26CB" w:rsidP="00355FE5">
      <w:pPr>
        <w:pStyle w:val="Introduction"/>
        <w:keepNext/>
        <w:keepLines/>
      </w:pPr>
      <w:r w:rsidRPr="00591869">
        <w:t>Requirements of this model</w:t>
      </w:r>
    </w:p>
    <w:p w14:paraId="602025AA" w14:textId="77777777" w:rsidR="007C26CB" w:rsidRPr="006A27EB" w:rsidRDefault="007C26CB" w:rsidP="00355FE5">
      <w:pPr>
        <w:keepNext/>
        <w:keepLines/>
        <w:spacing w:after="0"/>
        <w:rPr>
          <w:b/>
        </w:rPr>
      </w:pPr>
      <w:r w:rsidRPr="006A27EB">
        <w:rPr>
          <w:b/>
        </w:rPr>
        <w:t>Free availability</w:t>
      </w:r>
    </w:p>
    <w:p w14:paraId="4C51CD2D" w14:textId="77777777" w:rsidR="007C26CB" w:rsidRDefault="007C26CB" w:rsidP="00355FE5">
      <w:pPr>
        <w:keepNext/>
        <w:keepLines/>
        <w:spacing w:after="0"/>
        <w:rPr>
          <w:szCs w:val="18"/>
        </w:rPr>
      </w:pPr>
      <w:r>
        <w:t>The coverage of listed events would need to be ‘free’.</w:t>
      </w:r>
      <w:r>
        <w:rPr>
          <w:szCs w:val="18"/>
        </w:rPr>
        <w:t xml:space="preserve"> Coverage would be </w:t>
      </w:r>
      <w:r w:rsidRPr="00E169F1">
        <w:rPr>
          <w:szCs w:val="18"/>
        </w:rPr>
        <w:t xml:space="preserve">‘free’ </w:t>
      </w:r>
      <w:r>
        <w:rPr>
          <w:szCs w:val="18"/>
        </w:rPr>
        <w:t xml:space="preserve">if viewers of the event are not required to explicitly pay to access coverage. In other words, there are no </w:t>
      </w:r>
      <w:r w:rsidRPr="008E7338">
        <w:rPr>
          <w:szCs w:val="18"/>
        </w:rPr>
        <w:t>direct</w:t>
      </w:r>
      <w:r>
        <w:rPr>
          <w:szCs w:val="18"/>
        </w:rPr>
        <w:t xml:space="preserve"> or explicit</w:t>
      </w:r>
      <w:r w:rsidRPr="008E7338">
        <w:rPr>
          <w:szCs w:val="18"/>
        </w:rPr>
        <w:t xml:space="preserve"> payments</w:t>
      </w:r>
      <w:r>
        <w:rPr>
          <w:szCs w:val="18"/>
        </w:rPr>
        <w:t>,</w:t>
      </w:r>
      <w:r w:rsidRPr="008E7338">
        <w:rPr>
          <w:szCs w:val="18"/>
        </w:rPr>
        <w:t xml:space="preserve"> </w:t>
      </w:r>
      <w:r>
        <w:rPr>
          <w:szCs w:val="18"/>
        </w:rPr>
        <w:t>such</w:t>
      </w:r>
      <w:r w:rsidRPr="008E7338">
        <w:rPr>
          <w:szCs w:val="18"/>
        </w:rPr>
        <w:t xml:space="preserve"> </w:t>
      </w:r>
      <w:r>
        <w:rPr>
          <w:szCs w:val="18"/>
        </w:rPr>
        <w:t>as</w:t>
      </w:r>
      <w:r w:rsidRPr="008E7338">
        <w:rPr>
          <w:szCs w:val="18"/>
        </w:rPr>
        <w:t xml:space="preserve"> subscription fees or pay-per-view </w:t>
      </w:r>
      <w:r>
        <w:rPr>
          <w:szCs w:val="18"/>
        </w:rPr>
        <w:t xml:space="preserve">charges, associated with the </w:t>
      </w:r>
      <w:r w:rsidRPr="008E7338">
        <w:rPr>
          <w:szCs w:val="18"/>
        </w:rPr>
        <w:t>coverage</w:t>
      </w:r>
      <w:r>
        <w:rPr>
          <w:szCs w:val="18"/>
        </w:rPr>
        <w:t xml:space="preserve"> of the event by the content service.</w:t>
      </w:r>
    </w:p>
    <w:p w14:paraId="79391468" w14:textId="77777777" w:rsidR="007C26CB" w:rsidRDefault="007C26CB" w:rsidP="007C26CB">
      <w:pPr>
        <w:spacing w:after="0"/>
        <w:rPr>
          <w:szCs w:val="18"/>
        </w:rPr>
      </w:pPr>
      <w:r>
        <w:rPr>
          <w:szCs w:val="18"/>
        </w:rPr>
        <w:t>The free coverage obligation would not restrict the provision of advertising as part of the coverage. Nor would it extend to any ‘implicit costs’ associated with viewing the event, such as internet access</w:t>
      </w:r>
      <w:r w:rsidRPr="008E7338">
        <w:rPr>
          <w:szCs w:val="18"/>
        </w:rPr>
        <w:t xml:space="preserve"> charge</w:t>
      </w:r>
      <w:r>
        <w:rPr>
          <w:szCs w:val="18"/>
        </w:rPr>
        <w:t>s,</w:t>
      </w:r>
      <w:r w:rsidRPr="008E7338">
        <w:rPr>
          <w:szCs w:val="18"/>
        </w:rPr>
        <w:t xml:space="preserve"> the costs </w:t>
      </w:r>
      <w:r>
        <w:rPr>
          <w:szCs w:val="18"/>
        </w:rPr>
        <w:t xml:space="preserve">of </w:t>
      </w:r>
      <w:r w:rsidRPr="008E7338">
        <w:rPr>
          <w:szCs w:val="18"/>
        </w:rPr>
        <w:t>reception equipment</w:t>
      </w:r>
      <w:r>
        <w:rPr>
          <w:szCs w:val="18"/>
        </w:rPr>
        <w:t xml:space="preserve"> or devices, or any requirement for users to have an account with the service.</w:t>
      </w:r>
    </w:p>
    <w:p w14:paraId="1DD0CA8D" w14:textId="77777777" w:rsidR="007C26CB" w:rsidRPr="006A27EB" w:rsidRDefault="007C26CB" w:rsidP="007C26CB">
      <w:pPr>
        <w:spacing w:after="0"/>
        <w:rPr>
          <w:b/>
        </w:rPr>
      </w:pPr>
      <w:r w:rsidRPr="006A27EB">
        <w:rPr>
          <w:b/>
        </w:rPr>
        <w:t>A broadly available technology platform</w:t>
      </w:r>
    </w:p>
    <w:p w14:paraId="6DF744EF" w14:textId="4CD9BC59" w:rsidR="007C26CB" w:rsidRDefault="007C26CB" w:rsidP="007C26CB">
      <w:pPr>
        <w:spacing w:after="0"/>
      </w:pPr>
      <w:r>
        <w:t>A content service provider would need to satisfy a requirement that the technology platform used to provide coverage of the event is ‘</w:t>
      </w:r>
      <w:r w:rsidRPr="006A27EB">
        <w:t>broadly available</w:t>
      </w:r>
      <w:r>
        <w:t xml:space="preserve">’ to the Australian population. </w:t>
      </w:r>
      <w:r w:rsidR="00800D63">
        <w:t>I</w:t>
      </w:r>
      <w:r>
        <w:t>f content services were able to use a technology platform available to only a subset or portion of the Australian population, it would be unlikely to align</w:t>
      </w:r>
      <w:r w:rsidR="00800D63">
        <w:t xml:space="preserve"> with</w:t>
      </w:r>
      <w:r>
        <w:t xml:space="preserve"> the scheme’s objective </w:t>
      </w:r>
      <w:r w:rsidR="00DB11FA">
        <w:t xml:space="preserve">promoting </w:t>
      </w:r>
      <w:r>
        <w:t>free access to televised coverage of nationally important and culturally significant sporting events to all Australians. I</w:t>
      </w:r>
      <w:r w:rsidRPr="00EF6877">
        <w:t xml:space="preserve">t is proposed that the content service must provide coverage using a platform that is available to a minimum of </w:t>
      </w:r>
      <w:r w:rsidRPr="00000AC0">
        <w:t>99 per cent of the Australian population</w:t>
      </w:r>
      <w:r>
        <w:t xml:space="preserve"> to satisfy this criterion</w:t>
      </w:r>
      <w:r w:rsidRPr="00EF6877">
        <w:t>.</w:t>
      </w:r>
    </w:p>
    <w:p w14:paraId="421C6A21" w14:textId="666228C7" w:rsidR="007C26CB" w:rsidRDefault="007C26CB" w:rsidP="007C26CB">
      <w:pPr>
        <w:spacing w:after="0"/>
        <w:rPr>
          <w:b/>
        </w:rPr>
      </w:pPr>
      <w:r w:rsidRPr="00000AC0">
        <w:rPr>
          <w:b/>
        </w:rPr>
        <w:t>Live coverage</w:t>
      </w:r>
    </w:p>
    <w:p w14:paraId="57203DA4" w14:textId="77777777" w:rsidR="007C26CB" w:rsidRDefault="007C26CB" w:rsidP="007C26CB">
      <w:r w:rsidRPr="00684BB6">
        <w:t>Events would be required to be shown ‘live’. The term ‘live’ would refer to coverage of the event at the time that the event occurs. This definition would require coverage of events to occur as play takes place, recognising the primacy of sport being live as opposed to other genres of entertainment content.</w:t>
      </w:r>
    </w:p>
    <w:p w14:paraId="0AE9ABA0" w14:textId="77777777" w:rsidR="007C26CB" w:rsidRDefault="007C26CB" w:rsidP="007C26CB">
      <w:r w:rsidRPr="00684BB6">
        <w:t>However, exceptions would be permitted in particular circumstances, and this would include the circumstance where coverage was delayed</w:t>
      </w:r>
      <w:r>
        <w:t xml:space="preserve"> due to:</w:t>
      </w:r>
    </w:p>
    <w:p w14:paraId="4169D3F2" w14:textId="77777777" w:rsidR="007C26CB" w:rsidRPr="007E28C9" w:rsidRDefault="007C26CB" w:rsidP="007C26CB">
      <w:pPr>
        <w:pStyle w:val="Bullet1"/>
        <w:rPr>
          <w:szCs w:val="18"/>
        </w:rPr>
      </w:pPr>
      <w:r w:rsidRPr="003912EF">
        <w:t>the</w:t>
      </w:r>
      <w:r w:rsidRPr="000A173E">
        <w:rPr>
          <w:szCs w:val="18"/>
        </w:rPr>
        <w:t xml:space="preserve"> technical parameters of the particular technology platform</w:t>
      </w:r>
      <w:r>
        <w:rPr>
          <w:szCs w:val="18"/>
        </w:rPr>
        <w:t xml:space="preserve"> (for example, where coverage via a particular technology or combination of technologies unavoidably involves a ‘lag’ between play occurring and coverage being available to the user of the content service); and</w:t>
      </w:r>
    </w:p>
    <w:p w14:paraId="13F4B4F2" w14:textId="22C2653C" w:rsidR="007C26CB" w:rsidRPr="00515094" w:rsidRDefault="007C26CB" w:rsidP="007C26CB">
      <w:pPr>
        <w:pStyle w:val="Bullet1"/>
        <w:rPr>
          <w:szCs w:val="18"/>
        </w:rPr>
      </w:pPr>
      <w:r w:rsidRPr="000A173E">
        <w:rPr>
          <w:szCs w:val="18"/>
        </w:rPr>
        <w:t xml:space="preserve">unforeseen </w:t>
      </w:r>
      <w:r>
        <w:rPr>
          <w:szCs w:val="18"/>
        </w:rPr>
        <w:t xml:space="preserve">technical or </w:t>
      </w:r>
      <w:r w:rsidRPr="000A173E">
        <w:rPr>
          <w:szCs w:val="18"/>
        </w:rPr>
        <w:t>service outages</w:t>
      </w:r>
      <w:r>
        <w:rPr>
          <w:szCs w:val="18"/>
        </w:rPr>
        <w:t xml:space="preserve">, </w:t>
      </w:r>
      <w:r w:rsidRPr="000A173E">
        <w:rPr>
          <w:szCs w:val="18"/>
        </w:rPr>
        <w:t xml:space="preserve">particularly those that are outside the control of the </w:t>
      </w:r>
      <w:r>
        <w:rPr>
          <w:szCs w:val="18"/>
        </w:rPr>
        <w:t xml:space="preserve">content </w:t>
      </w:r>
      <w:r w:rsidRPr="000A173E">
        <w:rPr>
          <w:szCs w:val="18"/>
        </w:rPr>
        <w:t>service</w:t>
      </w:r>
      <w:r>
        <w:rPr>
          <w:szCs w:val="18"/>
        </w:rPr>
        <w:t xml:space="preserve"> provider (for example, a network outage by a carriage service that impacts the ability of a content service provider to provide live coverage of the event).</w:t>
      </w:r>
    </w:p>
    <w:p w14:paraId="2DCE6D13" w14:textId="2D377D55" w:rsidR="007C26CB" w:rsidRPr="00515094" w:rsidRDefault="00AF4810" w:rsidP="007C26CB">
      <w:pPr>
        <w:spacing w:after="0"/>
        <w:rPr>
          <w:b/>
        </w:rPr>
      </w:pPr>
      <w:r>
        <w:rPr>
          <w:b/>
        </w:rPr>
        <w:t>C</w:t>
      </w:r>
      <w:r w:rsidRPr="00515094">
        <w:rPr>
          <w:b/>
        </w:rPr>
        <w:t xml:space="preserve">overage </w:t>
      </w:r>
      <w:r>
        <w:rPr>
          <w:b/>
        </w:rPr>
        <w:t>i</w:t>
      </w:r>
      <w:r w:rsidR="007C26CB" w:rsidRPr="00515094">
        <w:rPr>
          <w:b/>
        </w:rPr>
        <w:t>n</w:t>
      </w:r>
      <w:r>
        <w:rPr>
          <w:b/>
        </w:rPr>
        <w:t xml:space="preserve"> </w:t>
      </w:r>
      <w:r w:rsidR="007C26CB" w:rsidRPr="00515094">
        <w:rPr>
          <w:b/>
        </w:rPr>
        <w:t xml:space="preserve">full </w:t>
      </w:r>
    </w:p>
    <w:p w14:paraId="633B3E7A" w14:textId="77777777" w:rsidR="007C26CB" w:rsidRDefault="007C26CB" w:rsidP="007C26CB">
      <w:pPr>
        <w:spacing w:after="0"/>
        <w:rPr>
          <w:szCs w:val="18"/>
        </w:rPr>
      </w:pPr>
      <w:r>
        <w:t xml:space="preserve">Events will be required to be shown ‘in full’. </w:t>
      </w:r>
      <w:r>
        <w:rPr>
          <w:szCs w:val="18"/>
        </w:rPr>
        <w:t xml:space="preserve">This obligation would be satisfied if </w:t>
      </w:r>
      <w:r w:rsidRPr="000452F4">
        <w:rPr>
          <w:szCs w:val="18"/>
        </w:rPr>
        <w:t xml:space="preserve">the whole of an event </w:t>
      </w:r>
      <w:r>
        <w:rPr>
          <w:szCs w:val="18"/>
        </w:rPr>
        <w:t>is shown,</w:t>
      </w:r>
      <w:r w:rsidRPr="000452F4">
        <w:rPr>
          <w:szCs w:val="18"/>
        </w:rPr>
        <w:t xml:space="preserve"> </w:t>
      </w:r>
      <w:r>
        <w:rPr>
          <w:szCs w:val="18"/>
        </w:rPr>
        <w:t xml:space="preserve">apart from </w:t>
      </w:r>
      <w:r w:rsidRPr="000452F4">
        <w:rPr>
          <w:szCs w:val="18"/>
        </w:rPr>
        <w:t>an insubstantial proportion of the event.</w:t>
      </w:r>
      <w:r>
        <w:rPr>
          <w:szCs w:val="18"/>
        </w:rPr>
        <w:t xml:space="preserve"> </w:t>
      </w:r>
      <w:r w:rsidRPr="000452F4">
        <w:rPr>
          <w:szCs w:val="18"/>
        </w:rPr>
        <w:t>For example, interruptions by way of commercial breaks, news breaks, program promotions, announcements or brief crosses to other live events would amount to an insubstantial proportion of the event.</w:t>
      </w:r>
    </w:p>
    <w:p w14:paraId="72D8C095" w14:textId="77777777" w:rsidR="007C26CB" w:rsidRDefault="007C26CB" w:rsidP="007C26CB">
      <w:pPr>
        <w:spacing w:after="0"/>
        <w:rPr>
          <w:b/>
          <w:color w:val="000000"/>
          <w:shd w:val="clear" w:color="auto" w:fill="FFFFFF"/>
        </w:rPr>
      </w:pPr>
      <w:r>
        <w:rPr>
          <w:b/>
          <w:color w:val="000000"/>
          <w:shd w:val="clear" w:color="auto" w:fill="FFFFFF"/>
        </w:rPr>
        <w:t>Exceptions</w:t>
      </w:r>
    </w:p>
    <w:p w14:paraId="00611469" w14:textId="77777777" w:rsidR="007C26CB" w:rsidRPr="007D3D08" w:rsidRDefault="007C26CB" w:rsidP="007C26CB">
      <w:pPr>
        <w:spacing w:after="0"/>
        <w:rPr>
          <w:color w:val="000000"/>
          <w:u w:val="single"/>
          <w:shd w:val="clear" w:color="auto" w:fill="FFFFFF"/>
        </w:rPr>
      </w:pPr>
      <w:r w:rsidRPr="007D3D08">
        <w:rPr>
          <w:color w:val="000000"/>
          <w:u w:val="single"/>
          <w:shd w:val="clear" w:color="auto" w:fill="FFFFFF"/>
        </w:rPr>
        <w:t>Ancillary coverage</w:t>
      </w:r>
    </w:p>
    <w:p w14:paraId="2758B26C" w14:textId="77777777" w:rsidR="007C26CB" w:rsidRPr="00BF4A57" w:rsidRDefault="007C26CB" w:rsidP="007C26CB">
      <w:pPr>
        <w:spacing w:after="0"/>
        <w:rPr>
          <w:szCs w:val="18"/>
        </w:rPr>
      </w:pPr>
      <w:r w:rsidRPr="00BF4A57">
        <w:rPr>
          <w:szCs w:val="18"/>
        </w:rPr>
        <w:t xml:space="preserve">Ancillary coverage would </w:t>
      </w:r>
      <w:r>
        <w:rPr>
          <w:szCs w:val="18"/>
        </w:rPr>
        <w:t>be excluded where</w:t>
      </w:r>
      <w:r w:rsidRPr="00BF4A57">
        <w:rPr>
          <w:szCs w:val="18"/>
        </w:rPr>
        <w:t>:</w:t>
      </w:r>
    </w:p>
    <w:p w14:paraId="10C1AE82" w14:textId="77777777" w:rsidR="007C26CB" w:rsidRPr="00BF4A57" w:rsidRDefault="007C26CB" w:rsidP="007C26CB">
      <w:pPr>
        <w:pStyle w:val="Bullet1"/>
        <w:rPr>
          <w:szCs w:val="18"/>
        </w:rPr>
      </w:pPr>
      <w:r>
        <w:rPr>
          <w:szCs w:val="18"/>
        </w:rPr>
        <w:t xml:space="preserve">it is </w:t>
      </w:r>
      <w:r w:rsidRPr="00BF4A57">
        <w:rPr>
          <w:szCs w:val="18"/>
        </w:rPr>
        <w:t>not more than an insubstantial portion of the event (such as highlights provided in news bulletins); or</w:t>
      </w:r>
    </w:p>
    <w:p w14:paraId="715067D9" w14:textId="77777777" w:rsidR="007C26CB" w:rsidRPr="00BF4A57" w:rsidRDefault="007C26CB" w:rsidP="007C26CB">
      <w:pPr>
        <w:pStyle w:val="Bullet1"/>
        <w:rPr>
          <w:szCs w:val="18"/>
        </w:rPr>
      </w:pPr>
      <w:r w:rsidRPr="00BF4A57">
        <w:rPr>
          <w:szCs w:val="18"/>
        </w:rPr>
        <w:t>coverage is secondary to the primary coverage of the event (such as a replay of the event).</w:t>
      </w:r>
    </w:p>
    <w:p w14:paraId="34ACD9A2" w14:textId="5CE88A86" w:rsidR="007C26CB" w:rsidRDefault="007C26CB" w:rsidP="007C26CB">
      <w:pPr>
        <w:spacing w:after="0"/>
        <w:rPr>
          <w:szCs w:val="18"/>
        </w:rPr>
      </w:pPr>
      <w:r w:rsidRPr="00BF4A57">
        <w:rPr>
          <w:szCs w:val="18"/>
        </w:rPr>
        <w:t xml:space="preserve">This </w:t>
      </w:r>
      <w:r w:rsidR="00800D63">
        <w:rPr>
          <w:szCs w:val="18"/>
        </w:rPr>
        <w:t>would a</w:t>
      </w:r>
      <w:r w:rsidRPr="00BF4A57">
        <w:rPr>
          <w:szCs w:val="18"/>
        </w:rPr>
        <w:t>void imposing the live and in full obligations on entities that are legitimately not providing, and are not authorised to provide, this type of coverage.</w:t>
      </w:r>
    </w:p>
    <w:p w14:paraId="6625E19C" w14:textId="77777777" w:rsidR="007C26CB" w:rsidRPr="007D3D08" w:rsidRDefault="007C26CB" w:rsidP="007C26CB">
      <w:pPr>
        <w:spacing w:after="0"/>
        <w:rPr>
          <w:color w:val="000000"/>
          <w:u w:val="single"/>
          <w:shd w:val="clear" w:color="auto" w:fill="FFFFFF"/>
        </w:rPr>
      </w:pPr>
      <w:r w:rsidRPr="007D3D08">
        <w:rPr>
          <w:color w:val="000000"/>
          <w:u w:val="single"/>
          <w:shd w:val="clear" w:color="auto" w:fill="FFFFFF"/>
        </w:rPr>
        <w:t>Partial rights</w:t>
      </w:r>
    </w:p>
    <w:p w14:paraId="564CFBA2" w14:textId="77777777" w:rsidR="007C26CB" w:rsidRPr="00CF499D" w:rsidRDefault="007C26CB" w:rsidP="007C26CB">
      <w:pPr>
        <w:spacing w:after="0"/>
      </w:pPr>
      <w:r>
        <w:t>Where only a</w:t>
      </w:r>
      <w:r w:rsidRPr="00CF499D">
        <w:t xml:space="preserve"> portion of </w:t>
      </w:r>
      <w:r>
        <w:t xml:space="preserve">the rights or delayed coverage of the rights to </w:t>
      </w:r>
      <w:r w:rsidRPr="00CF499D">
        <w:t>a listed event</w:t>
      </w:r>
      <w:r>
        <w:t xml:space="preserve"> are acquired</w:t>
      </w:r>
      <w:r w:rsidRPr="00CF499D">
        <w:t>, the live and in full requirements would be</w:t>
      </w:r>
      <w:r>
        <w:t xml:space="preserve"> deemed to have been</w:t>
      </w:r>
      <w:r w:rsidRPr="00CF499D">
        <w:t xml:space="preserve"> met, provided that the content service provider fully utilise</w:t>
      </w:r>
      <w:r>
        <w:t>s</w:t>
      </w:r>
      <w:r w:rsidRPr="00CF499D">
        <w:t xml:space="preserve"> the rights that they </w:t>
      </w:r>
      <w:r>
        <w:t>hold</w:t>
      </w:r>
      <w:r w:rsidRPr="00CF499D">
        <w:t>.</w:t>
      </w:r>
      <w:r>
        <w:t xml:space="preserve"> </w:t>
      </w:r>
      <w:r w:rsidRPr="00CF499D">
        <w:t xml:space="preserve">This would prevent the situation of a party being in breach of the live and in full coverage obligation in the circumstances where they don’t hold rights that are sufficient to enable them to fulfil that obligation. </w:t>
      </w:r>
    </w:p>
    <w:p w14:paraId="625E4726" w14:textId="77777777" w:rsidR="007C26CB" w:rsidRPr="00F03D37" w:rsidRDefault="007C26CB" w:rsidP="00F03D37">
      <w:pPr>
        <w:pStyle w:val="Introduction"/>
      </w:pPr>
      <w:r w:rsidRPr="00F03D37">
        <w:t>Application of this model</w:t>
      </w:r>
    </w:p>
    <w:p w14:paraId="55DC59B7" w14:textId="19723E74" w:rsidR="007C26CB" w:rsidRDefault="007C26CB" w:rsidP="007C26CB">
      <w:r>
        <w:t xml:space="preserve">The above requirements would apply to any content service that makes coverage of the event available to audiences in Australia, irrespective of whether those rights are transferred from one </w:t>
      </w:r>
      <w:r w:rsidR="007F4D92">
        <w:t>content</w:t>
      </w:r>
      <w:r>
        <w:t xml:space="preserve"> service provider to another. An alternative proposal would be for the requirements to only apply to the first acquirer, </w:t>
      </w:r>
      <w:r w:rsidR="007F4D92">
        <w:t xml:space="preserve">noting that </w:t>
      </w:r>
      <w:r>
        <w:t>this was preferred by Foxtel</w:t>
      </w:r>
      <w:r w:rsidR="00800D63">
        <w:t>.</w:t>
      </w:r>
      <w:r>
        <w:rPr>
          <w:rStyle w:val="FootnoteReference"/>
        </w:rPr>
        <w:footnoteReference w:id="70"/>
      </w:r>
      <w:r w:rsidR="00800D63">
        <w:t xml:space="preserve"> </w:t>
      </w:r>
      <w:r>
        <w:t xml:space="preserve">However, this would add complexity and uncertainty to the scheme by rendering the liability for certain actions under the scheme by one party contingent upon the actions of another. </w:t>
      </w:r>
    </w:p>
    <w:p w14:paraId="05E6DB73" w14:textId="5929B10D" w:rsidR="007C26CB" w:rsidRDefault="007C26CB" w:rsidP="007C26CB">
      <w:pPr>
        <w:spacing w:after="0"/>
      </w:pPr>
      <w:r>
        <w:t>T</w:t>
      </w:r>
      <w:r w:rsidRPr="00AC2B9B">
        <w:t xml:space="preserve">he obligations under the free-to-view </w:t>
      </w:r>
      <w:r w:rsidRPr="002012E8">
        <w:t>model would apply only to content services that actually provide coverage of a listed event to audiences in Australia.</w:t>
      </w:r>
      <w:r>
        <w:t xml:space="preserve"> </w:t>
      </w:r>
      <w:r w:rsidR="007F4D92">
        <w:t>If</w:t>
      </w:r>
      <w:r>
        <w:t xml:space="preserve"> a person holding a right to a listed event </w:t>
      </w:r>
      <w:r w:rsidRPr="00AC2B9B">
        <w:t xml:space="preserve">were </w:t>
      </w:r>
      <w:r>
        <w:t xml:space="preserve">to be </w:t>
      </w:r>
      <w:r w:rsidRPr="00AC2B9B">
        <w:t>subject to the obligations</w:t>
      </w:r>
      <w:r>
        <w:t xml:space="preserve"> simply as a product of holding that right</w:t>
      </w:r>
      <w:r w:rsidRPr="00AC2B9B">
        <w:t xml:space="preserve">, </w:t>
      </w:r>
      <w:r>
        <w:t xml:space="preserve">then </w:t>
      </w:r>
      <w:r w:rsidRPr="00AC2B9B">
        <w:t>this could have a range of unintended consequences. For example, a sports body or a sports rights broker or intermediary</w:t>
      </w:r>
      <w:r>
        <w:t xml:space="preserve"> may, depending on the circumstances, technically hold a right to a listed event. However, they may </w:t>
      </w:r>
      <w:r w:rsidRPr="00AC2B9B">
        <w:t>not actually be a content service provider</w:t>
      </w:r>
      <w:r>
        <w:t xml:space="preserve"> or otherwise be capable of providing coverage of the event to Australian audiences. It would be unreasonable to impose the obligations in these circumstances.</w:t>
      </w:r>
    </w:p>
    <w:p w14:paraId="04F5BF0B" w14:textId="77777777" w:rsidR="00E847CE" w:rsidRPr="00C10DE5" w:rsidRDefault="00E847CE" w:rsidP="00E847CE">
      <w:pPr>
        <w:pStyle w:val="Introduction"/>
        <w:rPr>
          <w:lang w:val="en-AU"/>
        </w:rPr>
      </w:pPr>
      <w:r w:rsidRPr="00C10DE5">
        <w:rPr>
          <w:lang w:val="en-AU"/>
        </w:rPr>
        <w:t>Addressing the problem and objective</w:t>
      </w:r>
    </w:p>
    <w:p w14:paraId="62AEAD56" w14:textId="5294D545" w:rsidR="00E847CE" w:rsidRPr="00C10DE5" w:rsidRDefault="00E847CE" w:rsidP="00E847CE">
      <w:pPr>
        <w:spacing w:after="0"/>
      </w:pPr>
      <w:r w:rsidRPr="00C10DE5">
        <w:t>The free-to-view model would address the problem set out in chapter 1</w:t>
      </w:r>
      <w:r w:rsidR="00F029C2" w:rsidRPr="00C10DE5">
        <w:t xml:space="preserve"> by replacing the existing scheme with a new set of regulatory</w:t>
      </w:r>
      <w:r w:rsidRPr="00C10DE5">
        <w:t xml:space="preserve"> obligations regarding the availability and coverage of anti-siphoning events, along with provisions to ensure the application of these obligations to content services that provide coverage of listed events to audiences in Australia. </w:t>
      </w:r>
    </w:p>
    <w:p w14:paraId="623C99C0" w14:textId="17586012" w:rsidR="00E847CE" w:rsidRPr="00C10DE5" w:rsidRDefault="00E847CE" w:rsidP="00E847CE">
      <w:pPr>
        <w:spacing w:after="0"/>
      </w:pPr>
      <w:r w:rsidRPr="00C10DE5">
        <w:t>For consumers, the free-to-view model would provide surety of free, live and in-full coverage</w:t>
      </w:r>
      <w:r w:rsidR="002E1ADB" w:rsidRPr="00C10DE5">
        <w:t xml:space="preserve"> (noting that </w:t>
      </w:r>
      <w:r w:rsidRPr="00C10DE5">
        <w:t xml:space="preserve">indirect costs are discussed in chapter 4). However, this model can only achieve this aim via </w:t>
      </w:r>
      <w:r w:rsidR="002209CD" w:rsidRPr="00C10DE5">
        <w:t xml:space="preserve">a </w:t>
      </w:r>
      <w:r w:rsidRPr="00C10DE5">
        <w:t xml:space="preserve">significant reduction in the list. This is </w:t>
      </w:r>
      <w:r w:rsidR="002F628D" w:rsidRPr="00C10DE5">
        <w:t>because</w:t>
      </w:r>
      <w:r w:rsidRPr="00C10DE5">
        <w:t xml:space="preserve"> live and in full coverage of every event on the </w:t>
      </w:r>
      <w:r w:rsidR="002E1ADB" w:rsidRPr="00C10DE5">
        <w:t xml:space="preserve">current </w:t>
      </w:r>
      <w:r w:rsidRPr="00C10DE5">
        <w:t xml:space="preserve">list </w:t>
      </w:r>
      <w:r w:rsidR="002E1ADB" w:rsidRPr="00C10DE5">
        <w:t xml:space="preserve">is unlikely to be technically or financially feasible. </w:t>
      </w:r>
      <w:r w:rsidRPr="00C10DE5">
        <w:t>For example, the Australian Open alone contains over 600 events</w:t>
      </w:r>
      <w:r w:rsidR="002E1ADB" w:rsidRPr="00C10DE5">
        <w:t>, many of which occur concurrently (particularly in the early stages of the tournament)</w:t>
      </w:r>
      <w:r w:rsidRPr="00C10DE5">
        <w:t xml:space="preserve">. </w:t>
      </w:r>
      <w:r w:rsidR="002E1ADB" w:rsidRPr="00C10DE5">
        <w:t>The reduction to the list required for this model would, in turn, potential</w:t>
      </w:r>
      <w:r w:rsidR="002209CD" w:rsidRPr="00C10DE5">
        <w:t>ly</w:t>
      </w:r>
      <w:r w:rsidR="002E1ADB" w:rsidRPr="00C10DE5">
        <w:t xml:space="preserve"> </w:t>
      </w:r>
      <w:r w:rsidR="002209CD" w:rsidRPr="00C10DE5">
        <w:t>impact</w:t>
      </w:r>
      <w:r w:rsidRPr="00C10DE5">
        <w:t xml:space="preserve"> the ability of Australians to view events of national importance and cultural significance that they are accustomed to viewing</w:t>
      </w:r>
      <w:r w:rsidR="002E1ADB" w:rsidRPr="00C10DE5">
        <w:t xml:space="preserve"> for free. </w:t>
      </w:r>
      <w:r w:rsidRPr="00C10DE5">
        <w:t xml:space="preserve"> </w:t>
      </w:r>
    </w:p>
    <w:p w14:paraId="30592902" w14:textId="2F7A3750" w:rsidR="00E847CE" w:rsidRDefault="00E847CE" w:rsidP="00E847CE">
      <w:pPr>
        <w:spacing w:after="0"/>
      </w:pPr>
      <w:r w:rsidRPr="00C10DE5">
        <w:t>Th</w:t>
      </w:r>
      <w:r w:rsidR="00F029C2" w:rsidRPr="00C10DE5">
        <w:t>is</w:t>
      </w:r>
      <w:r w:rsidRPr="00C10DE5">
        <w:t xml:space="preserve"> model would </w:t>
      </w:r>
      <w:r w:rsidR="002E1ADB" w:rsidRPr="00C10DE5">
        <w:t>not impose any restrictions on the acquisition of rights to events on the list. As such, it would not impede the ability of sports bodies to negotiate agreements for the sale of rights to events on the list.</w:t>
      </w:r>
      <w:r w:rsidRPr="00C10DE5">
        <w:t xml:space="preserve"> </w:t>
      </w:r>
      <w:r w:rsidR="0084739A" w:rsidRPr="00C10DE5">
        <w:t>This</w:t>
      </w:r>
      <w:r w:rsidRPr="00C10DE5">
        <w:t xml:space="preserve"> model is expected to be relatively complicated to implement and administer. In particular, the requirement for content services to provide coverage using ‘broadly available technology platforms’ adds a degree of uncertainty, as do the exemptions to prevent unintended impacts in relation to the proposed availability and coverage obligations. The introduction of regulatory requirements would also necessitate additional monitoring and </w:t>
      </w:r>
      <w:r w:rsidR="002E1ADB" w:rsidRPr="00C10DE5">
        <w:t>oversight</w:t>
      </w:r>
      <w:r w:rsidRPr="00C10DE5">
        <w:t>, which may be time consuming and costly.</w:t>
      </w:r>
    </w:p>
    <w:p w14:paraId="4A77DEDB" w14:textId="74AE1669" w:rsidR="00226B05" w:rsidRPr="009B3A80" w:rsidRDefault="00586BE0" w:rsidP="00226B05">
      <w:pPr>
        <w:pStyle w:val="Heading3"/>
      </w:pPr>
      <w:bookmarkStart w:id="80" w:name="_Toc150883268"/>
      <w:bookmarkStart w:id="81" w:name="_Toc151053050"/>
      <w:r>
        <w:t>Model</w:t>
      </w:r>
      <w:r w:rsidR="00226B05" w:rsidRPr="009B3A80">
        <w:t xml:space="preserve"> 2: ‘</w:t>
      </w:r>
      <w:r w:rsidR="00800D63">
        <w:t>b</w:t>
      </w:r>
      <w:r w:rsidR="00226B05" w:rsidRPr="009B3A80">
        <w:t>roadcasting safety net’</w:t>
      </w:r>
      <w:bookmarkEnd w:id="80"/>
      <w:bookmarkEnd w:id="81"/>
      <w:r w:rsidR="00226B05" w:rsidRPr="009B3A80">
        <w:t xml:space="preserve"> </w:t>
      </w:r>
    </w:p>
    <w:p w14:paraId="62976CDF" w14:textId="641BF990" w:rsidR="00876C20" w:rsidRPr="00BD7537" w:rsidRDefault="00876C20" w:rsidP="00876C20">
      <w:pPr>
        <w:spacing w:after="0"/>
      </w:pPr>
      <w:r>
        <w:t>Under t</w:t>
      </w:r>
      <w:r w:rsidRPr="00EB6AD5">
        <w:t xml:space="preserve">his </w:t>
      </w:r>
      <w:r w:rsidR="00C35F41">
        <w:t>model</w:t>
      </w:r>
      <w:r>
        <w:t>, the current</w:t>
      </w:r>
      <w:r w:rsidR="00C55904">
        <w:t xml:space="preserve"> scheme</w:t>
      </w:r>
      <w:r>
        <w:t xml:space="preserve"> would be expanded to prevent </w:t>
      </w:r>
      <w:r w:rsidR="002E6998">
        <w:t>any content service provider (other than a free</w:t>
      </w:r>
      <w:r w:rsidR="002E6998">
        <w:noBreakHyphen/>
        <w:t>to</w:t>
      </w:r>
      <w:r w:rsidR="002E6998">
        <w:noBreakHyphen/>
        <w:t xml:space="preserve">air broadcaster) </w:t>
      </w:r>
      <w:r>
        <w:t>from acquiring a right to provide coverage of a listed event to audiences in Australia</w:t>
      </w:r>
      <w:r w:rsidR="00145E32">
        <w:t>,</w:t>
      </w:r>
      <w:r>
        <w:t xml:space="preserve"> until a free-to-air broadcaster has acquired a right to televise the event on a broadcasting service. This effectively extends the scope of the restriction on the acquisition of rights under the current scheme, which only applies to subscription television broadcasting licensees.</w:t>
      </w:r>
      <w:r w:rsidR="0050543E">
        <w:t xml:space="preserve"> </w:t>
      </w:r>
      <w:r>
        <w:t>This model would affirm b</w:t>
      </w:r>
      <w:r w:rsidRPr="009038F2">
        <w:t xml:space="preserve">roadcasting services as the ‘safety net’ for free access to </w:t>
      </w:r>
      <w:r>
        <w:t xml:space="preserve">televised coverage of </w:t>
      </w:r>
      <w:r w:rsidRPr="009038F2">
        <w:t xml:space="preserve">iconic sporting events </w:t>
      </w:r>
      <w:r w:rsidRPr="00BD7537">
        <w:t xml:space="preserve">for all Australians. </w:t>
      </w:r>
    </w:p>
    <w:p w14:paraId="4706458F" w14:textId="64D22EAF" w:rsidR="00876C20" w:rsidRPr="00BD7537" w:rsidRDefault="00E95DB8" w:rsidP="00876C20">
      <w:pPr>
        <w:spacing w:after="0"/>
      </w:pPr>
      <w:r w:rsidRPr="00C10DE5">
        <w:t>Under</w:t>
      </w:r>
      <w:r w:rsidR="00876C20" w:rsidRPr="00C10DE5">
        <w:t xml:space="preserve"> the current scheme, once a right to televise a listed event has been acquired by a free-to-air broadcaster, or the event is automatically delisted 26 weeks prior to its commencement, any party </w:t>
      </w:r>
      <w:r w:rsidRPr="00C10DE5">
        <w:t>is</w:t>
      </w:r>
      <w:r w:rsidR="00876C20" w:rsidRPr="00C10DE5">
        <w:t xml:space="preserve"> able to acquire rights to the event without restriction.</w:t>
      </w:r>
      <w:r w:rsidRPr="00C10DE5">
        <w:t xml:space="preserve"> The delisting period w</w:t>
      </w:r>
      <w:r w:rsidR="007F4D92">
        <w:t>ould</w:t>
      </w:r>
      <w:r w:rsidRPr="00C10DE5">
        <w:t xml:space="preserve"> be extended to 12 months under this model.</w:t>
      </w:r>
    </w:p>
    <w:p w14:paraId="3152D076" w14:textId="77777777" w:rsidR="007C26CB" w:rsidRPr="00495D12" w:rsidRDefault="007C26CB" w:rsidP="007C26CB">
      <w:pPr>
        <w:pStyle w:val="Introduction"/>
      </w:pPr>
      <w:r w:rsidRPr="00591869">
        <w:t>Requirements of this model</w:t>
      </w:r>
    </w:p>
    <w:p w14:paraId="51141901" w14:textId="77777777" w:rsidR="007C26CB" w:rsidRPr="00FD34F4" w:rsidRDefault="007C26CB" w:rsidP="007C26CB">
      <w:pPr>
        <w:spacing w:after="0"/>
        <w:rPr>
          <w:b/>
        </w:rPr>
      </w:pPr>
      <w:r w:rsidRPr="00FD34F4">
        <w:rPr>
          <w:b/>
        </w:rPr>
        <w:t>Acquisition restriction</w:t>
      </w:r>
    </w:p>
    <w:p w14:paraId="0B1028E9" w14:textId="77777777" w:rsidR="007C26CB" w:rsidRDefault="007C26CB" w:rsidP="007C26CB">
      <w:pPr>
        <w:spacing w:after="0"/>
      </w:pPr>
      <w:r>
        <w:t xml:space="preserve">The sequence of acquisition of media rights to listed events would be regulated under the broadcasting safety net model, as it is under the current scheme. </w:t>
      </w:r>
    </w:p>
    <w:p w14:paraId="05FE3B8E" w14:textId="581B71E8" w:rsidR="007C26CB" w:rsidRDefault="007C26CB" w:rsidP="007C26CB">
      <w:pPr>
        <w:spacing w:after="0"/>
      </w:pPr>
      <w:r>
        <w:t>The new acquisition restriction would prohibit a content service provider from acquiring a right to provide coverage of a part or the whole of an event on the anti-siphoning list to end</w:t>
      </w:r>
      <w:r>
        <w:noBreakHyphen/>
        <w:t>users in Australia unless:</w:t>
      </w:r>
    </w:p>
    <w:p w14:paraId="053F5FF3" w14:textId="77777777" w:rsidR="007C26CB" w:rsidRPr="0057641D" w:rsidRDefault="007C26CB" w:rsidP="007C26CB">
      <w:pPr>
        <w:pStyle w:val="Bullet1"/>
      </w:pPr>
      <w:r w:rsidRPr="0057641D">
        <w:rPr>
          <w:color w:val="000000"/>
        </w:rPr>
        <w:t xml:space="preserve">a national broadcaster has the right to televise </w:t>
      </w:r>
      <w:r>
        <w:rPr>
          <w:color w:val="000000"/>
        </w:rPr>
        <w:t xml:space="preserve">a part or the whole of </w:t>
      </w:r>
      <w:r w:rsidRPr="0057641D">
        <w:rPr>
          <w:color w:val="000000"/>
        </w:rPr>
        <w:t>the event on any of its broadcasting services; o</w:t>
      </w:r>
      <w:r>
        <w:rPr>
          <w:color w:val="000000"/>
        </w:rPr>
        <w:t>r</w:t>
      </w:r>
    </w:p>
    <w:p w14:paraId="6B50AAF1" w14:textId="77777777" w:rsidR="007C26CB" w:rsidRPr="0057641D" w:rsidRDefault="007C26CB" w:rsidP="007C26CB">
      <w:pPr>
        <w:pStyle w:val="Bullet1"/>
      </w:pPr>
      <w:r w:rsidRPr="0057641D">
        <w:rPr>
          <w:color w:val="000000"/>
        </w:rPr>
        <w:t>the television broadcasting services of commercial television broadcasting licensees (other than licensees who hold licences allocated under section 38C or subsection 40(1)</w:t>
      </w:r>
      <w:r>
        <w:rPr>
          <w:color w:val="000000"/>
        </w:rPr>
        <w:t xml:space="preserve"> of the BSA</w:t>
      </w:r>
      <w:r w:rsidRPr="0057641D">
        <w:rPr>
          <w:color w:val="000000"/>
        </w:rPr>
        <w:t xml:space="preserve">) who have the right to televise </w:t>
      </w:r>
      <w:r>
        <w:rPr>
          <w:color w:val="000000"/>
        </w:rPr>
        <w:t xml:space="preserve">a part or the whole of </w:t>
      </w:r>
      <w:r w:rsidRPr="0057641D">
        <w:rPr>
          <w:color w:val="000000"/>
        </w:rPr>
        <w:t>the event cover a total of more than 50</w:t>
      </w:r>
      <w:r>
        <w:rPr>
          <w:color w:val="000000"/>
        </w:rPr>
        <w:t xml:space="preserve"> per cent</w:t>
      </w:r>
      <w:r w:rsidRPr="0057641D">
        <w:rPr>
          <w:color w:val="000000"/>
        </w:rPr>
        <w:t xml:space="preserve"> of the Australian population</w:t>
      </w:r>
      <w:r>
        <w:rPr>
          <w:color w:val="000000"/>
        </w:rPr>
        <w:t>.</w:t>
      </w:r>
    </w:p>
    <w:p w14:paraId="10BACC33" w14:textId="77777777" w:rsidR="007C26CB" w:rsidRPr="000F159D" w:rsidRDefault="007C26CB" w:rsidP="007C26CB">
      <w:pPr>
        <w:spacing w:after="0"/>
        <w:rPr>
          <w:u w:val="single"/>
        </w:rPr>
      </w:pPr>
      <w:r w:rsidRPr="000F159D">
        <w:rPr>
          <w:u w:val="single"/>
        </w:rPr>
        <w:t>Carve out</w:t>
      </w:r>
    </w:p>
    <w:p w14:paraId="693882B0" w14:textId="77777777" w:rsidR="007C26CB" w:rsidRDefault="007C26CB" w:rsidP="007C26CB">
      <w:pPr>
        <w:spacing w:after="0"/>
      </w:pPr>
      <w:r>
        <w:t>The acquisition restriction (above) would not apply to:</w:t>
      </w:r>
    </w:p>
    <w:p w14:paraId="37FA82B0" w14:textId="77777777" w:rsidR="007C26CB" w:rsidRDefault="007C26CB" w:rsidP="007C26CB">
      <w:pPr>
        <w:pStyle w:val="Bullet1"/>
      </w:pPr>
      <w:r>
        <w:rPr>
          <w:color w:val="000000"/>
        </w:rPr>
        <w:t xml:space="preserve">the acquisition by a </w:t>
      </w:r>
      <w:r w:rsidRPr="0057641D">
        <w:rPr>
          <w:color w:val="000000"/>
        </w:rPr>
        <w:t xml:space="preserve">national broadcaster </w:t>
      </w:r>
      <w:r>
        <w:rPr>
          <w:color w:val="000000"/>
        </w:rPr>
        <w:t xml:space="preserve">of the </w:t>
      </w:r>
      <w:r w:rsidRPr="0057641D">
        <w:rPr>
          <w:color w:val="000000"/>
        </w:rPr>
        <w:t xml:space="preserve">right to televise </w:t>
      </w:r>
      <w:r>
        <w:rPr>
          <w:color w:val="000000"/>
        </w:rPr>
        <w:t xml:space="preserve">a part or the whole of </w:t>
      </w:r>
      <w:r w:rsidRPr="0057641D">
        <w:rPr>
          <w:color w:val="000000"/>
        </w:rPr>
        <w:t>the event on any of its broadcasting services</w:t>
      </w:r>
      <w:r>
        <w:t>; or</w:t>
      </w:r>
    </w:p>
    <w:p w14:paraId="2074713B" w14:textId="77777777" w:rsidR="007C26CB" w:rsidRDefault="007C26CB" w:rsidP="007C26CB">
      <w:pPr>
        <w:pStyle w:val="Bullet1"/>
      </w:pPr>
      <w:r>
        <w:t>the acquisition by a commercial television broadcasting licensee of the right to televise a part or the whole of the event on any of its commercial television broadcasting services.</w:t>
      </w:r>
    </w:p>
    <w:p w14:paraId="69DC4ED6" w14:textId="60AB5230" w:rsidR="007C26CB" w:rsidRPr="00FD34F4" w:rsidRDefault="007C26CB" w:rsidP="007C26CB">
      <w:pPr>
        <w:spacing w:after="0"/>
      </w:pPr>
      <w:r>
        <w:t>This carve out would enable national and commercial broadcasters to acquire a right to televise a listed event on a broadcasting service without restriction under the scheme, as they would otherwise be prevented from doing so by the operation of the acquisition restriction and the broad definition of a content service.</w:t>
      </w:r>
      <w:r w:rsidR="00800D63">
        <w:t xml:space="preserve"> </w:t>
      </w:r>
      <w:r w:rsidRPr="00FD34F4">
        <w:t xml:space="preserve">However, this carve out would only apply to the broadcasting services provided by </w:t>
      </w:r>
      <w:r>
        <w:t>free-to-air broadcasters</w:t>
      </w:r>
      <w:r w:rsidRPr="00FD34F4">
        <w:t xml:space="preserve">, and not to any other content services that they may provide to Australian audiences. </w:t>
      </w:r>
    </w:p>
    <w:p w14:paraId="43C94F98" w14:textId="77777777" w:rsidR="007C26CB" w:rsidRPr="00A40CFC" w:rsidRDefault="007C26CB" w:rsidP="007C26CB">
      <w:pPr>
        <w:spacing w:after="0"/>
        <w:rPr>
          <w:b/>
        </w:rPr>
      </w:pPr>
      <w:r>
        <w:rPr>
          <w:b/>
        </w:rPr>
        <w:t>No further restrictions</w:t>
      </w:r>
    </w:p>
    <w:p w14:paraId="5FD2B411" w14:textId="64D2D844" w:rsidR="007C26CB" w:rsidRDefault="007C26CB" w:rsidP="007C26CB">
      <w:bookmarkStart w:id="82" w:name="_Hlk139533447"/>
      <w:r>
        <w:t>Free-to-air services are by definition ‘free’ and ‘broadly available’. There was no evidence presented through the</w:t>
      </w:r>
      <w:r w:rsidDel="00E96A87">
        <w:t xml:space="preserve"> </w:t>
      </w:r>
      <w:r>
        <w:t xml:space="preserve">review to suggest that free-to-air broadcasters </w:t>
      </w:r>
      <w:r w:rsidR="007F4D92">
        <w:t>are</w:t>
      </w:r>
      <w:r>
        <w:t xml:space="preserve"> ‘hoarding’ the rights to listed events (acquiring the rights and not providing coverage, or not otherwise making those rights available to other parties). This reflects the strong commercial incentive for broadcasters to fully exploit the rights they have acquired (typically at significant cost). For these reasons, a </w:t>
      </w:r>
      <w:r w:rsidRPr="00FD34F4">
        <w:t>‘live’ and ‘in full’ re</w:t>
      </w:r>
      <w:r>
        <w:t xml:space="preserve">quirement is not </w:t>
      </w:r>
      <w:r w:rsidR="00800D63">
        <w:t xml:space="preserve">proposed for this model. </w:t>
      </w:r>
      <w:bookmarkEnd w:id="82"/>
    </w:p>
    <w:p w14:paraId="705E282A" w14:textId="6737B7BC" w:rsidR="007F4D92" w:rsidRDefault="007F4D92" w:rsidP="007C26CB"/>
    <w:p w14:paraId="5F909777" w14:textId="77777777" w:rsidR="007F4D92" w:rsidRDefault="007F4D92" w:rsidP="007C26CB"/>
    <w:p w14:paraId="669296B4" w14:textId="0F95A431" w:rsidR="00F029C2" w:rsidRPr="00C10DE5" w:rsidRDefault="00F029C2" w:rsidP="00F029C2">
      <w:pPr>
        <w:pStyle w:val="Introduction"/>
        <w:rPr>
          <w:lang w:val="en-AU"/>
        </w:rPr>
      </w:pPr>
      <w:r w:rsidRPr="00C10DE5">
        <w:rPr>
          <w:lang w:val="en-AU"/>
        </w:rPr>
        <w:t>Addressing the problem and objective</w:t>
      </w:r>
    </w:p>
    <w:p w14:paraId="11CC4208" w14:textId="07BF96A0" w:rsidR="00F029C2" w:rsidRPr="007C26CB" w:rsidRDefault="00F029C2" w:rsidP="007C26CB">
      <w:r w:rsidRPr="00C10DE5">
        <w:t xml:space="preserve">The broadcasting safety net model would </w:t>
      </w:r>
      <w:r w:rsidR="00291E76" w:rsidRPr="00C10DE5">
        <w:t xml:space="preserve">address the problems set out in chapter 1 by </w:t>
      </w:r>
      <w:r w:rsidRPr="00C10DE5">
        <w:t xml:space="preserve">the </w:t>
      </w:r>
      <w:r w:rsidR="00291E76" w:rsidRPr="00C10DE5">
        <w:t>expanding the scheme to cover content services</w:t>
      </w:r>
      <w:r w:rsidRPr="00C10DE5">
        <w:t xml:space="preserve">. </w:t>
      </w:r>
      <w:r w:rsidR="003F5019" w:rsidRPr="00C10DE5">
        <w:t>For consumers, this w</w:t>
      </w:r>
      <w:r w:rsidR="002209CD" w:rsidRPr="00C10DE5">
        <w:t xml:space="preserve">ould </w:t>
      </w:r>
      <w:r w:rsidR="003F5019" w:rsidRPr="00C10DE5">
        <w:t xml:space="preserve">increase the </w:t>
      </w:r>
      <w:r w:rsidR="006C3700" w:rsidRPr="00C10DE5">
        <w:t>likelihood</w:t>
      </w:r>
      <w:r w:rsidR="003F5019" w:rsidRPr="00C10DE5">
        <w:t xml:space="preserve"> of being able to view </w:t>
      </w:r>
      <w:r w:rsidR="006C3700" w:rsidRPr="00C10DE5">
        <w:t>listed events</w:t>
      </w:r>
      <w:r w:rsidR="006839B4" w:rsidRPr="00C10DE5">
        <w:t xml:space="preserve"> </w:t>
      </w:r>
      <w:r w:rsidR="002E1ADB" w:rsidRPr="00C10DE5">
        <w:t xml:space="preserve">on free-to-air </w:t>
      </w:r>
      <w:r w:rsidR="006839B4" w:rsidRPr="00C10DE5">
        <w:t>television</w:t>
      </w:r>
      <w:r w:rsidR="0084739A" w:rsidRPr="00C10DE5">
        <w:t xml:space="preserve">, without a reduction in </w:t>
      </w:r>
      <w:r w:rsidR="002E1ADB" w:rsidRPr="00C10DE5">
        <w:t xml:space="preserve">the number of </w:t>
      </w:r>
      <w:r w:rsidR="0084739A" w:rsidRPr="00C10DE5">
        <w:t>events on the</w:t>
      </w:r>
      <w:r w:rsidR="00DE6A05" w:rsidRPr="00C10DE5">
        <w:t xml:space="preserve"> list</w:t>
      </w:r>
      <w:r w:rsidR="0084739A" w:rsidRPr="00C10DE5">
        <w:t>.</w:t>
      </w:r>
      <w:r w:rsidR="00DE6A05" w:rsidRPr="00C10DE5">
        <w:t xml:space="preserve"> From an industry perspective, this model provides free-to-air broadcasters with the first opportunity to obtain television rights </w:t>
      </w:r>
      <w:r w:rsidR="002209CD" w:rsidRPr="00C10DE5">
        <w:t xml:space="preserve">to events on the list. However, it would not provide free-to-air broadcasters with preferential treatment in relation to their acquisition of rights to provide coverage of events on their BVOD services. </w:t>
      </w:r>
      <w:r w:rsidR="00067731" w:rsidRPr="00C10DE5">
        <w:t xml:space="preserve">It thereby </w:t>
      </w:r>
      <w:r w:rsidR="00D5726C" w:rsidRPr="00C10DE5">
        <w:t>only impact</w:t>
      </w:r>
      <w:r w:rsidR="00067731" w:rsidRPr="00C10DE5">
        <w:t>s</w:t>
      </w:r>
      <w:r w:rsidR="00D5726C" w:rsidRPr="00C10DE5">
        <w:t xml:space="preserve"> competition to the extent necessary to achieve the objective o</w:t>
      </w:r>
      <w:r w:rsidR="002209CD" w:rsidRPr="00C10DE5">
        <w:t>f</w:t>
      </w:r>
      <w:r w:rsidR="00D5726C" w:rsidRPr="00C10DE5">
        <w:t xml:space="preserve"> the scheme</w:t>
      </w:r>
      <w:r w:rsidR="00067731" w:rsidRPr="00C10DE5">
        <w:t>.</w:t>
      </w:r>
      <w:r w:rsidR="002209CD" w:rsidRPr="00C10DE5">
        <w:t xml:space="preserve"> </w:t>
      </w:r>
      <w:r w:rsidRPr="00C10DE5">
        <w:t>Th</w:t>
      </w:r>
      <w:r w:rsidR="00DE6A05" w:rsidRPr="00C10DE5">
        <w:t>is</w:t>
      </w:r>
      <w:r w:rsidRPr="00C10DE5">
        <w:t xml:space="preserve"> </w:t>
      </w:r>
      <w:r w:rsidR="00CF3288" w:rsidRPr="00C10DE5">
        <w:t>model is</w:t>
      </w:r>
      <w:r w:rsidRPr="00C10DE5">
        <w:t xml:space="preserve"> expected to be relatively </w:t>
      </w:r>
      <w:r w:rsidR="002209CD" w:rsidRPr="00C10DE5">
        <w:t>straight forward</w:t>
      </w:r>
      <w:r w:rsidRPr="00C10DE5">
        <w:t xml:space="preserve"> to implement and administer</w:t>
      </w:r>
      <w:r w:rsidR="002209CD" w:rsidRPr="00C10DE5">
        <w:t xml:space="preserve">, as it represents </w:t>
      </w:r>
      <w:r w:rsidR="00D80D0D" w:rsidRPr="00C10DE5">
        <w:t>continuation of the existing scheme</w:t>
      </w:r>
      <w:r w:rsidRPr="00C10DE5">
        <w:t>.</w:t>
      </w:r>
      <w:r w:rsidR="00DE6A05">
        <w:t xml:space="preserve"> </w:t>
      </w:r>
    </w:p>
    <w:p w14:paraId="5CEA32C6" w14:textId="3B4BCA87" w:rsidR="00226B05" w:rsidRPr="009B3A80" w:rsidRDefault="00586BE0" w:rsidP="00226B05">
      <w:pPr>
        <w:pStyle w:val="Heading3"/>
      </w:pPr>
      <w:bookmarkStart w:id="83" w:name="_Toc150883269"/>
      <w:bookmarkStart w:id="84" w:name="_Toc151053051"/>
      <w:r>
        <w:t>Model</w:t>
      </w:r>
      <w:r w:rsidR="00226B05" w:rsidRPr="009B3A80">
        <w:t xml:space="preserve"> 3: ‘</w:t>
      </w:r>
      <w:r w:rsidR="00800D63">
        <w:t>f</w:t>
      </w:r>
      <w:r w:rsidR="00226B05" w:rsidRPr="009B3A80">
        <w:t>ree-to-air first’</w:t>
      </w:r>
      <w:bookmarkEnd w:id="83"/>
      <w:bookmarkEnd w:id="84"/>
      <w:r w:rsidR="00226B05" w:rsidRPr="009B3A80">
        <w:t xml:space="preserve"> </w:t>
      </w:r>
    </w:p>
    <w:p w14:paraId="2CBDFB8A" w14:textId="51A6F742" w:rsidR="00876C20" w:rsidRDefault="00876C20" w:rsidP="00876C20">
      <w:pPr>
        <w:spacing w:after="0"/>
      </w:pPr>
      <w:r>
        <w:t>Under t</w:t>
      </w:r>
      <w:r w:rsidRPr="00EB6AD5">
        <w:t xml:space="preserve">his </w:t>
      </w:r>
      <w:r w:rsidR="00C35F41">
        <w:t>model</w:t>
      </w:r>
      <w:r>
        <w:t xml:space="preserve">, the current </w:t>
      </w:r>
      <w:r w:rsidRPr="00EB6AD5">
        <w:t xml:space="preserve">scheme </w:t>
      </w:r>
      <w:r>
        <w:t>would be significantly expanded to prevent any content service provider (</w:t>
      </w:r>
      <w:r w:rsidR="008A6AA5">
        <w:t>other than a free</w:t>
      </w:r>
      <w:r w:rsidR="008A6AA5">
        <w:noBreakHyphen/>
        <w:t>to</w:t>
      </w:r>
      <w:r w:rsidR="008A6AA5">
        <w:noBreakHyphen/>
        <w:t>air broadcaster</w:t>
      </w:r>
      <w:r>
        <w:t>) from acquiring a right to provide coverage of a listed event to audiences in Australia until</w:t>
      </w:r>
      <w:r w:rsidDel="003804EB">
        <w:t xml:space="preserve"> </w:t>
      </w:r>
      <w:r>
        <w:t>free-to-air broadcaster</w:t>
      </w:r>
      <w:r w:rsidR="003804EB">
        <w:t>s</w:t>
      </w:r>
      <w:r>
        <w:t xml:space="preserve"> ha</w:t>
      </w:r>
      <w:r w:rsidR="003804EB">
        <w:t>ve</w:t>
      </w:r>
      <w:r>
        <w:t xml:space="preserve"> </w:t>
      </w:r>
      <w:r w:rsidRPr="007D020D">
        <w:rPr>
          <w:u w:val="single"/>
        </w:rPr>
        <w:t>both</w:t>
      </w:r>
      <w:r>
        <w:t xml:space="preserve"> a right to televise the event on a broadcasting service, </w:t>
      </w:r>
      <w:r w:rsidRPr="00C46088">
        <w:rPr>
          <w:u w:val="single"/>
        </w:rPr>
        <w:t>and</w:t>
      </w:r>
      <w:r>
        <w:t xml:space="preserve"> the right to provide coverage of the event to Australians on a content service.</w:t>
      </w:r>
    </w:p>
    <w:p w14:paraId="59580DA5" w14:textId="2FEDA760" w:rsidR="00876C20" w:rsidRPr="00AF7BBA" w:rsidRDefault="00E14525" w:rsidP="00A27C1C">
      <w:pPr>
        <w:spacing w:after="0"/>
      </w:pPr>
      <w:r>
        <w:t>As with the current scheme, o</w:t>
      </w:r>
      <w:r w:rsidR="00876C20" w:rsidRPr="00AF7BBA">
        <w:t>nce a free-to-air broadcaster had acquired both of the requisite types of rights, or the event is automatically delisted 26 weeks prior to its commencement, any other party would be able to acquire a right to the event without restriction.</w:t>
      </w:r>
    </w:p>
    <w:p w14:paraId="625BD34E" w14:textId="77777777" w:rsidR="007C26CB" w:rsidRPr="00495D12" w:rsidRDefault="007C26CB" w:rsidP="007C26CB">
      <w:pPr>
        <w:pStyle w:val="Introduction"/>
      </w:pPr>
      <w:r w:rsidRPr="00591869">
        <w:t>Requirements of this model</w:t>
      </w:r>
    </w:p>
    <w:p w14:paraId="77C64F25" w14:textId="77777777" w:rsidR="007C26CB" w:rsidRPr="00FD34F4" w:rsidRDefault="007C26CB" w:rsidP="007C26CB">
      <w:pPr>
        <w:spacing w:after="0"/>
        <w:rPr>
          <w:b/>
        </w:rPr>
      </w:pPr>
      <w:r w:rsidRPr="00FD34F4">
        <w:rPr>
          <w:b/>
        </w:rPr>
        <w:t>Acquisition restriction</w:t>
      </w:r>
    </w:p>
    <w:p w14:paraId="0DD7294B" w14:textId="77777777" w:rsidR="007C26CB" w:rsidRDefault="007C26CB" w:rsidP="007C26CB">
      <w:pPr>
        <w:spacing w:after="0"/>
      </w:pPr>
      <w:r>
        <w:t xml:space="preserve">The sequence of acquisition of media rights to listed events would be regulated under the free-to-air first model, as it is under the current scheme. </w:t>
      </w:r>
    </w:p>
    <w:p w14:paraId="1257D6A0" w14:textId="77777777" w:rsidR="007C26CB" w:rsidRDefault="007C26CB" w:rsidP="007C26CB">
      <w:pPr>
        <w:spacing w:after="0"/>
      </w:pPr>
      <w:r>
        <w:t xml:space="preserve">The new acquisition restriction would prohibit a content service provider from acquiring a right to </w:t>
      </w:r>
      <w:r w:rsidRPr="009B7831">
        <w:t>provide coverage of</w:t>
      </w:r>
      <w:r>
        <w:t xml:space="preserve"> a part or the whole of an event on the anti-siphoning list to end-users in Australia unless:</w:t>
      </w:r>
    </w:p>
    <w:p w14:paraId="4ED16A54" w14:textId="77777777" w:rsidR="007C26CB" w:rsidRPr="0080259D" w:rsidRDefault="007C26CB" w:rsidP="007C26CB">
      <w:pPr>
        <w:pStyle w:val="Bullet1"/>
        <w:rPr>
          <w:color w:val="000000"/>
        </w:rPr>
      </w:pPr>
      <w:r w:rsidRPr="00423F22">
        <w:rPr>
          <w:color w:val="000000"/>
        </w:rPr>
        <w:t>a national broadcaster has the right to televise a part or the whole of the event on any of its broadcasting services; or</w:t>
      </w:r>
    </w:p>
    <w:p w14:paraId="52E8E6D1" w14:textId="77777777" w:rsidR="007C26CB" w:rsidRPr="0080259D" w:rsidRDefault="007C26CB" w:rsidP="007C26CB">
      <w:pPr>
        <w:pStyle w:val="Bullet1"/>
        <w:rPr>
          <w:color w:val="000000"/>
        </w:rPr>
      </w:pPr>
      <w:r w:rsidRPr="00423F22">
        <w:rPr>
          <w:color w:val="000000"/>
        </w:rPr>
        <w:t>the television broadcasting services of commercial television broadcasting licensees (other than licensees who hold licences allocated under section 38C or subsection 40(1)</w:t>
      </w:r>
      <w:r>
        <w:rPr>
          <w:color w:val="000000"/>
        </w:rPr>
        <w:t xml:space="preserve"> of the BSA</w:t>
      </w:r>
      <w:r w:rsidRPr="00423F22">
        <w:rPr>
          <w:color w:val="000000"/>
        </w:rPr>
        <w:t>) who have the right to televise a part or the whole of the event cover a total of more than 50</w:t>
      </w:r>
      <w:r>
        <w:rPr>
          <w:color w:val="000000"/>
        </w:rPr>
        <w:t xml:space="preserve"> per cent</w:t>
      </w:r>
      <w:r w:rsidRPr="00423F22">
        <w:rPr>
          <w:color w:val="000000"/>
        </w:rPr>
        <w:t xml:space="preserve"> of the Australian population;</w:t>
      </w:r>
    </w:p>
    <w:p w14:paraId="4BEBB2A5" w14:textId="77777777" w:rsidR="007C26CB" w:rsidRPr="000F159D" w:rsidRDefault="007C26CB" w:rsidP="007C26CB">
      <w:pPr>
        <w:spacing w:after="0"/>
      </w:pPr>
      <w:r w:rsidRPr="000F159D">
        <w:rPr>
          <w:color w:val="000000"/>
        </w:rPr>
        <w:t>and</w:t>
      </w:r>
    </w:p>
    <w:p w14:paraId="2C31522A" w14:textId="77777777" w:rsidR="007C26CB" w:rsidRPr="00423F22" w:rsidRDefault="007C26CB" w:rsidP="007C26CB">
      <w:pPr>
        <w:pStyle w:val="Bullet1"/>
      </w:pPr>
      <w:r w:rsidRPr="00423F22">
        <w:t>a national broadcaster has the right to provide coverage of a part or the whole of the event to end-users in Australia on a content service; or</w:t>
      </w:r>
    </w:p>
    <w:p w14:paraId="7B29D026" w14:textId="77777777" w:rsidR="007C26CB" w:rsidRPr="00423F22" w:rsidRDefault="007C26CB" w:rsidP="007C26CB">
      <w:pPr>
        <w:pStyle w:val="Bullet1"/>
      </w:pPr>
      <w:r w:rsidRPr="00423F22">
        <w:t>a commercial television broadcasting licensee has the right to provide coverage of a part or the whole of the event to end-users in Australia on a content service.</w:t>
      </w:r>
    </w:p>
    <w:p w14:paraId="0E23392B" w14:textId="77777777" w:rsidR="007C26CB" w:rsidRPr="000F159D" w:rsidRDefault="007C26CB" w:rsidP="007C26CB">
      <w:pPr>
        <w:spacing w:after="0"/>
        <w:rPr>
          <w:u w:val="single"/>
        </w:rPr>
      </w:pPr>
      <w:r w:rsidRPr="000F159D">
        <w:rPr>
          <w:u w:val="single"/>
        </w:rPr>
        <w:t>Carve out</w:t>
      </w:r>
    </w:p>
    <w:p w14:paraId="7854E7BB" w14:textId="77777777" w:rsidR="007C26CB" w:rsidRPr="00423F22" w:rsidRDefault="007C26CB" w:rsidP="007C26CB">
      <w:pPr>
        <w:spacing w:after="0"/>
      </w:pPr>
      <w:r w:rsidRPr="00423F22">
        <w:t>The acquisition restriction</w:t>
      </w:r>
      <w:r>
        <w:t xml:space="preserve"> (above) </w:t>
      </w:r>
      <w:r w:rsidRPr="00423F22">
        <w:t>would not apply to:</w:t>
      </w:r>
    </w:p>
    <w:p w14:paraId="6C4AEB37" w14:textId="77777777" w:rsidR="007C26CB" w:rsidRPr="00423F22" w:rsidRDefault="007C26CB" w:rsidP="007C26CB">
      <w:pPr>
        <w:pStyle w:val="Bullet1"/>
      </w:pPr>
      <w:r w:rsidRPr="00423F22">
        <w:rPr>
          <w:color w:val="000000"/>
        </w:rPr>
        <w:t>the acquisition by a national broadcaster of:</w:t>
      </w:r>
    </w:p>
    <w:p w14:paraId="112E879B" w14:textId="77777777" w:rsidR="007C26CB" w:rsidRPr="00423F22" w:rsidRDefault="007C26CB" w:rsidP="00E33CCD">
      <w:pPr>
        <w:pStyle w:val="ListParagraph"/>
        <w:numPr>
          <w:ilvl w:val="1"/>
          <w:numId w:val="34"/>
        </w:numPr>
        <w:suppressAutoHyphens w:val="0"/>
        <w:spacing w:after="0"/>
        <w:ind w:left="993" w:hanging="284"/>
        <w:contextualSpacing w:val="0"/>
      </w:pPr>
      <w:r w:rsidRPr="00423F22">
        <w:rPr>
          <w:color w:val="000000"/>
        </w:rPr>
        <w:t>the right to televise a part or the whole of the event on any of its broadcasting services; or</w:t>
      </w:r>
    </w:p>
    <w:p w14:paraId="41150B11" w14:textId="77777777" w:rsidR="007C26CB" w:rsidRPr="00423F22" w:rsidRDefault="007C26CB" w:rsidP="00E33CCD">
      <w:pPr>
        <w:pStyle w:val="ListParagraph"/>
        <w:numPr>
          <w:ilvl w:val="1"/>
          <w:numId w:val="34"/>
        </w:numPr>
        <w:suppressAutoHyphens w:val="0"/>
        <w:spacing w:after="0"/>
        <w:ind w:left="993" w:hanging="284"/>
        <w:contextualSpacing w:val="0"/>
      </w:pPr>
      <w:r w:rsidRPr="00423F22">
        <w:rPr>
          <w:color w:val="000000"/>
        </w:rPr>
        <w:t>the right to provide coverage of a part or the whole of the event to end-users in Australia on a content service</w:t>
      </w:r>
      <w:r w:rsidRPr="00423F22">
        <w:t>; or</w:t>
      </w:r>
    </w:p>
    <w:p w14:paraId="5F566922" w14:textId="77777777" w:rsidR="007C26CB" w:rsidRPr="00423F22" w:rsidRDefault="007C26CB" w:rsidP="007C26CB">
      <w:pPr>
        <w:pStyle w:val="Bullet1"/>
      </w:pPr>
      <w:r w:rsidRPr="00423F22">
        <w:t>the acquisition by commercial television broadcasting licensee of:</w:t>
      </w:r>
    </w:p>
    <w:p w14:paraId="110C3504" w14:textId="77777777" w:rsidR="007C26CB" w:rsidRPr="00423F22" w:rsidRDefault="007C26CB" w:rsidP="00E33CCD">
      <w:pPr>
        <w:pStyle w:val="ListParagraph"/>
        <w:numPr>
          <w:ilvl w:val="1"/>
          <w:numId w:val="34"/>
        </w:numPr>
        <w:suppressAutoHyphens w:val="0"/>
        <w:spacing w:after="0"/>
        <w:ind w:left="993" w:hanging="284"/>
        <w:contextualSpacing w:val="0"/>
      </w:pPr>
      <w:r w:rsidRPr="00423F22">
        <w:rPr>
          <w:color w:val="000000"/>
        </w:rPr>
        <w:t>the right to televise a part or the whole of the event on any of its broadcasting services; or</w:t>
      </w:r>
    </w:p>
    <w:p w14:paraId="1C5A9101" w14:textId="77777777" w:rsidR="007C26CB" w:rsidRPr="00423F22" w:rsidRDefault="007C26CB" w:rsidP="00E33CCD">
      <w:pPr>
        <w:pStyle w:val="ListParagraph"/>
        <w:numPr>
          <w:ilvl w:val="1"/>
          <w:numId w:val="34"/>
        </w:numPr>
        <w:suppressAutoHyphens w:val="0"/>
        <w:spacing w:after="0"/>
        <w:ind w:left="993" w:hanging="284"/>
        <w:contextualSpacing w:val="0"/>
      </w:pPr>
      <w:r w:rsidRPr="00423F22">
        <w:rPr>
          <w:color w:val="000000"/>
        </w:rPr>
        <w:t>the right to provide coverage of a part or the whole of the event to end-users in Australia on a content service</w:t>
      </w:r>
      <w:r w:rsidRPr="00423F22">
        <w:t>.</w:t>
      </w:r>
    </w:p>
    <w:p w14:paraId="59798FD4" w14:textId="77777777" w:rsidR="007C26CB" w:rsidRPr="00423F22" w:rsidRDefault="007C26CB" w:rsidP="007C26CB">
      <w:pPr>
        <w:spacing w:after="0"/>
      </w:pPr>
      <w:r w:rsidRPr="00423F22">
        <w:t xml:space="preserve">This carve out would enable national and commercial broadcasters to acquire a right to televise a listed event on a broadcasting service, </w:t>
      </w:r>
      <w:r w:rsidRPr="00B813A3">
        <w:rPr>
          <w:u w:val="single"/>
        </w:rPr>
        <w:t>and</w:t>
      </w:r>
      <w:r w:rsidRPr="00423F22">
        <w:t xml:space="preserve"> the right to provide coverage of the event to end-users in Australia on a content service, without restriction under the scheme.</w:t>
      </w:r>
    </w:p>
    <w:p w14:paraId="278FA843" w14:textId="77777777" w:rsidR="007C26CB" w:rsidRDefault="007C26CB" w:rsidP="007C26CB">
      <w:pPr>
        <w:spacing w:after="0"/>
      </w:pPr>
      <w:r w:rsidRPr="00423F22">
        <w:t xml:space="preserve">A free-to-air broadcaster would need to have acquired both a broadcast right </w:t>
      </w:r>
      <w:r w:rsidRPr="00B813A3">
        <w:t>and</w:t>
      </w:r>
      <w:r w:rsidRPr="00423F22">
        <w:t xml:space="preserve"> an online right </w:t>
      </w:r>
      <w:r>
        <w:t xml:space="preserve">or other form of right </w:t>
      </w:r>
      <w:r w:rsidRPr="00423F22">
        <w:t>before another party (i.e. any party other than a free-to-air broadcaster) c</w:t>
      </w:r>
      <w:r>
        <w:t>ould</w:t>
      </w:r>
      <w:r w:rsidRPr="00423F22">
        <w:t xml:space="preserve"> acquire a right to the event.</w:t>
      </w:r>
    </w:p>
    <w:p w14:paraId="4D36C990" w14:textId="77777777" w:rsidR="00800D63" w:rsidRDefault="007C26CB" w:rsidP="00800D63">
      <w:pPr>
        <w:spacing w:after="0"/>
        <w:rPr>
          <w:b/>
        </w:rPr>
      </w:pPr>
      <w:r>
        <w:rPr>
          <w:b/>
        </w:rPr>
        <w:t>No further restrictions</w:t>
      </w:r>
    </w:p>
    <w:p w14:paraId="611CD327" w14:textId="4B3ADC66" w:rsidR="007C26CB" w:rsidRDefault="007C26CB" w:rsidP="00800D63">
      <w:pPr>
        <w:spacing w:after="0"/>
      </w:pPr>
      <w:r>
        <w:t>Free-to-air services are by definition ‘free’ and ‘broadly available’. The same applies to BVOD services (free to download and broadly available</w:t>
      </w:r>
      <w:r w:rsidR="009405C1">
        <w:t>).</w:t>
      </w:r>
      <w:r w:rsidR="00AF7BBA">
        <w:t xml:space="preserve"> </w:t>
      </w:r>
      <w:r>
        <w:t>There was no evidence presented through the review to suggest that free</w:t>
      </w:r>
      <w:r>
        <w:noBreakHyphen/>
        <w:t xml:space="preserve">to-air broadcasters were ‘hoarding’ the rights to listed events (whether broadcast of online rights). This reflects the strong commercial incentive for broadcasters to fully exploit the rights which they have acquired (typically at significant cost). For these reasons, a </w:t>
      </w:r>
      <w:r w:rsidRPr="00FD34F4">
        <w:t>‘live’ and ‘in full’ re</w:t>
      </w:r>
      <w:r>
        <w:t xml:space="preserve">quirement is not </w:t>
      </w:r>
      <w:r w:rsidR="00800D63">
        <w:t xml:space="preserve">proposed as part of this model. </w:t>
      </w:r>
    </w:p>
    <w:p w14:paraId="254F0659" w14:textId="77777777" w:rsidR="00D80D0D" w:rsidRPr="00C10DE5" w:rsidRDefault="00D80D0D" w:rsidP="00D80D0D">
      <w:pPr>
        <w:pStyle w:val="Introduction"/>
        <w:rPr>
          <w:lang w:val="en-AU"/>
        </w:rPr>
      </w:pPr>
      <w:r w:rsidRPr="00C10DE5">
        <w:rPr>
          <w:lang w:val="en-AU"/>
        </w:rPr>
        <w:t>Addressing the problem and objective</w:t>
      </w:r>
    </w:p>
    <w:p w14:paraId="4D1199F7" w14:textId="5CFE85B5" w:rsidR="00D80D0D" w:rsidRPr="007C26CB" w:rsidRDefault="00D80D0D" w:rsidP="00D80D0D">
      <w:r w:rsidRPr="00C10DE5">
        <w:t>The free-to-air first model would address the problems set out in chapter 1 by significantly expanding the scheme to cover online content services. For consumers, this w</w:t>
      </w:r>
      <w:r w:rsidR="002209CD" w:rsidRPr="00C10DE5">
        <w:t xml:space="preserve">ould </w:t>
      </w:r>
      <w:r w:rsidRPr="00C10DE5">
        <w:t xml:space="preserve">increase the likelihood of being able to view listed events on television and online services. However, from an industry perspective, it would </w:t>
      </w:r>
      <w:r w:rsidR="0084739A" w:rsidRPr="00C10DE5">
        <w:t xml:space="preserve">provide </w:t>
      </w:r>
      <w:r w:rsidRPr="00C10DE5">
        <w:t>free-to-air broadcasters with the first opportunity to obtain</w:t>
      </w:r>
      <w:r w:rsidR="002209CD" w:rsidRPr="00C10DE5">
        <w:t xml:space="preserve"> both the</w:t>
      </w:r>
      <w:r w:rsidRPr="00C10DE5">
        <w:t xml:space="preserve"> television rights and online rights</w:t>
      </w:r>
      <w:r w:rsidR="002209CD" w:rsidRPr="00C10DE5">
        <w:t xml:space="preserve"> to nationally important and culturally significant events. </w:t>
      </w:r>
      <w:r w:rsidRPr="00C10DE5">
        <w:t xml:space="preserve">This would effectively exclude all </w:t>
      </w:r>
      <w:r w:rsidR="0084739A" w:rsidRPr="00C10DE5">
        <w:t xml:space="preserve">other </w:t>
      </w:r>
      <w:r w:rsidRPr="00C10DE5">
        <w:t>parties from obtaining broadcast or online rights until a free-to-air broadcaster obtain</w:t>
      </w:r>
      <w:r w:rsidR="002209CD" w:rsidRPr="00C10DE5">
        <w:t>ed</w:t>
      </w:r>
      <w:r w:rsidRPr="00C10DE5">
        <w:t xml:space="preserve"> </w:t>
      </w:r>
      <w:r w:rsidR="002209CD" w:rsidRPr="00C10DE5">
        <w:t xml:space="preserve">all of the rights, </w:t>
      </w:r>
      <w:r w:rsidRPr="00C10DE5">
        <w:t>or the event is automatically delisted.</w:t>
      </w:r>
      <w:r w:rsidR="00067731" w:rsidRPr="00C10DE5">
        <w:t xml:space="preserve"> This</w:t>
      </w:r>
      <w:r w:rsidR="002209CD" w:rsidRPr="00C10DE5">
        <w:t xml:space="preserve"> would </w:t>
      </w:r>
      <w:r w:rsidR="00067731" w:rsidRPr="00C10DE5">
        <w:t>impact competition to a greater extent than necessary to achieve the objective o</w:t>
      </w:r>
      <w:r w:rsidR="007F4D92">
        <w:t>f</w:t>
      </w:r>
      <w:r w:rsidR="00067731" w:rsidRPr="00C10DE5">
        <w:t xml:space="preserve"> the scheme.</w:t>
      </w:r>
      <w:r w:rsidR="002209CD" w:rsidRPr="00C10DE5">
        <w:t xml:space="preserve"> </w:t>
      </w:r>
      <w:r w:rsidRPr="00C10DE5">
        <w:t xml:space="preserve">This </w:t>
      </w:r>
      <w:r w:rsidR="002209CD" w:rsidRPr="00C10DE5">
        <w:t xml:space="preserve">model is </w:t>
      </w:r>
      <w:r w:rsidRPr="00C10DE5">
        <w:t xml:space="preserve">expected to be relatively </w:t>
      </w:r>
      <w:r w:rsidR="002209CD" w:rsidRPr="00C10DE5">
        <w:t xml:space="preserve">straightforward to </w:t>
      </w:r>
      <w:r w:rsidRPr="00C10DE5">
        <w:t>implement and administer</w:t>
      </w:r>
      <w:r w:rsidR="002209CD" w:rsidRPr="00C10DE5">
        <w:t>,</w:t>
      </w:r>
      <w:r w:rsidRPr="00C10DE5">
        <w:t xml:space="preserve"> </w:t>
      </w:r>
      <w:r w:rsidR="002209CD" w:rsidRPr="00C10DE5">
        <w:t xml:space="preserve">as it represents </w:t>
      </w:r>
      <w:r w:rsidRPr="00C10DE5">
        <w:t>a continuation of the existing scheme.</w:t>
      </w:r>
      <w:r>
        <w:t xml:space="preserve"> </w:t>
      </w:r>
    </w:p>
    <w:p w14:paraId="75844370" w14:textId="6877D248" w:rsidR="00226B05" w:rsidRPr="009B3A80" w:rsidRDefault="00586BE0" w:rsidP="00226B05">
      <w:pPr>
        <w:pStyle w:val="Heading3"/>
      </w:pPr>
      <w:bookmarkStart w:id="85" w:name="_Toc150883270"/>
      <w:bookmarkStart w:id="86" w:name="_Toc151053052"/>
      <w:r>
        <w:t>Model 4</w:t>
      </w:r>
      <w:r w:rsidR="00226B05" w:rsidRPr="009B3A80">
        <w:t xml:space="preserve">: </w:t>
      </w:r>
      <w:r>
        <w:t>‘</w:t>
      </w:r>
      <w:r w:rsidR="00800D63">
        <w:t>s</w:t>
      </w:r>
      <w:r>
        <w:t>tatus quo’</w:t>
      </w:r>
      <w:bookmarkEnd w:id="85"/>
      <w:bookmarkEnd w:id="86"/>
      <w:r>
        <w:t xml:space="preserve"> </w:t>
      </w:r>
    </w:p>
    <w:p w14:paraId="6E1C16BF" w14:textId="48DEF113" w:rsidR="00226B05" w:rsidRDefault="00A27C1C" w:rsidP="00226B05">
      <w:r>
        <w:t>Under this approach, there would be</w:t>
      </w:r>
      <w:r w:rsidR="00226B05" w:rsidRPr="00A27C1C">
        <w:t xml:space="preserve"> no amendments to the existing scheme. It would continue to prevent subscription television broadcasting licensees from obtaining </w:t>
      </w:r>
      <w:r w:rsidR="007F4D92">
        <w:t xml:space="preserve">a right to a </w:t>
      </w:r>
      <w:r w:rsidR="00226B05" w:rsidRPr="00A27C1C">
        <w:t>listed event before free-to-air broadcasters</w:t>
      </w:r>
      <w:r w:rsidR="007471CB">
        <w:t xml:space="preserve"> </w:t>
      </w:r>
      <w:r w:rsidR="007F4D92">
        <w:t>has</w:t>
      </w:r>
      <w:r w:rsidR="007471CB">
        <w:t xml:space="preserve"> a right </w:t>
      </w:r>
      <w:r w:rsidR="00E14525">
        <w:t>(until the event is automatically delisted)</w:t>
      </w:r>
      <w:r w:rsidR="00226B05" w:rsidRPr="00C10DE5">
        <w:t>,</w:t>
      </w:r>
      <w:r w:rsidR="00226B05" w:rsidRPr="00A27C1C">
        <w:t xml:space="preserve"> but </w:t>
      </w:r>
      <w:r w:rsidR="007471CB">
        <w:t>there would</w:t>
      </w:r>
      <w:r w:rsidR="00226B05" w:rsidRPr="00A27C1C">
        <w:t xml:space="preserve"> no impact on streaming services</w:t>
      </w:r>
      <w:r>
        <w:t>.</w:t>
      </w:r>
    </w:p>
    <w:p w14:paraId="67D7228E" w14:textId="77777777" w:rsidR="006179D0" w:rsidRPr="00C10DE5" w:rsidRDefault="006179D0" w:rsidP="006179D0">
      <w:pPr>
        <w:pStyle w:val="Introduction"/>
        <w:rPr>
          <w:lang w:val="en-AU"/>
        </w:rPr>
      </w:pPr>
      <w:r w:rsidRPr="00C10DE5">
        <w:rPr>
          <w:lang w:val="en-AU"/>
        </w:rPr>
        <w:t>Addressing the problem and objective</w:t>
      </w:r>
    </w:p>
    <w:p w14:paraId="43559008" w14:textId="243FE44C" w:rsidR="006179D0" w:rsidRDefault="006179D0" w:rsidP="006179D0">
      <w:r w:rsidRPr="00C10DE5">
        <w:t>Under the status quo</w:t>
      </w:r>
      <w:r w:rsidR="002209CD" w:rsidRPr="00C10DE5">
        <w:t>,</w:t>
      </w:r>
      <w:r w:rsidRPr="00C10DE5">
        <w:t xml:space="preserve"> the </w:t>
      </w:r>
      <w:r w:rsidR="002209CD" w:rsidRPr="00C10DE5">
        <w:t>issues and risks</w:t>
      </w:r>
      <w:r w:rsidRPr="00C10DE5">
        <w:t xml:space="preserve"> set out in chapter 1</w:t>
      </w:r>
      <w:r w:rsidR="002209CD" w:rsidRPr="00C10DE5">
        <w:t xml:space="preserve"> would not be addressed. There is a latent but material risk of </w:t>
      </w:r>
      <w:r w:rsidRPr="00C10DE5">
        <w:t>consumers</w:t>
      </w:r>
      <w:r w:rsidR="002209CD" w:rsidRPr="00C10DE5">
        <w:t xml:space="preserve"> being unable to freely access </w:t>
      </w:r>
      <w:r w:rsidRPr="00C10DE5">
        <w:t>nationally important and culturally significant events</w:t>
      </w:r>
      <w:r w:rsidR="002209CD" w:rsidRPr="00C10DE5">
        <w:t xml:space="preserve"> under this option. The i</w:t>
      </w:r>
      <w:r w:rsidRPr="00C10DE5">
        <w:t xml:space="preserve">mpacts on industry would </w:t>
      </w:r>
      <w:r w:rsidR="002209CD" w:rsidRPr="00C10DE5">
        <w:t>remain as per the current scheme</w:t>
      </w:r>
      <w:r w:rsidRPr="00C10DE5">
        <w:t xml:space="preserve">, and there would be no </w:t>
      </w:r>
      <w:r w:rsidR="00BC55A4" w:rsidRPr="00C10DE5">
        <w:t>change to the complexity of the regulation.</w:t>
      </w:r>
      <w:r w:rsidR="00BC55A4">
        <w:t xml:space="preserve"> </w:t>
      </w:r>
      <w:r>
        <w:t xml:space="preserve"> </w:t>
      </w:r>
    </w:p>
    <w:p w14:paraId="46A18F5A" w14:textId="47F8171E" w:rsidR="00226B05" w:rsidRPr="009B3A80" w:rsidRDefault="009C7379" w:rsidP="00226B05">
      <w:pPr>
        <w:pStyle w:val="Heading2Numbered"/>
        <w:numPr>
          <w:ilvl w:val="0"/>
          <w:numId w:val="0"/>
        </w:numPr>
        <w:ind w:left="851" w:hanging="851"/>
      </w:pPr>
      <w:bookmarkStart w:id="87" w:name="_Toc150883271"/>
      <w:bookmarkStart w:id="88" w:name="_Toc151053053"/>
      <w:r>
        <w:t>The</w:t>
      </w:r>
      <w:r w:rsidR="00226B05" w:rsidRPr="009B3A80">
        <w:t xml:space="preserve"> </w:t>
      </w:r>
      <w:r w:rsidR="00586BE0">
        <w:t>l</w:t>
      </w:r>
      <w:r w:rsidR="00226B05" w:rsidRPr="009B3A80">
        <w:t>ist</w:t>
      </w:r>
      <w:bookmarkEnd w:id="87"/>
      <w:bookmarkEnd w:id="88"/>
    </w:p>
    <w:p w14:paraId="5C1CE5BC" w14:textId="4345E1C5" w:rsidR="00FE13BC" w:rsidRDefault="00FE13BC" w:rsidP="00FE13BC">
      <w:r w:rsidRPr="00DC3338">
        <w:t xml:space="preserve">The composition of </w:t>
      </w:r>
      <w:r w:rsidR="001A6E5C">
        <w:t xml:space="preserve">the </w:t>
      </w:r>
      <w:r w:rsidR="007F4D92">
        <w:t xml:space="preserve">proposed </w:t>
      </w:r>
      <w:r w:rsidR="001A6E5C">
        <w:t>list options has been informed by the consecutive consultations undertaken in 2022 and 2023</w:t>
      </w:r>
      <w:r w:rsidR="001A6E5C" w:rsidRPr="00C10DE5">
        <w:t xml:space="preserve">. </w:t>
      </w:r>
      <w:r w:rsidR="007F4D92">
        <w:t xml:space="preserve">Where relevant, </w:t>
      </w:r>
      <w:r w:rsidR="00801AC0" w:rsidRPr="00C10DE5">
        <w:t>all</w:t>
      </w:r>
      <w:r w:rsidR="00182175" w:rsidRPr="00C10DE5">
        <w:t xml:space="preserve"> list options </w:t>
      </w:r>
      <w:r w:rsidR="007F4D92">
        <w:t>would</w:t>
      </w:r>
      <w:r w:rsidR="00182175" w:rsidRPr="00C10DE5">
        <w:t xml:space="preserve"> clarify </w:t>
      </w:r>
      <w:r w:rsidR="00801AC0" w:rsidRPr="00C10DE5">
        <w:t xml:space="preserve">the </w:t>
      </w:r>
      <w:r w:rsidR="007F4D92">
        <w:t xml:space="preserve">gender of the events. </w:t>
      </w:r>
      <w:r w:rsidRPr="00DC3338">
        <w:t xml:space="preserve"> </w:t>
      </w:r>
    </w:p>
    <w:p w14:paraId="6AF3295E" w14:textId="0D86DD15" w:rsidR="007F4D92" w:rsidRDefault="007F4D92" w:rsidP="00FE13BC"/>
    <w:p w14:paraId="09DC31B2" w14:textId="77777777" w:rsidR="007F4D92" w:rsidRPr="00DC3338" w:rsidRDefault="007F4D92" w:rsidP="00FE13BC"/>
    <w:p w14:paraId="14381F8C" w14:textId="22FDD020" w:rsidR="006E598B" w:rsidRPr="0064562A" w:rsidRDefault="001D06C9" w:rsidP="001D06C9">
      <w:pPr>
        <w:pStyle w:val="Caption"/>
        <w:suppressAutoHyphens w:val="0"/>
      </w:pPr>
      <w:bookmarkStart w:id="89" w:name="_Toc150883300"/>
      <w:bookmarkStart w:id="90" w:name="_Toc151053020"/>
      <w:r>
        <w:t xml:space="preserve">Table </w:t>
      </w:r>
      <w:r w:rsidR="009E1AFF">
        <w:t>4</w:t>
      </w:r>
      <w:r>
        <w:t>: Summary of list options</w:t>
      </w:r>
      <w:bookmarkEnd w:id="89"/>
      <w:bookmarkEnd w:id="90"/>
    </w:p>
    <w:tbl>
      <w:tblPr>
        <w:tblStyle w:val="DefaultTable1"/>
        <w:tblpPr w:leftFromText="180" w:rightFromText="180" w:vertAnchor="text" w:tblpY="1"/>
        <w:tblOverlap w:val="never"/>
        <w:tblW w:w="5000" w:type="pct"/>
        <w:tblLook w:val="04A0" w:firstRow="1" w:lastRow="0" w:firstColumn="1" w:lastColumn="0" w:noHBand="0" w:noVBand="1"/>
        <w:tblCaption w:val="Sample table"/>
        <w:tblDescription w:val="Sample table"/>
      </w:tblPr>
      <w:tblGrid>
        <w:gridCol w:w="1432"/>
        <w:gridCol w:w="2109"/>
        <w:gridCol w:w="2109"/>
        <w:gridCol w:w="2107"/>
        <w:gridCol w:w="2107"/>
      </w:tblGrid>
      <w:tr w:rsidR="006E598B" w:rsidRPr="00F45796" w14:paraId="7016A39F" w14:textId="77777777" w:rsidTr="005B6CAA">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26" w:type="pct"/>
            <w:tcBorders>
              <w:bottom w:val="single" w:sz="4" w:space="0" w:color="008089" w:themeColor="accent2"/>
            </w:tcBorders>
            <w:vAlign w:val="center"/>
          </w:tcPr>
          <w:p w14:paraId="481F02F1" w14:textId="77777777" w:rsidR="006E598B" w:rsidRPr="00F45796" w:rsidRDefault="006E598B" w:rsidP="00A31D43">
            <w:pPr>
              <w:spacing w:before="40" w:after="40"/>
              <w:rPr>
                <w:sz w:val="20"/>
                <w:szCs w:val="20"/>
              </w:rPr>
            </w:pPr>
          </w:p>
        </w:tc>
        <w:tc>
          <w:tcPr>
            <w:tcW w:w="1069" w:type="pct"/>
            <w:tcBorders>
              <w:bottom w:val="single" w:sz="4" w:space="0" w:color="008089" w:themeColor="accent2"/>
            </w:tcBorders>
            <w:vAlign w:val="center"/>
          </w:tcPr>
          <w:p w14:paraId="68C0C385" w14:textId="77777777" w:rsidR="006E598B" w:rsidRPr="00F45796" w:rsidRDefault="006E598B" w:rsidP="00E33CCD">
            <w:pPr>
              <w:pStyle w:val="ListParagraph"/>
              <w:numPr>
                <w:ilvl w:val="0"/>
                <w:numId w:val="13"/>
              </w:numPr>
              <w:suppressAutoHyphens w:val="0"/>
              <w:spacing w:before="40" w:after="40"/>
              <w:contextualSpacing w:val="0"/>
              <w:cnfStyle w:val="100000000000" w:firstRow="1" w:lastRow="0" w:firstColumn="0" w:lastColumn="0" w:oddVBand="0" w:evenVBand="0" w:oddHBand="0" w:evenHBand="0" w:firstRowFirstColumn="0" w:firstRowLastColumn="0" w:lastRowFirstColumn="0" w:lastRowLastColumn="0"/>
              <w:rPr>
                <w:sz w:val="20"/>
                <w:szCs w:val="20"/>
              </w:rPr>
            </w:pPr>
            <w:r w:rsidRPr="00E84544">
              <w:rPr>
                <w:sz w:val="20"/>
                <w:szCs w:val="20"/>
              </w:rPr>
              <w:t>Streamlined list</w:t>
            </w:r>
          </w:p>
        </w:tc>
        <w:tc>
          <w:tcPr>
            <w:tcW w:w="1069" w:type="pct"/>
            <w:tcBorders>
              <w:bottom w:val="single" w:sz="4" w:space="0" w:color="008089" w:themeColor="accent2"/>
            </w:tcBorders>
            <w:vAlign w:val="center"/>
          </w:tcPr>
          <w:p w14:paraId="4619BBB4" w14:textId="77777777" w:rsidR="006E598B" w:rsidRPr="000C1CBF" w:rsidRDefault="006E598B" w:rsidP="00E33CCD">
            <w:pPr>
              <w:pStyle w:val="ListParagraph"/>
              <w:numPr>
                <w:ilvl w:val="0"/>
                <w:numId w:val="13"/>
              </w:numPr>
              <w:suppressAutoHyphens w:val="0"/>
              <w:spacing w:before="40" w:after="40"/>
              <w:ind w:left="294"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Modernised list</w:t>
            </w:r>
          </w:p>
        </w:tc>
        <w:tc>
          <w:tcPr>
            <w:tcW w:w="1068" w:type="pct"/>
            <w:tcBorders>
              <w:bottom w:val="single" w:sz="4" w:space="0" w:color="008089" w:themeColor="accent2"/>
            </w:tcBorders>
            <w:vAlign w:val="center"/>
          </w:tcPr>
          <w:p w14:paraId="51D2BBB9" w14:textId="6A02B2AA" w:rsidR="005B6CAA" w:rsidRDefault="005B6CAA" w:rsidP="00E33CCD">
            <w:pPr>
              <w:pStyle w:val="ListParagraph"/>
              <w:numPr>
                <w:ilvl w:val="0"/>
                <w:numId w:val="13"/>
              </w:numPr>
              <w:suppressAutoHyphens w:val="0"/>
              <w:spacing w:before="40" w:after="40"/>
              <w:ind w:left="232"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Expanded list</w:t>
            </w:r>
            <w:r w:rsidRPr="000C1CBF">
              <w:rPr>
                <w:sz w:val="20"/>
                <w:szCs w:val="20"/>
              </w:rPr>
              <w:t xml:space="preserve"> </w:t>
            </w:r>
          </w:p>
        </w:tc>
        <w:tc>
          <w:tcPr>
            <w:tcW w:w="1068" w:type="pct"/>
            <w:tcBorders>
              <w:bottom w:val="single" w:sz="4" w:space="0" w:color="008089" w:themeColor="accent2"/>
            </w:tcBorders>
          </w:tcPr>
          <w:p w14:paraId="234F7FC1" w14:textId="01A79043" w:rsidR="005B6CAA" w:rsidRDefault="005B6CAA" w:rsidP="00E33CCD">
            <w:pPr>
              <w:pStyle w:val="ListParagraph"/>
              <w:numPr>
                <w:ilvl w:val="0"/>
                <w:numId w:val="13"/>
              </w:numPr>
              <w:suppressAutoHyphens w:val="0"/>
              <w:spacing w:before="40" w:after="40"/>
              <w:ind w:left="232" w:hanging="283"/>
              <w:contextualSpacing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Status </w:t>
            </w:r>
            <w:r w:rsidR="001A6E5C">
              <w:rPr>
                <w:sz w:val="20"/>
                <w:szCs w:val="20"/>
              </w:rPr>
              <w:t>q</w:t>
            </w:r>
            <w:r>
              <w:rPr>
                <w:sz w:val="20"/>
                <w:szCs w:val="20"/>
              </w:rPr>
              <w:t>uo</w:t>
            </w:r>
          </w:p>
        </w:tc>
      </w:tr>
      <w:tr w:rsidR="006E598B" w:rsidRPr="00F45796" w14:paraId="37C83F98" w14:textId="77777777" w:rsidTr="005B6CAA">
        <w:tc>
          <w:tcPr>
            <w:cnfStyle w:val="001000000000" w:firstRow="0" w:lastRow="0" w:firstColumn="1" w:lastColumn="0" w:oddVBand="0" w:evenVBand="0" w:oddHBand="0" w:evenHBand="0" w:firstRowFirstColumn="0" w:firstRowLastColumn="0" w:lastRowFirstColumn="0" w:lastRowLastColumn="0"/>
            <w:tcW w:w="726" w:type="pct"/>
          </w:tcPr>
          <w:p w14:paraId="2F8FF4A3" w14:textId="77777777" w:rsidR="006E598B" w:rsidRPr="00F45796" w:rsidRDefault="006E598B" w:rsidP="00A31D43">
            <w:pPr>
              <w:spacing w:before="40" w:after="40"/>
              <w:rPr>
                <w:sz w:val="20"/>
                <w:szCs w:val="20"/>
              </w:rPr>
            </w:pPr>
            <w:r>
              <w:rPr>
                <w:sz w:val="20"/>
                <w:szCs w:val="20"/>
              </w:rPr>
              <w:t>Summary</w:t>
            </w:r>
          </w:p>
        </w:tc>
        <w:tc>
          <w:tcPr>
            <w:tcW w:w="1069" w:type="pct"/>
          </w:tcPr>
          <w:p w14:paraId="40A8DE04" w14:textId="77777777" w:rsidR="006E598B" w:rsidRPr="00213CB9" w:rsidRDefault="006E598B" w:rsidP="00A31D4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 xml:space="preserve">A significant </w:t>
            </w:r>
            <w:r>
              <w:rPr>
                <w:sz w:val="20"/>
                <w:szCs w:val="20"/>
              </w:rPr>
              <w:t xml:space="preserve">reduction of the current </w:t>
            </w:r>
            <w:r w:rsidRPr="00A43F9D">
              <w:rPr>
                <w:sz w:val="20"/>
                <w:szCs w:val="20"/>
              </w:rPr>
              <w:t>list</w:t>
            </w:r>
            <w:r>
              <w:rPr>
                <w:sz w:val="20"/>
                <w:szCs w:val="20"/>
              </w:rPr>
              <w:t>.</w:t>
            </w:r>
          </w:p>
        </w:tc>
        <w:tc>
          <w:tcPr>
            <w:tcW w:w="1069" w:type="pct"/>
          </w:tcPr>
          <w:p w14:paraId="295A2043" w14:textId="77777777" w:rsidR="006E598B" w:rsidRPr="00213CB9" w:rsidRDefault="006E598B" w:rsidP="00A31D4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 increase</w:t>
            </w:r>
            <w:r w:rsidRPr="00213CB9">
              <w:rPr>
                <w:sz w:val="20"/>
                <w:szCs w:val="20"/>
              </w:rPr>
              <w:t xml:space="preserve"> of the current </w:t>
            </w:r>
            <w:r>
              <w:rPr>
                <w:sz w:val="20"/>
                <w:szCs w:val="20"/>
              </w:rPr>
              <w:t>list.</w:t>
            </w:r>
          </w:p>
        </w:tc>
        <w:tc>
          <w:tcPr>
            <w:tcW w:w="1068" w:type="pct"/>
          </w:tcPr>
          <w:p w14:paraId="13FFB2C7" w14:textId="048D03BF" w:rsidR="005B6CAA" w:rsidRPr="00213CB9" w:rsidRDefault="005B6CAA" w:rsidP="005B6CA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13CB9">
              <w:rPr>
                <w:sz w:val="20"/>
                <w:szCs w:val="20"/>
              </w:rPr>
              <w:t xml:space="preserve">A significant </w:t>
            </w:r>
            <w:r>
              <w:rPr>
                <w:sz w:val="20"/>
                <w:szCs w:val="20"/>
              </w:rPr>
              <w:t>expansion</w:t>
            </w:r>
            <w:r w:rsidRPr="00213CB9">
              <w:rPr>
                <w:sz w:val="20"/>
                <w:szCs w:val="20"/>
              </w:rPr>
              <w:t xml:space="preserve"> of the current</w:t>
            </w:r>
            <w:r>
              <w:rPr>
                <w:sz w:val="20"/>
                <w:szCs w:val="20"/>
              </w:rPr>
              <w:t xml:space="preserve"> list</w:t>
            </w:r>
            <w:r w:rsidRPr="00213CB9">
              <w:rPr>
                <w:sz w:val="20"/>
                <w:szCs w:val="20"/>
              </w:rPr>
              <w:t>.</w:t>
            </w:r>
          </w:p>
        </w:tc>
        <w:tc>
          <w:tcPr>
            <w:tcW w:w="1068" w:type="pct"/>
          </w:tcPr>
          <w:p w14:paraId="7C703474" w14:textId="5FD2DE8F" w:rsidR="005B6CAA" w:rsidRDefault="005B6CAA" w:rsidP="005B6CA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change to the existing list</w:t>
            </w:r>
          </w:p>
        </w:tc>
      </w:tr>
      <w:tr w:rsidR="006E598B" w:rsidRPr="00F45796" w14:paraId="71F0266D" w14:textId="77777777" w:rsidTr="005B6C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pct"/>
          </w:tcPr>
          <w:p w14:paraId="183C74ED" w14:textId="77777777" w:rsidR="006E598B" w:rsidRDefault="006E598B" w:rsidP="00A31D43">
            <w:pPr>
              <w:spacing w:before="40" w:after="40"/>
              <w:rPr>
                <w:sz w:val="20"/>
                <w:szCs w:val="20"/>
              </w:rPr>
            </w:pPr>
            <w:r>
              <w:rPr>
                <w:sz w:val="20"/>
                <w:szCs w:val="20"/>
              </w:rPr>
              <w:t>Number of events</w:t>
            </w:r>
            <w:r w:rsidRPr="00FC7446">
              <w:rPr>
                <w:rStyle w:val="FootnoteReference"/>
                <w:sz w:val="20"/>
                <w:szCs w:val="20"/>
              </w:rPr>
              <w:footnoteReference w:id="71"/>
            </w:r>
          </w:p>
        </w:tc>
        <w:tc>
          <w:tcPr>
            <w:tcW w:w="1069" w:type="pct"/>
          </w:tcPr>
          <w:p w14:paraId="625E6AB5" w14:textId="77777777" w:rsidR="006E598B" w:rsidRPr="00AD45FC" w:rsidRDefault="006E598B" w:rsidP="00A31D43">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056164">
              <w:rPr>
                <w:sz w:val="20"/>
                <w:szCs w:val="20"/>
              </w:rPr>
              <w:t>~330</w:t>
            </w:r>
          </w:p>
        </w:tc>
        <w:tc>
          <w:tcPr>
            <w:tcW w:w="1069" w:type="pct"/>
          </w:tcPr>
          <w:p w14:paraId="5B308DF3" w14:textId="77777777" w:rsidR="006E598B" w:rsidRPr="00AD45FC" w:rsidRDefault="006E598B" w:rsidP="00A31D43">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056164">
              <w:rPr>
                <w:sz w:val="20"/>
                <w:szCs w:val="20"/>
              </w:rPr>
              <w:t>~2,500</w:t>
            </w:r>
          </w:p>
        </w:tc>
        <w:tc>
          <w:tcPr>
            <w:tcW w:w="1068" w:type="pct"/>
          </w:tcPr>
          <w:p w14:paraId="48CBAE06" w14:textId="30D55DA7" w:rsidR="005B6CAA" w:rsidRPr="00056164" w:rsidRDefault="005B6CAA" w:rsidP="005B6CA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056164">
              <w:rPr>
                <w:sz w:val="20"/>
                <w:szCs w:val="20"/>
              </w:rPr>
              <w:t>~2,800</w:t>
            </w:r>
          </w:p>
        </w:tc>
        <w:tc>
          <w:tcPr>
            <w:tcW w:w="1068" w:type="pct"/>
          </w:tcPr>
          <w:p w14:paraId="5436F2DE" w14:textId="1F68FD5C" w:rsidR="005B6CAA" w:rsidRPr="00056164" w:rsidRDefault="005B6CAA" w:rsidP="005B6CAA">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8511FC">
              <w:rPr>
                <w:sz w:val="20"/>
                <w:szCs w:val="20"/>
              </w:rPr>
              <w:t>~</w:t>
            </w:r>
            <w:r w:rsidR="008511FC" w:rsidRPr="008511FC">
              <w:rPr>
                <w:sz w:val="20"/>
                <w:szCs w:val="20"/>
              </w:rPr>
              <w:t>1</w:t>
            </w:r>
            <w:r w:rsidRPr="008511FC">
              <w:rPr>
                <w:sz w:val="20"/>
                <w:szCs w:val="20"/>
              </w:rPr>
              <w:t>,</w:t>
            </w:r>
            <w:r w:rsidR="008511FC" w:rsidRPr="008511FC">
              <w:rPr>
                <w:sz w:val="20"/>
                <w:szCs w:val="20"/>
              </w:rPr>
              <w:t>9</w:t>
            </w:r>
            <w:r w:rsidRPr="008511FC">
              <w:rPr>
                <w:sz w:val="20"/>
                <w:szCs w:val="20"/>
              </w:rPr>
              <w:t>00</w:t>
            </w:r>
          </w:p>
        </w:tc>
      </w:tr>
    </w:tbl>
    <w:p w14:paraId="3F05542D" w14:textId="5800432F" w:rsidR="00226B05" w:rsidRPr="009B3A80" w:rsidRDefault="00226B05" w:rsidP="00226B05">
      <w:pPr>
        <w:pStyle w:val="Heading3"/>
      </w:pPr>
      <w:bookmarkStart w:id="91" w:name="_Toc150883272"/>
      <w:bookmarkStart w:id="92" w:name="_Toc151053054"/>
      <w:r w:rsidRPr="009B3A80">
        <w:t>Option 1: ‘</w:t>
      </w:r>
      <w:r w:rsidR="009C7379">
        <w:t>s</w:t>
      </w:r>
      <w:r w:rsidRPr="009B3A80">
        <w:t>treamlined list’</w:t>
      </w:r>
      <w:bookmarkEnd w:id="91"/>
      <w:bookmarkEnd w:id="92"/>
      <w:r w:rsidRPr="009B3A80">
        <w:t xml:space="preserve"> </w:t>
      </w:r>
    </w:p>
    <w:p w14:paraId="2CB23C86" w14:textId="2C261CAF" w:rsidR="00876C20" w:rsidRDefault="00876C20" w:rsidP="00876C20">
      <w:bookmarkStart w:id="93" w:name="_Hlk141089216"/>
      <w:r w:rsidRPr="00800D63">
        <w:t xml:space="preserve">The streamlined list would represent a reduction in the number of events on the list </w:t>
      </w:r>
      <w:r w:rsidR="00CA4432" w:rsidRPr="00800D63">
        <w:t xml:space="preserve">(by around 80 per cent) </w:t>
      </w:r>
      <w:r w:rsidRPr="00800D63">
        <w:t xml:space="preserve">compared with the current instrument. This list option is detailed at </w:t>
      </w:r>
      <w:r w:rsidR="00C634D8">
        <w:rPr>
          <w:b/>
        </w:rPr>
        <w:t>Table 5</w:t>
      </w:r>
      <w:r w:rsidRPr="00800D63">
        <w:t>.</w:t>
      </w:r>
    </w:p>
    <w:p w14:paraId="4CC8B13A" w14:textId="77777777" w:rsidR="00876C20" w:rsidRDefault="00876C20" w:rsidP="00876C20">
      <w:bookmarkStart w:id="94" w:name="_Hlk142046070"/>
      <w:r>
        <w:t>The aims of the streamlined list are two-fold:</w:t>
      </w:r>
    </w:p>
    <w:p w14:paraId="4A43E206" w14:textId="76EADAED" w:rsidR="00876C20" w:rsidRDefault="00876C20" w:rsidP="00EE7B89">
      <w:pPr>
        <w:pStyle w:val="Bullet1"/>
      </w:pPr>
      <w:r>
        <w:t>To enable the list to operate effectively with the free-to-view model for the reform of the scheme (</w:t>
      </w:r>
      <w:r w:rsidR="00800D63">
        <w:rPr>
          <w:lang w:val="en-AU"/>
        </w:rPr>
        <w:t xml:space="preserve">Model </w:t>
      </w:r>
      <w:r>
        <w:t>1</w:t>
      </w:r>
      <w:r w:rsidR="00FE13BC">
        <w:t xml:space="preserve"> – free-to-view</w:t>
      </w:r>
      <w:r>
        <w:t>).</w:t>
      </w:r>
      <w:r w:rsidRPr="0080259D">
        <w:rPr>
          <w:rStyle w:val="FootnoteReference"/>
        </w:rPr>
        <w:footnoteReference w:id="72"/>
      </w:r>
    </w:p>
    <w:p w14:paraId="58B38BA5" w14:textId="347A18EF" w:rsidR="00CA3E79" w:rsidRDefault="00876C20" w:rsidP="00CA5FD2">
      <w:pPr>
        <w:pStyle w:val="Bullet1"/>
      </w:pPr>
      <w:bookmarkStart w:id="95" w:name="_Hlk142046170"/>
      <w:bookmarkEnd w:id="94"/>
      <w:r>
        <w:t>To apply the scheme in more limited circumstances by taking a narrower view of what constitutes nationally important and culturally significant events.</w:t>
      </w:r>
      <w:bookmarkStart w:id="96" w:name="_Hlk147760462"/>
      <w:bookmarkEnd w:id="93"/>
      <w:bookmarkEnd w:id="95"/>
    </w:p>
    <w:p w14:paraId="4BE10286" w14:textId="5201A422" w:rsidR="00A05E90" w:rsidRPr="007B472D" w:rsidRDefault="00A05E90" w:rsidP="00CA5FD2">
      <w:pPr>
        <w:pStyle w:val="Introduction"/>
      </w:pPr>
      <w:r w:rsidRPr="00EE7B89">
        <w:t xml:space="preserve">Relationship with </w:t>
      </w:r>
      <w:r>
        <w:t>the current list</w:t>
      </w:r>
      <w:r w:rsidRPr="00EE7B89">
        <w:t xml:space="preserve"> </w:t>
      </w:r>
    </w:p>
    <w:p w14:paraId="5819F925" w14:textId="6D899A3B" w:rsidR="00A94CDB" w:rsidRPr="009A5C72" w:rsidRDefault="00A05E90" w:rsidP="00C4585C">
      <w:bookmarkStart w:id="97" w:name="_Hlk147760285"/>
      <w:r>
        <w:t>The streamlined list contains events from the 11 sports represented on the current list, but reduces the number of events listed under each</w:t>
      </w:r>
      <w:r w:rsidR="00C4585C">
        <w:t xml:space="preserve">, with certain cricket matches, </w:t>
      </w:r>
      <w:r w:rsidR="00303249">
        <w:t xml:space="preserve">men’s and women’s </w:t>
      </w:r>
      <w:r w:rsidR="00C4585C">
        <w:t xml:space="preserve">FIFA World Cup qualifiers, and </w:t>
      </w:r>
      <w:r w:rsidR="00272D1E">
        <w:t xml:space="preserve">the </w:t>
      </w:r>
      <w:r w:rsidR="00C4585C">
        <w:t>Davis Cup completely removed</w:t>
      </w:r>
      <w:r>
        <w:t>.</w:t>
      </w:r>
      <w:r w:rsidR="00C4585C">
        <w:t xml:space="preserve"> However, it </w:t>
      </w:r>
      <w:r w:rsidR="00E8613B">
        <w:t>add</w:t>
      </w:r>
      <w:r w:rsidR="00C4585C">
        <w:t xml:space="preserve">s the </w:t>
      </w:r>
      <w:r w:rsidR="00A94CDB">
        <w:t>Ashes series matches played in the U</w:t>
      </w:r>
      <w:r w:rsidR="00C4585C">
        <w:t>K</w:t>
      </w:r>
      <w:r w:rsidR="00A94CDB">
        <w:t xml:space="preserve">. </w:t>
      </w:r>
      <w:r w:rsidR="00C4585C">
        <w:t xml:space="preserve">The current list covers the entire men’s </w:t>
      </w:r>
      <w:r w:rsidR="00303249">
        <w:t>competition</w:t>
      </w:r>
      <w:r w:rsidR="00C4585C">
        <w:t xml:space="preserve"> – which </w:t>
      </w:r>
      <w:r w:rsidR="00C10D4B">
        <w:t>consists</w:t>
      </w:r>
      <w:r w:rsidR="00C4585C">
        <w:t xml:space="preserve"> of test matches. The</w:t>
      </w:r>
      <w:r w:rsidR="00A94CDB">
        <w:t xml:space="preserve"> women’s </w:t>
      </w:r>
      <w:r w:rsidR="00C4585C">
        <w:t>tournament</w:t>
      </w:r>
      <w:r w:rsidR="00A94CDB">
        <w:t xml:space="preserve"> also include </w:t>
      </w:r>
      <w:r w:rsidR="00C4585C">
        <w:t>one day</w:t>
      </w:r>
      <w:r w:rsidR="00A94CDB">
        <w:t xml:space="preserve"> and T20 matches</w:t>
      </w:r>
      <w:r w:rsidR="00355FE5">
        <w:t>, which are currently not listed</w:t>
      </w:r>
      <w:r w:rsidR="00A94CDB">
        <w:t>. Therefore, is proposed that the list be amended to include all Ashes series matches played in the United Kingdom.</w:t>
      </w:r>
    </w:p>
    <w:p w14:paraId="58AA6A32" w14:textId="6C194A20" w:rsidR="00A31D43" w:rsidRDefault="006411D4" w:rsidP="00DC3338">
      <w:pPr>
        <w:pStyle w:val="Caption"/>
        <w:suppressAutoHyphens w:val="0"/>
      </w:pPr>
      <w:bookmarkStart w:id="98" w:name="_Toc150883301"/>
      <w:bookmarkStart w:id="99" w:name="_Toc151053021"/>
      <w:r>
        <w:t xml:space="preserve">Table </w:t>
      </w:r>
      <w:r w:rsidR="00DC3338">
        <w:t>5</w:t>
      </w:r>
      <w:r w:rsidR="00442D8D">
        <w:t>:</w:t>
      </w:r>
      <w:r>
        <w:t xml:space="preserve"> </w:t>
      </w:r>
      <w:r w:rsidR="00DC3338">
        <w:t>P</w:t>
      </w:r>
      <w:r>
        <w:t xml:space="preserve">roposed </w:t>
      </w:r>
      <w:r w:rsidR="00AC52D8">
        <w:t xml:space="preserve">changes </w:t>
      </w:r>
      <w:r>
        <w:t xml:space="preserve">to </w:t>
      </w:r>
      <w:bookmarkStart w:id="100" w:name="_Toc140842940"/>
      <w:r w:rsidR="00DC3338">
        <w:t>the streamlined list</w:t>
      </w:r>
      <w:bookmarkEnd w:id="98"/>
      <w:bookmarkEnd w:id="99"/>
    </w:p>
    <w:p w14:paraId="533A52AE" w14:textId="77777777" w:rsidR="00E84966" w:rsidRPr="00800D63" w:rsidRDefault="00E84966" w:rsidP="00E84966">
      <w:pPr>
        <w:spacing w:before="0" w:after="0"/>
        <w:rPr>
          <w:sz w:val="16"/>
          <w:szCs w:val="16"/>
        </w:rPr>
      </w:pPr>
      <w:r w:rsidRPr="00800D63">
        <w:rPr>
          <w:sz w:val="16"/>
          <w:szCs w:val="16"/>
        </w:rPr>
        <w:t>AU = Australia</w:t>
      </w:r>
    </w:p>
    <w:p w14:paraId="213D9999" w14:textId="6B952C5D" w:rsidR="00E84966" w:rsidRPr="00E84966" w:rsidRDefault="00E84966" w:rsidP="00E84966">
      <w:pPr>
        <w:spacing w:before="0" w:after="0"/>
      </w:pPr>
      <w:r w:rsidRPr="00800D63">
        <w:rPr>
          <w:sz w:val="16"/>
          <w:szCs w:val="16"/>
        </w:rPr>
        <w:t>SART = Senior Australian Representative Team</w:t>
      </w:r>
    </w:p>
    <w:tbl>
      <w:tblPr>
        <w:tblStyle w:val="DefaultTable1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548"/>
        <w:gridCol w:w="3120"/>
        <w:gridCol w:w="2629"/>
      </w:tblGrid>
      <w:tr w:rsidR="00257E2E" w:rsidRPr="004B546B" w14:paraId="6E58C1B4" w14:textId="77777777" w:rsidTr="009C21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0" w:type="pct"/>
            <w:hideMark/>
          </w:tcPr>
          <w:p w14:paraId="5818BD78" w14:textId="77777777" w:rsidR="00257E2E" w:rsidRPr="00B43D82" w:rsidRDefault="00257E2E" w:rsidP="009B26C1">
            <w:pPr>
              <w:spacing w:before="20" w:after="40"/>
              <w:rPr>
                <w:rFonts w:cstheme="minorHAnsi"/>
                <w:color w:val="auto"/>
                <w:sz w:val="20"/>
                <w:szCs w:val="20"/>
              </w:rPr>
            </w:pPr>
            <w:bookmarkStart w:id="101" w:name="_Hlk147856655"/>
            <w:r w:rsidRPr="00B43D82">
              <w:rPr>
                <w:rFonts w:cstheme="minorHAnsi"/>
                <w:color w:val="auto"/>
                <w:sz w:val="20"/>
                <w:szCs w:val="20"/>
              </w:rPr>
              <w:t>Sport</w:t>
            </w:r>
          </w:p>
        </w:tc>
        <w:tc>
          <w:tcPr>
            <w:tcW w:w="1293" w:type="pct"/>
            <w:hideMark/>
          </w:tcPr>
          <w:p w14:paraId="48297AB0" w14:textId="1AC10EB9" w:rsidR="00257E2E" w:rsidRPr="00B43D82" w:rsidRDefault="00257E2E" w:rsidP="00B43D82">
            <w:pPr>
              <w:spacing w:before="20" w:after="4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Current listing inclusions</w:t>
            </w:r>
          </w:p>
        </w:tc>
        <w:tc>
          <w:tcPr>
            <w:tcW w:w="1583" w:type="pct"/>
          </w:tcPr>
          <w:p w14:paraId="7A548076" w14:textId="305A18ED" w:rsidR="00257E2E" w:rsidRPr="00B43D82" w:rsidRDefault="00257E2E" w:rsidP="009B26C1">
            <w:pPr>
              <w:spacing w:before="20" w:after="4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Streamlined list inclusion</w:t>
            </w:r>
          </w:p>
        </w:tc>
        <w:tc>
          <w:tcPr>
            <w:tcW w:w="1334" w:type="pct"/>
          </w:tcPr>
          <w:p w14:paraId="16D1167F" w14:textId="0670322A" w:rsidR="00257E2E" w:rsidRPr="00B43D82" w:rsidRDefault="00AC52D8" w:rsidP="009B26C1">
            <w:pPr>
              <w:spacing w:before="20" w:after="4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Change</w:t>
            </w:r>
          </w:p>
        </w:tc>
      </w:tr>
      <w:tr w:rsidR="00257E2E" w:rsidRPr="0041490A" w14:paraId="78636AA2"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val="restart"/>
            <w:shd w:val="clear" w:color="auto" w:fill="auto"/>
            <w:hideMark/>
          </w:tcPr>
          <w:p w14:paraId="5E0BFFBD" w14:textId="58809789" w:rsidR="00257E2E" w:rsidRPr="00B43D82" w:rsidRDefault="00257E2E" w:rsidP="009B26C1">
            <w:pPr>
              <w:spacing w:before="20" w:after="40"/>
              <w:rPr>
                <w:rFonts w:cstheme="minorHAnsi"/>
                <w:color w:val="auto"/>
                <w:sz w:val="20"/>
                <w:szCs w:val="20"/>
              </w:rPr>
            </w:pPr>
            <w:r w:rsidRPr="00B43D82">
              <w:rPr>
                <w:rFonts w:cstheme="minorHAnsi"/>
                <w:color w:val="auto"/>
                <w:sz w:val="20"/>
                <w:szCs w:val="20"/>
              </w:rPr>
              <w:t>Olympic Games</w:t>
            </w:r>
          </w:p>
        </w:tc>
        <w:tc>
          <w:tcPr>
            <w:tcW w:w="1293" w:type="pct"/>
            <w:shd w:val="clear" w:color="auto" w:fill="auto"/>
          </w:tcPr>
          <w:p w14:paraId="67544F6D" w14:textId="7D95DDD8" w:rsidR="00257E2E" w:rsidRPr="00B43D82" w:rsidRDefault="00257E2E"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Summer Olympic Games</w:t>
            </w:r>
          </w:p>
          <w:p w14:paraId="0D5EDE7D" w14:textId="02E8D270" w:rsidR="00257E2E" w:rsidRPr="00B43D82" w:rsidRDefault="00257E2E"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C52C53">
              <w:rPr>
                <w:rFonts w:cstheme="minorHAnsi"/>
                <w:color w:val="auto"/>
                <w:sz w:val="20"/>
                <w:szCs w:val="20"/>
              </w:rPr>
              <w:t>e</w:t>
            </w:r>
            <w:r w:rsidRPr="00B43D82">
              <w:rPr>
                <w:rFonts w:cstheme="minorHAnsi"/>
                <w:color w:val="auto"/>
                <w:sz w:val="20"/>
                <w:szCs w:val="20"/>
              </w:rPr>
              <w:t>ntire event, including Opening and Closing Ceremonies)</w:t>
            </w:r>
          </w:p>
        </w:tc>
        <w:tc>
          <w:tcPr>
            <w:tcW w:w="1583" w:type="pct"/>
            <w:shd w:val="clear" w:color="auto" w:fill="auto"/>
          </w:tcPr>
          <w:p w14:paraId="4BF9B282" w14:textId="2C609C63" w:rsidR="00257E2E" w:rsidRPr="00B43D82" w:rsidRDefault="00257E2E"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Opening and Closing ceremonies</w:t>
            </w:r>
            <w:r w:rsidR="00F21A0D">
              <w:rPr>
                <w:rFonts w:cstheme="minorHAnsi"/>
                <w:color w:val="auto"/>
                <w:sz w:val="20"/>
                <w:szCs w:val="20"/>
              </w:rPr>
              <w:t>. F</w:t>
            </w:r>
            <w:r w:rsidR="002E6998">
              <w:rPr>
                <w:rFonts w:cstheme="minorHAnsi"/>
                <w:color w:val="auto"/>
                <w:sz w:val="20"/>
                <w:szCs w:val="20"/>
              </w:rPr>
              <w:t xml:space="preserve">inal </w:t>
            </w:r>
            <w:r w:rsidRPr="00B43D82">
              <w:rPr>
                <w:rFonts w:cstheme="minorHAnsi"/>
                <w:color w:val="auto"/>
                <w:sz w:val="20"/>
                <w:szCs w:val="20"/>
              </w:rPr>
              <w:t xml:space="preserve">medal rounds of events involving </w:t>
            </w:r>
            <w:r w:rsidR="002E6998">
              <w:rPr>
                <w:rFonts w:cstheme="minorHAnsi"/>
                <w:color w:val="auto"/>
                <w:sz w:val="20"/>
                <w:szCs w:val="20"/>
              </w:rPr>
              <w:t>AU</w:t>
            </w:r>
            <w:r w:rsidRPr="00B43D82">
              <w:rPr>
                <w:rFonts w:cstheme="minorHAnsi"/>
                <w:color w:val="auto"/>
                <w:sz w:val="20"/>
                <w:szCs w:val="20"/>
              </w:rPr>
              <w:t xml:space="preserve"> athletes</w:t>
            </w:r>
            <w:r w:rsidR="002E6998">
              <w:rPr>
                <w:rFonts w:cstheme="minorHAnsi"/>
                <w:color w:val="auto"/>
                <w:sz w:val="20"/>
                <w:szCs w:val="20"/>
              </w:rPr>
              <w:t>.</w:t>
            </w:r>
          </w:p>
        </w:tc>
        <w:tc>
          <w:tcPr>
            <w:tcW w:w="1334" w:type="pct"/>
            <w:shd w:val="clear" w:color="auto" w:fill="auto"/>
          </w:tcPr>
          <w:p w14:paraId="776853CA" w14:textId="19412849" w:rsidR="00257E2E" w:rsidRPr="00B43D82" w:rsidRDefault="00AC52D8"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Re</w:t>
            </w:r>
            <w:r w:rsidR="00C4585C">
              <w:rPr>
                <w:rFonts w:cstheme="minorHAnsi"/>
                <w:color w:val="auto"/>
                <w:sz w:val="20"/>
                <w:szCs w:val="20"/>
              </w:rPr>
              <w:t>moval</w:t>
            </w:r>
            <w:r>
              <w:rPr>
                <w:rFonts w:cstheme="minorHAnsi"/>
                <w:color w:val="auto"/>
                <w:sz w:val="20"/>
                <w:szCs w:val="20"/>
              </w:rPr>
              <w:t xml:space="preserve">: </w:t>
            </w:r>
            <w:r w:rsidR="00257E2E" w:rsidRPr="00B43D82">
              <w:rPr>
                <w:rFonts w:cstheme="minorHAnsi"/>
                <w:color w:val="auto"/>
                <w:sz w:val="20"/>
                <w:szCs w:val="20"/>
              </w:rPr>
              <w:t>Non-final round events.</w:t>
            </w:r>
            <w:r>
              <w:rPr>
                <w:rFonts w:cstheme="minorHAnsi"/>
                <w:color w:val="auto"/>
                <w:sz w:val="20"/>
                <w:szCs w:val="20"/>
              </w:rPr>
              <w:t xml:space="preserve"> </w:t>
            </w:r>
            <w:r w:rsidR="00257E2E" w:rsidRPr="00B43D82">
              <w:rPr>
                <w:rFonts w:cstheme="minorHAnsi"/>
                <w:color w:val="auto"/>
                <w:sz w:val="20"/>
                <w:szCs w:val="20"/>
              </w:rPr>
              <w:t xml:space="preserve">Final </w:t>
            </w:r>
            <w:r w:rsidR="00E0401C">
              <w:rPr>
                <w:rFonts w:cstheme="minorHAnsi"/>
                <w:color w:val="auto"/>
                <w:sz w:val="20"/>
                <w:szCs w:val="20"/>
              </w:rPr>
              <w:t xml:space="preserve">medal </w:t>
            </w:r>
            <w:r w:rsidR="00257E2E" w:rsidRPr="00B43D82">
              <w:rPr>
                <w:rFonts w:cstheme="minorHAnsi"/>
                <w:color w:val="auto"/>
                <w:sz w:val="20"/>
                <w:szCs w:val="20"/>
              </w:rPr>
              <w:t xml:space="preserve">round events not involving Australian athletes. </w:t>
            </w:r>
          </w:p>
        </w:tc>
      </w:tr>
      <w:tr w:rsidR="00257E2E" w:rsidRPr="0041490A" w14:paraId="338FE36B"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18FECB9B" w14:textId="77777777" w:rsidR="00257E2E" w:rsidRPr="00B43D82" w:rsidRDefault="00257E2E" w:rsidP="009B26C1">
            <w:pPr>
              <w:spacing w:before="20" w:after="40"/>
              <w:rPr>
                <w:rFonts w:cstheme="minorHAnsi"/>
                <w:color w:val="auto"/>
                <w:sz w:val="20"/>
                <w:szCs w:val="20"/>
              </w:rPr>
            </w:pPr>
          </w:p>
        </w:tc>
        <w:tc>
          <w:tcPr>
            <w:tcW w:w="1293" w:type="pct"/>
            <w:shd w:val="clear" w:color="auto" w:fill="auto"/>
          </w:tcPr>
          <w:p w14:paraId="33CEB2C8" w14:textId="4B40D123" w:rsidR="00257E2E" w:rsidRPr="00B43D82" w:rsidRDefault="00257E2E"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Winter Olympic Games</w:t>
            </w:r>
          </w:p>
          <w:p w14:paraId="01D5AB71" w14:textId="3101F42C" w:rsidR="00257E2E" w:rsidRPr="00B43D82" w:rsidRDefault="00257E2E"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C52C53">
              <w:rPr>
                <w:rFonts w:cstheme="minorHAnsi"/>
                <w:color w:val="auto"/>
                <w:sz w:val="20"/>
                <w:szCs w:val="20"/>
              </w:rPr>
              <w:t>e</w:t>
            </w:r>
            <w:r w:rsidRPr="00B43D82">
              <w:rPr>
                <w:rFonts w:cstheme="minorHAnsi"/>
                <w:color w:val="auto"/>
                <w:sz w:val="20"/>
                <w:szCs w:val="20"/>
              </w:rPr>
              <w:t>ntire event, including Opening and Closing Ceremonies)</w:t>
            </w:r>
          </w:p>
        </w:tc>
        <w:tc>
          <w:tcPr>
            <w:tcW w:w="1583" w:type="pct"/>
            <w:shd w:val="clear" w:color="auto" w:fill="auto"/>
          </w:tcPr>
          <w:p w14:paraId="1D2D29AA" w14:textId="1D7A53AF" w:rsidR="00257E2E" w:rsidRPr="00B43D82" w:rsidRDefault="002E6998"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Opening and Closing ceremonies</w:t>
            </w:r>
            <w:r w:rsidR="00F21A0D">
              <w:rPr>
                <w:rFonts w:cstheme="minorHAnsi"/>
                <w:color w:val="auto"/>
                <w:sz w:val="20"/>
                <w:szCs w:val="20"/>
              </w:rPr>
              <w:t>. F</w:t>
            </w:r>
            <w:r>
              <w:rPr>
                <w:rFonts w:cstheme="minorHAnsi"/>
                <w:color w:val="auto"/>
                <w:sz w:val="20"/>
                <w:szCs w:val="20"/>
              </w:rPr>
              <w:t xml:space="preserve">inal </w:t>
            </w:r>
            <w:r w:rsidRPr="00B43D82">
              <w:rPr>
                <w:rFonts w:cstheme="minorHAnsi"/>
                <w:color w:val="auto"/>
                <w:sz w:val="20"/>
                <w:szCs w:val="20"/>
              </w:rPr>
              <w:t xml:space="preserve">medal rounds of events involving </w:t>
            </w:r>
            <w:r>
              <w:rPr>
                <w:rFonts w:cstheme="minorHAnsi"/>
                <w:color w:val="auto"/>
                <w:sz w:val="20"/>
                <w:szCs w:val="20"/>
              </w:rPr>
              <w:t>AU</w:t>
            </w:r>
            <w:r w:rsidRPr="00B43D82">
              <w:rPr>
                <w:rFonts w:cstheme="minorHAnsi"/>
                <w:color w:val="auto"/>
                <w:sz w:val="20"/>
                <w:szCs w:val="20"/>
              </w:rPr>
              <w:t xml:space="preserve"> athletes</w:t>
            </w:r>
            <w:r>
              <w:rPr>
                <w:rFonts w:cstheme="minorHAnsi"/>
                <w:color w:val="auto"/>
                <w:sz w:val="20"/>
                <w:szCs w:val="20"/>
              </w:rPr>
              <w:t>.</w:t>
            </w:r>
          </w:p>
        </w:tc>
        <w:tc>
          <w:tcPr>
            <w:tcW w:w="1334" w:type="pct"/>
            <w:shd w:val="clear" w:color="auto" w:fill="auto"/>
          </w:tcPr>
          <w:p w14:paraId="1BEECF35" w14:textId="73B346BE" w:rsidR="00257E2E" w:rsidRPr="00B43D82" w:rsidRDefault="00C4585C"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Removal</w:t>
            </w:r>
            <w:r w:rsidR="00AC52D8">
              <w:rPr>
                <w:rFonts w:cstheme="minorHAnsi"/>
                <w:color w:val="auto"/>
                <w:sz w:val="20"/>
                <w:szCs w:val="20"/>
              </w:rPr>
              <w:t xml:space="preserve">: </w:t>
            </w:r>
            <w:r w:rsidR="00257E2E" w:rsidRPr="00B43D82">
              <w:rPr>
                <w:rFonts w:cstheme="minorHAnsi"/>
                <w:color w:val="auto"/>
                <w:sz w:val="20"/>
                <w:szCs w:val="20"/>
              </w:rPr>
              <w:t>Non-final round events.</w:t>
            </w:r>
            <w:r w:rsidR="00AC52D8">
              <w:rPr>
                <w:rFonts w:cstheme="minorHAnsi"/>
                <w:color w:val="auto"/>
                <w:sz w:val="20"/>
                <w:szCs w:val="20"/>
              </w:rPr>
              <w:t xml:space="preserve"> </w:t>
            </w:r>
            <w:r w:rsidR="00257E2E" w:rsidRPr="00B43D82">
              <w:rPr>
                <w:rFonts w:cstheme="minorHAnsi"/>
                <w:color w:val="auto"/>
                <w:sz w:val="20"/>
                <w:szCs w:val="20"/>
              </w:rPr>
              <w:t xml:space="preserve">Final </w:t>
            </w:r>
            <w:r w:rsidR="00E0401C">
              <w:rPr>
                <w:rFonts w:cstheme="minorHAnsi"/>
                <w:color w:val="auto"/>
                <w:sz w:val="20"/>
                <w:szCs w:val="20"/>
              </w:rPr>
              <w:t xml:space="preserve">medal </w:t>
            </w:r>
            <w:r w:rsidR="00257E2E" w:rsidRPr="00B43D82">
              <w:rPr>
                <w:rFonts w:cstheme="minorHAnsi"/>
                <w:color w:val="auto"/>
                <w:sz w:val="20"/>
                <w:szCs w:val="20"/>
              </w:rPr>
              <w:t>round events not involving Australian athletes.</w:t>
            </w:r>
          </w:p>
        </w:tc>
      </w:tr>
      <w:tr w:rsidR="00257E2E" w:rsidRPr="0041490A" w14:paraId="13B5F525"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shd w:val="clear" w:color="auto" w:fill="F2F2F2" w:themeFill="background1" w:themeFillShade="F2"/>
            <w:hideMark/>
          </w:tcPr>
          <w:p w14:paraId="32145E6F" w14:textId="77777777" w:rsidR="00257E2E" w:rsidRPr="00B43D82" w:rsidRDefault="00257E2E" w:rsidP="009B26C1">
            <w:pPr>
              <w:spacing w:before="20" w:after="40"/>
              <w:rPr>
                <w:rFonts w:cstheme="minorHAnsi"/>
                <w:color w:val="auto"/>
                <w:sz w:val="20"/>
                <w:szCs w:val="20"/>
              </w:rPr>
            </w:pPr>
            <w:r w:rsidRPr="00B43D82">
              <w:rPr>
                <w:rFonts w:cstheme="minorHAnsi"/>
                <w:color w:val="auto"/>
                <w:sz w:val="20"/>
                <w:szCs w:val="20"/>
              </w:rPr>
              <w:t>Commonwealth Games</w:t>
            </w:r>
          </w:p>
        </w:tc>
        <w:tc>
          <w:tcPr>
            <w:tcW w:w="1293" w:type="pct"/>
            <w:shd w:val="clear" w:color="auto" w:fill="F2F2F2" w:themeFill="background1" w:themeFillShade="F2"/>
          </w:tcPr>
          <w:p w14:paraId="4406D172" w14:textId="66621C76" w:rsidR="00CC3F17" w:rsidRPr="00B43D82" w:rsidRDefault="00C52C53"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Commonwealth Games</w:t>
            </w:r>
          </w:p>
          <w:p w14:paraId="527784A4" w14:textId="3301099C" w:rsidR="00257E2E" w:rsidRPr="00B43D82" w:rsidRDefault="00CC3F17"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C52C53">
              <w:rPr>
                <w:rFonts w:cstheme="minorHAnsi"/>
                <w:color w:val="auto"/>
                <w:sz w:val="20"/>
                <w:szCs w:val="20"/>
              </w:rPr>
              <w:t>e</w:t>
            </w:r>
            <w:r w:rsidR="00257E2E" w:rsidRPr="00B43D82">
              <w:rPr>
                <w:rFonts w:cstheme="minorHAnsi"/>
                <w:color w:val="auto"/>
                <w:sz w:val="20"/>
                <w:szCs w:val="20"/>
              </w:rPr>
              <w:t>ntire event, including Opening and Closing Ceremonies</w:t>
            </w:r>
            <w:r w:rsidRPr="00B43D82">
              <w:rPr>
                <w:rFonts w:cstheme="minorHAnsi"/>
                <w:color w:val="auto"/>
                <w:sz w:val="20"/>
                <w:szCs w:val="20"/>
              </w:rPr>
              <w:t>)</w:t>
            </w:r>
          </w:p>
        </w:tc>
        <w:tc>
          <w:tcPr>
            <w:tcW w:w="1583" w:type="pct"/>
            <w:shd w:val="clear" w:color="auto" w:fill="F2F2F2" w:themeFill="background1" w:themeFillShade="F2"/>
          </w:tcPr>
          <w:p w14:paraId="7F72E8ED" w14:textId="24FD16FE" w:rsidR="00257E2E" w:rsidRPr="00B43D82" w:rsidRDefault="002E6998"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Opening and Closing ceremonies</w:t>
            </w:r>
            <w:r w:rsidR="00F21A0D">
              <w:rPr>
                <w:rFonts w:cstheme="minorHAnsi"/>
                <w:color w:val="auto"/>
                <w:sz w:val="20"/>
                <w:szCs w:val="20"/>
              </w:rPr>
              <w:t>. F</w:t>
            </w:r>
            <w:r>
              <w:rPr>
                <w:rFonts w:cstheme="minorHAnsi"/>
                <w:color w:val="auto"/>
                <w:sz w:val="20"/>
                <w:szCs w:val="20"/>
              </w:rPr>
              <w:t xml:space="preserve">inal </w:t>
            </w:r>
            <w:r w:rsidRPr="00B43D82">
              <w:rPr>
                <w:rFonts w:cstheme="minorHAnsi"/>
                <w:color w:val="auto"/>
                <w:sz w:val="20"/>
                <w:szCs w:val="20"/>
              </w:rPr>
              <w:t xml:space="preserve">medal rounds of events involving </w:t>
            </w:r>
            <w:r>
              <w:rPr>
                <w:rFonts w:cstheme="minorHAnsi"/>
                <w:color w:val="auto"/>
                <w:sz w:val="20"/>
                <w:szCs w:val="20"/>
              </w:rPr>
              <w:t>AU</w:t>
            </w:r>
            <w:r w:rsidRPr="00B43D82">
              <w:rPr>
                <w:rFonts w:cstheme="minorHAnsi"/>
                <w:color w:val="auto"/>
                <w:sz w:val="20"/>
                <w:szCs w:val="20"/>
              </w:rPr>
              <w:t xml:space="preserve"> athletes.</w:t>
            </w:r>
          </w:p>
        </w:tc>
        <w:tc>
          <w:tcPr>
            <w:tcW w:w="1334" w:type="pct"/>
            <w:shd w:val="clear" w:color="auto" w:fill="F2F2F2" w:themeFill="background1" w:themeFillShade="F2"/>
          </w:tcPr>
          <w:p w14:paraId="0662B492" w14:textId="3FADD924" w:rsidR="00257E2E" w:rsidRPr="00B43D82" w:rsidRDefault="00C4585C"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257E2E" w:rsidRPr="00B43D82">
              <w:rPr>
                <w:rFonts w:cstheme="minorHAnsi"/>
                <w:color w:val="auto"/>
                <w:sz w:val="20"/>
                <w:szCs w:val="20"/>
              </w:rPr>
              <w:t>Non-final round events.</w:t>
            </w:r>
            <w:r w:rsidR="00AC52D8">
              <w:rPr>
                <w:rFonts w:cstheme="minorHAnsi"/>
                <w:color w:val="auto"/>
                <w:sz w:val="20"/>
                <w:szCs w:val="20"/>
              </w:rPr>
              <w:t xml:space="preserve"> </w:t>
            </w:r>
            <w:r w:rsidR="00257E2E" w:rsidRPr="00B43D82">
              <w:rPr>
                <w:rFonts w:cstheme="minorHAnsi"/>
                <w:color w:val="auto"/>
                <w:sz w:val="20"/>
                <w:szCs w:val="20"/>
              </w:rPr>
              <w:t xml:space="preserve">Final </w:t>
            </w:r>
            <w:r w:rsidR="00E0401C">
              <w:rPr>
                <w:rFonts w:cstheme="minorHAnsi"/>
                <w:color w:val="auto"/>
                <w:sz w:val="20"/>
                <w:szCs w:val="20"/>
              </w:rPr>
              <w:t xml:space="preserve">medal </w:t>
            </w:r>
            <w:r w:rsidR="00257E2E" w:rsidRPr="00B43D82">
              <w:rPr>
                <w:rFonts w:cstheme="minorHAnsi"/>
                <w:color w:val="auto"/>
                <w:sz w:val="20"/>
                <w:szCs w:val="20"/>
              </w:rPr>
              <w:t>round events not involving Australian athletes.</w:t>
            </w:r>
          </w:p>
        </w:tc>
      </w:tr>
      <w:tr w:rsidR="00194FBE" w:rsidRPr="0041490A" w14:paraId="6F30AA81"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C383F1E" w14:textId="537444AB" w:rsidR="00194FBE" w:rsidRPr="00B43D82" w:rsidRDefault="00194FBE" w:rsidP="00194FBE">
            <w:pPr>
              <w:spacing w:before="20" w:after="40"/>
              <w:rPr>
                <w:rFonts w:cstheme="minorHAnsi"/>
                <w:color w:val="auto"/>
                <w:sz w:val="20"/>
                <w:szCs w:val="20"/>
              </w:rPr>
            </w:pPr>
            <w:r>
              <w:rPr>
                <w:sz w:val="20"/>
                <w:szCs w:val="20"/>
              </w:rPr>
              <w:t>Horse racing</w:t>
            </w:r>
          </w:p>
        </w:tc>
        <w:tc>
          <w:tcPr>
            <w:tcW w:w="1293" w:type="pct"/>
            <w:shd w:val="clear" w:color="auto" w:fill="auto"/>
          </w:tcPr>
          <w:p w14:paraId="44DA5A29" w14:textId="4D9B5CAC" w:rsidR="005763C6" w:rsidRPr="00E8613B" w:rsidRDefault="00194FBE" w:rsidP="005763C6">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Melbourne Cup </w:t>
            </w:r>
          </w:p>
        </w:tc>
        <w:tc>
          <w:tcPr>
            <w:tcW w:w="1583" w:type="pct"/>
            <w:shd w:val="clear" w:color="auto" w:fill="auto"/>
          </w:tcPr>
          <w:p w14:paraId="07C19EE8" w14:textId="1C67E651" w:rsidR="00194FBE" w:rsidRPr="00E8613B" w:rsidRDefault="00F21A0D" w:rsidP="00194FBE">
            <w:pPr>
              <w:spacing w:before="2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Melbourne Cup.</w:t>
            </w:r>
          </w:p>
        </w:tc>
        <w:tc>
          <w:tcPr>
            <w:tcW w:w="1334" w:type="pct"/>
            <w:shd w:val="clear" w:color="auto" w:fill="auto"/>
          </w:tcPr>
          <w:p w14:paraId="29F9CCC0" w14:textId="58FB754F" w:rsidR="00194FBE" w:rsidRPr="00B43D82" w:rsidRDefault="00B93703" w:rsidP="00194FBE">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w:t>
            </w:r>
            <w:r w:rsidR="00F21A0D">
              <w:rPr>
                <w:rFonts w:cstheme="minorHAnsi"/>
                <w:color w:val="auto"/>
                <w:sz w:val="20"/>
                <w:szCs w:val="20"/>
              </w:rPr>
              <w:t>o change.</w:t>
            </w:r>
          </w:p>
        </w:tc>
      </w:tr>
      <w:tr w:rsidR="00257E2E" w:rsidRPr="0041490A" w14:paraId="1C71C643"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shd w:val="clear" w:color="auto" w:fill="F2F2F2" w:themeFill="background1" w:themeFillShade="F2"/>
            <w:hideMark/>
          </w:tcPr>
          <w:p w14:paraId="468A5772" w14:textId="77777777" w:rsidR="00257E2E" w:rsidRPr="00B43D82" w:rsidRDefault="00257E2E" w:rsidP="009B26C1">
            <w:pPr>
              <w:spacing w:before="20" w:after="40"/>
              <w:rPr>
                <w:rFonts w:cstheme="minorHAnsi"/>
                <w:color w:val="auto"/>
                <w:sz w:val="20"/>
                <w:szCs w:val="20"/>
              </w:rPr>
            </w:pPr>
            <w:bookmarkStart w:id="102" w:name="_Hlk147854265"/>
            <w:r w:rsidRPr="00B43D82">
              <w:rPr>
                <w:rFonts w:cstheme="minorHAnsi"/>
                <w:color w:val="auto"/>
                <w:sz w:val="20"/>
                <w:szCs w:val="20"/>
              </w:rPr>
              <w:t>AFL</w:t>
            </w:r>
          </w:p>
        </w:tc>
        <w:tc>
          <w:tcPr>
            <w:tcW w:w="1293" w:type="pct"/>
            <w:shd w:val="clear" w:color="auto" w:fill="F2F2F2" w:themeFill="background1" w:themeFillShade="F2"/>
          </w:tcPr>
          <w:p w14:paraId="001F82A2" w14:textId="0A64203F" w:rsidR="00257E2E" w:rsidRPr="00B43D82" w:rsidRDefault="00257E2E"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AFL Premiership</w:t>
            </w:r>
          </w:p>
          <w:p w14:paraId="4449836F" w14:textId="49DA8667" w:rsidR="00257E2E" w:rsidRPr="00B43D82" w:rsidRDefault="00CC3F17"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C52C53">
              <w:rPr>
                <w:rFonts w:cstheme="minorHAnsi"/>
                <w:color w:val="auto"/>
                <w:sz w:val="20"/>
                <w:szCs w:val="20"/>
              </w:rPr>
              <w:t>e</w:t>
            </w:r>
            <w:r w:rsidR="00257E2E" w:rsidRPr="00B43D82">
              <w:rPr>
                <w:rFonts w:cstheme="minorHAnsi"/>
                <w:color w:val="auto"/>
                <w:sz w:val="20"/>
                <w:szCs w:val="20"/>
              </w:rPr>
              <w:t>ntire event, including the Finals Series</w:t>
            </w:r>
            <w:r w:rsidRPr="00B43D82">
              <w:rPr>
                <w:rFonts w:cstheme="minorHAnsi"/>
                <w:color w:val="auto"/>
                <w:sz w:val="20"/>
                <w:szCs w:val="20"/>
              </w:rPr>
              <w:t>)</w:t>
            </w:r>
          </w:p>
        </w:tc>
        <w:tc>
          <w:tcPr>
            <w:tcW w:w="1583" w:type="pct"/>
            <w:shd w:val="clear" w:color="auto" w:fill="F2F2F2" w:themeFill="background1" w:themeFillShade="F2"/>
          </w:tcPr>
          <w:p w14:paraId="53441D0E" w14:textId="3082BD27" w:rsidR="00257E2E" w:rsidRPr="00B43D82" w:rsidRDefault="00257E2E"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One match on the following days: ANZAC Day; Good Friday; Easter Monday; and the King's birthday public holiday in Melbourne</w:t>
            </w:r>
            <w:r w:rsidR="002E6998">
              <w:rPr>
                <w:rFonts w:cstheme="minorHAnsi"/>
                <w:color w:val="auto"/>
                <w:sz w:val="20"/>
                <w:szCs w:val="20"/>
              </w:rPr>
              <w:t>.</w:t>
            </w:r>
          </w:p>
          <w:p w14:paraId="15181E14" w14:textId="77777777" w:rsidR="00194FBE" w:rsidRDefault="00257E2E" w:rsidP="00194FBE">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Each match in the Finals Series.</w:t>
            </w:r>
          </w:p>
          <w:p w14:paraId="771B72DB" w14:textId="4F669659" w:rsidR="00257E2E" w:rsidRPr="00B43D82" w:rsidRDefault="00D15437"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806EB">
              <w:rPr>
                <w:rFonts w:cstheme="minorHAnsi"/>
                <w:color w:val="auto"/>
                <w:sz w:val="20"/>
                <w:szCs w:val="20"/>
              </w:rPr>
              <w:t>men’s event</w:t>
            </w:r>
            <w:r>
              <w:rPr>
                <w:rFonts w:cstheme="minorHAnsi"/>
                <w:color w:val="auto"/>
                <w:sz w:val="20"/>
                <w:szCs w:val="20"/>
              </w:rPr>
              <w:t>.</w:t>
            </w:r>
          </w:p>
        </w:tc>
        <w:tc>
          <w:tcPr>
            <w:tcW w:w="1334" w:type="pct"/>
            <w:shd w:val="clear" w:color="auto" w:fill="F2F2F2" w:themeFill="background1" w:themeFillShade="F2"/>
          </w:tcPr>
          <w:p w14:paraId="7312346A" w14:textId="45074C17" w:rsidR="00257E2E" w:rsidRPr="00B43D82" w:rsidRDefault="00C4585C"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AC52D8">
              <w:rPr>
                <w:rFonts w:cstheme="minorHAnsi"/>
                <w:color w:val="auto"/>
                <w:sz w:val="20"/>
                <w:szCs w:val="20"/>
              </w:rPr>
              <w:t xml:space="preserve"> </w:t>
            </w:r>
            <w:r w:rsidR="00257E2E" w:rsidRPr="00B43D82">
              <w:rPr>
                <w:rFonts w:cstheme="minorHAnsi"/>
                <w:color w:val="auto"/>
                <w:sz w:val="20"/>
                <w:szCs w:val="20"/>
              </w:rPr>
              <w:t>Non-finals series matches, other than one match played on each of these days: ANZAC Day; Good Friday; Easter Monday; and the King's birthday public holiday in Melbourne, Victoria.</w:t>
            </w:r>
          </w:p>
        </w:tc>
      </w:tr>
      <w:bookmarkEnd w:id="102"/>
      <w:tr w:rsidR="00257E2E" w:rsidRPr="0041490A" w14:paraId="0EE0D1BE"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val="restart"/>
            <w:shd w:val="clear" w:color="auto" w:fill="auto"/>
            <w:hideMark/>
          </w:tcPr>
          <w:p w14:paraId="53CFC6A4" w14:textId="77777777" w:rsidR="00257E2E" w:rsidRPr="00B43D82" w:rsidRDefault="00257E2E" w:rsidP="009B26C1">
            <w:pPr>
              <w:spacing w:before="20" w:after="40"/>
              <w:rPr>
                <w:rFonts w:cstheme="minorHAnsi"/>
                <w:color w:val="auto"/>
                <w:sz w:val="20"/>
                <w:szCs w:val="20"/>
              </w:rPr>
            </w:pPr>
            <w:r w:rsidRPr="00B43D82">
              <w:rPr>
                <w:rFonts w:cstheme="minorHAnsi"/>
                <w:color w:val="auto"/>
                <w:sz w:val="20"/>
                <w:szCs w:val="20"/>
              </w:rPr>
              <w:t>Rugby League</w:t>
            </w:r>
          </w:p>
        </w:tc>
        <w:tc>
          <w:tcPr>
            <w:tcW w:w="1293" w:type="pct"/>
            <w:shd w:val="clear" w:color="auto" w:fill="auto"/>
          </w:tcPr>
          <w:p w14:paraId="4D6C45AB" w14:textId="3E35C09E" w:rsidR="00257E2E" w:rsidRPr="00B43D82" w:rsidRDefault="00257E2E"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NRL Premiership</w:t>
            </w:r>
          </w:p>
          <w:p w14:paraId="6504544C" w14:textId="5FB55B89" w:rsidR="00257E2E" w:rsidRPr="00B43D82" w:rsidRDefault="00CC3F17"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C52C53">
              <w:rPr>
                <w:rFonts w:cstheme="minorHAnsi"/>
                <w:color w:val="auto"/>
                <w:sz w:val="20"/>
                <w:szCs w:val="20"/>
              </w:rPr>
              <w:t>e</w:t>
            </w:r>
            <w:r w:rsidR="00257E2E" w:rsidRPr="00B43D82">
              <w:rPr>
                <w:rFonts w:cstheme="minorHAnsi"/>
                <w:color w:val="auto"/>
                <w:sz w:val="20"/>
                <w:szCs w:val="20"/>
              </w:rPr>
              <w:t>ntire event, including the Finals Series</w:t>
            </w:r>
            <w:r w:rsidRPr="00B43D82">
              <w:rPr>
                <w:rFonts w:cstheme="minorHAnsi"/>
                <w:color w:val="auto"/>
                <w:sz w:val="20"/>
                <w:szCs w:val="20"/>
              </w:rPr>
              <w:t>)</w:t>
            </w:r>
          </w:p>
        </w:tc>
        <w:tc>
          <w:tcPr>
            <w:tcW w:w="1583" w:type="pct"/>
            <w:shd w:val="clear" w:color="auto" w:fill="auto"/>
          </w:tcPr>
          <w:p w14:paraId="7222D5D3" w14:textId="229F4DAC" w:rsidR="00257E2E" w:rsidRPr="00B43D82" w:rsidRDefault="00257E2E"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bookmarkStart w:id="103" w:name="_Hlk147854457"/>
            <w:r w:rsidRPr="00B43D82">
              <w:rPr>
                <w:rFonts w:cstheme="minorHAnsi"/>
                <w:color w:val="auto"/>
                <w:sz w:val="20"/>
                <w:szCs w:val="20"/>
              </w:rPr>
              <w:t>One match on the following days: ANZAC Day; and Good Friday.</w:t>
            </w:r>
          </w:p>
          <w:p w14:paraId="3D720746" w14:textId="3740117C" w:rsidR="00257E2E" w:rsidRPr="00B43D82" w:rsidRDefault="00257E2E"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Each match in the Finals Series.</w:t>
            </w:r>
            <w:bookmarkEnd w:id="103"/>
            <w:r w:rsidR="00D15437">
              <w:rPr>
                <w:rFonts w:cstheme="minorHAnsi"/>
                <w:color w:val="auto"/>
                <w:sz w:val="20"/>
                <w:szCs w:val="20"/>
              </w:rPr>
              <w:t xml:space="preserve"> </w:t>
            </w:r>
            <w:r w:rsidR="002806EB">
              <w:rPr>
                <w:rFonts w:cstheme="minorHAnsi"/>
                <w:color w:val="auto"/>
                <w:sz w:val="20"/>
                <w:szCs w:val="20"/>
              </w:rPr>
              <w:t>Clarify men’s event</w:t>
            </w:r>
            <w:r w:rsidR="007C2B17" w:rsidRPr="00703715">
              <w:rPr>
                <w:rFonts w:cstheme="minorHAnsi"/>
                <w:color w:val="auto"/>
                <w:sz w:val="20"/>
                <w:szCs w:val="20"/>
              </w:rPr>
              <w:t>.</w:t>
            </w:r>
          </w:p>
        </w:tc>
        <w:tc>
          <w:tcPr>
            <w:tcW w:w="1334" w:type="pct"/>
            <w:shd w:val="clear" w:color="auto" w:fill="auto"/>
          </w:tcPr>
          <w:p w14:paraId="3479F5A5" w14:textId="77777777" w:rsidR="00194FBE" w:rsidRDefault="00C4585C" w:rsidP="00194FBE">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257E2E" w:rsidRPr="00B43D82">
              <w:rPr>
                <w:rFonts w:cstheme="minorHAnsi"/>
                <w:color w:val="auto"/>
                <w:sz w:val="20"/>
                <w:szCs w:val="20"/>
              </w:rPr>
              <w:t>Non-finals series matches, other than one match played on: ANZAC Day; and Good Friday.</w:t>
            </w:r>
          </w:p>
          <w:p w14:paraId="5A8DD993" w14:textId="48A577D7" w:rsidR="00257E2E" w:rsidRPr="00B43D82" w:rsidRDefault="00257E2E"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p>
        </w:tc>
      </w:tr>
      <w:tr w:rsidR="00194FBE" w:rsidRPr="0041490A" w14:paraId="463E1BF6"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7CB3CDA7" w14:textId="77777777" w:rsidR="00194FBE" w:rsidRPr="00B43D82" w:rsidRDefault="00194FBE" w:rsidP="00194FBE">
            <w:pPr>
              <w:spacing w:before="20" w:after="40"/>
              <w:rPr>
                <w:rFonts w:cstheme="minorHAnsi"/>
                <w:color w:val="auto"/>
                <w:sz w:val="20"/>
                <w:szCs w:val="20"/>
              </w:rPr>
            </w:pPr>
          </w:p>
        </w:tc>
        <w:tc>
          <w:tcPr>
            <w:tcW w:w="1293" w:type="pct"/>
            <w:shd w:val="clear" w:color="auto" w:fill="auto"/>
          </w:tcPr>
          <w:p w14:paraId="52997DD5" w14:textId="3A3AEB40" w:rsidR="00194FBE" w:rsidRDefault="00194FBE" w:rsidP="00194FB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State of Origin</w:t>
            </w:r>
          </w:p>
          <w:p w14:paraId="18E567E5" w14:textId="4B85866A" w:rsidR="00194FBE" w:rsidRPr="00B43D82" w:rsidRDefault="00194FBE" w:rsidP="00194FB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(entire event)</w:t>
            </w:r>
          </w:p>
        </w:tc>
        <w:tc>
          <w:tcPr>
            <w:tcW w:w="1583" w:type="pct"/>
            <w:shd w:val="clear" w:color="auto" w:fill="auto"/>
          </w:tcPr>
          <w:p w14:paraId="7DCDF8D1" w14:textId="1F4BFF4C" w:rsidR="00703715" w:rsidRDefault="00703715" w:rsidP="00703715">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F21A0D">
              <w:rPr>
                <w:rFonts w:cstheme="minorHAnsi"/>
                <w:color w:val="auto"/>
                <w:sz w:val="20"/>
                <w:szCs w:val="20"/>
              </w:rPr>
              <w:t>State of Origin (entire event).</w:t>
            </w:r>
          </w:p>
          <w:p w14:paraId="33CF8925" w14:textId="599086E3" w:rsidR="00194FBE" w:rsidRPr="00703715" w:rsidRDefault="00B93703" w:rsidP="00703715">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highlight w:val="cyan"/>
              </w:rPr>
            </w:pPr>
            <w:r w:rsidRPr="00703715">
              <w:rPr>
                <w:rFonts w:cstheme="minorHAnsi"/>
                <w:color w:val="auto"/>
                <w:sz w:val="20"/>
                <w:szCs w:val="20"/>
              </w:rPr>
              <w:t xml:space="preserve">Clarify </w:t>
            </w:r>
            <w:r w:rsidR="002806EB">
              <w:rPr>
                <w:rFonts w:cstheme="minorHAnsi"/>
                <w:color w:val="auto"/>
                <w:sz w:val="20"/>
                <w:szCs w:val="20"/>
              </w:rPr>
              <w:t>men’s event</w:t>
            </w:r>
            <w:r w:rsidRPr="00703715">
              <w:rPr>
                <w:rFonts w:cstheme="minorHAnsi"/>
                <w:color w:val="auto"/>
                <w:sz w:val="20"/>
                <w:szCs w:val="20"/>
              </w:rPr>
              <w:t>.</w:t>
            </w:r>
          </w:p>
        </w:tc>
        <w:tc>
          <w:tcPr>
            <w:tcW w:w="1334" w:type="pct"/>
            <w:shd w:val="clear" w:color="auto" w:fill="auto"/>
          </w:tcPr>
          <w:p w14:paraId="3BCD18D3" w14:textId="41D04745" w:rsidR="00194FBE" w:rsidRPr="00B43D82" w:rsidRDefault="00F21A0D" w:rsidP="00194FBE">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tc>
      </w:tr>
      <w:tr w:rsidR="00257E2E" w:rsidRPr="0041490A" w14:paraId="0FF81F12"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61DB2ABB" w14:textId="77777777" w:rsidR="00257E2E" w:rsidRPr="00B43D82" w:rsidRDefault="00257E2E" w:rsidP="009B26C1">
            <w:pPr>
              <w:spacing w:before="20" w:after="40"/>
              <w:rPr>
                <w:rFonts w:cstheme="minorHAnsi"/>
                <w:color w:val="auto"/>
                <w:sz w:val="20"/>
                <w:szCs w:val="20"/>
              </w:rPr>
            </w:pPr>
          </w:p>
        </w:tc>
        <w:tc>
          <w:tcPr>
            <w:tcW w:w="1293" w:type="pct"/>
            <w:shd w:val="clear" w:color="auto" w:fill="auto"/>
          </w:tcPr>
          <w:p w14:paraId="0923F822" w14:textId="015FBA24" w:rsidR="00257E2E" w:rsidRPr="00B43D82" w:rsidRDefault="00257E2E"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International test matches</w:t>
            </w:r>
          </w:p>
          <w:p w14:paraId="3003376E" w14:textId="4022AA68" w:rsidR="00257E2E" w:rsidRPr="00B43D82" w:rsidRDefault="00CC3F17"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C52C53">
              <w:rPr>
                <w:rFonts w:cstheme="minorHAnsi"/>
                <w:color w:val="auto"/>
                <w:sz w:val="20"/>
                <w:szCs w:val="20"/>
              </w:rPr>
              <w:t>e</w:t>
            </w:r>
            <w:r w:rsidR="00257E2E" w:rsidRPr="00B43D82">
              <w:rPr>
                <w:rFonts w:cstheme="minorHAnsi"/>
                <w:color w:val="auto"/>
                <w:sz w:val="20"/>
                <w:szCs w:val="20"/>
              </w:rPr>
              <w:t xml:space="preserve">ach test </w:t>
            </w:r>
            <w:r w:rsidR="00964715">
              <w:rPr>
                <w:rFonts w:cstheme="minorHAnsi"/>
                <w:color w:val="auto"/>
                <w:sz w:val="20"/>
                <w:szCs w:val="20"/>
              </w:rPr>
              <w:t>match</w:t>
            </w:r>
            <w:r w:rsidR="00964715" w:rsidRPr="00B43D82">
              <w:rPr>
                <w:rFonts w:cstheme="minorHAnsi"/>
                <w:color w:val="auto"/>
                <w:sz w:val="20"/>
                <w:szCs w:val="20"/>
              </w:rPr>
              <w:t xml:space="preserve"> </w:t>
            </w:r>
            <w:r w:rsidR="00257E2E" w:rsidRPr="00B43D82">
              <w:rPr>
                <w:rFonts w:cstheme="minorHAnsi"/>
                <w:color w:val="auto"/>
                <w:sz w:val="20"/>
                <w:szCs w:val="20"/>
              </w:rPr>
              <w:t xml:space="preserve">involving the </w:t>
            </w:r>
            <w:r w:rsidR="00C52C53">
              <w:rPr>
                <w:rFonts w:cstheme="minorHAnsi"/>
                <w:color w:val="auto"/>
                <w:sz w:val="20"/>
                <w:szCs w:val="20"/>
              </w:rPr>
              <w:t>SART</w:t>
            </w:r>
            <w:r w:rsidR="00257E2E" w:rsidRPr="00B43D82">
              <w:rPr>
                <w:rFonts w:cstheme="minorHAnsi"/>
                <w:color w:val="auto"/>
                <w:sz w:val="20"/>
                <w:szCs w:val="20"/>
              </w:rPr>
              <w:t xml:space="preserve"> played in </w:t>
            </w:r>
            <w:r w:rsidR="00C52C53">
              <w:rPr>
                <w:rFonts w:cstheme="minorHAnsi"/>
                <w:color w:val="auto"/>
                <w:sz w:val="20"/>
                <w:szCs w:val="20"/>
              </w:rPr>
              <w:t>AU</w:t>
            </w:r>
            <w:r w:rsidR="00257E2E" w:rsidRPr="00B43D82">
              <w:rPr>
                <w:rFonts w:cstheme="minorHAnsi"/>
                <w:color w:val="auto"/>
                <w:sz w:val="20"/>
                <w:szCs w:val="20"/>
              </w:rPr>
              <w:t xml:space="preserve"> or New Zealand</w:t>
            </w:r>
            <w:r w:rsidRPr="00B43D82">
              <w:rPr>
                <w:rFonts w:cstheme="minorHAnsi"/>
                <w:color w:val="auto"/>
                <w:sz w:val="20"/>
                <w:szCs w:val="20"/>
              </w:rPr>
              <w:t>)</w:t>
            </w:r>
          </w:p>
        </w:tc>
        <w:tc>
          <w:tcPr>
            <w:tcW w:w="1583" w:type="pct"/>
            <w:shd w:val="clear" w:color="auto" w:fill="auto"/>
          </w:tcPr>
          <w:p w14:paraId="6153B746" w14:textId="77777777" w:rsidR="00194FBE" w:rsidRDefault="00257E2E" w:rsidP="00194FBE">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Each test involving the </w:t>
            </w:r>
            <w:r w:rsidR="009C214B">
              <w:rPr>
                <w:rFonts w:cstheme="minorHAnsi"/>
                <w:color w:val="auto"/>
                <w:sz w:val="20"/>
                <w:szCs w:val="20"/>
              </w:rPr>
              <w:t>SART</w:t>
            </w:r>
            <w:r w:rsidRPr="00B43D82">
              <w:rPr>
                <w:rFonts w:cstheme="minorHAnsi"/>
                <w:color w:val="auto"/>
                <w:sz w:val="20"/>
                <w:szCs w:val="20"/>
              </w:rPr>
              <w:t xml:space="preserve"> and played in A</w:t>
            </w:r>
            <w:r w:rsidR="009C214B">
              <w:rPr>
                <w:rFonts w:cstheme="minorHAnsi"/>
                <w:color w:val="auto"/>
                <w:sz w:val="20"/>
                <w:szCs w:val="20"/>
              </w:rPr>
              <w:t>U</w:t>
            </w:r>
            <w:r w:rsidRPr="00B43D82">
              <w:rPr>
                <w:rFonts w:cstheme="minorHAnsi"/>
                <w:color w:val="auto"/>
                <w:sz w:val="20"/>
                <w:szCs w:val="20"/>
              </w:rPr>
              <w:t>.</w:t>
            </w:r>
          </w:p>
          <w:p w14:paraId="0672353B" w14:textId="751B66B5" w:rsidR="00257E2E" w:rsidRPr="00B43D82" w:rsidRDefault="00B93703"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806EB">
              <w:rPr>
                <w:rFonts w:cstheme="minorHAnsi"/>
                <w:color w:val="auto"/>
                <w:sz w:val="20"/>
                <w:szCs w:val="20"/>
              </w:rPr>
              <w:t>men’s</w:t>
            </w:r>
            <w:r>
              <w:rPr>
                <w:rFonts w:cstheme="minorHAnsi"/>
                <w:color w:val="auto"/>
                <w:sz w:val="20"/>
                <w:szCs w:val="20"/>
              </w:rPr>
              <w:t xml:space="preserve"> and </w:t>
            </w:r>
            <w:r w:rsidR="002806EB">
              <w:rPr>
                <w:rFonts w:cstheme="minorHAnsi"/>
                <w:color w:val="auto"/>
                <w:sz w:val="20"/>
                <w:szCs w:val="20"/>
              </w:rPr>
              <w:t>women’s event</w:t>
            </w:r>
            <w:r>
              <w:rPr>
                <w:rFonts w:cstheme="minorHAnsi"/>
                <w:color w:val="auto"/>
                <w:sz w:val="20"/>
                <w:szCs w:val="20"/>
              </w:rPr>
              <w:t>.</w:t>
            </w:r>
          </w:p>
        </w:tc>
        <w:tc>
          <w:tcPr>
            <w:tcW w:w="1334" w:type="pct"/>
            <w:shd w:val="clear" w:color="auto" w:fill="auto"/>
          </w:tcPr>
          <w:p w14:paraId="11EEEA79" w14:textId="77777777" w:rsidR="00194FBE" w:rsidRDefault="00C4585C" w:rsidP="00194FBE">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257E2E" w:rsidRPr="00B43D82">
              <w:rPr>
                <w:rFonts w:cstheme="minorHAnsi"/>
                <w:color w:val="auto"/>
                <w:sz w:val="20"/>
                <w:szCs w:val="20"/>
              </w:rPr>
              <w:t>Matches played in New Zealand.</w:t>
            </w:r>
          </w:p>
          <w:p w14:paraId="6670C9BC" w14:textId="58E7F13A" w:rsidR="00257E2E" w:rsidRPr="00B43D82" w:rsidRDefault="00257E2E"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p>
        </w:tc>
      </w:tr>
      <w:tr w:rsidR="00257E2E" w:rsidRPr="0041490A" w14:paraId="7D377D84"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3CCCACFD" w14:textId="77777777" w:rsidR="00257E2E" w:rsidRPr="00B43D82" w:rsidRDefault="00257E2E" w:rsidP="009B26C1">
            <w:pPr>
              <w:spacing w:before="20" w:after="40"/>
              <w:rPr>
                <w:rFonts w:cstheme="minorHAnsi"/>
                <w:sz w:val="20"/>
                <w:szCs w:val="20"/>
              </w:rPr>
            </w:pPr>
          </w:p>
        </w:tc>
        <w:tc>
          <w:tcPr>
            <w:tcW w:w="1293" w:type="pct"/>
            <w:shd w:val="clear" w:color="auto" w:fill="auto"/>
          </w:tcPr>
          <w:p w14:paraId="6A55B8A4" w14:textId="507499EB" w:rsidR="00257E2E" w:rsidRPr="00B43D82" w:rsidRDefault="00257E2E"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Rugby League World Cup</w:t>
            </w:r>
          </w:p>
          <w:p w14:paraId="13152946" w14:textId="5CDEB56B" w:rsidR="00257E2E" w:rsidRPr="00B43D82" w:rsidRDefault="00CC3F17"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C52C53">
              <w:rPr>
                <w:rFonts w:cstheme="minorHAnsi"/>
                <w:color w:val="auto"/>
                <w:sz w:val="20"/>
                <w:szCs w:val="20"/>
              </w:rPr>
              <w:t>e</w:t>
            </w:r>
            <w:r w:rsidR="00257E2E" w:rsidRPr="00B43D82">
              <w:rPr>
                <w:rFonts w:cstheme="minorHAnsi"/>
                <w:color w:val="auto"/>
                <w:sz w:val="20"/>
                <w:szCs w:val="20"/>
              </w:rPr>
              <w:t xml:space="preserve">ach match involving the </w:t>
            </w:r>
            <w:r w:rsidR="00C52C53">
              <w:rPr>
                <w:rFonts w:cstheme="minorHAnsi"/>
                <w:color w:val="auto"/>
                <w:sz w:val="20"/>
                <w:szCs w:val="20"/>
              </w:rPr>
              <w:t>SART</w:t>
            </w:r>
            <w:r w:rsidR="00257E2E" w:rsidRPr="00B43D82">
              <w:rPr>
                <w:rFonts w:cstheme="minorHAnsi"/>
                <w:color w:val="auto"/>
                <w:sz w:val="20"/>
                <w:szCs w:val="20"/>
              </w:rPr>
              <w:t xml:space="preserve"> played in </w:t>
            </w:r>
            <w:r w:rsidR="00C52C53">
              <w:rPr>
                <w:rFonts w:cstheme="minorHAnsi"/>
                <w:color w:val="auto"/>
                <w:sz w:val="20"/>
                <w:szCs w:val="20"/>
              </w:rPr>
              <w:t>AU</w:t>
            </w:r>
            <w:r w:rsidR="00257E2E" w:rsidRPr="00B43D82">
              <w:rPr>
                <w:rFonts w:cstheme="minorHAnsi"/>
                <w:color w:val="auto"/>
                <w:sz w:val="20"/>
                <w:szCs w:val="20"/>
              </w:rPr>
              <w:t>, New Zealand or Papua New Guinea</w:t>
            </w:r>
            <w:r w:rsidRPr="00B43D82">
              <w:rPr>
                <w:rFonts w:cstheme="minorHAnsi"/>
                <w:color w:val="auto"/>
                <w:sz w:val="20"/>
                <w:szCs w:val="20"/>
              </w:rPr>
              <w:t>)</w:t>
            </w:r>
          </w:p>
        </w:tc>
        <w:tc>
          <w:tcPr>
            <w:tcW w:w="1583" w:type="pct"/>
            <w:shd w:val="clear" w:color="auto" w:fill="auto"/>
          </w:tcPr>
          <w:p w14:paraId="313AB9A4" w14:textId="77777777" w:rsidR="00194FBE" w:rsidRDefault="00257E2E" w:rsidP="00194FBE">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Each match involving the </w:t>
            </w:r>
            <w:r w:rsidR="009C214B">
              <w:rPr>
                <w:rFonts w:cstheme="minorHAnsi"/>
                <w:color w:val="auto"/>
                <w:sz w:val="20"/>
                <w:szCs w:val="20"/>
              </w:rPr>
              <w:t>SART</w:t>
            </w:r>
            <w:r w:rsidRPr="00B43D82">
              <w:rPr>
                <w:rFonts w:cstheme="minorHAnsi"/>
                <w:color w:val="auto"/>
                <w:sz w:val="20"/>
                <w:szCs w:val="20"/>
              </w:rPr>
              <w:t xml:space="preserve"> and played in </w:t>
            </w:r>
            <w:r w:rsidR="009C214B">
              <w:rPr>
                <w:rFonts w:cstheme="minorHAnsi"/>
                <w:color w:val="auto"/>
                <w:sz w:val="20"/>
                <w:szCs w:val="20"/>
              </w:rPr>
              <w:t>AU</w:t>
            </w:r>
            <w:r w:rsidRPr="00B43D82">
              <w:rPr>
                <w:rFonts w:cstheme="minorHAnsi"/>
                <w:color w:val="auto"/>
                <w:sz w:val="20"/>
                <w:szCs w:val="20"/>
              </w:rPr>
              <w:t>.</w:t>
            </w:r>
          </w:p>
          <w:p w14:paraId="2DDD2139" w14:textId="2FEB92E5" w:rsidR="00257E2E" w:rsidRPr="00B43D82" w:rsidRDefault="00B93703"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806EB">
              <w:rPr>
                <w:rFonts w:cstheme="minorHAnsi"/>
                <w:color w:val="auto"/>
                <w:sz w:val="20"/>
                <w:szCs w:val="20"/>
              </w:rPr>
              <w:t>men’s</w:t>
            </w:r>
            <w:r>
              <w:rPr>
                <w:rFonts w:cstheme="minorHAnsi"/>
                <w:color w:val="auto"/>
                <w:sz w:val="20"/>
                <w:szCs w:val="20"/>
              </w:rPr>
              <w:t xml:space="preserve"> and </w:t>
            </w:r>
            <w:r w:rsidR="002806EB">
              <w:rPr>
                <w:rFonts w:cstheme="minorHAnsi"/>
                <w:color w:val="auto"/>
                <w:sz w:val="20"/>
                <w:szCs w:val="20"/>
              </w:rPr>
              <w:t>women’s event</w:t>
            </w:r>
            <w:r>
              <w:rPr>
                <w:rFonts w:cstheme="minorHAnsi"/>
                <w:color w:val="auto"/>
                <w:sz w:val="20"/>
                <w:szCs w:val="20"/>
              </w:rPr>
              <w:t>.</w:t>
            </w:r>
          </w:p>
        </w:tc>
        <w:tc>
          <w:tcPr>
            <w:tcW w:w="1334" w:type="pct"/>
            <w:shd w:val="clear" w:color="auto" w:fill="auto"/>
          </w:tcPr>
          <w:p w14:paraId="4656133A" w14:textId="77777777" w:rsidR="00194FBE" w:rsidRDefault="00C4585C" w:rsidP="00194FBE">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257E2E" w:rsidRPr="00B43D82">
              <w:rPr>
                <w:rFonts w:cstheme="minorHAnsi"/>
                <w:color w:val="auto"/>
                <w:sz w:val="20"/>
                <w:szCs w:val="20"/>
              </w:rPr>
              <w:t>Matches played in New Zealand and Papua New Guinea.</w:t>
            </w:r>
          </w:p>
          <w:p w14:paraId="1750436D" w14:textId="3598B482" w:rsidR="00257E2E" w:rsidRPr="00B43D82" w:rsidRDefault="00257E2E"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257E2E" w:rsidRPr="0041490A" w14:paraId="3C60E107"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val="restart"/>
            <w:hideMark/>
          </w:tcPr>
          <w:p w14:paraId="54D737C0" w14:textId="77777777" w:rsidR="00257E2E" w:rsidRPr="00B43D82" w:rsidRDefault="00257E2E" w:rsidP="009B26C1">
            <w:pPr>
              <w:spacing w:before="20" w:after="40"/>
              <w:rPr>
                <w:rFonts w:cstheme="minorHAnsi"/>
                <w:sz w:val="20"/>
                <w:szCs w:val="20"/>
              </w:rPr>
            </w:pPr>
            <w:r w:rsidRPr="00B43D82">
              <w:rPr>
                <w:rFonts w:cstheme="minorHAnsi"/>
                <w:sz w:val="20"/>
                <w:szCs w:val="20"/>
              </w:rPr>
              <w:t>Rugby Union</w:t>
            </w:r>
          </w:p>
        </w:tc>
        <w:tc>
          <w:tcPr>
            <w:tcW w:w="1293" w:type="pct"/>
            <w:hideMark/>
          </w:tcPr>
          <w:p w14:paraId="1DC261A1" w14:textId="63A807D6" w:rsidR="00257E2E" w:rsidRPr="00B43D82" w:rsidRDefault="00B93703"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I</w:t>
            </w:r>
            <w:r w:rsidR="00257E2E" w:rsidRPr="00B43D82">
              <w:rPr>
                <w:rFonts w:cstheme="minorHAnsi"/>
                <w:color w:val="auto"/>
                <w:sz w:val="20"/>
                <w:szCs w:val="20"/>
              </w:rPr>
              <w:t>nternational test matches</w:t>
            </w:r>
          </w:p>
          <w:p w14:paraId="5F8291E5" w14:textId="45A3459F" w:rsidR="00257E2E" w:rsidRPr="00B43D82" w:rsidRDefault="00CC3F17"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1B7BDD">
              <w:rPr>
                <w:rFonts w:cstheme="minorHAnsi"/>
                <w:color w:val="auto"/>
                <w:sz w:val="20"/>
                <w:szCs w:val="20"/>
              </w:rPr>
              <w:t xml:space="preserve">test </w:t>
            </w:r>
            <w:r w:rsidR="00257E2E" w:rsidRPr="00B43D82">
              <w:rPr>
                <w:rFonts w:cstheme="minorHAnsi"/>
                <w:color w:val="auto"/>
                <w:sz w:val="20"/>
                <w:szCs w:val="20"/>
              </w:rPr>
              <w:t>match</w:t>
            </w:r>
            <w:r w:rsidR="00C52C53">
              <w:rPr>
                <w:rFonts w:cstheme="minorHAnsi"/>
                <w:color w:val="auto"/>
                <w:sz w:val="20"/>
                <w:szCs w:val="20"/>
              </w:rPr>
              <w:t>es involving</w:t>
            </w:r>
            <w:r w:rsidR="00257E2E" w:rsidRPr="00B43D82">
              <w:rPr>
                <w:rFonts w:cstheme="minorHAnsi"/>
                <w:color w:val="auto"/>
                <w:sz w:val="20"/>
                <w:szCs w:val="20"/>
              </w:rPr>
              <w:t xml:space="preserve"> the </w:t>
            </w:r>
            <w:r w:rsidR="00C52C53">
              <w:rPr>
                <w:rFonts w:cstheme="minorHAnsi"/>
                <w:color w:val="auto"/>
                <w:sz w:val="20"/>
                <w:szCs w:val="20"/>
              </w:rPr>
              <w:t>SART</w:t>
            </w:r>
            <w:r w:rsidR="00257E2E" w:rsidRPr="00B43D82">
              <w:rPr>
                <w:rFonts w:cstheme="minorHAnsi"/>
                <w:color w:val="auto"/>
                <w:sz w:val="20"/>
                <w:szCs w:val="20"/>
              </w:rPr>
              <w:t xml:space="preserve">; played in </w:t>
            </w:r>
            <w:r w:rsidR="00C52C53">
              <w:rPr>
                <w:rFonts w:cstheme="minorHAnsi"/>
                <w:color w:val="auto"/>
                <w:sz w:val="20"/>
                <w:szCs w:val="20"/>
              </w:rPr>
              <w:t>AU</w:t>
            </w:r>
            <w:r w:rsidR="00257E2E" w:rsidRPr="00B43D82">
              <w:rPr>
                <w:rFonts w:cstheme="minorHAnsi"/>
                <w:color w:val="auto"/>
                <w:sz w:val="20"/>
                <w:szCs w:val="20"/>
              </w:rPr>
              <w:t xml:space="preserve"> or New Zealand</w:t>
            </w:r>
            <w:r w:rsidRPr="00B43D82">
              <w:rPr>
                <w:rFonts w:cstheme="minorHAnsi"/>
                <w:color w:val="auto"/>
                <w:sz w:val="20"/>
                <w:szCs w:val="20"/>
              </w:rPr>
              <w:t>)</w:t>
            </w:r>
          </w:p>
        </w:tc>
        <w:tc>
          <w:tcPr>
            <w:tcW w:w="1583" w:type="pct"/>
          </w:tcPr>
          <w:p w14:paraId="083B841B" w14:textId="77777777" w:rsidR="00194FBE" w:rsidRDefault="00257E2E" w:rsidP="00194FBE">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Each match involving the </w:t>
            </w:r>
            <w:r w:rsidR="009C214B">
              <w:rPr>
                <w:rFonts w:cstheme="minorHAnsi"/>
                <w:color w:val="auto"/>
                <w:sz w:val="20"/>
                <w:szCs w:val="20"/>
              </w:rPr>
              <w:t>SART</w:t>
            </w:r>
            <w:r w:rsidRPr="00B43D82">
              <w:rPr>
                <w:rFonts w:cstheme="minorHAnsi"/>
                <w:color w:val="auto"/>
                <w:sz w:val="20"/>
                <w:szCs w:val="20"/>
              </w:rPr>
              <w:t xml:space="preserve"> and played in </w:t>
            </w:r>
            <w:r w:rsidR="009C214B">
              <w:rPr>
                <w:rFonts w:cstheme="minorHAnsi"/>
                <w:color w:val="auto"/>
                <w:sz w:val="20"/>
                <w:szCs w:val="20"/>
              </w:rPr>
              <w:t>AU</w:t>
            </w:r>
            <w:r w:rsidRPr="00B43D82">
              <w:rPr>
                <w:rFonts w:cstheme="minorHAnsi"/>
                <w:color w:val="auto"/>
                <w:sz w:val="20"/>
                <w:szCs w:val="20"/>
              </w:rPr>
              <w:t>.</w:t>
            </w:r>
          </w:p>
          <w:p w14:paraId="2F23F388" w14:textId="7B6F34A7" w:rsidR="00257E2E" w:rsidRPr="00B43D82" w:rsidRDefault="00B93703"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806EB">
              <w:rPr>
                <w:rFonts w:cstheme="minorHAnsi"/>
                <w:color w:val="auto"/>
                <w:sz w:val="20"/>
                <w:szCs w:val="20"/>
              </w:rPr>
              <w:t>men’s</w:t>
            </w:r>
            <w:r>
              <w:rPr>
                <w:rFonts w:cstheme="minorHAnsi"/>
                <w:color w:val="auto"/>
                <w:sz w:val="20"/>
                <w:szCs w:val="20"/>
              </w:rPr>
              <w:t xml:space="preserve"> and </w:t>
            </w:r>
            <w:r w:rsidR="002806EB">
              <w:rPr>
                <w:rFonts w:cstheme="minorHAnsi"/>
                <w:color w:val="auto"/>
                <w:sz w:val="20"/>
                <w:szCs w:val="20"/>
              </w:rPr>
              <w:t>women’s event</w:t>
            </w:r>
            <w:r>
              <w:rPr>
                <w:rFonts w:cstheme="minorHAnsi"/>
                <w:color w:val="auto"/>
                <w:sz w:val="20"/>
                <w:szCs w:val="20"/>
              </w:rPr>
              <w:t>.</w:t>
            </w:r>
          </w:p>
        </w:tc>
        <w:tc>
          <w:tcPr>
            <w:tcW w:w="1334" w:type="pct"/>
          </w:tcPr>
          <w:p w14:paraId="7323A625" w14:textId="77777777" w:rsidR="00194FBE" w:rsidRDefault="00C4585C" w:rsidP="00194FBE">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257E2E" w:rsidRPr="00B43D82">
              <w:rPr>
                <w:rFonts w:cstheme="minorHAnsi"/>
                <w:color w:val="auto"/>
                <w:sz w:val="20"/>
                <w:szCs w:val="20"/>
              </w:rPr>
              <w:t>Matches played in New Zealand.</w:t>
            </w:r>
          </w:p>
          <w:p w14:paraId="11426D1E" w14:textId="0A87B6DA" w:rsidR="00257E2E" w:rsidRPr="00B43D82" w:rsidRDefault="00257E2E"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p>
        </w:tc>
      </w:tr>
      <w:tr w:rsidR="00257E2E" w:rsidRPr="0041490A" w14:paraId="0B9118C7"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F2F2F2" w:themeFill="background1" w:themeFillShade="F2"/>
          </w:tcPr>
          <w:p w14:paraId="6BA5AE2B" w14:textId="77777777" w:rsidR="00257E2E" w:rsidRPr="00B43D82" w:rsidRDefault="00257E2E" w:rsidP="009B26C1">
            <w:pPr>
              <w:spacing w:before="20" w:after="40"/>
              <w:rPr>
                <w:rFonts w:cstheme="minorHAnsi"/>
                <w:sz w:val="20"/>
                <w:szCs w:val="20"/>
              </w:rPr>
            </w:pPr>
          </w:p>
        </w:tc>
        <w:tc>
          <w:tcPr>
            <w:tcW w:w="1293" w:type="pct"/>
            <w:shd w:val="clear" w:color="auto" w:fill="F2F2F2" w:themeFill="background1" w:themeFillShade="F2"/>
          </w:tcPr>
          <w:p w14:paraId="23DB62C2" w14:textId="2EC491E2" w:rsidR="00257E2E" w:rsidRPr="00B43D82" w:rsidRDefault="00257E2E"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World Cup</w:t>
            </w:r>
          </w:p>
          <w:p w14:paraId="4E17A5A6" w14:textId="4A721429" w:rsidR="00257E2E" w:rsidRPr="00B43D82" w:rsidRDefault="00C52C53" w:rsidP="00C52C53">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w:t>
            </w:r>
            <w:r w:rsidR="00257E2E" w:rsidRPr="00B43D82">
              <w:rPr>
                <w:rFonts w:cstheme="minorHAnsi"/>
                <w:color w:val="auto"/>
                <w:sz w:val="20"/>
                <w:szCs w:val="20"/>
              </w:rPr>
              <w:t>match</w:t>
            </w:r>
            <w:r w:rsidR="009C214B">
              <w:rPr>
                <w:rFonts w:cstheme="minorHAnsi"/>
                <w:color w:val="auto"/>
                <w:sz w:val="20"/>
                <w:szCs w:val="20"/>
              </w:rPr>
              <w:t>es</w:t>
            </w:r>
            <w:r w:rsidR="00257E2E" w:rsidRPr="00B43D82">
              <w:rPr>
                <w:rFonts w:cstheme="minorHAnsi"/>
                <w:color w:val="auto"/>
                <w:sz w:val="20"/>
                <w:szCs w:val="20"/>
              </w:rPr>
              <w:t xml:space="preserve"> involving the </w:t>
            </w:r>
            <w:r>
              <w:rPr>
                <w:rFonts w:cstheme="minorHAnsi"/>
                <w:color w:val="auto"/>
                <w:sz w:val="20"/>
                <w:szCs w:val="20"/>
              </w:rPr>
              <w:t>SART</w:t>
            </w:r>
            <w:r w:rsidR="00CC3F17" w:rsidRPr="00B43D82">
              <w:rPr>
                <w:rFonts w:cstheme="minorHAnsi"/>
                <w:color w:val="auto"/>
                <w:sz w:val="20"/>
                <w:szCs w:val="20"/>
              </w:rPr>
              <w:t>)</w:t>
            </w:r>
          </w:p>
        </w:tc>
        <w:tc>
          <w:tcPr>
            <w:tcW w:w="1583" w:type="pct"/>
            <w:shd w:val="clear" w:color="auto" w:fill="F2F2F2" w:themeFill="background1" w:themeFillShade="F2"/>
          </w:tcPr>
          <w:p w14:paraId="31100C69" w14:textId="77777777" w:rsidR="00194FBE" w:rsidRDefault="00257E2E" w:rsidP="00194FBE">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Each match involving the </w:t>
            </w:r>
            <w:r w:rsidR="009C214B">
              <w:rPr>
                <w:rFonts w:cstheme="minorHAnsi"/>
                <w:color w:val="auto"/>
                <w:sz w:val="20"/>
                <w:szCs w:val="20"/>
              </w:rPr>
              <w:t>SART</w:t>
            </w:r>
            <w:r w:rsidRPr="00B43D82">
              <w:rPr>
                <w:rFonts w:cstheme="minorHAnsi"/>
                <w:color w:val="auto"/>
                <w:sz w:val="20"/>
                <w:szCs w:val="20"/>
              </w:rPr>
              <w:t xml:space="preserve"> and played in </w:t>
            </w:r>
            <w:r w:rsidR="009C214B">
              <w:rPr>
                <w:rFonts w:cstheme="minorHAnsi"/>
                <w:color w:val="auto"/>
                <w:sz w:val="20"/>
                <w:szCs w:val="20"/>
              </w:rPr>
              <w:t>AU</w:t>
            </w:r>
            <w:r w:rsidRPr="00B43D82">
              <w:rPr>
                <w:rFonts w:cstheme="minorHAnsi"/>
                <w:color w:val="auto"/>
                <w:sz w:val="20"/>
                <w:szCs w:val="20"/>
              </w:rPr>
              <w:t>.</w:t>
            </w:r>
          </w:p>
          <w:p w14:paraId="7C3ABF39" w14:textId="7443E639" w:rsidR="00257E2E" w:rsidRPr="00B43D82" w:rsidRDefault="00B93703"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806EB">
              <w:rPr>
                <w:rFonts w:cstheme="minorHAnsi"/>
                <w:color w:val="auto"/>
                <w:sz w:val="20"/>
                <w:szCs w:val="20"/>
              </w:rPr>
              <w:t>men’s</w:t>
            </w:r>
            <w:r>
              <w:rPr>
                <w:rFonts w:cstheme="minorHAnsi"/>
                <w:color w:val="auto"/>
                <w:sz w:val="20"/>
                <w:szCs w:val="20"/>
              </w:rPr>
              <w:t xml:space="preserve"> and </w:t>
            </w:r>
            <w:r w:rsidR="002806EB">
              <w:rPr>
                <w:rFonts w:cstheme="minorHAnsi"/>
                <w:color w:val="auto"/>
                <w:sz w:val="20"/>
                <w:szCs w:val="20"/>
              </w:rPr>
              <w:t>women’s event</w:t>
            </w:r>
            <w:r>
              <w:rPr>
                <w:rFonts w:cstheme="minorHAnsi"/>
                <w:color w:val="auto"/>
                <w:sz w:val="20"/>
                <w:szCs w:val="20"/>
              </w:rPr>
              <w:t>.</w:t>
            </w:r>
          </w:p>
        </w:tc>
        <w:tc>
          <w:tcPr>
            <w:tcW w:w="1334" w:type="pct"/>
            <w:shd w:val="clear" w:color="auto" w:fill="F2F2F2" w:themeFill="background1" w:themeFillShade="F2"/>
          </w:tcPr>
          <w:p w14:paraId="74C6D973" w14:textId="5A211CCD" w:rsidR="00257E2E" w:rsidRPr="00B43D82" w:rsidRDefault="00C4585C"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9C214B" w:rsidRPr="00B43D82">
              <w:rPr>
                <w:rFonts w:cstheme="minorHAnsi"/>
                <w:color w:val="auto"/>
                <w:sz w:val="20"/>
                <w:szCs w:val="20"/>
              </w:rPr>
              <w:t xml:space="preserve">Matches played outside </w:t>
            </w:r>
            <w:r w:rsidR="009C214B">
              <w:rPr>
                <w:rFonts w:cstheme="minorHAnsi"/>
                <w:color w:val="auto"/>
                <w:sz w:val="20"/>
                <w:szCs w:val="20"/>
              </w:rPr>
              <w:t>AU</w:t>
            </w:r>
            <w:r w:rsidR="009C214B" w:rsidRPr="00B43D82">
              <w:rPr>
                <w:rFonts w:cstheme="minorHAnsi"/>
                <w:color w:val="auto"/>
                <w:sz w:val="20"/>
                <w:szCs w:val="20"/>
              </w:rPr>
              <w:t>.</w:t>
            </w:r>
          </w:p>
        </w:tc>
      </w:tr>
      <w:tr w:rsidR="001F41B4" w:rsidRPr="0041490A" w14:paraId="6CE8B037"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tcPr>
          <w:p w14:paraId="7B4119E0" w14:textId="77777777" w:rsidR="001F41B4" w:rsidRPr="00B43D82" w:rsidRDefault="001F41B4" w:rsidP="009B26C1">
            <w:pPr>
              <w:spacing w:before="20" w:after="40"/>
              <w:rPr>
                <w:rFonts w:cstheme="minorHAnsi"/>
                <w:sz w:val="20"/>
                <w:szCs w:val="20"/>
              </w:rPr>
            </w:pPr>
          </w:p>
        </w:tc>
        <w:tc>
          <w:tcPr>
            <w:tcW w:w="1293" w:type="pct"/>
          </w:tcPr>
          <w:p w14:paraId="0C5DED15" w14:textId="6DF8E2C7" w:rsidR="001F41B4" w:rsidRPr="00B43D82" w:rsidRDefault="001F41B4" w:rsidP="001F41B4">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World Cup</w:t>
            </w:r>
          </w:p>
          <w:p w14:paraId="0B8A94D3" w14:textId="45520AC1" w:rsidR="001F41B4" w:rsidRPr="00B43D82" w:rsidRDefault="001F41B4" w:rsidP="001F41B4">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(final</w:t>
            </w:r>
            <w:r w:rsidRPr="00B43D82">
              <w:rPr>
                <w:rFonts w:cstheme="minorHAnsi"/>
                <w:color w:val="auto"/>
                <w:sz w:val="20"/>
                <w:szCs w:val="20"/>
              </w:rPr>
              <w:t>)</w:t>
            </w:r>
          </w:p>
        </w:tc>
        <w:tc>
          <w:tcPr>
            <w:tcW w:w="1583" w:type="pct"/>
          </w:tcPr>
          <w:p w14:paraId="6A2008A5" w14:textId="77777777" w:rsidR="00194FBE" w:rsidRDefault="001F41B4" w:rsidP="00194FBE">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A</w:t>
            </w:r>
            <w:r w:rsidRPr="00B43D82">
              <w:rPr>
                <w:rFonts w:cstheme="minorHAnsi"/>
                <w:color w:val="auto"/>
                <w:sz w:val="20"/>
                <w:szCs w:val="20"/>
              </w:rPr>
              <w:t xml:space="preserve"> final played in </w:t>
            </w:r>
            <w:r>
              <w:rPr>
                <w:rFonts w:cstheme="minorHAnsi"/>
                <w:color w:val="auto"/>
                <w:sz w:val="20"/>
                <w:szCs w:val="20"/>
              </w:rPr>
              <w:t>AU.</w:t>
            </w:r>
          </w:p>
          <w:p w14:paraId="5E7C0C3C" w14:textId="6BE406C6" w:rsidR="001F41B4" w:rsidRPr="00B43D82" w:rsidRDefault="00B93703"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806EB">
              <w:rPr>
                <w:rFonts w:cstheme="minorHAnsi"/>
                <w:color w:val="auto"/>
                <w:sz w:val="20"/>
                <w:szCs w:val="20"/>
              </w:rPr>
              <w:t>men’s</w:t>
            </w:r>
            <w:r>
              <w:rPr>
                <w:rFonts w:cstheme="minorHAnsi"/>
                <w:color w:val="auto"/>
                <w:sz w:val="20"/>
                <w:szCs w:val="20"/>
              </w:rPr>
              <w:t xml:space="preserve"> and </w:t>
            </w:r>
            <w:r w:rsidR="002806EB">
              <w:rPr>
                <w:rFonts w:cstheme="minorHAnsi"/>
                <w:color w:val="auto"/>
                <w:sz w:val="20"/>
                <w:szCs w:val="20"/>
              </w:rPr>
              <w:t>women’s event</w:t>
            </w:r>
            <w:r>
              <w:rPr>
                <w:rFonts w:cstheme="minorHAnsi"/>
                <w:color w:val="auto"/>
                <w:sz w:val="20"/>
                <w:szCs w:val="20"/>
              </w:rPr>
              <w:t>.</w:t>
            </w:r>
          </w:p>
        </w:tc>
        <w:tc>
          <w:tcPr>
            <w:tcW w:w="1334" w:type="pct"/>
          </w:tcPr>
          <w:p w14:paraId="57EE52BB" w14:textId="6615ABA9" w:rsidR="001F41B4" w:rsidRPr="00B43D82" w:rsidRDefault="00C4585C"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B06FF6">
              <w:rPr>
                <w:rFonts w:cstheme="minorHAnsi"/>
                <w:color w:val="auto"/>
                <w:sz w:val="20"/>
                <w:szCs w:val="20"/>
              </w:rPr>
              <w:t>F</w:t>
            </w:r>
            <w:r w:rsidR="001F32AE" w:rsidRPr="00B43D82">
              <w:rPr>
                <w:rFonts w:cstheme="minorHAnsi"/>
                <w:color w:val="auto"/>
                <w:sz w:val="20"/>
                <w:szCs w:val="20"/>
              </w:rPr>
              <w:t>inals</w:t>
            </w:r>
            <w:r w:rsidR="001F41B4" w:rsidRPr="00B43D82">
              <w:rPr>
                <w:rFonts w:cstheme="minorHAnsi"/>
                <w:color w:val="auto"/>
                <w:sz w:val="20"/>
                <w:szCs w:val="20"/>
              </w:rPr>
              <w:t xml:space="preserve"> played outside </w:t>
            </w:r>
            <w:r w:rsidR="001F41B4">
              <w:rPr>
                <w:rFonts w:cstheme="minorHAnsi"/>
                <w:color w:val="auto"/>
                <w:sz w:val="20"/>
                <w:szCs w:val="20"/>
              </w:rPr>
              <w:t>AU.</w:t>
            </w:r>
          </w:p>
        </w:tc>
      </w:tr>
      <w:tr w:rsidR="00AD615D" w:rsidRPr="0041490A" w14:paraId="64B55392"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val="restart"/>
            <w:shd w:val="clear" w:color="auto" w:fill="auto"/>
          </w:tcPr>
          <w:p w14:paraId="1EBB6EF7" w14:textId="50E923C0" w:rsidR="00AD615D" w:rsidRDefault="00AD615D" w:rsidP="00194FBE">
            <w:pPr>
              <w:spacing w:before="20" w:after="40"/>
              <w:rPr>
                <w:rFonts w:cstheme="minorHAnsi"/>
                <w:sz w:val="20"/>
                <w:szCs w:val="20"/>
              </w:rPr>
            </w:pPr>
            <w:r>
              <w:rPr>
                <w:rFonts w:cstheme="minorHAnsi"/>
                <w:sz w:val="20"/>
                <w:szCs w:val="20"/>
              </w:rPr>
              <w:t>Cricket</w:t>
            </w:r>
          </w:p>
        </w:tc>
        <w:tc>
          <w:tcPr>
            <w:tcW w:w="1293" w:type="pct"/>
            <w:shd w:val="clear" w:color="auto" w:fill="auto"/>
          </w:tcPr>
          <w:p w14:paraId="2C5B4B6A" w14:textId="18007788" w:rsidR="00AD615D" w:rsidRPr="00F21A0D" w:rsidRDefault="00300D93" w:rsidP="00F1018F">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F21A0D">
              <w:rPr>
                <w:rFonts w:cstheme="minorHAnsi"/>
                <w:color w:val="auto"/>
                <w:sz w:val="20"/>
                <w:szCs w:val="20"/>
              </w:rPr>
              <w:t>T</w:t>
            </w:r>
            <w:r w:rsidR="00AD615D" w:rsidRPr="00F21A0D">
              <w:rPr>
                <w:rFonts w:cstheme="minorHAnsi"/>
                <w:color w:val="auto"/>
                <w:sz w:val="20"/>
                <w:szCs w:val="20"/>
              </w:rPr>
              <w:t>est matches</w:t>
            </w:r>
          </w:p>
          <w:p w14:paraId="179CC9FB" w14:textId="5D37E3F4" w:rsidR="00AD615D" w:rsidRPr="00F21A0D" w:rsidRDefault="00AD615D" w:rsidP="00F1018F">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F21A0D">
              <w:rPr>
                <w:rFonts w:cstheme="minorHAnsi"/>
                <w:color w:val="auto"/>
                <w:sz w:val="20"/>
                <w:szCs w:val="20"/>
              </w:rPr>
              <w:t xml:space="preserve">(each test </w:t>
            </w:r>
            <w:r w:rsidR="001B7BDD">
              <w:rPr>
                <w:rFonts w:cstheme="minorHAnsi"/>
                <w:color w:val="auto"/>
                <w:sz w:val="20"/>
                <w:szCs w:val="20"/>
              </w:rPr>
              <w:t>match</w:t>
            </w:r>
            <w:r w:rsidRPr="00F21A0D">
              <w:rPr>
                <w:rFonts w:cstheme="minorHAnsi"/>
                <w:color w:val="auto"/>
                <w:sz w:val="20"/>
                <w:szCs w:val="20"/>
              </w:rPr>
              <w:t xml:space="preserve"> involving the SART played in AU)</w:t>
            </w:r>
          </w:p>
        </w:tc>
        <w:tc>
          <w:tcPr>
            <w:tcW w:w="1583" w:type="pct"/>
            <w:shd w:val="clear" w:color="auto" w:fill="auto"/>
          </w:tcPr>
          <w:p w14:paraId="009FED3E" w14:textId="09B9284E" w:rsidR="00703715" w:rsidRPr="00F21A0D" w:rsidRDefault="00703715" w:rsidP="00703715">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F21A0D">
              <w:rPr>
                <w:rFonts w:cstheme="minorHAnsi"/>
                <w:color w:val="auto"/>
                <w:sz w:val="20"/>
                <w:szCs w:val="20"/>
              </w:rPr>
              <w:t>Test matches (each test involving the SART played in AU).</w:t>
            </w:r>
          </w:p>
          <w:p w14:paraId="74FD6A43" w14:textId="25E4D3B1" w:rsidR="00AD615D" w:rsidRPr="00F21A0D" w:rsidRDefault="00B93703" w:rsidP="00703715">
            <w:pPr>
              <w:spacing w:before="20" w:after="4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F21A0D">
              <w:rPr>
                <w:rFonts w:cstheme="minorHAnsi"/>
                <w:color w:val="auto"/>
                <w:sz w:val="20"/>
                <w:szCs w:val="20"/>
              </w:rPr>
              <w:t xml:space="preserve">Clarify </w:t>
            </w:r>
            <w:r w:rsidR="002806EB">
              <w:rPr>
                <w:rFonts w:cstheme="minorHAnsi"/>
                <w:color w:val="auto"/>
                <w:sz w:val="20"/>
                <w:szCs w:val="20"/>
              </w:rPr>
              <w:t>men’s</w:t>
            </w:r>
            <w:r w:rsidRPr="00F21A0D">
              <w:rPr>
                <w:rFonts w:cstheme="minorHAnsi"/>
                <w:color w:val="auto"/>
                <w:sz w:val="20"/>
                <w:szCs w:val="20"/>
              </w:rPr>
              <w:t xml:space="preserve"> and </w:t>
            </w:r>
            <w:r w:rsidR="002806EB">
              <w:rPr>
                <w:rFonts w:cstheme="minorHAnsi"/>
                <w:color w:val="auto"/>
                <w:sz w:val="20"/>
                <w:szCs w:val="20"/>
              </w:rPr>
              <w:t>women’s event</w:t>
            </w:r>
            <w:r w:rsidRPr="00F21A0D">
              <w:rPr>
                <w:rFonts w:cstheme="minorHAnsi"/>
                <w:color w:val="auto"/>
                <w:sz w:val="20"/>
                <w:szCs w:val="20"/>
              </w:rPr>
              <w:t>.</w:t>
            </w:r>
          </w:p>
        </w:tc>
        <w:tc>
          <w:tcPr>
            <w:tcW w:w="1334" w:type="pct"/>
            <w:shd w:val="clear" w:color="auto" w:fill="auto"/>
          </w:tcPr>
          <w:p w14:paraId="38E28281" w14:textId="00E7E23C" w:rsidR="00AD615D" w:rsidRPr="00B43D82" w:rsidRDefault="00B93703" w:rsidP="00194FBE">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N/A</w:t>
            </w:r>
          </w:p>
        </w:tc>
      </w:tr>
      <w:tr w:rsidR="00AD615D" w:rsidRPr="0041490A" w14:paraId="43290ACD"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40F67A4B" w14:textId="77777777" w:rsidR="00AD615D" w:rsidRDefault="00AD615D" w:rsidP="00194FBE">
            <w:pPr>
              <w:spacing w:before="20" w:after="40"/>
              <w:rPr>
                <w:rFonts w:cstheme="minorHAnsi"/>
                <w:sz w:val="20"/>
                <w:szCs w:val="20"/>
              </w:rPr>
            </w:pPr>
          </w:p>
        </w:tc>
        <w:tc>
          <w:tcPr>
            <w:tcW w:w="1293" w:type="pct"/>
            <w:shd w:val="clear" w:color="auto" w:fill="auto"/>
          </w:tcPr>
          <w:p w14:paraId="5DEE0A44" w14:textId="33D669FD" w:rsidR="00AD615D" w:rsidRPr="00B43D82" w:rsidRDefault="00300D93" w:rsidP="00EE743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T</w:t>
            </w:r>
            <w:r w:rsidR="00AD615D" w:rsidRPr="00B43D82">
              <w:rPr>
                <w:rFonts w:cstheme="minorHAnsi"/>
                <w:color w:val="auto"/>
                <w:sz w:val="20"/>
                <w:szCs w:val="20"/>
              </w:rPr>
              <w:t>est matches</w:t>
            </w:r>
          </w:p>
          <w:p w14:paraId="4ABE5800" w14:textId="10365946" w:rsidR="00AD615D" w:rsidRPr="00E8613B" w:rsidRDefault="00AD615D" w:rsidP="00AD615D">
            <w:pPr>
              <w:spacing w:before="20" w:after="40"/>
              <w:jc w:val="center"/>
              <w:cnfStyle w:val="000000010000" w:firstRow="0" w:lastRow="0" w:firstColumn="0" w:lastColumn="0" w:oddVBand="0" w:evenVBand="0" w:oddHBand="0" w:evenHBand="1" w:firstRowFirstColumn="0" w:firstRowLastColumn="0" w:lastRowFirstColumn="0" w:lastRowLastColumn="0"/>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 xml:space="preserve">ach test </w:t>
            </w:r>
            <w:r w:rsidR="001B7BDD">
              <w:rPr>
                <w:rFonts w:cstheme="minorHAnsi"/>
                <w:color w:val="auto"/>
                <w:sz w:val="20"/>
                <w:szCs w:val="20"/>
              </w:rPr>
              <w:t>match</w:t>
            </w:r>
            <w:r w:rsidR="001B7BDD" w:rsidRPr="00F21A0D">
              <w:rPr>
                <w:rFonts w:cstheme="minorHAnsi"/>
                <w:color w:val="auto"/>
                <w:sz w:val="20"/>
                <w:szCs w:val="20"/>
              </w:rPr>
              <w:t xml:space="preserve"> </w:t>
            </w:r>
            <w:r w:rsidRPr="00B43D82">
              <w:rPr>
                <w:rFonts w:cstheme="minorHAnsi"/>
                <w:color w:val="auto"/>
                <w:sz w:val="20"/>
                <w:szCs w:val="20"/>
              </w:rPr>
              <w:t xml:space="preserve">involving </w:t>
            </w:r>
            <w:r w:rsidR="00F96486">
              <w:rPr>
                <w:rFonts w:cstheme="minorHAnsi"/>
                <w:color w:val="auto"/>
                <w:sz w:val="20"/>
                <w:szCs w:val="20"/>
              </w:rPr>
              <w:t xml:space="preserve">both </w:t>
            </w:r>
            <w:r w:rsidRPr="00B43D82">
              <w:rPr>
                <w:rFonts w:cstheme="minorHAnsi"/>
                <w:color w:val="auto"/>
                <w:sz w:val="20"/>
                <w:szCs w:val="20"/>
              </w:rPr>
              <w:t xml:space="preserve">the </w:t>
            </w:r>
            <w:r>
              <w:rPr>
                <w:rFonts w:cstheme="minorHAnsi"/>
                <w:color w:val="auto"/>
                <w:sz w:val="20"/>
                <w:szCs w:val="20"/>
              </w:rPr>
              <w:t>SART</w:t>
            </w:r>
            <w:r w:rsidRPr="00B43D82">
              <w:rPr>
                <w:rFonts w:cstheme="minorHAnsi"/>
                <w:color w:val="auto"/>
                <w:sz w:val="20"/>
                <w:szCs w:val="20"/>
              </w:rPr>
              <w:t xml:space="preserve"> </w:t>
            </w:r>
            <w:r w:rsidRPr="00E8613B">
              <w:rPr>
                <w:rFonts w:cstheme="minorHAnsi"/>
                <w:color w:val="auto"/>
                <w:sz w:val="20"/>
                <w:szCs w:val="20"/>
              </w:rPr>
              <w:t>and the senior English representative team;</w:t>
            </w:r>
            <w:r w:rsidRPr="00B43D82">
              <w:rPr>
                <w:rFonts w:cstheme="minorHAnsi"/>
                <w:color w:val="auto"/>
                <w:sz w:val="20"/>
                <w:szCs w:val="20"/>
              </w:rPr>
              <w:t xml:space="preserve"> played in </w:t>
            </w:r>
            <w:r>
              <w:rPr>
                <w:rFonts w:cstheme="minorHAnsi"/>
                <w:color w:val="auto"/>
                <w:sz w:val="20"/>
                <w:szCs w:val="20"/>
              </w:rPr>
              <w:t>the UK</w:t>
            </w:r>
            <w:r w:rsidRPr="00B43D82">
              <w:rPr>
                <w:rFonts w:cstheme="minorHAnsi"/>
                <w:color w:val="auto"/>
                <w:sz w:val="20"/>
                <w:szCs w:val="20"/>
              </w:rPr>
              <w:t>)</w:t>
            </w:r>
          </w:p>
        </w:tc>
        <w:tc>
          <w:tcPr>
            <w:tcW w:w="1583" w:type="pct"/>
            <w:shd w:val="clear" w:color="auto" w:fill="auto"/>
          </w:tcPr>
          <w:p w14:paraId="29DCBB75" w14:textId="31056F0C" w:rsidR="00AD615D" w:rsidRDefault="008E3DDA" w:rsidP="00AD615D">
            <w:pPr>
              <w:spacing w:before="2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w:t>
            </w:r>
            <w:r w:rsidR="00AC52D8">
              <w:rPr>
                <w:sz w:val="20"/>
                <w:szCs w:val="20"/>
              </w:rPr>
              <w:t>he</w:t>
            </w:r>
            <w:r w:rsidR="00AD615D">
              <w:rPr>
                <w:sz w:val="20"/>
                <w:szCs w:val="20"/>
              </w:rPr>
              <w:t xml:space="preserve"> ‘Ashes’ series </w:t>
            </w:r>
          </w:p>
          <w:p w14:paraId="698EB639" w14:textId="1CE3AE41" w:rsidR="00AD615D" w:rsidRPr="00E8613B" w:rsidRDefault="00AD615D" w:rsidP="00E8613B">
            <w:pPr>
              <w:spacing w:before="20" w:after="40"/>
              <w:cnfStyle w:val="000000010000" w:firstRow="0" w:lastRow="0" w:firstColumn="0" w:lastColumn="0" w:oddVBand="0" w:evenVBand="0" w:oddHBand="0" w:evenHBand="1" w:firstRowFirstColumn="0" w:firstRowLastColumn="0" w:lastRowFirstColumn="0" w:lastRowLastColumn="0"/>
              <w:rPr>
                <w:sz w:val="20"/>
                <w:szCs w:val="20"/>
              </w:rPr>
            </w:pPr>
            <w:r>
              <w:rPr>
                <w:rFonts w:cstheme="minorHAnsi"/>
                <w:color w:val="auto"/>
                <w:sz w:val="20"/>
                <w:szCs w:val="20"/>
              </w:rPr>
              <w:t>(e</w:t>
            </w:r>
            <w:r w:rsidRPr="00B43D82">
              <w:rPr>
                <w:rFonts w:cstheme="minorHAnsi"/>
                <w:color w:val="auto"/>
                <w:sz w:val="20"/>
                <w:szCs w:val="20"/>
              </w:rPr>
              <w:t xml:space="preserve">ach </w:t>
            </w:r>
            <w:r>
              <w:rPr>
                <w:rFonts w:cstheme="minorHAnsi"/>
                <w:color w:val="auto"/>
                <w:sz w:val="20"/>
                <w:szCs w:val="20"/>
              </w:rPr>
              <w:t>match</w:t>
            </w:r>
            <w:r w:rsidRPr="00B43D82">
              <w:rPr>
                <w:rFonts w:cstheme="minorHAnsi"/>
                <w:color w:val="auto"/>
                <w:sz w:val="20"/>
                <w:szCs w:val="20"/>
              </w:rPr>
              <w:t xml:space="preserve"> involving </w:t>
            </w:r>
            <w:r w:rsidR="0008627D">
              <w:rPr>
                <w:rFonts w:cstheme="minorHAnsi"/>
                <w:color w:val="auto"/>
                <w:sz w:val="20"/>
                <w:szCs w:val="20"/>
              </w:rPr>
              <w:t>both</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w:t>
            </w:r>
            <w:r w:rsidRPr="000C788E">
              <w:rPr>
                <w:rFonts w:cstheme="minorHAnsi"/>
                <w:color w:val="auto"/>
                <w:sz w:val="20"/>
                <w:szCs w:val="20"/>
              </w:rPr>
              <w:t>and the senior English representative team;</w:t>
            </w:r>
            <w:r w:rsidRPr="00B43D82">
              <w:rPr>
                <w:rFonts w:cstheme="minorHAnsi"/>
                <w:color w:val="auto"/>
                <w:sz w:val="20"/>
                <w:szCs w:val="20"/>
              </w:rPr>
              <w:t xml:space="preserve"> played in </w:t>
            </w:r>
            <w:r>
              <w:rPr>
                <w:rFonts w:cstheme="minorHAnsi"/>
                <w:color w:val="auto"/>
                <w:sz w:val="20"/>
                <w:szCs w:val="20"/>
              </w:rPr>
              <w:t>the UK</w:t>
            </w:r>
            <w:r w:rsidRPr="00B43D82">
              <w:rPr>
                <w:rFonts w:cstheme="minorHAnsi"/>
                <w:color w:val="auto"/>
                <w:sz w:val="20"/>
                <w:szCs w:val="20"/>
              </w:rPr>
              <w:t>)</w:t>
            </w:r>
            <w:r w:rsidR="0008627D">
              <w:rPr>
                <w:rFonts w:cstheme="minorHAnsi"/>
                <w:color w:val="auto"/>
                <w:sz w:val="20"/>
                <w:szCs w:val="20"/>
              </w:rPr>
              <w:t>.</w:t>
            </w:r>
          </w:p>
          <w:p w14:paraId="0342E028" w14:textId="5699E738" w:rsidR="00AD615D" w:rsidRDefault="00B93703" w:rsidP="00EE7436">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806EB">
              <w:rPr>
                <w:rFonts w:cstheme="minorHAnsi"/>
                <w:color w:val="auto"/>
                <w:sz w:val="20"/>
                <w:szCs w:val="20"/>
              </w:rPr>
              <w:t>men’s</w:t>
            </w:r>
            <w:r>
              <w:rPr>
                <w:rFonts w:cstheme="minorHAnsi"/>
                <w:color w:val="auto"/>
                <w:sz w:val="20"/>
                <w:szCs w:val="20"/>
              </w:rPr>
              <w:t xml:space="preserve"> and </w:t>
            </w:r>
            <w:r w:rsidR="002806EB">
              <w:rPr>
                <w:rFonts w:cstheme="minorHAnsi"/>
                <w:color w:val="auto"/>
                <w:sz w:val="20"/>
                <w:szCs w:val="20"/>
              </w:rPr>
              <w:t>women’s event</w:t>
            </w:r>
            <w:r>
              <w:rPr>
                <w:rFonts w:cstheme="minorHAnsi"/>
                <w:color w:val="auto"/>
                <w:sz w:val="20"/>
                <w:szCs w:val="20"/>
              </w:rPr>
              <w:t>.</w:t>
            </w:r>
          </w:p>
        </w:tc>
        <w:tc>
          <w:tcPr>
            <w:tcW w:w="1334" w:type="pct"/>
            <w:shd w:val="clear" w:color="auto" w:fill="auto"/>
          </w:tcPr>
          <w:p w14:paraId="379DFE14" w14:textId="4A984884" w:rsidR="00AD615D" w:rsidRDefault="00C4585C" w:rsidP="00194FBE">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Addition</w:t>
            </w:r>
            <w:r w:rsidR="00AC52D8">
              <w:rPr>
                <w:rFonts w:cstheme="minorHAnsi"/>
                <w:color w:val="auto"/>
                <w:sz w:val="20"/>
                <w:szCs w:val="20"/>
              </w:rPr>
              <w:t xml:space="preserve">: </w:t>
            </w:r>
            <w:r w:rsidR="00AC52D8" w:rsidRPr="00AC52D8">
              <w:rPr>
                <w:rFonts w:cstheme="minorHAnsi"/>
                <w:color w:val="auto"/>
                <w:sz w:val="20"/>
                <w:szCs w:val="20"/>
              </w:rPr>
              <w:t xml:space="preserve">women’s </w:t>
            </w:r>
            <w:r w:rsidR="00AC52D8">
              <w:rPr>
                <w:rFonts w:cstheme="minorHAnsi"/>
                <w:color w:val="auto"/>
                <w:sz w:val="20"/>
                <w:szCs w:val="20"/>
              </w:rPr>
              <w:t>o</w:t>
            </w:r>
            <w:r w:rsidR="00AC52D8" w:rsidRPr="00AC52D8">
              <w:rPr>
                <w:rFonts w:cstheme="minorHAnsi"/>
                <w:color w:val="auto"/>
                <w:sz w:val="20"/>
                <w:szCs w:val="20"/>
              </w:rPr>
              <w:t xml:space="preserve">ne </w:t>
            </w:r>
            <w:r w:rsidR="00AC52D8">
              <w:rPr>
                <w:rFonts w:cstheme="minorHAnsi"/>
                <w:color w:val="auto"/>
                <w:sz w:val="20"/>
                <w:szCs w:val="20"/>
              </w:rPr>
              <w:t>d</w:t>
            </w:r>
            <w:r w:rsidR="00AC52D8" w:rsidRPr="00AC52D8">
              <w:rPr>
                <w:rFonts w:cstheme="minorHAnsi"/>
                <w:color w:val="auto"/>
                <w:sz w:val="20"/>
                <w:szCs w:val="20"/>
              </w:rPr>
              <w:t>ay and T20 matches</w:t>
            </w:r>
            <w:r w:rsidR="00AC52D8" w:rsidRPr="00B43D82">
              <w:rPr>
                <w:rFonts w:cstheme="minorHAnsi"/>
                <w:color w:val="auto"/>
                <w:sz w:val="20"/>
                <w:szCs w:val="20"/>
              </w:rPr>
              <w:t xml:space="preserve"> </w:t>
            </w:r>
            <w:r w:rsidR="00B52E15">
              <w:rPr>
                <w:rFonts w:cstheme="minorHAnsi"/>
                <w:color w:val="auto"/>
                <w:sz w:val="20"/>
                <w:szCs w:val="20"/>
              </w:rPr>
              <w:t>Ashes matches</w:t>
            </w:r>
            <w:r w:rsidR="00F21A0D">
              <w:rPr>
                <w:rFonts w:cstheme="minorHAnsi"/>
                <w:color w:val="auto"/>
                <w:sz w:val="20"/>
                <w:szCs w:val="20"/>
              </w:rPr>
              <w:t xml:space="preserve"> played in the UK</w:t>
            </w:r>
            <w:r w:rsidR="00AC52D8">
              <w:rPr>
                <w:rFonts w:cstheme="minorHAnsi"/>
                <w:color w:val="auto"/>
                <w:sz w:val="20"/>
                <w:szCs w:val="20"/>
              </w:rPr>
              <w:t>.</w:t>
            </w:r>
          </w:p>
        </w:tc>
      </w:tr>
      <w:tr w:rsidR="00AD615D" w:rsidRPr="0041490A" w14:paraId="705D4F6E"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08FAE718" w14:textId="77777777" w:rsidR="00AD615D" w:rsidRDefault="00AD615D" w:rsidP="00EE7436">
            <w:pPr>
              <w:spacing w:before="20" w:after="40"/>
              <w:rPr>
                <w:rFonts w:cstheme="minorHAnsi"/>
                <w:sz w:val="20"/>
                <w:szCs w:val="20"/>
              </w:rPr>
            </w:pPr>
          </w:p>
        </w:tc>
        <w:tc>
          <w:tcPr>
            <w:tcW w:w="1293" w:type="pct"/>
            <w:shd w:val="clear" w:color="auto" w:fill="auto"/>
          </w:tcPr>
          <w:p w14:paraId="6CA33C2B" w14:textId="07B21F3F" w:rsidR="00AD615D" w:rsidRDefault="00300D93" w:rsidP="00EE743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O</w:t>
            </w:r>
            <w:r w:rsidR="00B93703" w:rsidRPr="00E8613B">
              <w:rPr>
                <w:rFonts w:cstheme="minorHAnsi"/>
                <w:color w:val="auto"/>
                <w:sz w:val="20"/>
                <w:szCs w:val="20"/>
              </w:rPr>
              <w:t xml:space="preserve">ne </w:t>
            </w:r>
            <w:r w:rsidR="00B93703">
              <w:rPr>
                <w:rFonts w:cstheme="minorHAnsi"/>
                <w:color w:val="auto"/>
                <w:sz w:val="20"/>
                <w:szCs w:val="20"/>
              </w:rPr>
              <w:t>d</w:t>
            </w:r>
            <w:r w:rsidR="00B93703" w:rsidRPr="00E8613B">
              <w:rPr>
                <w:rFonts w:cstheme="minorHAnsi"/>
                <w:color w:val="auto"/>
                <w:sz w:val="20"/>
                <w:szCs w:val="20"/>
              </w:rPr>
              <w:t xml:space="preserve">ay </w:t>
            </w:r>
            <w:r>
              <w:rPr>
                <w:rFonts w:cstheme="minorHAnsi"/>
                <w:color w:val="auto"/>
                <w:sz w:val="20"/>
                <w:szCs w:val="20"/>
              </w:rPr>
              <w:t>matches</w:t>
            </w:r>
          </w:p>
          <w:p w14:paraId="1C8048E1" w14:textId="4F75BFDA" w:rsidR="00AD615D" w:rsidRPr="00401E19" w:rsidRDefault="00AD615D" w:rsidP="00EE7436">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cstheme="minorHAnsi"/>
                <w:color w:val="auto"/>
                <w:sz w:val="20"/>
                <w:szCs w:val="20"/>
              </w:rPr>
              <w:t>(</w:t>
            </w:r>
            <w:r w:rsidRPr="00E8613B">
              <w:rPr>
                <w:rFonts w:cstheme="minorHAnsi"/>
                <w:color w:val="auto"/>
                <w:sz w:val="20"/>
                <w:szCs w:val="20"/>
              </w:rPr>
              <w:t>matches involv</w:t>
            </w:r>
            <w:r>
              <w:rPr>
                <w:rFonts w:cstheme="minorHAnsi"/>
                <w:color w:val="auto"/>
                <w:sz w:val="20"/>
                <w:szCs w:val="20"/>
              </w:rPr>
              <w:t>ing</w:t>
            </w:r>
            <w:r w:rsidRPr="00E8613B">
              <w:rPr>
                <w:rFonts w:cstheme="minorHAnsi"/>
                <w:color w:val="auto"/>
                <w:sz w:val="20"/>
                <w:szCs w:val="20"/>
              </w:rPr>
              <w:t xml:space="preserve"> the </w:t>
            </w:r>
            <w:r>
              <w:rPr>
                <w:rFonts w:cstheme="minorHAnsi"/>
                <w:color w:val="auto"/>
                <w:sz w:val="20"/>
                <w:szCs w:val="20"/>
              </w:rPr>
              <w:t>SART; played in</w:t>
            </w:r>
            <w:r w:rsidRPr="00E8613B">
              <w:rPr>
                <w:rFonts w:cstheme="minorHAnsi"/>
                <w:color w:val="auto"/>
                <w:sz w:val="20"/>
                <w:szCs w:val="20"/>
              </w:rPr>
              <w:t xml:space="preserve"> </w:t>
            </w:r>
            <w:r>
              <w:rPr>
                <w:rFonts w:cstheme="minorHAnsi"/>
                <w:color w:val="auto"/>
                <w:sz w:val="20"/>
                <w:szCs w:val="20"/>
              </w:rPr>
              <w:t>AU)</w:t>
            </w:r>
            <w:r w:rsidRPr="00E8613B">
              <w:rPr>
                <w:rFonts w:cstheme="minorHAnsi"/>
                <w:color w:val="auto"/>
                <w:sz w:val="20"/>
                <w:szCs w:val="20"/>
              </w:rPr>
              <w:t>.</w:t>
            </w:r>
          </w:p>
        </w:tc>
        <w:tc>
          <w:tcPr>
            <w:tcW w:w="1583" w:type="pct"/>
            <w:shd w:val="clear" w:color="auto" w:fill="auto"/>
          </w:tcPr>
          <w:p w14:paraId="0078AC52" w14:textId="12869C7F" w:rsidR="00AD615D" w:rsidRDefault="00B52E15" w:rsidP="00EE7436">
            <w:pPr>
              <w:spacing w:before="20" w:after="4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cstheme="minorHAnsi"/>
                <w:color w:val="auto"/>
                <w:sz w:val="20"/>
                <w:szCs w:val="20"/>
              </w:rPr>
              <w:t>No listing.</w:t>
            </w:r>
          </w:p>
        </w:tc>
        <w:tc>
          <w:tcPr>
            <w:tcW w:w="1334" w:type="pct"/>
            <w:shd w:val="clear" w:color="auto" w:fill="auto"/>
          </w:tcPr>
          <w:p w14:paraId="30776B54" w14:textId="3672238A" w:rsidR="00AD615D" w:rsidRPr="00B43D82" w:rsidRDefault="00703715" w:rsidP="00EE7436">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Full r</w:t>
            </w:r>
            <w:r w:rsidR="00973E73">
              <w:rPr>
                <w:rFonts w:cstheme="minorHAnsi"/>
                <w:color w:val="auto"/>
                <w:sz w:val="20"/>
                <w:szCs w:val="20"/>
              </w:rPr>
              <w:t>emoval</w:t>
            </w:r>
            <w:r>
              <w:rPr>
                <w:rFonts w:cstheme="minorHAnsi"/>
                <w:color w:val="auto"/>
                <w:sz w:val="20"/>
                <w:szCs w:val="20"/>
              </w:rPr>
              <w:t>.</w:t>
            </w:r>
            <w:r w:rsidR="00973E73">
              <w:rPr>
                <w:rFonts w:cstheme="minorHAnsi"/>
                <w:color w:val="auto"/>
                <w:sz w:val="20"/>
                <w:szCs w:val="20"/>
              </w:rPr>
              <w:t xml:space="preserve"> </w:t>
            </w:r>
          </w:p>
        </w:tc>
      </w:tr>
      <w:tr w:rsidR="00AD615D" w:rsidRPr="0041490A" w14:paraId="40695578"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35C0AC87" w14:textId="77777777" w:rsidR="00AD615D" w:rsidRDefault="00AD615D" w:rsidP="00EE7436">
            <w:pPr>
              <w:spacing w:before="20" w:after="40"/>
              <w:rPr>
                <w:rFonts w:cstheme="minorHAnsi"/>
                <w:sz w:val="20"/>
                <w:szCs w:val="20"/>
              </w:rPr>
            </w:pPr>
          </w:p>
        </w:tc>
        <w:tc>
          <w:tcPr>
            <w:tcW w:w="1293" w:type="pct"/>
            <w:shd w:val="clear" w:color="auto" w:fill="auto"/>
          </w:tcPr>
          <w:p w14:paraId="3BA78CFC" w14:textId="206486DA" w:rsidR="00AD615D" w:rsidRPr="00401E19" w:rsidRDefault="00AD615D" w:rsidP="00EE7436">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sidRPr="00E8613B">
              <w:rPr>
                <w:sz w:val="20"/>
                <w:szCs w:val="20"/>
              </w:rPr>
              <w:t>T20</w:t>
            </w:r>
            <w:r w:rsidRPr="00021F1F">
              <w:t xml:space="preserve"> </w:t>
            </w:r>
            <w:r w:rsidR="007A03E3" w:rsidRPr="000C788E">
              <w:rPr>
                <w:rFonts w:cstheme="minorHAnsi"/>
                <w:color w:val="auto"/>
                <w:sz w:val="20"/>
                <w:szCs w:val="20"/>
              </w:rPr>
              <w:t>matches</w:t>
            </w:r>
            <w:r w:rsidR="007A03E3">
              <w:rPr>
                <w:rFonts w:cstheme="minorHAnsi"/>
                <w:color w:val="auto"/>
                <w:sz w:val="20"/>
                <w:szCs w:val="20"/>
              </w:rPr>
              <w:t xml:space="preserve"> </w:t>
            </w:r>
            <w:r w:rsidR="007A03E3">
              <w:rPr>
                <w:rFonts w:cstheme="minorHAnsi"/>
                <w:color w:val="auto"/>
                <w:sz w:val="20"/>
                <w:szCs w:val="20"/>
              </w:rPr>
              <w:br/>
            </w:r>
            <w:r>
              <w:rPr>
                <w:rFonts w:cstheme="minorHAnsi"/>
                <w:color w:val="auto"/>
                <w:sz w:val="20"/>
                <w:szCs w:val="20"/>
              </w:rPr>
              <w:t>(</w:t>
            </w:r>
            <w:r w:rsidRPr="000C788E">
              <w:rPr>
                <w:rFonts w:cstheme="minorHAnsi"/>
                <w:color w:val="auto"/>
                <w:sz w:val="20"/>
                <w:szCs w:val="20"/>
              </w:rPr>
              <w:t>matches involv</w:t>
            </w:r>
            <w:r>
              <w:rPr>
                <w:rFonts w:cstheme="minorHAnsi"/>
                <w:color w:val="auto"/>
                <w:sz w:val="20"/>
                <w:szCs w:val="20"/>
              </w:rPr>
              <w:t>ing</w:t>
            </w:r>
            <w:r w:rsidRPr="000C788E">
              <w:rPr>
                <w:rFonts w:cstheme="minorHAnsi"/>
                <w:color w:val="auto"/>
                <w:sz w:val="20"/>
                <w:szCs w:val="20"/>
              </w:rPr>
              <w:t xml:space="preserve"> the </w:t>
            </w:r>
            <w:r>
              <w:rPr>
                <w:rFonts w:cstheme="minorHAnsi"/>
                <w:color w:val="auto"/>
                <w:sz w:val="20"/>
                <w:szCs w:val="20"/>
              </w:rPr>
              <w:t>SART; played in</w:t>
            </w:r>
            <w:r w:rsidRPr="000C788E">
              <w:rPr>
                <w:rFonts w:cstheme="minorHAnsi"/>
                <w:color w:val="auto"/>
                <w:sz w:val="20"/>
                <w:szCs w:val="20"/>
              </w:rPr>
              <w:t xml:space="preserve"> </w:t>
            </w:r>
            <w:r>
              <w:rPr>
                <w:rFonts w:cstheme="minorHAnsi"/>
                <w:color w:val="auto"/>
                <w:sz w:val="20"/>
                <w:szCs w:val="20"/>
              </w:rPr>
              <w:t>AU)</w:t>
            </w:r>
            <w:r w:rsidRPr="000C788E">
              <w:rPr>
                <w:rFonts w:cstheme="minorHAnsi"/>
                <w:color w:val="auto"/>
                <w:sz w:val="20"/>
                <w:szCs w:val="20"/>
              </w:rPr>
              <w:t>.</w:t>
            </w:r>
          </w:p>
        </w:tc>
        <w:tc>
          <w:tcPr>
            <w:tcW w:w="1583" w:type="pct"/>
            <w:shd w:val="clear" w:color="auto" w:fill="auto"/>
          </w:tcPr>
          <w:p w14:paraId="25D88680" w14:textId="65B91B05" w:rsidR="00AD615D" w:rsidRDefault="00B52E15" w:rsidP="00EE7436">
            <w:pPr>
              <w:spacing w:before="20" w:after="4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sidRPr="004E2C40">
              <w:rPr>
                <w:rFonts w:cstheme="minorHAnsi"/>
                <w:color w:val="auto"/>
                <w:sz w:val="20"/>
                <w:szCs w:val="20"/>
              </w:rPr>
              <w:t>No listing.</w:t>
            </w:r>
          </w:p>
        </w:tc>
        <w:tc>
          <w:tcPr>
            <w:tcW w:w="1334" w:type="pct"/>
            <w:shd w:val="clear" w:color="auto" w:fill="auto"/>
          </w:tcPr>
          <w:p w14:paraId="7EACA600" w14:textId="53CA4531" w:rsidR="00AD615D" w:rsidRPr="00B43D82" w:rsidRDefault="00703715" w:rsidP="00EE7436">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Full removal.</w:t>
            </w:r>
          </w:p>
        </w:tc>
      </w:tr>
      <w:tr w:rsidR="00AD615D" w:rsidRPr="0041490A" w14:paraId="7466E6F7"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0CCCAAE3" w14:textId="77777777" w:rsidR="00AD615D" w:rsidRDefault="00AD615D" w:rsidP="00EE7436">
            <w:pPr>
              <w:spacing w:before="20" w:after="40"/>
              <w:rPr>
                <w:rFonts w:cstheme="minorHAnsi"/>
                <w:sz w:val="20"/>
                <w:szCs w:val="20"/>
              </w:rPr>
            </w:pPr>
          </w:p>
        </w:tc>
        <w:tc>
          <w:tcPr>
            <w:tcW w:w="1293" w:type="pct"/>
            <w:shd w:val="clear" w:color="auto" w:fill="auto"/>
          </w:tcPr>
          <w:p w14:paraId="56C80104" w14:textId="66E7FBB7" w:rsidR="00AD615D" w:rsidRDefault="00300D93" w:rsidP="00EE7436">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w:t>
            </w:r>
            <w:r w:rsidR="00B93703">
              <w:rPr>
                <w:sz w:val="20"/>
                <w:szCs w:val="20"/>
              </w:rPr>
              <w:t>ne</w:t>
            </w:r>
            <w:r w:rsidR="00AD615D">
              <w:rPr>
                <w:sz w:val="20"/>
                <w:szCs w:val="20"/>
              </w:rPr>
              <w:t xml:space="preserve"> day</w:t>
            </w:r>
            <w:r w:rsidR="00AD615D" w:rsidRPr="00E8613B">
              <w:rPr>
                <w:sz w:val="20"/>
                <w:szCs w:val="20"/>
              </w:rPr>
              <w:t xml:space="preserve"> World Cup </w:t>
            </w:r>
          </w:p>
          <w:p w14:paraId="22C48661" w14:textId="1784B094" w:rsidR="00AD615D" w:rsidRPr="00EE7436" w:rsidRDefault="00AD615D" w:rsidP="00EE7436">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B43D82">
              <w:rPr>
                <w:rFonts w:cstheme="minorHAnsi"/>
                <w:color w:val="auto"/>
                <w:sz w:val="20"/>
                <w:szCs w:val="20"/>
              </w:rPr>
              <w:t>(match</w:t>
            </w:r>
            <w:r>
              <w:rPr>
                <w:rFonts w:cstheme="minorHAnsi"/>
                <w:color w:val="auto"/>
                <w:sz w:val="20"/>
                <w:szCs w:val="20"/>
              </w:rPr>
              <w:t>es 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 xml:space="preserve"> or New Zealand)</w:t>
            </w:r>
          </w:p>
        </w:tc>
        <w:tc>
          <w:tcPr>
            <w:tcW w:w="1583" w:type="pct"/>
            <w:shd w:val="clear" w:color="auto" w:fill="auto"/>
          </w:tcPr>
          <w:p w14:paraId="68640EC1" w14:textId="22C0C7CC" w:rsidR="00AD615D" w:rsidRPr="00EE7436" w:rsidRDefault="00B52E15" w:rsidP="00EE7436">
            <w:pPr>
              <w:spacing w:before="20" w:after="4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E2C40">
              <w:rPr>
                <w:rFonts w:cstheme="minorHAnsi"/>
                <w:color w:val="auto"/>
                <w:sz w:val="20"/>
                <w:szCs w:val="20"/>
              </w:rPr>
              <w:t>No listing.</w:t>
            </w:r>
          </w:p>
        </w:tc>
        <w:tc>
          <w:tcPr>
            <w:tcW w:w="1334" w:type="pct"/>
            <w:shd w:val="clear" w:color="auto" w:fill="auto"/>
          </w:tcPr>
          <w:p w14:paraId="6196E1F2" w14:textId="11CD3D66" w:rsidR="00AD615D" w:rsidRPr="00EE7436" w:rsidRDefault="00703715" w:rsidP="00EE7436">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Full removal.</w:t>
            </w:r>
          </w:p>
        </w:tc>
      </w:tr>
      <w:tr w:rsidR="00AD615D" w:rsidRPr="0041490A" w14:paraId="0F6381BB"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16C4EA77" w14:textId="77777777" w:rsidR="00AD615D" w:rsidRDefault="00AD615D" w:rsidP="00EE7436">
            <w:pPr>
              <w:spacing w:before="20" w:after="40"/>
              <w:rPr>
                <w:rFonts w:cstheme="minorHAnsi"/>
                <w:sz w:val="20"/>
                <w:szCs w:val="20"/>
              </w:rPr>
            </w:pPr>
          </w:p>
        </w:tc>
        <w:tc>
          <w:tcPr>
            <w:tcW w:w="1293" w:type="pct"/>
            <w:shd w:val="clear" w:color="auto" w:fill="auto"/>
          </w:tcPr>
          <w:p w14:paraId="1B63A588" w14:textId="613DC6F4" w:rsidR="00AD615D" w:rsidRPr="00401E19" w:rsidRDefault="00300D93" w:rsidP="00EE7436">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O</w:t>
            </w:r>
            <w:r w:rsidR="00AD615D">
              <w:rPr>
                <w:rFonts w:ascii="Calibri" w:eastAsia="Calibri" w:hAnsi="Calibri" w:cs="Times New Roman"/>
                <w:sz w:val="20"/>
                <w:szCs w:val="20"/>
              </w:rPr>
              <w:t xml:space="preserve">ne day </w:t>
            </w:r>
            <w:r w:rsidR="00AD615D" w:rsidRPr="00401E19">
              <w:rPr>
                <w:rFonts w:ascii="Calibri" w:eastAsia="Calibri" w:hAnsi="Calibri" w:cs="Times New Roman"/>
                <w:sz w:val="20"/>
                <w:szCs w:val="20"/>
              </w:rPr>
              <w:t xml:space="preserve">World Cup </w:t>
            </w:r>
            <w:r w:rsidR="007A03E3">
              <w:rPr>
                <w:rFonts w:ascii="Calibri" w:eastAsia="Calibri" w:hAnsi="Calibri" w:cs="Times New Roman"/>
                <w:sz w:val="20"/>
                <w:szCs w:val="20"/>
              </w:rPr>
              <w:br/>
            </w:r>
            <w:r w:rsidR="00AD615D">
              <w:rPr>
                <w:rFonts w:cstheme="minorHAnsi"/>
                <w:color w:val="auto"/>
                <w:sz w:val="20"/>
                <w:szCs w:val="20"/>
              </w:rPr>
              <w:t>(final</w:t>
            </w:r>
            <w:r w:rsidR="00F96486">
              <w:rPr>
                <w:rFonts w:cstheme="minorHAnsi"/>
                <w:color w:val="auto"/>
                <w:sz w:val="20"/>
                <w:szCs w:val="20"/>
              </w:rPr>
              <w:t xml:space="preserve"> played in AU or New Zealand</w:t>
            </w:r>
            <w:r w:rsidR="00AD615D" w:rsidRPr="00B43D82">
              <w:rPr>
                <w:rFonts w:cstheme="minorHAnsi"/>
                <w:color w:val="auto"/>
                <w:sz w:val="20"/>
                <w:szCs w:val="20"/>
              </w:rPr>
              <w:t>)</w:t>
            </w:r>
          </w:p>
        </w:tc>
        <w:tc>
          <w:tcPr>
            <w:tcW w:w="1583" w:type="pct"/>
            <w:shd w:val="clear" w:color="auto" w:fill="auto"/>
          </w:tcPr>
          <w:p w14:paraId="50F7D8C1" w14:textId="3B6781AD" w:rsidR="00AD615D" w:rsidRDefault="00AD615D" w:rsidP="00EE7436">
            <w:pPr>
              <w:spacing w:before="20" w:after="4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A</w:t>
            </w:r>
            <w:r w:rsidRPr="00401E19">
              <w:rPr>
                <w:rFonts w:ascii="Calibri" w:eastAsia="Calibri" w:hAnsi="Calibri" w:cs="Times New Roman"/>
                <w:sz w:val="20"/>
                <w:szCs w:val="20"/>
              </w:rPr>
              <w:t xml:space="preserve"> final played in Australia</w:t>
            </w:r>
            <w:r>
              <w:rPr>
                <w:rFonts w:ascii="Calibri" w:eastAsia="Calibri" w:hAnsi="Calibri" w:cs="Times New Roman"/>
                <w:sz w:val="20"/>
                <w:szCs w:val="20"/>
              </w:rPr>
              <w:t>.</w:t>
            </w:r>
          </w:p>
          <w:p w14:paraId="58D22520" w14:textId="5FCBAD6D" w:rsidR="00AD615D" w:rsidRDefault="00B93703" w:rsidP="00EE7436">
            <w:pPr>
              <w:spacing w:before="20" w:after="4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cstheme="minorHAnsi"/>
                <w:color w:val="auto"/>
                <w:sz w:val="20"/>
                <w:szCs w:val="20"/>
              </w:rPr>
              <w:t xml:space="preserve">Clarify </w:t>
            </w:r>
            <w:r w:rsidR="00BB7DC9">
              <w:rPr>
                <w:rFonts w:cstheme="minorHAnsi"/>
                <w:color w:val="auto"/>
                <w:sz w:val="20"/>
                <w:szCs w:val="20"/>
              </w:rPr>
              <w:t>men’s</w:t>
            </w:r>
            <w:r>
              <w:rPr>
                <w:rFonts w:cstheme="minorHAnsi"/>
                <w:color w:val="auto"/>
                <w:sz w:val="20"/>
                <w:szCs w:val="20"/>
              </w:rPr>
              <w:t xml:space="preserve"> and </w:t>
            </w:r>
            <w:r w:rsidR="00BB7DC9">
              <w:rPr>
                <w:rFonts w:cstheme="minorHAnsi"/>
                <w:color w:val="auto"/>
                <w:sz w:val="20"/>
                <w:szCs w:val="20"/>
              </w:rPr>
              <w:t>women’s event</w:t>
            </w:r>
            <w:r>
              <w:rPr>
                <w:rFonts w:cstheme="minorHAnsi"/>
                <w:color w:val="auto"/>
                <w:sz w:val="20"/>
                <w:szCs w:val="20"/>
              </w:rPr>
              <w:t>.</w:t>
            </w:r>
          </w:p>
        </w:tc>
        <w:tc>
          <w:tcPr>
            <w:tcW w:w="1334" w:type="pct"/>
            <w:shd w:val="clear" w:color="auto" w:fill="auto"/>
          </w:tcPr>
          <w:p w14:paraId="10E72AD9" w14:textId="737A1C2D" w:rsidR="00AD615D" w:rsidRPr="00B43D82" w:rsidRDefault="00C4585C" w:rsidP="00EE7436">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AD615D" w:rsidRPr="00B43D82">
              <w:rPr>
                <w:rFonts w:cstheme="minorHAnsi"/>
                <w:color w:val="auto"/>
                <w:sz w:val="20"/>
                <w:szCs w:val="20"/>
              </w:rPr>
              <w:t>Matches played in New Zealand</w:t>
            </w:r>
            <w:r w:rsidR="00AD615D">
              <w:rPr>
                <w:rFonts w:cstheme="minorHAnsi"/>
                <w:color w:val="auto"/>
                <w:sz w:val="20"/>
                <w:szCs w:val="20"/>
              </w:rPr>
              <w:t>.</w:t>
            </w:r>
          </w:p>
        </w:tc>
      </w:tr>
      <w:tr w:rsidR="00AD615D" w:rsidRPr="0041490A" w14:paraId="58BA1BF2"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2D03DDA1" w14:textId="77777777" w:rsidR="00AD615D" w:rsidRDefault="00AD615D" w:rsidP="00EE7436">
            <w:pPr>
              <w:spacing w:before="20" w:after="40"/>
              <w:rPr>
                <w:rFonts w:cstheme="minorHAnsi"/>
                <w:sz w:val="20"/>
                <w:szCs w:val="20"/>
              </w:rPr>
            </w:pPr>
          </w:p>
        </w:tc>
        <w:tc>
          <w:tcPr>
            <w:tcW w:w="1293" w:type="pct"/>
            <w:shd w:val="clear" w:color="auto" w:fill="auto"/>
          </w:tcPr>
          <w:p w14:paraId="164212E8" w14:textId="6BE12302" w:rsidR="00AD615D" w:rsidRPr="00E8613B" w:rsidRDefault="00AD615D" w:rsidP="00EE7436">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BD73DF">
              <w:rPr>
                <w:sz w:val="20"/>
                <w:szCs w:val="20"/>
              </w:rPr>
              <w:t>T20</w:t>
            </w:r>
            <w:r w:rsidRPr="00E8613B">
              <w:rPr>
                <w:sz w:val="20"/>
                <w:szCs w:val="20"/>
              </w:rPr>
              <w:t xml:space="preserve"> World Cup </w:t>
            </w:r>
          </w:p>
          <w:p w14:paraId="085A25A9" w14:textId="329DA725" w:rsidR="00AD615D" w:rsidRPr="00401E19" w:rsidRDefault="00AD615D" w:rsidP="00EE7436">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BD73DF">
              <w:rPr>
                <w:rFonts w:cstheme="minorHAnsi"/>
                <w:color w:val="auto"/>
                <w:sz w:val="20"/>
                <w:szCs w:val="20"/>
              </w:rPr>
              <w:t>(matches involving the SART; played in AU or New Zealand)</w:t>
            </w:r>
          </w:p>
        </w:tc>
        <w:tc>
          <w:tcPr>
            <w:tcW w:w="1583" w:type="pct"/>
            <w:shd w:val="clear" w:color="auto" w:fill="auto"/>
          </w:tcPr>
          <w:p w14:paraId="05637268" w14:textId="74A10363" w:rsidR="00AD615D" w:rsidRDefault="00B52E15" w:rsidP="00EE7436">
            <w:pPr>
              <w:spacing w:before="20" w:after="4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cstheme="minorHAnsi"/>
                <w:color w:val="auto"/>
                <w:sz w:val="20"/>
                <w:szCs w:val="20"/>
              </w:rPr>
              <w:t>No listing.</w:t>
            </w:r>
          </w:p>
        </w:tc>
        <w:tc>
          <w:tcPr>
            <w:tcW w:w="1334" w:type="pct"/>
            <w:shd w:val="clear" w:color="auto" w:fill="auto"/>
          </w:tcPr>
          <w:p w14:paraId="5328A120" w14:textId="568B3F73" w:rsidR="00AD615D" w:rsidRPr="00B43D82" w:rsidRDefault="00703715" w:rsidP="00EE7436">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Full removal.</w:t>
            </w:r>
          </w:p>
        </w:tc>
      </w:tr>
      <w:tr w:rsidR="0009237A" w:rsidRPr="0041490A" w14:paraId="29E6EB21"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tcBorders>
              <w:bottom w:val="single" w:sz="4" w:space="0" w:color="auto"/>
            </w:tcBorders>
            <w:shd w:val="clear" w:color="auto" w:fill="auto"/>
          </w:tcPr>
          <w:p w14:paraId="6D5C0248" w14:textId="77777777" w:rsidR="0009237A" w:rsidRDefault="0009237A" w:rsidP="009B26C1">
            <w:pPr>
              <w:spacing w:before="20" w:after="40"/>
              <w:rPr>
                <w:rFonts w:cstheme="minorHAnsi"/>
                <w:sz w:val="20"/>
                <w:szCs w:val="20"/>
              </w:rPr>
            </w:pPr>
          </w:p>
        </w:tc>
        <w:tc>
          <w:tcPr>
            <w:tcW w:w="1293" w:type="pct"/>
            <w:tcBorders>
              <w:bottom w:val="single" w:sz="4" w:space="0" w:color="auto"/>
            </w:tcBorders>
            <w:shd w:val="clear" w:color="auto" w:fill="auto"/>
          </w:tcPr>
          <w:p w14:paraId="7DD07059" w14:textId="6CC19CFD" w:rsidR="0009237A" w:rsidRPr="00401E19" w:rsidRDefault="0009237A"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T20</w:t>
            </w:r>
            <w:r w:rsidRPr="0009237A">
              <w:rPr>
                <w:rFonts w:ascii="Calibri" w:eastAsia="Calibri" w:hAnsi="Calibri" w:cs="Times New Roman"/>
                <w:sz w:val="20"/>
                <w:szCs w:val="20"/>
              </w:rPr>
              <w:t xml:space="preserve"> World Cup</w:t>
            </w:r>
            <w:r w:rsidR="00244BF7">
              <w:rPr>
                <w:rFonts w:ascii="Calibri" w:eastAsia="Calibri" w:hAnsi="Calibri" w:cs="Times New Roman"/>
                <w:sz w:val="20"/>
                <w:szCs w:val="20"/>
              </w:rPr>
              <w:t xml:space="preserve"> </w:t>
            </w:r>
            <w:r w:rsidR="007A03E3">
              <w:rPr>
                <w:rFonts w:ascii="Calibri" w:eastAsia="Calibri" w:hAnsi="Calibri" w:cs="Times New Roman"/>
                <w:sz w:val="20"/>
                <w:szCs w:val="20"/>
              </w:rPr>
              <w:br/>
            </w:r>
            <w:r w:rsidR="00244BF7">
              <w:rPr>
                <w:rFonts w:ascii="Calibri" w:eastAsia="Calibri" w:hAnsi="Calibri" w:cs="Times New Roman"/>
                <w:sz w:val="20"/>
                <w:szCs w:val="20"/>
              </w:rPr>
              <w:t>(final</w:t>
            </w:r>
            <w:r w:rsidR="00F96486">
              <w:rPr>
                <w:rFonts w:ascii="Calibri" w:eastAsia="Calibri" w:hAnsi="Calibri" w:cs="Times New Roman"/>
                <w:sz w:val="20"/>
                <w:szCs w:val="20"/>
              </w:rPr>
              <w:t xml:space="preserve"> </w:t>
            </w:r>
            <w:r w:rsidR="00F96486">
              <w:rPr>
                <w:rFonts w:cstheme="minorHAnsi"/>
                <w:color w:val="auto"/>
                <w:sz w:val="20"/>
                <w:szCs w:val="20"/>
              </w:rPr>
              <w:t>played in AU or New Zealand</w:t>
            </w:r>
            <w:r w:rsidR="00244BF7">
              <w:rPr>
                <w:rFonts w:ascii="Calibri" w:eastAsia="Calibri" w:hAnsi="Calibri" w:cs="Times New Roman"/>
                <w:sz w:val="20"/>
                <w:szCs w:val="20"/>
              </w:rPr>
              <w:t>)</w:t>
            </w:r>
          </w:p>
        </w:tc>
        <w:tc>
          <w:tcPr>
            <w:tcW w:w="1583" w:type="pct"/>
            <w:tcBorders>
              <w:bottom w:val="single" w:sz="4" w:space="0" w:color="auto"/>
            </w:tcBorders>
            <w:shd w:val="clear" w:color="auto" w:fill="auto"/>
          </w:tcPr>
          <w:p w14:paraId="00292175" w14:textId="77777777" w:rsidR="0009237A" w:rsidRDefault="0009237A" w:rsidP="009B26C1">
            <w:pPr>
              <w:spacing w:before="20" w:after="4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A</w:t>
            </w:r>
            <w:r w:rsidRPr="00401E19">
              <w:rPr>
                <w:rFonts w:ascii="Calibri" w:eastAsia="Calibri" w:hAnsi="Calibri" w:cs="Times New Roman"/>
                <w:sz w:val="20"/>
                <w:szCs w:val="20"/>
              </w:rPr>
              <w:t xml:space="preserve"> final played in Australia or New Zealand</w:t>
            </w:r>
            <w:r w:rsidR="00CB1D28">
              <w:rPr>
                <w:rFonts w:ascii="Calibri" w:eastAsia="Calibri" w:hAnsi="Calibri" w:cs="Times New Roman"/>
                <w:sz w:val="20"/>
                <w:szCs w:val="20"/>
              </w:rPr>
              <w:t>.</w:t>
            </w:r>
          </w:p>
          <w:p w14:paraId="407311A0" w14:textId="694838D7" w:rsidR="00510ADF" w:rsidRDefault="00510ADF" w:rsidP="009B26C1">
            <w:pPr>
              <w:spacing w:before="20" w:after="4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cstheme="minorHAnsi"/>
                <w:color w:val="auto"/>
                <w:sz w:val="20"/>
                <w:szCs w:val="20"/>
              </w:rPr>
              <w:t xml:space="preserve">Clarify </w:t>
            </w:r>
            <w:r w:rsidR="002806EB">
              <w:rPr>
                <w:rFonts w:cstheme="minorHAnsi"/>
                <w:color w:val="auto"/>
                <w:sz w:val="20"/>
                <w:szCs w:val="20"/>
              </w:rPr>
              <w:t>men’s</w:t>
            </w:r>
            <w:r>
              <w:rPr>
                <w:rFonts w:cstheme="minorHAnsi"/>
                <w:color w:val="auto"/>
                <w:sz w:val="20"/>
                <w:szCs w:val="20"/>
              </w:rPr>
              <w:t xml:space="preserve"> and </w:t>
            </w:r>
            <w:r w:rsidR="002806EB">
              <w:rPr>
                <w:rFonts w:cstheme="minorHAnsi"/>
                <w:color w:val="auto"/>
                <w:sz w:val="20"/>
                <w:szCs w:val="20"/>
              </w:rPr>
              <w:t>women’s event</w:t>
            </w:r>
            <w:r>
              <w:rPr>
                <w:rFonts w:cstheme="minorHAnsi"/>
                <w:color w:val="auto"/>
                <w:sz w:val="20"/>
                <w:szCs w:val="20"/>
              </w:rPr>
              <w:t>.</w:t>
            </w:r>
          </w:p>
        </w:tc>
        <w:tc>
          <w:tcPr>
            <w:tcW w:w="1334" w:type="pct"/>
            <w:tcBorders>
              <w:bottom w:val="single" w:sz="4" w:space="0" w:color="auto"/>
            </w:tcBorders>
            <w:shd w:val="clear" w:color="auto" w:fill="auto"/>
          </w:tcPr>
          <w:p w14:paraId="1977F461" w14:textId="00BA6513" w:rsidR="0009237A" w:rsidRPr="00B43D82" w:rsidRDefault="00C4585C"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09237A" w:rsidRPr="00B43D82">
              <w:rPr>
                <w:rFonts w:cstheme="minorHAnsi"/>
                <w:color w:val="auto"/>
                <w:sz w:val="20"/>
                <w:szCs w:val="20"/>
              </w:rPr>
              <w:t>Matches played in New Zealand</w:t>
            </w:r>
            <w:r w:rsidR="00CB1D28">
              <w:rPr>
                <w:rFonts w:cstheme="minorHAnsi"/>
                <w:color w:val="auto"/>
                <w:sz w:val="20"/>
                <w:szCs w:val="20"/>
              </w:rPr>
              <w:t>.</w:t>
            </w:r>
          </w:p>
        </w:tc>
      </w:tr>
      <w:tr w:rsidR="00257E2E" w:rsidRPr="0041490A" w14:paraId="610177E6"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val="restart"/>
            <w:shd w:val="clear" w:color="auto" w:fill="F2F2F2" w:themeFill="background1" w:themeFillShade="F2"/>
            <w:hideMark/>
          </w:tcPr>
          <w:p w14:paraId="4A04F3BA" w14:textId="77777777" w:rsidR="00257E2E" w:rsidRPr="00B43D82" w:rsidRDefault="00257E2E" w:rsidP="009B26C1">
            <w:pPr>
              <w:spacing w:before="20" w:after="40"/>
              <w:rPr>
                <w:rFonts w:cstheme="minorHAnsi"/>
                <w:sz w:val="20"/>
                <w:szCs w:val="20"/>
              </w:rPr>
            </w:pPr>
            <w:r w:rsidRPr="00B43D82">
              <w:rPr>
                <w:rFonts w:cstheme="minorHAnsi"/>
                <w:sz w:val="20"/>
                <w:szCs w:val="20"/>
              </w:rPr>
              <w:t>Soccer</w:t>
            </w:r>
          </w:p>
        </w:tc>
        <w:tc>
          <w:tcPr>
            <w:tcW w:w="1293" w:type="pct"/>
            <w:shd w:val="clear" w:color="auto" w:fill="F2F2F2" w:themeFill="background1" w:themeFillShade="F2"/>
          </w:tcPr>
          <w:p w14:paraId="1E7D5520" w14:textId="4BCC4031" w:rsidR="00257E2E" w:rsidRPr="00B43D82" w:rsidRDefault="00257E2E"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FIFA </w:t>
            </w:r>
            <w:r w:rsidR="00C52C53">
              <w:rPr>
                <w:rFonts w:cstheme="minorHAnsi"/>
                <w:color w:val="auto"/>
                <w:sz w:val="20"/>
                <w:szCs w:val="20"/>
              </w:rPr>
              <w:t>m</w:t>
            </w:r>
            <w:r w:rsidRPr="00B43D82">
              <w:rPr>
                <w:rFonts w:cstheme="minorHAnsi"/>
                <w:color w:val="auto"/>
                <w:sz w:val="20"/>
                <w:szCs w:val="20"/>
              </w:rPr>
              <w:t xml:space="preserve">en’s and </w:t>
            </w:r>
            <w:r w:rsidR="00C52C53">
              <w:rPr>
                <w:rFonts w:cstheme="minorHAnsi"/>
                <w:color w:val="auto"/>
                <w:sz w:val="20"/>
                <w:szCs w:val="20"/>
              </w:rPr>
              <w:t>w</w:t>
            </w:r>
            <w:r w:rsidRPr="00B43D82">
              <w:rPr>
                <w:rFonts w:cstheme="minorHAnsi"/>
                <w:color w:val="auto"/>
                <w:sz w:val="20"/>
                <w:szCs w:val="20"/>
              </w:rPr>
              <w:t>omen’s World Cups</w:t>
            </w:r>
          </w:p>
          <w:p w14:paraId="3B070727" w14:textId="53258AD5" w:rsidR="00257E2E" w:rsidRPr="00B43D82" w:rsidRDefault="00CC3F17" w:rsidP="00C52C53">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257E2E" w:rsidRPr="00B43D82">
              <w:rPr>
                <w:rFonts w:cstheme="minorHAnsi"/>
                <w:color w:val="auto"/>
                <w:sz w:val="20"/>
                <w:szCs w:val="20"/>
              </w:rPr>
              <w:t>match</w:t>
            </w:r>
            <w:r w:rsidR="00C52C53">
              <w:rPr>
                <w:rFonts w:cstheme="minorHAnsi"/>
                <w:color w:val="auto"/>
                <w:sz w:val="20"/>
                <w:szCs w:val="20"/>
              </w:rPr>
              <w:t>es</w:t>
            </w:r>
            <w:r w:rsidR="00257E2E" w:rsidRPr="00B43D82">
              <w:rPr>
                <w:rFonts w:cstheme="minorHAnsi"/>
                <w:color w:val="auto"/>
                <w:sz w:val="20"/>
                <w:szCs w:val="20"/>
              </w:rPr>
              <w:t xml:space="preserve"> involving the </w:t>
            </w:r>
            <w:r w:rsidR="00C52C53">
              <w:rPr>
                <w:rFonts w:cstheme="minorHAnsi"/>
                <w:color w:val="auto"/>
                <w:sz w:val="20"/>
                <w:szCs w:val="20"/>
              </w:rPr>
              <w:t>SART</w:t>
            </w:r>
            <w:r w:rsidRPr="00B43D82">
              <w:rPr>
                <w:rFonts w:cstheme="minorHAnsi"/>
                <w:color w:val="auto"/>
                <w:sz w:val="20"/>
                <w:szCs w:val="20"/>
              </w:rPr>
              <w:t>)</w:t>
            </w:r>
          </w:p>
        </w:tc>
        <w:tc>
          <w:tcPr>
            <w:tcW w:w="1583" w:type="pct"/>
            <w:shd w:val="clear" w:color="auto" w:fill="F2F2F2" w:themeFill="background1" w:themeFillShade="F2"/>
          </w:tcPr>
          <w:p w14:paraId="17AA422E" w14:textId="42260D7A" w:rsidR="00257E2E" w:rsidRPr="00B43D82" w:rsidRDefault="00257E2E"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Each match involving the </w:t>
            </w:r>
            <w:r w:rsidR="009C214B">
              <w:rPr>
                <w:rFonts w:cstheme="minorHAnsi"/>
                <w:color w:val="auto"/>
                <w:sz w:val="20"/>
                <w:szCs w:val="20"/>
              </w:rPr>
              <w:t>SART</w:t>
            </w:r>
            <w:r w:rsidRPr="00B43D82">
              <w:rPr>
                <w:rFonts w:cstheme="minorHAnsi"/>
                <w:color w:val="auto"/>
                <w:sz w:val="20"/>
                <w:szCs w:val="20"/>
              </w:rPr>
              <w:t xml:space="preserve"> and played in Australia</w:t>
            </w:r>
            <w:r w:rsidR="00B53D07">
              <w:rPr>
                <w:rFonts w:cstheme="minorHAnsi"/>
                <w:color w:val="auto"/>
                <w:sz w:val="20"/>
                <w:szCs w:val="20"/>
              </w:rPr>
              <w:t>.</w:t>
            </w:r>
          </w:p>
        </w:tc>
        <w:tc>
          <w:tcPr>
            <w:tcW w:w="1334" w:type="pct"/>
            <w:shd w:val="clear" w:color="auto" w:fill="F2F2F2" w:themeFill="background1" w:themeFillShade="F2"/>
          </w:tcPr>
          <w:p w14:paraId="79B99E79" w14:textId="622AA06E" w:rsidR="00257E2E" w:rsidRPr="00B43D82" w:rsidRDefault="00C4585C"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257E2E" w:rsidRPr="00B43D82">
              <w:rPr>
                <w:rFonts w:cstheme="minorHAnsi"/>
                <w:color w:val="auto"/>
                <w:sz w:val="20"/>
                <w:szCs w:val="20"/>
              </w:rPr>
              <w:t xml:space="preserve">Matches played outside </w:t>
            </w:r>
            <w:r w:rsidR="009C214B">
              <w:rPr>
                <w:rFonts w:cstheme="minorHAnsi"/>
                <w:color w:val="auto"/>
                <w:sz w:val="20"/>
                <w:szCs w:val="20"/>
              </w:rPr>
              <w:t>AU</w:t>
            </w:r>
            <w:r w:rsidR="00B53D07">
              <w:rPr>
                <w:rFonts w:cstheme="minorHAnsi"/>
                <w:color w:val="auto"/>
                <w:sz w:val="20"/>
                <w:szCs w:val="20"/>
              </w:rPr>
              <w:t>.</w:t>
            </w:r>
            <w:r w:rsidR="00B53D07" w:rsidRPr="00B43D82">
              <w:rPr>
                <w:rFonts w:cstheme="minorHAnsi"/>
                <w:color w:val="auto"/>
                <w:sz w:val="20"/>
                <w:szCs w:val="20"/>
              </w:rPr>
              <w:t xml:space="preserve"> </w:t>
            </w:r>
          </w:p>
        </w:tc>
      </w:tr>
      <w:tr w:rsidR="00B53D07" w:rsidRPr="0041490A" w14:paraId="4CCD7E79"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tcPr>
          <w:p w14:paraId="31A462E7" w14:textId="77777777" w:rsidR="00B53D07" w:rsidRPr="00B43D82" w:rsidRDefault="00B53D07" w:rsidP="009B26C1">
            <w:pPr>
              <w:spacing w:before="20" w:after="40"/>
              <w:rPr>
                <w:rFonts w:cstheme="minorHAnsi"/>
                <w:sz w:val="20"/>
                <w:szCs w:val="20"/>
              </w:rPr>
            </w:pPr>
          </w:p>
        </w:tc>
        <w:tc>
          <w:tcPr>
            <w:tcW w:w="1293" w:type="pct"/>
          </w:tcPr>
          <w:p w14:paraId="161D5F4C" w14:textId="77777777" w:rsidR="00B53D07" w:rsidRPr="00B43D82" w:rsidRDefault="00B53D07" w:rsidP="005708D5">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FIFA </w:t>
            </w:r>
            <w:r>
              <w:rPr>
                <w:rFonts w:cstheme="minorHAnsi"/>
                <w:color w:val="auto"/>
                <w:sz w:val="20"/>
                <w:szCs w:val="20"/>
              </w:rPr>
              <w:t>m</w:t>
            </w:r>
            <w:r w:rsidRPr="00B43D82">
              <w:rPr>
                <w:rFonts w:cstheme="minorHAnsi"/>
                <w:color w:val="auto"/>
                <w:sz w:val="20"/>
                <w:szCs w:val="20"/>
              </w:rPr>
              <w:t xml:space="preserve">en’s and </w:t>
            </w:r>
            <w:r>
              <w:rPr>
                <w:rFonts w:cstheme="minorHAnsi"/>
                <w:color w:val="auto"/>
                <w:sz w:val="20"/>
                <w:szCs w:val="20"/>
              </w:rPr>
              <w:t>w</w:t>
            </w:r>
            <w:r w:rsidRPr="00B43D82">
              <w:rPr>
                <w:rFonts w:cstheme="minorHAnsi"/>
                <w:color w:val="auto"/>
                <w:sz w:val="20"/>
                <w:szCs w:val="20"/>
              </w:rPr>
              <w:t>omen’s World Cups</w:t>
            </w:r>
          </w:p>
          <w:p w14:paraId="0A73156F" w14:textId="2098D6A0" w:rsidR="00B53D07" w:rsidRPr="00B43D82" w:rsidRDefault="00B53D07" w:rsidP="005708D5">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(final)</w:t>
            </w:r>
          </w:p>
        </w:tc>
        <w:tc>
          <w:tcPr>
            <w:tcW w:w="1583" w:type="pct"/>
          </w:tcPr>
          <w:p w14:paraId="7C09EACF" w14:textId="7690A7FD" w:rsidR="00B53D07" w:rsidRPr="00B43D82" w:rsidRDefault="00B53D07"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F</w:t>
            </w:r>
            <w:r w:rsidRPr="00B43D82">
              <w:rPr>
                <w:rFonts w:cstheme="minorHAnsi"/>
                <w:color w:val="auto"/>
                <w:sz w:val="20"/>
                <w:szCs w:val="20"/>
              </w:rPr>
              <w:t>inals played in Australia</w:t>
            </w:r>
            <w:r>
              <w:rPr>
                <w:rFonts w:cstheme="minorHAnsi"/>
                <w:color w:val="auto"/>
                <w:sz w:val="20"/>
                <w:szCs w:val="20"/>
              </w:rPr>
              <w:t>.</w:t>
            </w:r>
          </w:p>
        </w:tc>
        <w:tc>
          <w:tcPr>
            <w:tcW w:w="1334" w:type="pct"/>
          </w:tcPr>
          <w:p w14:paraId="2381FCD7" w14:textId="3881E5A5" w:rsidR="00B53D07" w:rsidRPr="00B43D82" w:rsidRDefault="00C4585C"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B53D07">
              <w:rPr>
                <w:rFonts w:cstheme="minorHAnsi"/>
                <w:color w:val="auto"/>
                <w:sz w:val="20"/>
                <w:szCs w:val="20"/>
              </w:rPr>
              <w:t>F</w:t>
            </w:r>
            <w:r w:rsidR="00B53D07" w:rsidRPr="00B43D82">
              <w:rPr>
                <w:rFonts w:cstheme="minorHAnsi"/>
                <w:color w:val="auto"/>
                <w:sz w:val="20"/>
                <w:szCs w:val="20"/>
              </w:rPr>
              <w:t xml:space="preserve">inals played outside </w:t>
            </w:r>
            <w:r w:rsidR="00B53D07">
              <w:rPr>
                <w:rFonts w:cstheme="minorHAnsi"/>
                <w:color w:val="auto"/>
                <w:sz w:val="20"/>
                <w:szCs w:val="20"/>
              </w:rPr>
              <w:t>AU</w:t>
            </w:r>
            <w:r w:rsidR="00B53D07" w:rsidRPr="00B43D82">
              <w:rPr>
                <w:rFonts w:cstheme="minorHAnsi"/>
                <w:color w:val="auto"/>
                <w:sz w:val="20"/>
                <w:szCs w:val="20"/>
              </w:rPr>
              <w:t>.</w:t>
            </w:r>
          </w:p>
        </w:tc>
      </w:tr>
      <w:tr w:rsidR="00EE7436" w:rsidRPr="0041490A" w14:paraId="0351B004"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F2F2F2" w:themeFill="background1" w:themeFillShade="F2"/>
          </w:tcPr>
          <w:p w14:paraId="15422E79" w14:textId="77777777" w:rsidR="00EE7436" w:rsidRPr="00B43D82" w:rsidRDefault="00EE7436" w:rsidP="00EE7436">
            <w:pPr>
              <w:spacing w:before="20" w:after="40"/>
              <w:rPr>
                <w:rFonts w:cstheme="minorHAnsi"/>
                <w:sz w:val="20"/>
                <w:szCs w:val="20"/>
              </w:rPr>
            </w:pPr>
          </w:p>
        </w:tc>
        <w:tc>
          <w:tcPr>
            <w:tcW w:w="1293" w:type="pct"/>
            <w:shd w:val="clear" w:color="auto" w:fill="F2F2F2" w:themeFill="background1" w:themeFillShade="F2"/>
          </w:tcPr>
          <w:p w14:paraId="26FD8CA2" w14:textId="205EA70B" w:rsidR="00EE7436" w:rsidRPr="00B43D82" w:rsidRDefault="00EE7436" w:rsidP="00EE743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FIFA men’s and women’s World Cup Qualification tournament </w:t>
            </w:r>
            <w:r>
              <w:rPr>
                <w:sz w:val="20"/>
                <w:szCs w:val="20"/>
              </w:rPr>
              <w:br/>
            </w:r>
            <w:r w:rsidRPr="00B43D82">
              <w:rPr>
                <w:rFonts w:cstheme="minorHAnsi"/>
                <w:color w:val="auto"/>
                <w:sz w:val="20"/>
                <w:szCs w:val="20"/>
              </w:rPr>
              <w:t>(match</w:t>
            </w:r>
            <w:r>
              <w:rPr>
                <w:rFonts w:cstheme="minorHAnsi"/>
                <w:color w:val="auto"/>
                <w:sz w:val="20"/>
                <w:szCs w:val="20"/>
              </w:rPr>
              <w:t>es 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p>
        </w:tc>
        <w:tc>
          <w:tcPr>
            <w:tcW w:w="1583" w:type="pct"/>
            <w:shd w:val="clear" w:color="auto" w:fill="F2F2F2" w:themeFill="background1" w:themeFillShade="F2"/>
          </w:tcPr>
          <w:p w14:paraId="6808F0ED" w14:textId="423217FD" w:rsidR="00EE7436" w:rsidRDefault="00B52E15" w:rsidP="00EE7436">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334" w:type="pct"/>
            <w:shd w:val="clear" w:color="auto" w:fill="F2F2F2" w:themeFill="background1" w:themeFillShade="F2"/>
          </w:tcPr>
          <w:p w14:paraId="3A0F9847" w14:textId="4743D8BF" w:rsidR="00EE7436" w:rsidRDefault="00703715" w:rsidP="00EE7436">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Full removal.</w:t>
            </w:r>
          </w:p>
        </w:tc>
      </w:tr>
      <w:tr w:rsidR="00257E2E" w:rsidRPr="008B433B" w14:paraId="59EDADAF"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val="restart"/>
            <w:shd w:val="clear" w:color="auto" w:fill="auto"/>
            <w:hideMark/>
          </w:tcPr>
          <w:p w14:paraId="091D488D" w14:textId="77777777" w:rsidR="00257E2E" w:rsidRPr="00B43D82" w:rsidRDefault="00257E2E" w:rsidP="009B26C1">
            <w:pPr>
              <w:spacing w:before="20" w:after="40"/>
              <w:rPr>
                <w:rFonts w:cstheme="minorHAnsi"/>
                <w:sz w:val="20"/>
                <w:szCs w:val="20"/>
              </w:rPr>
            </w:pPr>
            <w:r w:rsidRPr="00B43D82">
              <w:rPr>
                <w:rFonts w:cstheme="minorHAnsi"/>
                <w:sz w:val="20"/>
                <w:szCs w:val="20"/>
              </w:rPr>
              <w:t>Tennis</w:t>
            </w:r>
          </w:p>
        </w:tc>
        <w:tc>
          <w:tcPr>
            <w:tcW w:w="1293" w:type="pct"/>
            <w:shd w:val="clear" w:color="auto" w:fill="auto"/>
            <w:hideMark/>
          </w:tcPr>
          <w:p w14:paraId="07069045" w14:textId="00D853B2" w:rsidR="00257E2E" w:rsidRPr="00B43D82" w:rsidRDefault="00257E2E"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Australian Open</w:t>
            </w:r>
          </w:p>
          <w:p w14:paraId="4374EBEA" w14:textId="5C825CB5" w:rsidR="00257E2E" w:rsidRPr="00B43D82" w:rsidRDefault="00257E2E" w:rsidP="00B43D82">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C52C53">
              <w:rPr>
                <w:rFonts w:cstheme="minorHAnsi"/>
                <w:color w:val="auto"/>
                <w:sz w:val="20"/>
                <w:szCs w:val="20"/>
              </w:rPr>
              <w:t>e</w:t>
            </w:r>
            <w:r w:rsidRPr="00B43D82">
              <w:rPr>
                <w:rFonts w:cstheme="minorHAnsi"/>
                <w:color w:val="auto"/>
                <w:sz w:val="20"/>
                <w:szCs w:val="20"/>
              </w:rPr>
              <w:t>ntire event)</w:t>
            </w:r>
          </w:p>
        </w:tc>
        <w:tc>
          <w:tcPr>
            <w:tcW w:w="1583" w:type="pct"/>
            <w:shd w:val="clear" w:color="auto" w:fill="auto"/>
          </w:tcPr>
          <w:p w14:paraId="778B4DAA" w14:textId="0CF9D0F8" w:rsidR="00257E2E" w:rsidRPr="00B43D82" w:rsidRDefault="00C52C53"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M</w:t>
            </w:r>
            <w:r w:rsidR="00257E2E" w:rsidRPr="00B43D82">
              <w:rPr>
                <w:rFonts w:cstheme="minorHAnsi"/>
                <w:color w:val="auto"/>
                <w:sz w:val="20"/>
                <w:szCs w:val="20"/>
              </w:rPr>
              <w:t xml:space="preserve">en’s and </w:t>
            </w:r>
            <w:r>
              <w:rPr>
                <w:rFonts w:cstheme="minorHAnsi"/>
                <w:color w:val="auto"/>
                <w:sz w:val="20"/>
                <w:szCs w:val="20"/>
              </w:rPr>
              <w:t>w</w:t>
            </w:r>
            <w:r w:rsidR="00257E2E" w:rsidRPr="00B43D82">
              <w:rPr>
                <w:rFonts w:cstheme="minorHAnsi"/>
                <w:color w:val="auto"/>
                <w:sz w:val="20"/>
                <w:szCs w:val="20"/>
              </w:rPr>
              <w:t>omen’s singles finals.</w:t>
            </w:r>
          </w:p>
          <w:p w14:paraId="362F74E9" w14:textId="11A4122E" w:rsidR="00257E2E" w:rsidRPr="00B43D82" w:rsidRDefault="00257E2E"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Men’s and women’s singles matches played in the main two stadia of the tournament after 7:00 pm Australian Eastern Daylight Time (AEDT).</w:t>
            </w:r>
          </w:p>
        </w:tc>
        <w:tc>
          <w:tcPr>
            <w:tcW w:w="1334" w:type="pct"/>
            <w:shd w:val="clear" w:color="auto" w:fill="auto"/>
          </w:tcPr>
          <w:p w14:paraId="55A4D5C0" w14:textId="3AC06520" w:rsidR="00257E2E" w:rsidRPr="00B43D82" w:rsidRDefault="00C4585C"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257E2E" w:rsidRPr="00B43D82">
              <w:rPr>
                <w:rFonts w:cstheme="minorHAnsi"/>
                <w:color w:val="auto"/>
                <w:sz w:val="20"/>
                <w:szCs w:val="20"/>
              </w:rPr>
              <w:t>All matches other than men’s and women’s singles events.</w:t>
            </w:r>
          </w:p>
          <w:p w14:paraId="0DB45355" w14:textId="3E609790" w:rsidR="00257E2E" w:rsidRPr="00B43D82" w:rsidRDefault="00257E2E"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A men’s or women’s singles match other than:</w:t>
            </w:r>
            <w:r w:rsidRPr="00B43D82">
              <w:rPr>
                <w:rFonts w:cstheme="minorHAnsi"/>
                <w:color w:val="auto"/>
                <w:sz w:val="20"/>
                <w:szCs w:val="20"/>
              </w:rPr>
              <w:br/>
              <w:t>- a final</w:t>
            </w:r>
            <w:r w:rsidRPr="00B43D82">
              <w:rPr>
                <w:rFonts w:cstheme="minorHAnsi"/>
                <w:color w:val="auto"/>
                <w:sz w:val="20"/>
                <w:szCs w:val="20"/>
              </w:rPr>
              <w:br/>
              <w:t>- matches not played in the two main stadia after 7:00 pm AEDT.</w:t>
            </w:r>
          </w:p>
        </w:tc>
      </w:tr>
      <w:tr w:rsidR="00AD615D" w:rsidRPr="008B433B" w14:paraId="10D22E97"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2E1EB591" w14:textId="77777777" w:rsidR="00AD615D" w:rsidRPr="00B43D82" w:rsidRDefault="00AD615D" w:rsidP="00BD73DF">
            <w:pPr>
              <w:spacing w:before="20" w:after="40"/>
              <w:rPr>
                <w:rFonts w:cstheme="minorHAnsi"/>
                <w:sz w:val="20"/>
                <w:szCs w:val="20"/>
              </w:rPr>
            </w:pPr>
          </w:p>
        </w:tc>
        <w:tc>
          <w:tcPr>
            <w:tcW w:w="1293" w:type="pct"/>
            <w:shd w:val="clear" w:color="auto" w:fill="auto"/>
          </w:tcPr>
          <w:p w14:paraId="6B284C85" w14:textId="102B818B" w:rsidR="00AD615D" w:rsidRPr="00B43D82" w:rsidRDefault="00AD615D" w:rsidP="00BD73DF">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Davis Cup </w:t>
            </w:r>
            <w:r>
              <w:rPr>
                <w:sz w:val="20"/>
                <w:szCs w:val="20"/>
              </w:rPr>
              <w:br/>
              <w:t>(</w:t>
            </w:r>
            <w:r w:rsidR="004D65AF" w:rsidRPr="004D65AF">
              <w:rPr>
                <w:sz w:val="20"/>
                <w:szCs w:val="20"/>
              </w:rPr>
              <w:t>each match in each tie</w:t>
            </w:r>
            <w:r w:rsidR="004D65AF" w:rsidRPr="004D65AF" w:rsidDel="004D65AF">
              <w:rPr>
                <w:sz w:val="20"/>
                <w:szCs w:val="20"/>
              </w:rPr>
              <w:t xml:space="preserve"> </w:t>
            </w:r>
            <w:r>
              <w:rPr>
                <w:rFonts w:cstheme="minorHAnsi"/>
                <w:color w:val="auto"/>
                <w:sz w:val="20"/>
                <w:szCs w:val="20"/>
              </w:rPr>
              <w:t>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p>
        </w:tc>
        <w:tc>
          <w:tcPr>
            <w:tcW w:w="1583" w:type="pct"/>
            <w:shd w:val="clear" w:color="auto" w:fill="auto"/>
          </w:tcPr>
          <w:p w14:paraId="040C8A26" w14:textId="618FC65B" w:rsidR="00AD615D" w:rsidRDefault="00B52E15" w:rsidP="00BD73DF">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334" w:type="pct"/>
            <w:shd w:val="clear" w:color="auto" w:fill="auto"/>
          </w:tcPr>
          <w:p w14:paraId="701C82C8" w14:textId="2DF937B8" w:rsidR="00AD615D" w:rsidRPr="00B43D82" w:rsidRDefault="00703715" w:rsidP="00BD73DF">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Full removal.</w:t>
            </w:r>
          </w:p>
        </w:tc>
      </w:tr>
      <w:tr w:rsidR="00AD615D" w:rsidRPr="008B433B" w14:paraId="11F3FBE9"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tcBorders>
              <w:bottom w:val="single" w:sz="4" w:space="0" w:color="auto"/>
            </w:tcBorders>
            <w:shd w:val="clear" w:color="auto" w:fill="auto"/>
          </w:tcPr>
          <w:p w14:paraId="10BD6268" w14:textId="77777777" w:rsidR="00AD615D" w:rsidRPr="00B43D82" w:rsidRDefault="00AD615D" w:rsidP="00BD73DF">
            <w:pPr>
              <w:spacing w:before="20" w:after="40"/>
              <w:rPr>
                <w:rFonts w:cstheme="minorHAnsi"/>
                <w:sz w:val="20"/>
                <w:szCs w:val="20"/>
              </w:rPr>
            </w:pPr>
          </w:p>
        </w:tc>
        <w:tc>
          <w:tcPr>
            <w:tcW w:w="1293" w:type="pct"/>
            <w:tcBorders>
              <w:bottom w:val="single" w:sz="4" w:space="0" w:color="auto"/>
            </w:tcBorders>
            <w:shd w:val="clear" w:color="auto" w:fill="auto"/>
          </w:tcPr>
          <w:p w14:paraId="301DE198" w14:textId="77777777" w:rsidR="00AD615D" w:rsidRDefault="00AD615D" w:rsidP="00BD73DF">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Davis Cup </w:t>
            </w:r>
          </w:p>
          <w:p w14:paraId="4C74E92D" w14:textId="78635DB7" w:rsidR="00AD615D" w:rsidRPr="00B43D82" w:rsidRDefault="00AD615D" w:rsidP="00BD73DF">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sz w:val="20"/>
                <w:szCs w:val="20"/>
              </w:rPr>
              <w:t>(final involving the SART)</w:t>
            </w:r>
          </w:p>
        </w:tc>
        <w:tc>
          <w:tcPr>
            <w:tcW w:w="1583" w:type="pct"/>
            <w:tcBorders>
              <w:bottom w:val="single" w:sz="4" w:space="0" w:color="auto"/>
            </w:tcBorders>
            <w:shd w:val="clear" w:color="auto" w:fill="auto"/>
          </w:tcPr>
          <w:p w14:paraId="3C22426F" w14:textId="24318E09" w:rsidR="00AD615D" w:rsidRDefault="00B52E15" w:rsidP="00BD73DF">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334" w:type="pct"/>
            <w:tcBorders>
              <w:bottom w:val="single" w:sz="4" w:space="0" w:color="auto"/>
            </w:tcBorders>
            <w:shd w:val="clear" w:color="auto" w:fill="auto"/>
          </w:tcPr>
          <w:p w14:paraId="095B630F" w14:textId="156AF5AD" w:rsidR="00AD615D" w:rsidRPr="00B43D82" w:rsidRDefault="00703715" w:rsidP="00BD73DF">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Full removal.</w:t>
            </w:r>
          </w:p>
        </w:tc>
      </w:tr>
      <w:tr w:rsidR="00257E2E" w:rsidRPr="0041490A" w14:paraId="47FC4217" w14:textId="77777777" w:rsidTr="00163723">
        <w:trPr>
          <w:cantSplit/>
        </w:trPr>
        <w:tc>
          <w:tcPr>
            <w:cnfStyle w:val="001000000000" w:firstRow="0" w:lastRow="0" w:firstColumn="1" w:lastColumn="0" w:oddVBand="0" w:evenVBand="0" w:oddHBand="0" w:evenHBand="0" w:firstRowFirstColumn="0" w:firstRowLastColumn="0" w:lastRowFirstColumn="0" w:lastRowLastColumn="0"/>
            <w:tcW w:w="790" w:type="pct"/>
            <w:vMerge w:val="restart"/>
            <w:shd w:val="clear" w:color="auto" w:fill="F2F2F2" w:themeFill="background1" w:themeFillShade="F2"/>
            <w:hideMark/>
          </w:tcPr>
          <w:p w14:paraId="0E2CE932" w14:textId="77777777" w:rsidR="00257E2E" w:rsidRPr="00B43D82" w:rsidRDefault="00257E2E" w:rsidP="009B26C1">
            <w:pPr>
              <w:spacing w:before="20" w:after="40"/>
              <w:rPr>
                <w:rFonts w:cstheme="minorHAnsi"/>
                <w:b w:val="0"/>
                <w:sz w:val="20"/>
                <w:szCs w:val="20"/>
              </w:rPr>
            </w:pPr>
            <w:r w:rsidRPr="00B43D82">
              <w:rPr>
                <w:rFonts w:cstheme="minorHAnsi"/>
                <w:sz w:val="20"/>
                <w:szCs w:val="20"/>
              </w:rPr>
              <w:t>Netball</w:t>
            </w:r>
          </w:p>
          <w:p w14:paraId="6BFAD5BD" w14:textId="77777777" w:rsidR="00257E2E" w:rsidRPr="00B43D82" w:rsidRDefault="00257E2E" w:rsidP="009B26C1">
            <w:pPr>
              <w:spacing w:before="20" w:after="40"/>
              <w:rPr>
                <w:rFonts w:cstheme="minorHAnsi"/>
                <w:sz w:val="20"/>
                <w:szCs w:val="20"/>
              </w:rPr>
            </w:pPr>
          </w:p>
        </w:tc>
        <w:tc>
          <w:tcPr>
            <w:tcW w:w="1293" w:type="pct"/>
            <w:shd w:val="clear" w:color="auto" w:fill="F2F2F2" w:themeFill="background1" w:themeFillShade="F2"/>
            <w:hideMark/>
          </w:tcPr>
          <w:p w14:paraId="64BCE6EE" w14:textId="1F138101" w:rsidR="00257E2E" w:rsidRPr="00B43D82" w:rsidRDefault="00257E2E" w:rsidP="00B43D82">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Netball World Cup</w:t>
            </w:r>
          </w:p>
          <w:p w14:paraId="10E6A4CE" w14:textId="0DE330F6" w:rsidR="00257E2E" w:rsidRPr="00B43D82" w:rsidRDefault="00CC3F17" w:rsidP="00C52C53">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257E2E" w:rsidRPr="00B43D82">
              <w:rPr>
                <w:rFonts w:cstheme="minorHAnsi"/>
                <w:color w:val="auto"/>
                <w:sz w:val="20"/>
                <w:szCs w:val="20"/>
              </w:rPr>
              <w:t xml:space="preserve">semi-final involving the </w:t>
            </w:r>
            <w:r w:rsidR="00C52C53">
              <w:rPr>
                <w:rFonts w:cstheme="minorHAnsi"/>
                <w:color w:val="auto"/>
                <w:sz w:val="20"/>
                <w:szCs w:val="20"/>
              </w:rPr>
              <w:t>SART)</w:t>
            </w:r>
          </w:p>
        </w:tc>
        <w:tc>
          <w:tcPr>
            <w:tcW w:w="1583" w:type="pct"/>
            <w:shd w:val="clear" w:color="auto" w:fill="F2F2F2" w:themeFill="background1" w:themeFillShade="F2"/>
          </w:tcPr>
          <w:p w14:paraId="2A42FB6E" w14:textId="5FDA0231" w:rsidR="00257E2E" w:rsidRPr="00B43D82" w:rsidRDefault="00C52C53"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S</w:t>
            </w:r>
            <w:r w:rsidR="00257E2E" w:rsidRPr="00B43D82">
              <w:rPr>
                <w:rFonts w:cstheme="minorHAnsi"/>
                <w:color w:val="auto"/>
                <w:sz w:val="20"/>
                <w:szCs w:val="20"/>
              </w:rPr>
              <w:t xml:space="preserve">emi-final involving the </w:t>
            </w:r>
            <w:r w:rsidR="009C214B">
              <w:rPr>
                <w:rFonts w:cstheme="minorHAnsi"/>
                <w:color w:val="auto"/>
                <w:sz w:val="20"/>
                <w:szCs w:val="20"/>
              </w:rPr>
              <w:t>SART</w:t>
            </w:r>
            <w:r w:rsidR="00257E2E" w:rsidRPr="00B43D82">
              <w:rPr>
                <w:rFonts w:cstheme="minorHAnsi"/>
                <w:color w:val="auto"/>
                <w:sz w:val="20"/>
                <w:szCs w:val="20"/>
              </w:rPr>
              <w:t xml:space="preserve"> and played in </w:t>
            </w:r>
            <w:r>
              <w:rPr>
                <w:rFonts w:cstheme="minorHAnsi"/>
                <w:color w:val="auto"/>
                <w:sz w:val="20"/>
                <w:szCs w:val="20"/>
              </w:rPr>
              <w:t>AU</w:t>
            </w:r>
            <w:r w:rsidR="00257E2E" w:rsidRPr="00B43D82">
              <w:rPr>
                <w:rFonts w:cstheme="minorHAnsi"/>
                <w:color w:val="auto"/>
                <w:sz w:val="20"/>
                <w:szCs w:val="20"/>
              </w:rPr>
              <w:t xml:space="preserve">. </w:t>
            </w:r>
          </w:p>
          <w:p w14:paraId="7B4D3119" w14:textId="72F7868E" w:rsidR="00257E2E" w:rsidRPr="00B43D82" w:rsidRDefault="00257E2E"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tcW w:w="1334" w:type="pct"/>
            <w:shd w:val="clear" w:color="auto" w:fill="F2F2F2" w:themeFill="background1" w:themeFillShade="F2"/>
          </w:tcPr>
          <w:p w14:paraId="5B618A1C" w14:textId="79692771" w:rsidR="00257E2E" w:rsidRPr="00B43D82" w:rsidRDefault="00C4585C" w:rsidP="009B26C1">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257E2E" w:rsidRPr="00B43D82">
              <w:rPr>
                <w:rFonts w:cstheme="minorHAnsi"/>
                <w:color w:val="auto"/>
                <w:sz w:val="20"/>
                <w:szCs w:val="20"/>
              </w:rPr>
              <w:t>Semi-finals</w:t>
            </w:r>
            <w:r w:rsidR="00C52C53">
              <w:rPr>
                <w:rFonts w:cstheme="minorHAnsi"/>
                <w:color w:val="auto"/>
                <w:sz w:val="20"/>
                <w:szCs w:val="20"/>
              </w:rPr>
              <w:t xml:space="preserve"> </w:t>
            </w:r>
            <w:r w:rsidR="00257E2E" w:rsidRPr="00B43D82">
              <w:rPr>
                <w:rFonts w:cstheme="minorHAnsi"/>
                <w:color w:val="auto"/>
                <w:sz w:val="20"/>
                <w:szCs w:val="20"/>
              </w:rPr>
              <w:t xml:space="preserve">played outside </w:t>
            </w:r>
            <w:r w:rsidR="009C214B">
              <w:rPr>
                <w:rFonts w:cstheme="minorHAnsi"/>
                <w:color w:val="auto"/>
                <w:sz w:val="20"/>
                <w:szCs w:val="20"/>
              </w:rPr>
              <w:t>AU</w:t>
            </w:r>
            <w:r w:rsidR="00257E2E" w:rsidRPr="00B43D82">
              <w:rPr>
                <w:rFonts w:cstheme="minorHAnsi"/>
                <w:color w:val="auto"/>
                <w:sz w:val="20"/>
                <w:szCs w:val="20"/>
              </w:rPr>
              <w:t xml:space="preserve">. </w:t>
            </w:r>
          </w:p>
        </w:tc>
      </w:tr>
      <w:tr w:rsidR="00B53D07" w:rsidRPr="0041490A" w14:paraId="1A7A19B1" w14:textId="77777777" w:rsidTr="007865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tcPr>
          <w:p w14:paraId="1B1227BE" w14:textId="77777777" w:rsidR="00B53D07" w:rsidRPr="00B43D82" w:rsidRDefault="00B53D07" w:rsidP="009B26C1">
            <w:pPr>
              <w:spacing w:before="20" w:after="40"/>
              <w:rPr>
                <w:rFonts w:cstheme="minorHAnsi"/>
                <w:sz w:val="20"/>
                <w:szCs w:val="20"/>
              </w:rPr>
            </w:pPr>
          </w:p>
        </w:tc>
        <w:tc>
          <w:tcPr>
            <w:tcW w:w="1293" w:type="pct"/>
          </w:tcPr>
          <w:p w14:paraId="73450285" w14:textId="77777777" w:rsidR="00B53D07" w:rsidRPr="00B43D82" w:rsidRDefault="00B53D07" w:rsidP="00B53D0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Netball World Cup</w:t>
            </w:r>
          </w:p>
          <w:p w14:paraId="228B7253" w14:textId="61D396EA" w:rsidR="00B53D07" w:rsidRPr="00B43D82" w:rsidRDefault="00B53D07" w:rsidP="00B53D0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 xml:space="preserve">a final </w:t>
            </w:r>
            <w:r w:rsidRPr="00B43D82">
              <w:rPr>
                <w:rFonts w:cstheme="minorHAnsi"/>
                <w:color w:val="auto"/>
                <w:sz w:val="20"/>
                <w:szCs w:val="20"/>
              </w:rPr>
              <w:t xml:space="preserve">involving the </w:t>
            </w:r>
            <w:r>
              <w:rPr>
                <w:rFonts w:cstheme="minorHAnsi"/>
                <w:color w:val="auto"/>
                <w:sz w:val="20"/>
                <w:szCs w:val="20"/>
              </w:rPr>
              <w:t>SART)</w:t>
            </w:r>
          </w:p>
        </w:tc>
        <w:tc>
          <w:tcPr>
            <w:tcW w:w="1583" w:type="pct"/>
          </w:tcPr>
          <w:p w14:paraId="5AADACDF" w14:textId="0BF733B0" w:rsidR="00B53D07" w:rsidRDefault="00B53D07"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Final </w:t>
            </w:r>
            <w:r w:rsidRPr="00B43D82">
              <w:rPr>
                <w:rFonts w:cstheme="minorHAnsi"/>
                <w:color w:val="auto"/>
                <w:sz w:val="20"/>
                <w:szCs w:val="20"/>
              </w:rPr>
              <w:t xml:space="preserve">involving the </w:t>
            </w:r>
            <w:r>
              <w:rPr>
                <w:rFonts w:cstheme="minorHAnsi"/>
                <w:color w:val="auto"/>
                <w:sz w:val="20"/>
                <w:szCs w:val="20"/>
              </w:rPr>
              <w:t>SART</w:t>
            </w:r>
            <w:r w:rsidRPr="00B43D82">
              <w:rPr>
                <w:rFonts w:cstheme="minorHAnsi"/>
                <w:color w:val="auto"/>
                <w:sz w:val="20"/>
                <w:szCs w:val="20"/>
              </w:rPr>
              <w:t xml:space="preserve"> and played in </w:t>
            </w:r>
            <w:r>
              <w:rPr>
                <w:rFonts w:cstheme="minorHAnsi"/>
                <w:color w:val="auto"/>
                <w:sz w:val="20"/>
                <w:szCs w:val="20"/>
              </w:rPr>
              <w:t>AU</w:t>
            </w:r>
            <w:r w:rsidRPr="00B43D82">
              <w:rPr>
                <w:rFonts w:cstheme="minorHAnsi"/>
                <w:color w:val="auto"/>
                <w:sz w:val="20"/>
                <w:szCs w:val="20"/>
              </w:rPr>
              <w:t xml:space="preserve">. </w:t>
            </w:r>
          </w:p>
        </w:tc>
        <w:tc>
          <w:tcPr>
            <w:tcW w:w="1334" w:type="pct"/>
          </w:tcPr>
          <w:p w14:paraId="53CDD53B" w14:textId="43322687" w:rsidR="00B53D07" w:rsidRPr="00B43D82" w:rsidRDefault="00C4585C" w:rsidP="009B26C1">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Removal: </w:t>
            </w:r>
            <w:r w:rsidR="00B53D07">
              <w:rPr>
                <w:rFonts w:cstheme="minorHAnsi"/>
                <w:color w:val="auto"/>
                <w:sz w:val="20"/>
                <w:szCs w:val="20"/>
              </w:rPr>
              <w:t>F</w:t>
            </w:r>
            <w:r w:rsidR="00B53D07" w:rsidRPr="00B43D82">
              <w:rPr>
                <w:rFonts w:cstheme="minorHAnsi"/>
                <w:color w:val="auto"/>
                <w:sz w:val="20"/>
                <w:szCs w:val="20"/>
              </w:rPr>
              <w:t>inals</w:t>
            </w:r>
            <w:r w:rsidR="00B53D07">
              <w:rPr>
                <w:rFonts w:cstheme="minorHAnsi"/>
                <w:color w:val="auto"/>
                <w:sz w:val="20"/>
                <w:szCs w:val="20"/>
              </w:rPr>
              <w:t xml:space="preserve"> </w:t>
            </w:r>
            <w:r w:rsidR="00B53D07" w:rsidRPr="00B43D82">
              <w:rPr>
                <w:rFonts w:cstheme="minorHAnsi"/>
                <w:color w:val="auto"/>
                <w:sz w:val="20"/>
                <w:szCs w:val="20"/>
              </w:rPr>
              <w:t xml:space="preserve">played outside </w:t>
            </w:r>
            <w:r w:rsidR="00B53D07">
              <w:rPr>
                <w:rFonts w:cstheme="minorHAnsi"/>
                <w:color w:val="auto"/>
                <w:sz w:val="20"/>
                <w:szCs w:val="20"/>
              </w:rPr>
              <w:t>AU</w:t>
            </w:r>
            <w:r w:rsidR="00B53D07" w:rsidRPr="00B43D82">
              <w:rPr>
                <w:rFonts w:cstheme="minorHAnsi"/>
                <w:color w:val="auto"/>
                <w:sz w:val="20"/>
                <w:szCs w:val="20"/>
              </w:rPr>
              <w:t>.</w:t>
            </w:r>
          </w:p>
        </w:tc>
      </w:tr>
      <w:tr w:rsidR="00BD73DF" w:rsidRPr="0041490A" w14:paraId="60B3ECB0" w14:textId="77777777" w:rsidTr="00786567">
        <w:trPr>
          <w:cantSplit/>
        </w:trPr>
        <w:tc>
          <w:tcPr>
            <w:cnfStyle w:val="001000000000" w:firstRow="0" w:lastRow="0" w:firstColumn="1" w:lastColumn="0" w:oddVBand="0" w:evenVBand="0" w:oddHBand="0" w:evenHBand="0" w:firstRowFirstColumn="0" w:firstRowLastColumn="0" w:lastRowFirstColumn="0" w:lastRowLastColumn="0"/>
            <w:tcW w:w="790" w:type="pct"/>
            <w:vMerge w:val="restart"/>
            <w:shd w:val="clear" w:color="auto" w:fill="auto"/>
          </w:tcPr>
          <w:p w14:paraId="6CC6975B" w14:textId="551D4538" w:rsidR="00BD73DF" w:rsidRPr="00B43D82" w:rsidRDefault="00BD73DF" w:rsidP="00BD73DF">
            <w:pPr>
              <w:spacing w:before="20" w:after="40"/>
              <w:rPr>
                <w:rFonts w:cstheme="minorHAnsi"/>
                <w:sz w:val="20"/>
                <w:szCs w:val="20"/>
              </w:rPr>
            </w:pPr>
            <w:r>
              <w:rPr>
                <w:rFonts w:cstheme="minorHAnsi"/>
                <w:sz w:val="20"/>
                <w:szCs w:val="20"/>
              </w:rPr>
              <w:t>Motor Sports</w:t>
            </w:r>
          </w:p>
        </w:tc>
        <w:tc>
          <w:tcPr>
            <w:tcW w:w="1293" w:type="pct"/>
            <w:shd w:val="clear" w:color="auto" w:fill="auto"/>
          </w:tcPr>
          <w:p w14:paraId="19A97B44" w14:textId="4CE01C95" w:rsidR="00BD73DF" w:rsidRPr="00B43D82" w:rsidRDefault="00BD73DF" w:rsidP="00BD73DF">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Formula One </w:t>
            </w:r>
            <w:r w:rsidRPr="00BD73DF">
              <w:rPr>
                <w:sz w:val="20"/>
                <w:szCs w:val="20"/>
              </w:rPr>
              <w:t xml:space="preserve">World Championship </w:t>
            </w:r>
            <w:r>
              <w:rPr>
                <w:sz w:val="20"/>
                <w:szCs w:val="20"/>
              </w:rPr>
              <w:t>– Grand Prix (held in AU)</w:t>
            </w:r>
          </w:p>
        </w:tc>
        <w:tc>
          <w:tcPr>
            <w:tcW w:w="1583" w:type="pct"/>
            <w:shd w:val="clear" w:color="auto" w:fill="auto"/>
          </w:tcPr>
          <w:p w14:paraId="15EAA743" w14:textId="3FC320E2" w:rsidR="00BD73DF" w:rsidRDefault="00BD73DF" w:rsidP="00BD73DF">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Formula One </w:t>
            </w:r>
            <w:r w:rsidRPr="00BD73DF">
              <w:rPr>
                <w:sz w:val="20"/>
                <w:szCs w:val="20"/>
              </w:rPr>
              <w:t xml:space="preserve">World Championship </w:t>
            </w:r>
            <w:r>
              <w:rPr>
                <w:sz w:val="20"/>
                <w:szCs w:val="20"/>
              </w:rPr>
              <w:t>– Grand Prix (held in AU)</w:t>
            </w:r>
          </w:p>
        </w:tc>
        <w:tc>
          <w:tcPr>
            <w:tcW w:w="1334" w:type="pct"/>
            <w:shd w:val="clear" w:color="auto" w:fill="auto"/>
          </w:tcPr>
          <w:p w14:paraId="661F7AB9" w14:textId="7F557ECE" w:rsidR="00BD73DF" w:rsidRDefault="00BD73DF" w:rsidP="00BD73DF">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8C44EE">
              <w:rPr>
                <w:rFonts w:cstheme="minorHAnsi"/>
                <w:color w:val="auto"/>
                <w:sz w:val="20"/>
                <w:szCs w:val="20"/>
              </w:rPr>
              <w:t>No change.</w:t>
            </w:r>
          </w:p>
        </w:tc>
      </w:tr>
      <w:tr w:rsidR="00BD73DF" w:rsidRPr="0041490A" w14:paraId="01C7D306" w14:textId="77777777" w:rsidTr="007865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0A5EFE34" w14:textId="77777777" w:rsidR="00BD73DF" w:rsidRPr="00B43D82" w:rsidRDefault="00BD73DF" w:rsidP="00BD73DF">
            <w:pPr>
              <w:spacing w:before="20" w:after="40"/>
              <w:rPr>
                <w:rFonts w:cstheme="minorHAnsi"/>
                <w:sz w:val="20"/>
                <w:szCs w:val="20"/>
              </w:rPr>
            </w:pPr>
          </w:p>
        </w:tc>
        <w:tc>
          <w:tcPr>
            <w:tcW w:w="1293" w:type="pct"/>
            <w:shd w:val="clear" w:color="auto" w:fill="auto"/>
          </w:tcPr>
          <w:p w14:paraId="647C17D0" w14:textId="2906BB74" w:rsidR="00BD73DF" w:rsidRDefault="00BD73DF" w:rsidP="00BD73DF">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MotoGP </w:t>
            </w:r>
            <w:r w:rsidRPr="00BD73DF">
              <w:rPr>
                <w:sz w:val="20"/>
                <w:szCs w:val="20"/>
              </w:rPr>
              <w:t>World Championship</w:t>
            </w:r>
            <w:r w:rsidR="00F96486">
              <w:rPr>
                <w:sz w:val="20"/>
                <w:szCs w:val="20"/>
              </w:rPr>
              <w:t xml:space="preserve"> </w:t>
            </w:r>
            <w:r w:rsidR="00F96486" w:rsidRPr="00F96486">
              <w:rPr>
                <w:sz w:val="20"/>
                <w:szCs w:val="20"/>
              </w:rPr>
              <w:t>- Grand Prix</w:t>
            </w:r>
          </w:p>
          <w:p w14:paraId="794ACAF5" w14:textId="24338347" w:rsidR="00BD73DF" w:rsidRPr="00B43D82" w:rsidRDefault="00BD73DF" w:rsidP="00BD73DF">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sz w:val="20"/>
                <w:szCs w:val="20"/>
              </w:rPr>
              <w:t>(held in Australia)</w:t>
            </w:r>
          </w:p>
        </w:tc>
        <w:tc>
          <w:tcPr>
            <w:tcW w:w="1583" w:type="pct"/>
            <w:shd w:val="clear" w:color="auto" w:fill="auto"/>
          </w:tcPr>
          <w:p w14:paraId="3BD16355" w14:textId="77777777" w:rsidR="00BD73DF" w:rsidRDefault="00BD73DF" w:rsidP="00E8613B">
            <w:pPr>
              <w:spacing w:before="20" w:after="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MotoGP </w:t>
            </w:r>
            <w:r w:rsidRPr="00BD73DF">
              <w:rPr>
                <w:sz w:val="20"/>
                <w:szCs w:val="20"/>
              </w:rPr>
              <w:t>World Championship</w:t>
            </w:r>
          </w:p>
          <w:p w14:paraId="45591071" w14:textId="71D8F6A4" w:rsidR="00BD73DF" w:rsidRDefault="00BD73DF" w:rsidP="00BD73DF">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sz w:val="20"/>
                <w:szCs w:val="20"/>
              </w:rPr>
              <w:t xml:space="preserve">(held in </w:t>
            </w:r>
            <w:r w:rsidR="0040107C">
              <w:rPr>
                <w:sz w:val="20"/>
                <w:szCs w:val="20"/>
              </w:rPr>
              <w:t>AU</w:t>
            </w:r>
            <w:r>
              <w:rPr>
                <w:sz w:val="20"/>
                <w:szCs w:val="20"/>
              </w:rPr>
              <w:t>)</w:t>
            </w:r>
          </w:p>
        </w:tc>
        <w:tc>
          <w:tcPr>
            <w:tcW w:w="1334" w:type="pct"/>
            <w:shd w:val="clear" w:color="auto" w:fill="auto"/>
          </w:tcPr>
          <w:p w14:paraId="04D88736" w14:textId="0DEEA5DE" w:rsidR="00BD73DF" w:rsidRDefault="00BD73DF" w:rsidP="00BD73DF">
            <w:pPr>
              <w:spacing w:before="2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8C44EE">
              <w:rPr>
                <w:rFonts w:cstheme="minorHAnsi"/>
                <w:color w:val="auto"/>
                <w:sz w:val="20"/>
                <w:szCs w:val="20"/>
              </w:rPr>
              <w:t>No change.</w:t>
            </w:r>
          </w:p>
        </w:tc>
      </w:tr>
      <w:tr w:rsidR="00BD73DF" w:rsidRPr="0041490A" w14:paraId="0B74C848" w14:textId="77777777" w:rsidTr="00786567">
        <w:trPr>
          <w:cantSplit/>
        </w:trPr>
        <w:tc>
          <w:tcPr>
            <w:cnfStyle w:val="001000000000" w:firstRow="0" w:lastRow="0" w:firstColumn="1" w:lastColumn="0" w:oddVBand="0" w:evenVBand="0" w:oddHBand="0" w:evenHBand="0" w:firstRowFirstColumn="0" w:firstRowLastColumn="0" w:lastRowFirstColumn="0" w:lastRowLastColumn="0"/>
            <w:tcW w:w="790" w:type="pct"/>
            <w:vMerge/>
            <w:shd w:val="clear" w:color="auto" w:fill="auto"/>
          </w:tcPr>
          <w:p w14:paraId="08D509A2" w14:textId="77777777" w:rsidR="00BD73DF" w:rsidRPr="00B43D82" w:rsidRDefault="00BD73DF" w:rsidP="00BD73DF">
            <w:pPr>
              <w:spacing w:before="20" w:after="40"/>
              <w:rPr>
                <w:rFonts w:cstheme="minorHAnsi"/>
                <w:sz w:val="20"/>
                <w:szCs w:val="20"/>
              </w:rPr>
            </w:pPr>
          </w:p>
        </w:tc>
        <w:tc>
          <w:tcPr>
            <w:tcW w:w="1293" w:type="pct"/>
            <w:shd w:val="clear" w:color="auto" w:fill="auto"/>
          </w:tcPr>
          <w:p w14:paraId="4E398F2F" w14:textId="499346B8" w:rsidR="00BD73DF" w:rsidRDefault="00BD73DF" w:rsidP="00BD73DF">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Bathurst 1000 </w:t>
            </w:r>
          </w:p>
          <w:p w14:paraId="6FDF3390" w14:textId="379E47E9" w:rsidR="00BD73DF" w:rsidRPr="00B43D82" w:rsidRDefault="00BD73DF" w:rsidP="00BD73DF">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tcW w:w="1583" w:type="pct"/>
            <w:shd w:val="clear" w:color="auto" w:fill="auto"/>
          </w:tcPr>
          <w:p w14:paraId="26BD657B" w14:textId="1879AD47" w:rsidR="00BD73DF" w:rsidRDefault="00BD73DF" w:rsidP="00E8613B">
            <w:pPr>
              <w:spacing w:before="2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Bathurst 1000 </w:t>
            </w:r>
          </w:p>
          <w:p w14:paraId="60C9FF7D" w14:textId="77777777" w:rsidR="00BD73DF" w:rsidRDefault="00BD73DF" w:rsidP="00BD73DF">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tcW w:w="1334" w:type="pct"/>
            <w:shd w:val="clear" w:color="auto" w:fill="auto"/>
          </w:tcPr>
          <w:p w14:paraId="405B5911" w14:textId="175DE109" w:rsidR="00BD73DF" w:rsidRDefault="00BD73DF" w:rsidP="00BD73DF">
            <w:pPr>
              <w:spacing w:before="20" w:after="4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8C44EE">
              <w:rPr>
                <w:rFonts w:cstheme="minorHAnsi"/>
                <w:color w:val="auto"/>
                <w:sz w:val="20"/>
                <w:szCs w:val="20"/>
              </w:rPr>
              <w:t>No change.</w:t>
            </w:r>
          </w:p>
        </w:tc>
      </w:tr>
      <w:bookmarkEnd w:id="96"/>
      <w:bookmarkEnd w:id="97"/>
      <w:bookmarkEnd w:id="101"/>
    </w:tbl>
    <w:p w14:paraId="1C1721AC" w14:textId="77777777" w:rsidR="002E7CBB" w:rsidRDefault="002E7CBB" w:rsidP="00CA5FD2">
      <w:pPr>
        <w:pStyle w:val="Introduction"/>
      </w:pPr>
    </w:p>
    <w:p w14:paraId="4850CA6A" w14:textId="7983CFF7" w:rsidR="00FB68C5" w:rsidRPr="00EE7B89" w:rsidRDefault="00FB68C5" w:rsidP="00CA5FD2">
      <w:pPr>
        <w:pStyle w:val="Introduction"/>
      </w:pPr>
      <w:r w:rsidRPr="00EE7B89">
        <w:t>Relationship with proposed models</w:t>
      </w:r>
      <w:bookmarkEnd w:id="100"/>
      <w:r w:rsidR="00EE7B89" w:rsidRPr="00EE7B89">
        <w:t xml:space="preserve"> </w:t>
      </w:r>
    </w:p>
    <w:p w14:paraId="299DB9DA" w14:textId="3811B61F" w:rsidR="00F97C94" w:rsidRDefault="00FB68C5" w:rsidP="00F97C94">
      <w:bookmarkStart w:id="104" w:name="_Hlk140825890"/>
      <w:r>
        <w:t>The streamlined list has been designed to operate in conjunction with the free-to-view model (</w:t>
      </w:r>
      <w:r w:rsidR="00AF7BBA">
        <w:t>Model 1</w:t>
      </w:r>
      <w:r>
        <w:t xml:space="preserve">). </w:t>
      </w:r>
      <w:r w:rsidR="00F97C94">
        <w:t>Elements of the free-to-view model will only work in a practical sense if they are coupled with a significant reduction in the number and range of events on the list.</w:t>
      </w:r>
    </w:p>
    <w:p w14:paraId="5E84E230" w14:textId="6B46A1B5" w:rsidR="00F97C94" w:rsidRDefault="00F97C94" w:rsidP="00F97C94">
      <w:r>
        <w:t xml:space="preserve">The ‘live’ and ‘in full’ requirements </w:t>
      </w:r>
      <w:r w:rsidR="002D0FCF">
        <w:t xml:space="preserve">are </w:t>
      </w:r>
      <w:r>
        <w:t>unlikely to be technically and financially feasible for competitions that involve multiple events that occur simultaneously</w:t>
      </w:r>
      <w:r w:rsidR="008A68BA">
        <w:t>. For example</w:t>
      </w:r>
      <w:r>
        <w:t>: the Australian Open tennis tournament, the Summer and Winter Olympic Games, and the Commonwealth Games. These competitions can involve dozens of events occurring simultaneously, and a content service provider (or even a combination of providers) is unlikely to be able to provide live and in full coverage of every single event.</w:t>
      </w:r>
    </w:p>
    <w:p w14:paraId="01875449" w14:textId="39342ADA" w:rsidR="0041490A" w:rsidRPr="009A5C72" w:rsidRDefault="00FB68C5" w:rsidP="0041490A">
      <w:r>
        <w:t xml:space="preserve">The streamlined list </w:t>
      </w:r>
      <w:r w:rsidR="00BF6161">
        <w:t xml:space="preserve">may not </w:t>
      </w:r>
      <w:r>
        <w:t>be compatible with the broadcasting safety net model (</w:t>
      </w:r>
      <w:r w:rsidR="00800D63">
        <w:t xml:space="preserve">Model </w:t>
      </w:r>
      <w:r>
        <w:t>2)</w:t>
      </w:r>
      <w:r w:rsidR="00800D63">
        <w:t xml:space="preserve"> or</w:t>
      </w:r>
      <w:r>
        <w:t xml:space="preserve"> the free-to-air first model (</w:t>
      </w:r>
      <w:r w:rsidR="00800D63">
        <w:t>Model</w:t>
      </w:r>
      <w:r>
        <w:t xml:space="preserve"> 3). Both of these models are constructed around a restriction on the acquisition of rights. To be compatible with either of these two reform models, the streamlined list would need to provide the parties involved (and the regulator) with certainty regarding the rights that can’t be acquired until a free-to-air broadcaster has a relevant right or rights (depending on the scheme). In this regard, there </w:t>
      </w:r>
      <w:r w:rsidR="00BF6161">
        <w:t>may</w:t>
      </w:r>
      <w:r>
        <w:t xml:space="preserve"> be limits on the ability of a list to characterise events based on factors that are unclear or unquantifiable at the time of acquisition.</w:t>
      </w:r>
      <w:bookmarkEnd w:id="104"/>
    </w:p>
    <w:p w14:paraId="6D8B2AE9" w14:textId="55209E15" w:rsidR="00226B05" w:rsidRPr="009B3A80" w:rsidRDefault="00226B05" w:rsidP="00226B05">
      <w:pPr>
        <w:pStyle w:val="Heading3"/>
      </w:pPr>
      <w:bookmarkStart w:id="105" w:name="_Toc150883273"/>
      <w:bookmarkStart w:id="106" w:name="_Toc151053055"/>
      <w:r w:rsidRPr="009B3A80">
        <w:t>Option 2:</w:t>
      </w:r>
      <w:r w:rsidR="00800D63">
        <w:t xml:space="preserve"> </w:t>
      </w:r>
      <w:r w:rsidR="009C7379">
        <w:t>‘</w:t>
      </w:r>
      <w:r w:rsidR="00800D63">
        <w:t>m</w:t>
      </w:r>
      <w:r w:rsidRPr="009B3A80">
        <w:t>odernised’ list</w:t>
      </w:r>
      <w:bookmarkEnd w:id="105"/>
      <w:bookmarkEnd w:id="106"/>
      <w:r w:rsidRPr="009B3A80">
        <w:t xml:space="preserve">  </w:t>
      </w:r>
    </w:p>
    <w:p w14:paraId="12AE8207" w14:textId="5B749D31" w:rsidR="00876C20" w:rsidRDefault="00876C20" w:rsidP="00876C20">
      <w:r>
        <w:t>The modernised list would represent an increase in the number of events on the list compared with the current instrument</w:t>
      </w:r>
      <w:r w:rsidR="000F159D">
        <w:t xml:space="preserve"> (by about </w:t>
      </w:r>
      <w:r w:rsidR="00BF5406" w:rsidRPr="00BF5406">
        <w:t>30</w:t>
      </w:r>
      <w:r w:rsidR="000F159D">
        <w:t xml:space="preserve"> per cent)</w:t>
      </w:r>
      <w:r>
        <w:t xml:space="preserve">. This list option is detailed </w:t>
      </w:r>
      <w:r w:rsidR="00BF6161">
        <w:t>in</w:t>
      </w:r>
      <w:r w:rsidRPr="00AD45FC">
        <w:t xml:space="preserve"> </w:t>
      </w:r>
      <w:r w:rsidR="00C634D8">
        <w:rPr>
          <w:b/>
        </w:rPr>
        <w:t>Table 6</w:t>
      </w:r>
      <w:r>
        <w:t>.</w:t>
      </w:r>
    </w:p>
    <w:p w14:paraId="4BBF1152" w14:textId="77777777" w:rsidR="00876C20" w:rsidRDefault="00876C20" w:rsidP="00876C20">
      <w:bookmarkStart w:id="107" w:name="_Hlk141114697"/>
      <w:r>
        <w:t>The aims of the modernised list are two-fold:</w:t>
      </w:r>
    </w:p>
    <w:p w14:paraId="7C085B44" w14:textId="23BF540B" w:rsidR="00876C20" w:rsidRDefault="00876C20" w:rsidP="00EE7B89">
      <w:pPr>
        <w:pStyle w:val="Bullet1"/>
      </w:pPr>
      <w:r>
        <w:t>To enable the list to operate effectively with the broadcasting safety net and free-to-air first models for the reform of the scheme (</w:t>
      </w:r>
      <w:r w:rsidR="00D815D9">
        <w:rPr>
          <w:lang w:val="en-AU"/>
        </w:rPr>
        <w:t>Models</w:t>
      </w:r>
      <w:r w:rsidR="00D815D9">
        <w:t xml:space="preserve"> </w:t>
      </w:r>
      <w:r>
        <w:t>2 and 3 respectively).</w:t>
      </w:r>
    </w:p>
    <w:p w14:paraId="67A22FCB" w14:textId="77777777" w:rsidR="00876C20" w:rsidRDefault="00876C20" w:rsidP="00EE7B89">
      <w:pPr>
        <w:pStyle w:val="Bullet1"/>
      </w:pPr>
      <w:r>
        <w:t>To apply the scheme in a way that better reflects the contemporary media landscape and moderately broadens the construction of nationally important and culturally significant events.</w:t>
      </w:r>
    </w:p>
    <w:bookmarkEnd w:id="107"/>
    <w:p w14:paraId="5C27E012" w14:textId="48245DFB" w:rsidR="00A05E90" w:rsidRPr="00A05E90" w:rsidRDefault="00A05E90" w:rsidP="00CA5FD2">
      <w:pPr>
        <w:pStyle w:val="Introduction"/>
      </w:pPr>
      <w:r w:rsidRPr="00A05E90">
        <w:t xml:space="preserve">Relationship with the current list </w:t>
      </w:r>
    </w:p>
    <w:p w14:paraId="2AD224DF" w14:textId="6659791A" w:rsidR="00A05E90" w:rsidRDefault="00A05E90" w:rsidP="00A05E90">
      <w:bookmarkStart w:id="108" w:name="_Hlk147760386"/>
      <w:r>
        <w:t>T</w:t>
      </w:r>
      <w:r w:rsidRPr="00AB786E">
        <w:t xml:space="preserve">he modernised list continues to include </w:t>
      </w:r>
      <w:r>
        <w:t xml:space="preserve">events and competitions from </w:t>
      </w:r>
      <w:r w:rsidRPr="00AB786E">
        <w:t xml:space="preserve">the same </w:t>
      </w:r>
      <w:r>
        <w:t xml:space="preserve">11 </w:t>
      </w:r>
      <w:r w:rsidRPr="00AB786E">
        <w:t>sports</w:t>
      </w:r>
      <w:r>
        <w:t xml:space="preserve"> </w:t>
      </w:r>
      <w:r w:rsidRPr="00AB786E">
        <w:t>included in the current list. However, th</w:t>
      </w:r>
      <w:r>
        <w:t xml:space="preserve">is </w:t>
      </w:r>
      <w:r w:rsidRPr="00AB786E">
        <w:t xml:space="preserve">list option </w:t>
      </w:r>
      <w:r>
        <w:t xml:space="preserve">would </w:t>
      </w:r>
      <w:r w:rsidRPr="00AB786E">
        <w:t xml:space="preserve">increase the number </w:t>
      </w:r>
      <w:r>
        <w:t>of</w:t>
      </w:r>
      <w:r w:rsidRPr="00AB786E">
        <w:t xml:space="preserve"> listed events under </w:t>
      </w:r>
      <w:r>
        <w:t xml:space="preserve">certain sports, adding: </w:t>
      </w:r>
    </w:p>
    <w:p w14:paraId="2A88FAF5" w14:textId="340C0F23" w:rsidR="00A05E90" w:rsidRPr="00CE600F" w:rsidRDefault="00A05E90" w:rsidP="00336F07">
      <w:pPr>
        <w:pStyle w:val="Bullet1"/>
      </w:pPr>
      <w:r w:rsidRPr="00CE600F">
        <w:t xml:space="preserve">all events held as part of the Summer Paralympic Games; </w:t>
      </w:r>
    </w:p>
    <w:p w14:paraId="64104E89" w14:textId="77777777" w:rsidR="00A05E90" w:rsidRPr="00CE600F" w:rsidRDefault="00A05E90" w:rsidP="00336F07">
      <w:pPr>
        <w:pStyle w:val="Bullet1"/>
      </w:pPr>
      <w:r w:rsidRPr="00CE600F">
        <w:t>the finals series matches of the AFL Women’s Premiership;</w:t>
      </w:r>
    </w:p>
    <w:p w14:paraId="60A1CD30" w14:textId="77777777" w:rsidR="00A05E90" w:rsidRPr="00CE600F" w:rsidRDefault="00A05E90" w:rsidP="00336F07">
      <w:pPr>
        <w:pStyle w:val="Bullet1"/>
      </w:pPr>
      <w:r w:rsidRPr="00CE600F">
        <w:t>the finals series matches of the NRL Women’s Premiership;</w:t>
      </w:r>
    </w:p>
    <w:p w14:paraId="31F702DF" w14:textId="45F25926" w:rsidR="00A05E90" w:rsidRDefault="00A05E90">
      <w:pPr>
        <w:pStyle w:val="Bullet1"/>
      </w:pPr>
      <w:r w:rsidRPr="00CE600F">
        <w:t>the NRL Women’s State of Origin Series;</w:t>
      </w:r>
      <w:r>
        <w:t xml:space="preserve"> and</w:t>
      </w:r>
    </w:p>
    <w:p w14:paraId="15BF7D61" w14:textId="377466D6" w:rsidR="00A05E90" w:rsidRDefault="00A05E90" w:rsidP="00336F07">
      <w:pPr>
        <w:pStyle w:val="Bullet1"/>
      </w:pPr>
      <w:r w:rsidRPr="00CE600F">
        <w:t xml:space="preserve">the complete Women’s Ashes </w:t>
      </w:r>
      <w:r w:rsidR="00336F07">
        <w:t>series</w:t>
      </w:r>
      <w:r w:rsidRPr="00CE600F">
        <w:t xml:space="preserve"> played in the United Kingdom (currently only test matches are listed, but the </w:t>
      </w:r>
      <w:r w:rsidR="00BF6161">
        <w:rPr>
          <w:lang w:val="en-AU"/>
        </w:rPr>
        <w:t xml:space="preserve">series currently includes </w:t>
      </w:r>
      <w:r w:rsidRPr="00CE600F">
        <w:t xml:space="preserve">‘one day’ and </w:t>
      </w:r>
      <w:r>
        <w:t>T20</w:t>
      </w:r>
      <w:r w:rsidRPr="00CE600F">
        <w:t xml:space="preserve"> matches)</w:t>
      </w:r>
      <w:r>
        <w:t>.</w:t>
      </w:r>
    </w:p>
    <w:p w14:paraId="18F95BE4" w14:textId="196FEBA7" w:rsidR="00C4585C" w:rsidRDefault="00C4585C" w:rsidP="00786567">
      <w:pPr>
        <w:pStyle w:val="Caption"/>
        <w:suppressAutoHyphens w:val="0"/>
      </w:pPr>
      <w:bookmarkStart w:id="109" w:name="_Toc150883302"/>
      <w:bookmarkStart w:id="110" w:name="_Toc151053022"/>
      <w:r>
        <w:t>Table 6: Proposed changes to the modern</w:t>
      </w:r>
      <w:r w:rsidR="00D47547">
        <w:t>is</w:t>
      </w:r>
      <w:r>
        <w:t>ed list</w:t>
      </w:r>
      <w:bookmarkEnd w:id="109"/>
      <w:bookmarkEnd w:id="110"/>
    </w:p>
    <w:p w14:paraId="02DACE6C" w14:textId="77777777" w:rsidR="00E84966" w:rsidRPr="00800D63" w:rsidRDefault="00E84966" w:rsidP="00E84966">
      <w:pPr>
        <w:spacing w:before="0" w:after="0"/>
        <w:rPr>
          <w:sz w:val="16"/>
          <w:szCs w:val="16"/>
        </w:rPr>
      </w:pPr>
      <w:r w:rsidRPr="00800D63">
        <w:rPr>
          <w:sz w:val="16"/>
          <w:szCs w:val="16"/>
        </w:rPr>
        <w:t>AU = Australia</w:t>
      </w:r>
    </w:p>
    <w:p w14:paraId="75B02DD2" w14:textId="548914EF" w:rsidR="00E84966" w:rsidRPr="00E84966" w:rsidRDefault="00E84966" w:rsidP="00E84966">
      <w:pPr>
        <w:spacing w:before="0" w:after="0"/>
      </w:pPr>
      <w:r w:rsidRPr="00800D63">
        <w:rPr>
          <w:sz w:val="16"/>
          <w:szCs w:val="16"/>
        </w:rPr>
        <w:t>SART = Senior Australian Representative Team</w:t>
      </w:r>
    </w:p>
    <w:tbl>
      <w:tblPr>
        <w:tblStyle w:val="DefaultTable1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237"/>
        <w:gridCol w:w="3339"/>
      </w:tblGrid>
      <w:tr w:rsidR="00C4585C" w:rsidRPr="004B546B" w14:paraId="197CE882" w14:textId="77777777" w:rsidTr="007865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6" w:type="pct"/>
            <w:hideMark/>
          </w:tcPr>
          <w:p w14:paraId="314704AF" w14:textId="77777777" w:rsidR="00C4585C" w:rsidRPr="00B43D82" w:rsidRDefault="00C4585C" w:rsidP="00C4585C">
            <w:pPr>
              <w:spacing w:before="20" w:after="40"/>
              <w:rPr>
                <w:rFonts w:cstheme="minorHAnsi"/>
                <w:color w:val="auto"/>
                <w:sz w:val="20"/>
                <w:szCs w:val="20"/>
              </w:rPr>
            </w:pPr>
            <w:r w:rsidRPr="00B43D82">
              <w:rPr>
                <w:rFonts w:cstheme="minorHAnsi"/>
                <w:color w:val="auto"/>
                <w:sz w:val="20"/>
                <w:szCs w:val="20"/>
              </w:rPr>
              <w:t>Sport</w:t>
            </w:r>
          </w:p>
        </w:tc>
        <w:tc>
          <w:tcPr>
            <w:tcW w:w="2150" w:type="pct"/>
            <w:hideMark/>
          </w:tcPr>
          <w:p w14:paraId="0C8B72A9" w14:textId="77777777" w:rsidR="00C4585C" w:rsidRPr="00B43D82" w:rsidRDefault="00C4585C" w:rsidP="00C4585C">
            <w:pPr>
              <w:spacing w:before="20" w:after="4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Current listing inclusions</w:t>
            </w:r>
          </w:p>
        </w:tc>
        <w:tc>
          <w:tcPr>
            <w:tcW w:w="1694" w:type="pct"/>
          </w:tcPr>
          <w:p w14:paraId="7A408D62" w14:textId="66D0D993" w:rsidR="00C4585C" w:rsidRPr="00B43D82" w:rsidRDefault="00C634D8" w:rsidP="00786567">
            <w:pPr>
              <w:spacing w:before="20" w:after="4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Modernised list</w:t>
            </w:r>
          </w:p>
        </w:tc>
      </w:tr>
      <w:tr w:rsidR="00C634D8" w:rsidRPr="0041490A" w14:paraId="1D4666A7" w14:textId="77777777" w:rsidTr="00786567">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hideMark/>
          </w:tcPr>
          <w:p w14:paraId="67F07919" w14:textId="77777777" w:rsidR="00C634D8" w:rsidRPr="00B43D82" w:rsidRDefault="00C634D8" w:rsidP="00C4585C">
            <w:pPr>
              <w:spacing w:before="20" w:after="40"/>
              <w:rPr>
                <w:rFonts w:cstheme="minorHAnsi"/>
                <w:color w:val="auto"/>
                <w:sz w:val="20"/>
                <w:szCs w:val="20"/>
              </w:rPr>
            </w:pPr>
            <w:r w:rsidRPr="00B43D82">
              <w:rPr>
                <w:rFonts w:cstheme="minorHAnsi"/>
                <w:color w:val="auto"/>
                <w:sz w:val="20"/>
                <w:szCs w:val="20"/>
              </w:rPr>
              <w:t>Olympic Games</w:t>
            </w:r>
          </w:p>
        </w:tc>
        <w:tc>
          <w:tcPr>
            <w:tcW w:w="2150" w:type="pct"/>
            <w:shd w:val="clear" w:color="auto" w:fill="auto"/>
          </w:tcPr>
          <w:p w14:paraId="0F62A4ED" w14:textId="77777777" w:rsidR="00C634D8" w:rsidRPr="00B43D82" w:rsidRDefault="00C634D8"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Summer Olympic Games</w:t>
            </w:r>
          </w:p>
          <w:p w14:paraId="565DE0B4" w14:textId="5E5F5CD8" w:rsidR="00C634D8" w:rsidRPr="00B43D82" w:rsidRDefault="00C634D8"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2A467B">
              <w:rPr>
                <w:rFonts w:cstheme="minorHAnsi"/>
                <w:color w:val="auto"/>
                <w:sz w:val="20"/>
                <w:szCs w:val="20"/>
              </w:rPr>
              <w:t>entire</w:t>
            </w:r>
            <w:r w:rsidRPr="00B43D82">
              <w:rPr>
                <w:rFonts w:cstheme="minorHAnsi"/>
                <w:color w:val="auto"/>
                <w:sz w:val="20"/>
                <w:szCs w:val="20"/>
              </w:rPr>
              <w:t xml:space="preserve"> event, including Opening and Closing Ceremonies)</w:t>
            </w:r>
          </w:p>
        </w:tc>
        <w:tc>
          <w:tcPr>
            <w:tcW w:w="1694" w:type="pct"/>
            <w:shd w:val="clear" w:color="auto" w:fill="auto"/>
          </w:tcPr>
          <w:p w14:paraId="20028F76" w14:textId="60EC5356" w:rsidR="00C634D8" w:rsidRPr="00B43D82"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tc>
      </w:tr>
      <w:tr w:rsidR="00C634D8" w:rsidRPr="0041490A" w14:paraId="337A4185" w14:textId="77777777" w:rsidTr="007865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30DCE4C4" w14:textId="77777777" w:rsidR="00C634D8" w:rsidRPr="00B43D82" w:rsidRDefault="00C634D8" w:rsidP="00C4585C">
            <w:pPr>
              <w:spacing w:before="20" w:after="40"/>
              <w:rPr>
                <w:rFonts w:cstheme="minorHAnsi"/>
                <w:color w:val="auto"/>
                <w:sz w:val="20"/>
                <w:szCs w:val="20"/>
              </w:rPr>
            </w:pPr>
          </w:p>
        </w:tc>
        <w:tc>
          <w:tcPr>
            <w:tcW w:w="2150" w:type="pct"/>
            <w:shd w:val="clear" w:color="auto" w:fill="auto"/>
          </w:tcPr>
          <w:p w14:paraId="254113B6" w14:textId="77777777" w:rsidR="00C634D8" w:rsidRPr="00B43D82" w:rsidRDefault="00C634D8"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Winter Olympic Games</w:t>
            </w:r>
          </w:p>
          <w:p w14:paraId="4C9E0528" w14:textId="0B79BEE9" w:rsidR="00C634D8" w:rsidRPr="00B43D82" w:rsidRDefault="00C634D8"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2A467B">
              <w:rPr>
                <w:rFonts w:cstheme="minorHAnsi"/>
                <w:color w:val="auto"/>
                <w:sz w:val="20"/>
                <w:szCs w:val="20"/>
              </w:rPr>
              <w:t>entire</w:t>
            </w:r>
            <w:r w:rsidRPr="00B43D82">
              <w:rPr>
                <w:rFonts w:cstheme="minorHAnsi"/>
                <w:color w:val="auto"/>
                <w:sz w:val="20"/>
                <w:szCs w:val="20"/>
              </w:rPr>
              <w:t xml:space="preserve"> event, including Opening and Closing Ceremonies)</w:t>
            </w:r>
          </w:p>
        </w:tc>
        <w:tc>
          <w:tcPr>
            <w:tcW w:w="1694" w:type="pct"/>
            <w:shd w:val="clear" w:color="auto" w:fill="auto"/>
          </w:tcPr>
          <w:p w14:paraId="4C3BF6DC" w14:textId="6545F41D" w:rsidR="00C634D8" w:rsidRPr="00B43D82" w:rsidRDefault="00C634D8"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0D9BB9D9"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2DB4A32D" w14:textId="77777777" w:rsidR="00C634D8" w:rsidRPr="00B43D82" w:rsidRDefault="00C634D8" w:rsidP="00C4585C">
            <w:pPr>
              <w:spacing w:before="20" w:after="40"/>
              <w:rPr>
                <w:rFonts w:cstheme="minorHAnsi"/>
                <w:color w:val="auto"/>
                <w:sz w:val="20"/>
                <w:szCs w:val="20"/>
              </w:rPr>
            </w:pPr>
          </w:p>
        </w:tc>
        <w:tc>
          <w:tcPr>
            <w:tcW w:w="2150" w:type="pct"/>
            <w:shd w:val="clear" w:color="auto" w:fill="auto"/>
          </w:tcPr>
          <w:p w14:paraId="05E4D1BD" w14:textId="35C5124D" w:rsidR="00C634D8" w:rsidRPr="00B43D82" w:rsidRDefault="00510ADF"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shd w:val="clear" w:color="auto" w:fill="auto"/>
          </w:tcPr>
          <w:p w14:paraId="5019C077" w14:textId="15C992F2"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Summer </w:t>
            </w:r>
            <w:r>
              <w:rPr>
                <w:rFonts w:cstheme="minorHAnsi"/>
                <w:color w:val="auto"/>
                <w:sz w:val="20"/>
                <w:szCs w:val="20"/>
              </w:rPr>
              <w:t>Para</w:t>
            </w:r>
            <w:r w:rsidRPr="00B43D82">
              <w:rPr>
                <w:rFonts w:cstheme="minorHAnsi"/>
                <w:color w:val="auto"/>
                <w:sz w:val="20"/>
                <w:szCs w:val="20"/>
              </w:rPr>
              <w:t>lympic Games</w:t>
            </w:r>
          </w:p>
          <w:p w14:paraId="364EF1B7" w14:textId="106C9EEA" w:rsidR="00C634D8" w:rsidRPr="00E11052"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Opening and Closing Ceremonies)</w:t>
            </w:r>
          </w:p>
        </w:tc>
      </w:tr>
      <w:tr w:rsidR="00C4585C" w:rsidRPr="0041490A" w14:paraId="14F41132"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hideMark/>
          </w:tcPr>
          <w:p w14:paraId="74305EDC" w14:textId="77777777" w:rsidR="00C4585C" w:rsidRPr="00B43D82" w:rsidRDefault="00C4585C" w:rsidP="00C4585C">
            <w:pPr>
              <w:spacing w:before="20" w:after="40"/>
              <w:rPr>
                <w:rFonts w:cstheme="minorHAnsi"/>
                <w:color w:val="auto"/>
                <w:sz w:val="20"/>
                <w:szCs w:val="20"/>
              </w:rPr>
            </w:pPr>
            <w:r w:rsidRPr="00B43D82">
              <w:rPr>
                <w:rFonts w:cstheme="minorHAnsi"/>
                <w:color w:val="auto"/>
                <w:sz w:val="20"/>
                <w:szCs w:val="20"/>
              </w:rPr>
              <w:t>Commonwealth Games</w:t>
            </w:r>
          </w:p>
        </w:tc>
        <w:tc>
          <w:tcPr>
            <w:tcW w:w="2150" w:type="pct"/>
          </w:tcPr>
          <w:p w14:paraId="7EB40C10" w14:textId="77777777"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Commonwealth Games</w:t>
            </w:r>
          </w:p>
          <w:p w14:paraId="5C3FC29D" w14:textId="3F27CF96"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D75BF4">
              <w:rPr>
                <w:rFonts w:cstheme="minorHAnsi"/>
                <w:color w:val="auto"/>
                <w:sz w:val="20"/>
                <w:szCs w:val="20"/>
              </w:rPr>
              <w:t xml:space="preserve">entire </w:t>
            </w:r>
            <w:r w:rsidRPr="00B43D82">
              <w:rPr>
                <w:rFonts w:cstheme="minorHAnsi"/>
                <w:color w:val="auto"/>
                <w:sz w:val="20"/>
                <w:szCs w:val="20"/>
              </w:rPr>
              <w:t>event, including Opening and Closing Ceremonies)</w:t>
            </w:r>
          </w:p>
        </w:tc>
        <w:tc>
          <w:tcPr>
            <w:tcW w:w="1694" w:type="pct"/>
          </w:tcPr>
          <w:p w14:paraId="1D530503" w14:textId="47B2EFA0" w:rsidR="00C4585C" w:rsidRPr="00B43D82" w:rsidRDefault="00C4585C"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4585C" w:rsidRPr="0041490A" w14:paraId="29786E23"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shd w:val="clear" w:color="auto" w:fill="auto"/>
          </w:tcPr>
          <w:p w14:paraId="72445B1E" w14:textId="77777777" w:rsidR="00C4585C" w:rsidRPr="00B43D82" w:rsidRDefault="00C4585C" w:rsidP="00C4585C">
            <w:pPr>
              <w:spacing w:before="20" w:after="40"/>
              <w:rPr>
                <w:rFonts w:cstheme="minorHAnsi"/>
                <w:color w:val="auto"/>
                <w:sz w:val="20"/>
                <w:szCs w:val="20"/>
              </w:rPr>
            </w:pPr>
            <w:r>
              <w:rPr>
                <w:sz w:val="20"/>
                <w:szCs w:val="20"/>
              </w:rPr>
              <w:t>Horse racing</w:t>
            </w:r>
          </w:p>
        </w:tc>
        <w:tc>
          <w:tcPr>
            <w:tcW w:w="2150" w:type="pct"/>
            <w:shd w:val="clear" w:color="auto" w:fill="auto"/>
          </w:tcPr>
          <w:p w14:paraId="43687154" w14:textId="77777777" w:rsidR="00C4585C" w:rsidRPr="00E8613B" w:rsidRDefault="00C4585C" w:rsidP="00C4585C">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Melbourne Cup </w:t>
            </w:r>
          </w:p>
        </w:tc>
        <w:tc>
          <w:tcPr>
            <w:tcW w:w="1694" w:type="pct"/>
            <w:shd w:val="clear" w:color="auto" w:fill="auto"/>
          </w:tcPr>
          <w:p w14:paraId="119F5B26" w14:textId="369FA6F7" w:rsidR="00C4585C" w:rsidRPr="00B43D82" w:rsidRDefault="00C4585C"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4585C" w:rsidRPr="0041490A" w14:paraId="0DAE8B9F"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val="restart"/>
            <w:hideMark/>
          </w:tcPr>
          <w:p w14:paraId="0C260A70" w14:textId="77777777" w:rsidR="00C4585C" w:rsidRPr="00B43D82" w:rsidRDefault="00C4585C" w:rsidP="00C4585C">
            <w:pPr>
              <w:spacing w:before="20" w:after="40"/>
              <w:rPr>
                <w:rFonts w:cstheme="minorHAnsi"/>
                <w:color w:val="auto"/>
                <w:sz w:val="20"/>
                <w:szCs w:val="20"/>
              </w:rPr>
            </w:pPr>
            <w:r w:rsidRPr="00B43D82">
              <w:rPr>
                <w:rFonts w:cstheme="minorHAnsi"/>
                <w:color w:val="auto"/>
                <w:sz w:val="20"/>
                <w:szCs w:val="20"/>
              </w:rPr>
              <w:t>AFL</w:t>
            </w:r>
          </w:p>
        </w:tc>
        <w:tc>
          <w:tcPr>
            <w:tcW w:w="2150" w:type="pct"/>
          </w:tcPr>
          <w:p w14:paraId="2A6B165F" w14:textId="43EFDBCF"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AFL Premiership</w:t>
            </w:r>
          </w:p>
          <w:p w14:paraId="69461061" w14:textId="2122520D"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the Finals Series)</w:t>
            </w:r>
            <w:r w:rsidR="00BF6161">
              <w:rPr>
                <w:rFonts w:cstheme="minorHAnsi"/>
                <w:color w:val="auto"/>
                <w:sz w:val="20"/>
                <w:szCs w:val="20"/>
              </w:rPr>
              <w:t>.</w:t>
            </w:r>
          </w:p>
        </w:tc>
        <w:tc>
          <w:tcPr>
            <w:tcW w:w="1694" w:type="pct"/>
          </w:tcPr>
          <w:p w14:paraId="359BE23F" w14:textId="039431F2" w:rsidR="00BF6161" w:rsidRDefault="00BF6161"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73D3569C" w14:textId="556864D8" w:rsidR="00C4585C" w:rsidRPr="00B43D82" w:rsidRDefault="00D15437"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0174B">
              <w:rPr>
                <w:rFonts w:cstheme="minorHAnsi"/>
                <w:color w:val="auto"/>
                <w:sz w:val="20"/>
                <w:szCs w:val="20"/>
              </w:rPr>
              <w:t>men’s event</w:t>
            </w:r>
            <w:r>
              <w:rPr>
                <w:rFonts w:cstheme="minorHAnsi"/>
                <w:color w:val="auto"/>
                <w:sz w:val="20"/>
                <w:szCs w:val="20"/>
              </w:rPr>
              <w:t>.</w:t>
            </w:r>
          </w:p>
        </w:tc>
      </w:tr>
      <w:tr w:rsidR="00C634D8" w:rsidRPr="0041490A" w14:paraId="18D45560"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F2F2F2" w:themeFill="background1" w:themeFillShade="F2"/>
          </w:tcPr>
          <w:p w14:paraId="615F4089" w14:textId="77777777" w:rsidR="00C634D8" w:rsidRPr="00B43D82" w:rsidRDefault="00C634D8" w:rsidP="00C4585C">
            <w:pPr>
              <w:spacing w:before="20" w:after="40"/>
              <w:rPr>
                <w:rFonts w:cstheme="minorHAnsi"/>
                <w:color w:val="auto"/>
                <w:sz w:val="20"/>
                <w:szCs w:val="20"/>
              </w:rPr>
            </w:pPr>
          </w:p>
        </w:tc>
        <w:tc>
          <w:tcPr>
            <w:tcW w:w="2150" w:type="pct"/>
            <w:shd w:val="clear" w:color="auto" w:fill="F2F2F2" w:themeFill="background1" w:themeFillShade="F2"/>
          </w:tcPr>
          <w:p w14:paraId="1E3BA249" w14:textId="32695CA5" w:rsidR="00C634D8" w:rsidRDefault="00510ADF"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shd w:val="clear" w:color="auto" w:fill="F2F2F2" w:themeFill="background1" w:themeFillShade="F2"/>
          </w:tcPr>
          <w:p w14:paraId="53FB6AE4" w14:textId="07B94399"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Women’s </w:t>
            </w:r>
            <w:r w:rsidRPr="00B43D82">
              <w:rPr>
                <w:rFonts w:cstheme="minorHAnsi"/>
                <w:color w:val="auto"/>
                <w:sz w:val="20"/>
                <w:szCs w:val="20"/>
              </w:rPr>
              <w:t>AFL Premiership</w:t>
            </w:r>
          </w:p>
          <w:p w14:paraId="70CD8E2D" w14:textId="32193593" w:rsidR="00C634D8" w:rsidRPr="00E11052"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(Finals Series)</w:t>
            </w:r>
          </w:p>
        </w:tc>
      </w:tr>
      <w:tr w:rsidR="00C4585C" w:rsidRPr="0041490A" w14:paraId="54F8EB97"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hideMark/>
          </w:tcPr>
          <w:p w14:paraId="7C2F0A6E" w14:textId="77777777" w:rsidR="00C4585C" w:rsidRPr="00B43D82" w:rsidRDefault="00C4585C" w:rsidP="00C4585C">
            <w:pPr>
              <w:spacing w:before="20" w:after="40"/>
              <w:rPr>
                <w:rFonts w:cstheme="minorHAnsi"/>
                <w:color w:val="auto"/>
                <w:sz w:val="20"/>
                <w:szCs w:val="20"/>
              </w:rPr>
            </w:pPr>
            <w:r w:rsidRPr="00B43D82">
              <w:rPr>
                <w:rFonts w:cstheme="minorHAnsi"/>
                <w:color w:val="auto"/>
                <w:sz w:val="20"/>
                <w:szCs w:val="20"/>
              </w:rPr>
              <w:t>Rugby League</w:t>
            </w:r>
          </w:p>
        </w:tc>
        <w:tc>
          <w:tcPr>
            <w:tcW w:w="2150" w:type="pct"/>
            <w:shd w:val="clear" w:color="auto" w:fill="auto"/>
          </w:tcPr>
          <w:p w14:paraId="33B01C97" w14:textId="58D8B6CD"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NRL Premiership</w:t>
            </w:r>
          </w:p>
          <w:p w14:paraId="0645A5CD" w14:textId="77E05E3B"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the Finals Series)</w:t>
            </w:r>
          </w:p>
        </w:tc>
        <w:tc>
          <w:tcPr>
            <w:tcW w:w="1694" w:type="pct"/>
            <w:shd w:val="clear" w:color="auto" w:fill="auto"/>
          </w:tcPr>
          <w:p w14:paraId="4C679297" w14:textId="77777777" w:rsidR="00BF6161" w:rsidRDefault="00BF6161" w:rsidP="00BF6161">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74E6CAA4" w14:textId="5A74A57D" w:rsidR="00C4585C" w:rsidRPr="00B43D82" w:rsidRDefault="00D15437"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0174B">
              <w:rPr>
                <w:rFonts w:cstheme="minorHAnsi"/>
                <w:color w:val="auto"/>
                <w:sz w:val="20"/>
                <w:szCs w:val="20"/>
              </w:rPr>
              <w:t>men’s event</w:t>
            </w:r>
            <w:r>
              <w:rPr>
                <w:rFonts w:cstheme="minorHAnsi"/>
                <w:color w:val="auto"/>
                <w:sz w:val="20"/>
                <w:szCs w:val="20"/>
              </w:rPr>
              <w:t>.</w:t>
            </w:r>
          </w:p>
        </w:tc>
      </w:tr>
      <w:tr w:rsidR="00C634D8" w:rsidRPr="0041490A" w14:paraId="7449E3E2"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6335B49B" w14:textId="77777777" w:rsidR="00C634D8" w:rsidRPr="00B43D82" w:rsidRDefault="00C634D8" w:rsidP="00C4585C">
            <w:pPr>
              <w:spacing w:before="20" w:after="40"/>
              <w:rPr>
                <w:rFonts w:cstheme="minorHAnsi"/>
                <w:color w:val="auto"/>
                <w:sz w:val="20"/>
                <w:szCs w:val="20"/>
              </w:rPr>
            </w:pPr>
          </w:p>
        </w:tc>
        <w:tc>
          <w:tcPr>
            <w:tcW w:w="2150" w:type="pct"/>
            <w:shd w:val="clear" w:color="auto" w:fill="auto"/>
          </w:tcPr>
          <w:p w14:paraId="1E5E7F91" w14:textId="0CAA5472" w:rsidR="00C634D8" w:rsidRDefault="00510ADF"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shd w:val="clear" w:color="auto" w:fill="auto"/>
          </w:tcPr>
          <w:p w14:paraId="13544726" w14:textId="3E1494F8"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Women’s NRL</w:t>
            </w:r>
            <w:r w:rsidRPr="00B43D82">
              <w:rPr>
                <w:rFonts w:cstheme="minorHAnsi"/>
                <w:color w:val="auto"/>
                <w:sz w:val="20"/>
                <w:szCs w:val="20"/>
              </w:rPr>
              <w:t xml:space="preserve"> Premiership</w:t>
            </w:r>
          </w:p>
          <w:p w14:paraId="2A50AEAD" w14:textId="0C291595" w:rsidR="00C634D8" w:rsidRPr="00E11052"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(Finals Series)</w:t>
            </w:r>
          </w:p>
        </w:tc>
      </w:tr>
      <w:tr w:rsidR="00C4585C" w:rsidRPr="0041490A" w14:paraId="3CB65715"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6C72DCFD" w14:textId="77777777" w:rsidR="00C4585C" w:rsidRPr="00B43D82" w:rsidRDefault="00C4585C" w:rsidP="00C4585C">
            <w:pPr>
              <w:spacing w:before="20" w:after="40"/>
              <w:rPr>
                <w:rFonts w:cstheme="minorHAnsi"/>
                <w:color w:val="auto"/>
                <w:sz w:val="20"/>
                <w:szCs w:val="20"/>
              </w:rPr>
            </w:pPr>
          </w:p>
        </w:tc>
        <w:tc>
          <w:tcPr>
            <w:tcW w:w="2150" w:type="pct"/>
            <w:shd w:val="clear" w:color="auto" w:fill="auto"/>
          </w:tcPr>
          <w:p w14:paraId="0D94CDA6" w14:textId="76132E00" w:rsidR="00C4585C"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State of Origin</w:t>
            </w:r>
          </w:p>
          <w:p w14:paraId="20A216F9" w14:textId="758BF23E"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(entire event)</w:t>
            </w:r>
          </w:p>
        </w:tc>
        <w:tc>
          <w:tcPr>
            <w:tcW w:w="1694" w:type="pct"/>
            <w:shd w:val="clear" w:color="auto" w:fill="auto"/>
          </w:tcPr>
          <w:p w14:paraId="1755E40D" w14:textId="77777777" w:rsidR="00BF6161" w:rsidRDefault="00BF6161" w:rsidP="00BF6161">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1F207F0A" w14:textId="1F324A17" w:rsidR="00C4585C" w:rsidRPr="00B43D82" w:rsidRDefault="00D15437"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Clarify men’s</w:t>
            </w:r>
            <w:r w:rsidR="0020174B">
              <w:rPr>
                <w:rFonts w:cstheme="minorHAnsi"/>
                <w:color w:val="auto"/>
                <w:sz w:val="20"/>
                <w:szCs w:val="20"/>
              </w:rPr>
              <w:t xml:space="preserve"> event</w:t>
            </w:r>
            <w:r>
              <w:rPr>
                <w:rFonts w:cstheme="minorHAnsi"/>
                <w:color w:val="auto"/>
                <w:sz w:val="20"/>
                <w:szCs w:val="20"/>
              </w:rPr>
              <w:t>.</w:t>
            </w:r>
          </w:p>
        </w:tc>
      </w:tr>
      <w:tr w:rsidR="00C634D8" w:rsidRPr="0041490A" w14:paraId="634D2135"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013467FB" w14:textId="77777777" w:rsidR="00C634D8" w:rsidRPr="00B43D82" w:rsidRDefault="00C634D8" w:rsidP="00C4585C">
            <w:pPr>
              <w:spacing w:before="20" w:after="40"/>
              <w:rPr>
                <w:rFonts w:cstheme="minorHAnsi"/>
                <w:color w:val="auto"/>
                <w:sz w:val="20"/>
                <w:szCs w:val="20"/>
              </w:rPr>
            </w:pPr>
          </w:p>
        </w:tc>
        <w:tc>
          <w:tcPr>
            <w:tcW w:w="2150" w:type="pct"/>
            <w:shd w:val="clear" w:color="auto" w:fill="auto"/>
          </w:tcPr>
          <w:p w14:paraId="5285C7DF" w14:textId="3DD83F5B" w:rsidR="00C634D8" w:rsidRDefault="00510ADF"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shd w:val="clear" w:color="auto" w:fill="auto"/>
          </w:tcPr>
          <w:p w14:paraId="2DD9786A" w14:textId="77777777" w:rsidR="00C634D8"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Women’s State of Origin</w:t>
            </w:r>
          </w:p>
          <w:p w14:paraId="71519EFC" w14:textId="498D8EE0" w:rsidR="005763C6" w:rsidRPr="00E11052" w:rsidRDefault="005763C6"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(entire event)</w:t>
            </w:r>
          </w:p>
        </w:tc>
      </w:tr>
      <w:tr w:rsidR="00C4585C" w:rsidRPr="0041490A" w14:paraId="0FA74B29"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3A37A02A" w14:textId="77777777" w:rsidR="00C4585C" w:rsidRPr="00B43D82" w:rsidRDefault="00C4585C" w:rsidP="00C4585C">
            <w:pPr>
              <w:spacing w:before="20" w:after="40"/>
              <w:rPr>
                <w:rFonts w:cstheme="minorHAnsi"/>
                <w:color w:val="auto"/>
                <w:sz w:val="20"/>
                <w:szCs w:val="20"/>
              </w:rPr>
            </w:pPr>
          </w:p>
        </w:tc>
        <w:tc>
          <w:tcPr>
            <w:tcW w:w="2150" w:type="pct"/>
            <w:shd w:val="clear" w:color="auto" w:fill="auto"/>
          </w:tcPr>
          <w:p w14:paraId="03083571" w14:textId="74E45CE6"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International test matches</w:t>
            </w:r>
          </w:p>
          <w:p w14:paraId="6CF6DCC8" w14:textId="14BC098E"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 xml:space="preserve">ach test </w:t>
            </w:r>
            <w:r w:rsidR="004A5EFB">
              <w:rPr>
                <w:rFonts w:cstheme="minorHAnsi"/>
                <w:color w:val="auto"/>
                <w:sz w:val="20"/>
                <w:szCs w:val="20"/>
              </w:rPr>
              <w:t>match</w:t>
            </w:r>
            <w:r w:rsidRPr="00B43D82">
              <w:rPr>
                <w:rFonts w:cstheme="minorHAnsi"/>
                <w:color w:val="auto"/>
                <w:sz w:val="20"/>
                <w:szCs w:val="20"/>
              </w:rPr>
              <w:t xml:space="preserve"> involving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 xml:space="preserve"> or New Zealand)</w:t>
            </w:r>
          </w:p>
        </w:tc>
        <w:tc>
          <w:tcPr>
            <w:tcW w:w="1694" w:type="pct"/>
            <w:shd w:val="clear" w:color="auto" w:fill="auto"/>
          </w:tcPr>
          <w:p w14:paraId="06465622" w14:textId="77777777" w:rsidR="00BF6161" w:rsidRDefault="00BF6161" w:rsidP="00BF6161">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499FB9CA" w14:textId="034397D6" w:rsidR="00C4585C" w:rsidRPr="00B43D82" w:rsidRDefault="00D15437"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 xml:space="preserve">Clarify </w:t>
            </w:r>
            <w:r w:rsidR="0020174B">
              <w:rPr>
                <w:rFonts w:cstheme="minorHAnsi"/>
                <w:color w:val="auto"/>
                <w:sz w:val="20"/>
                <w:szCs w:val="20"/>
              </w:rPr>
              <w:t>men’s</w:t>
            </w:r>
            <w:r>
              <w:rPr>
                <w:rFonts w:cstheme="minorHAnsi"/>
                <w:color w:val="auto"/>
                <w:sz w:val="20"/>
                <w:szCs w:val="20"/>
              </w:rPr>
              <w:t xml:space="preserve"> and </w:t>
            </w:r>
            <w:r w:rsidR="0020174B">
              <w:rPr>
                <w:rFonts w:cstheme="minorHAnsi"/>
                <w:color w:val="auto"/>
                <w:sz w:val="20"/>
                <w:szCs w:val="20"/>
              </w:rPr>
              <w:t>women’s event</w:t>
            </w:r>
            <w:r>
              <w:rPr>
                <w:rFonts w:cstheme="minorHAnsi"/>
                <w:color w:val="auto"/>
                <w:sz w:val="20"/>
                <w:szCs w:val="20"/>
              </w:rPr>
              <w:t>.</w:t>
            </w:r>
          </w:p>
        </w:tc>
      </w:tr>
      <w:tr w:rsidR="00C4585C" w:rsidRPr="0041490A" w14:paraId="16AD2904"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1FFB1008" w14:textId="77777777" w:rsidR="00C4585C" w:rsidRPr="00B43D82" w:rsidRDefault="00C4585C" w:rsidP="00C4585C">
            <w:pPr>
              <w:spacing w:before="20" w:after="40"/>
              <w:rPr>
                <w:rFonts w:cstheme="minorHAnsi"/>
                <w:sz w:val="20"/>
                <w:szCs w:val="20"/>
              </w:rPr>
            </w:pPr>
          </w:p>
        </w:tc>
        <w:tc>
          <w:tcPr>
            <w:tcW w:w="2150" w:type="pct"/>
            <w:shd w:val="clear" w:color="auto" w:fill="auto"/>
          </w:tcPr>
          <w:p w14:paraId="7DA2B5DB" w14:textId="77CCD332" w:rsidR="00C4585C" w:rsidRPr="00B43D82" w:rsidRDefault="00C4585C"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Rugby League World Cup</w:t>
            </w:r>
          </w:p>
          <w:p w14:paraId="6627802D" w14:textId="77777777" w:rsidR="00C4585C" w:rsidRPr="00B43D82" w:rsidRDefault="00C4585C"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 xml:space="preserve">ach match involving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 New Zealand or Papua New Guinea)</w:t>
            </w:r>
          </w:p>
        </w:tc>
        <w:tc>
          <w:tcPr>
            <w:tcW w:w="1694" w:type="pct"/>
            <w:shd w:val="clear" w:color="auto" w:fill="auto"/>
          </w:tcPr>
          <w:p w14:paraId="60BCEDCD" w14:textId="77777777" w:rsidR="00BF6161" w:rsidRDefault="00BF6161" w:rsidP="00BF6161">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3C8A09F7" w14:textId="171ED719" w:rsidR="00C4585C" w:rsidRPr="00B43D82" w:rsidRDefault="00D15437"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F1051">
              <w:rPr>
                <w:rFonts w:cstheme="minorHAnsi"/>
                <w:color w:val="auto"/>
                <w:sz w:val="20"/>
                <w:szCs w:val="20"/>
              </w:rPr>
              <w:t xml:space="preserve">Clarify </w:t>
            </w:r>
            <w:r w:rsidR="0020174B">
              <w:rPr>
                <w:rFonts w:cstheme="minorHAnsi"/>
                <w:color w:val="auto"/>
                <w:sz w:val="20"/>
                <w:szCs w:val="20"/>
              </w:rPr>
              <w:t>men’s</w:t>
            </w:r>
            <w:r w:rsidRPr="003F1051">
              <w:rPr>
                <w:rFonts w:cstheme="minorHAnsi"/>
                <w:color w:val="auto"/>
                <w:sz w:val="20"/>
                <w:szCs w:val="20"/>
              </w:rPr>
              <w:t xml:space="preserve"> and </w:t>
            </w:r>
            <w:r w:rsidR="0020174B">
              <w:rPr>
                <w:rFonts w:cstheme="minorHAnsi"/>
                <w:color w:val="auto"/>
                <w:sz w:val="20"/>
                <w:szCs w:val="20"/>
              </w:rPr>
              <w:t>women’s event</w:t>
            </w:r>
            <w:r w:rsidRPr="003F1051">
              <w:rPr>
                <w:rFonts w:cstheme="minorHAnsi"/>
                <w:color w:val="auto"/>
                <w:sz w:val="20"/>
                <w:szCs w:val="20"/>
              </w:rPr>
              <w:t>.</w:t>
            </w:r>
          </w:p>
        </w:tc>
      </w:tr>
      <w:tr w:rsidR="00C4585C" w:rsidRPr="0041490A" w14:paraId="35A775A9"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val="restart"/>
            <w:hideMark/>
          </w:tcPr>
          <w:p w14:paraId="0C0B4198" w14:textId="77777777" w:rsidR="00C4585C" w:rsidRPr="00B43D82" w:rsidRDefault="00C4585C" w:rsidP="00C4585C">
            <w:pPr>
              <w:spacing w:before="20" w:after="40"/>
              <w:rPr>
                <w:rFonts w:cstheme="minorHAnsi"/>
                <w:sz w:val="20"/>
                <w:szCs w:val="20"/>
              </w:rPr>
            </w:pPr>
            <w:r w:rsidRPr="00B43D82">
              <w:rPr>
                <w:rFonts w:cstheme="minorHAnsi"/>
                <w:sz w:val="20"/>
                <w:szCs w:val="20"/>
              </w:rPr>
              <w:t>Rugby Union</w:t>
            </w:r>
          </w:p>
        </w:tc>
        <w:tc>
          <w:tcPr>
            <w:tcW w:w="2150" w:type="pct"/>
            <w:hideMark/>
          </w:tcPr>
          <w:p w14:paraId="26E00E1B" w14:textId="4D0F3587" w:rsidR="00C4585C" w:rsidRPr="00B43D82" w:rsidRDefault="00D15437"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I</w:t>
            </w:r>
            <w:r w:rsidRPr="00B43D82">
              <w:rPr>
                <w:rFonts w:cstheme="minorHAnsi"/>
                <w:color w:val="auto"/>
                <w:sz w:val="20"/>
                <w:szCs w:val="20"/>
              </w:rPr>
              <w:t>nternational test matches</w:t>
            </w:r>
          </w:p>
          <w:p w14:paraId="7C89E9E3" w14:textId="249B8095"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1B7BDD">
              <w:rPr>
                <w:rFonts w:cstheme="minorHAnsi"/>
                <w:color w:val="auto"/>
                <w:sz w:val="20"/>
                <w:szCs w:val="20"/>
              </w:rPr>
              <w:t xml:space="preserve">test </w:t>
            </w:r>
            <w:r w:rsidRPr="00B43D82">
              <w:rPr>
                <w:rFonts w:cstheme="minorHAnsi"/>
                <w:color w:val="auto"/>
                <w:sz w:val="20"/>
                <w:szCs w:val="20"/>
              </w:rPr>
              <w:t>match</w:t>
            </w:r>
            <w:r>
              <w:rPr>
                <w:rFonts w:cstheme="minorHAnsi"/>
                <w:color w:val="auto"/>
                <w:sz w:val="20"/>
                <w:szCs w:val="20"/>
              </w:rPr>
              <w:t>es 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 xml:space="preserve"> or New Zealand)</w:t>
            </w:r>
          </w:p>
        </w:tc>
        <w:tc>
          <w:tcPr>
            <w:tcW w:w="1694" w:type="pct"/>
          </w:tcPr>
          <w:p w14:paraId="40ED4353" w14:textId="77777777" w:rsidR="00BF6161" w:rsidRDefault="00BF6161" w:rsidP="00BF6161">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649EA832" w14:textId="3A40A759" w:rsidR="00C4585C" w:rsidRPr="00B43D82" w:rsidRDefault="00D15437"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3F1051">
              <w:rPr>
                <w:rFonts w:cstheme="minorHAnsi"/>
                <w:color w:val="auto"/>
                <w:sz w:val="20"/>
                <w:szCs w:val="20"/>
              </w:rPr>
              <w:t xml:space="preserve">Clarify </w:t>
            </w:r>
            <w:r w:rsidR="0020174B">
              <w:rPr>
                <w:rFonts w:cstheme="minorHAnsi"/>
                <w:color w:val="auto"/>
                <w:sz w:val="20"/>
                <w:szCs w:val="20"/>
              </w:rPr>
              <w:t>men’s</w:t>
            </w:r>
            <w:r w:rsidRPr="003F1051">
              <w:rPr>
                <w:rFonts w:cstheme="minorHAnsi"/>
                <w:color w:val="auto"/>
                <w:sz w:val="20"/>
                <w:szCs w:val="20"/>
              </w:rPr>
              <w:t xml:space="preserve"> and </w:t>
            </w:r>
            <w:r w:rsidR="0020174B">
              <w:rPr>
                <w:rFonts w:cstheme="minorHAnsi"/>
                <w:color w:val="auto"/>
                <w:sz w:val="20"/>
                <w:szCs w:val="20"/>
              </w:rPr>
              <w:t>women’s event</w:t>
            </w:r>
            <w:r w:rsidRPr="003F1051">
              <w:rPr>
                <w:rFonts w:cstheme="minorHAnsi"/>
                <w:color w:val="auto"/>
                <w:sz w:val="20"/>
                <w:szCs w:val="20"/>
              </w:rPr>
              <w:t>.</w:t>
            </w:r>
          </w:p>
        </w:tc>
      </w:tr>
      <w:tr w:rsidR="00C4585C" w:rsidRPr="0041490A" w14:paraId="0CB6C564"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F2F2F2" w:themeFill="background1" w:themeFillShade="F2"/>
          </w:tcPr>
          <w:p w14:paraId="745992A8" w14:textId="77777777" w:rsidR="00C4585C" w:rsidRPr="00B43D82" w:rsidRDefault="00C4585C" w:rsidP="00C4585C">
            <w:pPr>
              <w:spacing w:before="20" w:after="40"/>
              <w:rPr>
                <w:rFonts w:cstheme="minorHAnsi"/>
                <w:sz w:val="20"/>
                <w:szCs w:val="20"/>
              </w:rPr>
            </w:pPr>
          </w:p>
        </w:tc>
        <w:tc>
          <w:tcPr>
            <w:tcW w:w="2150" w:type="pct"/>
            <w:shd w:val="clear" w:color="auto" w:fill="F2F2F2" w:themeFill="background1" w:themeFillShade="F2"/>
          </w:tcPr>
          <w:p w14:paraId="2B5C3510" w14:textId="14BA4045" w:rsidR="00C4585C" w:rsidRPr="00B43D82" w:rsidRDefault="00D15437"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World Cup</w:t>
            </w:r>
            <w:r>
              <w:rPr>
                <w:rFonts w:cstheme="minorHAnsi"/>
                <w:color w:val="auto"/>
                <w:sz w:val="20"/>
                <w:szCs w:val="20"/>
              </w:rPr>
              <w:t xml:space="preserve"> matches</w:t>
            </w:r>
          </w:p>
          <w:p w14:paraId="0B6C6E5F" w14:textId="77777777" w:rsidR="00C4585C" w:rsidRPr="00B43D82" w:rsidRDefault="00C4585C"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w:t>
            </w:r>
            <w:r w:rsidRPr="00B43D82">
              <w:rPr>
                <w:rFonts w:cstheme="minorHAnsi"/>
                <w:color w:val="auto"/>
                <w:sz w:val="20"/>
                <w:szCs w:val="20"/>
              </w:rPr>
              <w:t>match</w:t>
            </w:r>
            <w:r>
              <w:rPr>
                <w:rFonts w:cstheme="minorHAnsi"/>
                <w:color w:val="auto"/>
                <w:sz w:val="20"/>
                <w:szCs w:val="20"/>
              </w:rPr>
              <w:t>es</w:t>
            </w:r>
            <w:r w:rsidRPr="00B43D82">
              <w:rPr>
                <w:rFonts w:cstheme="minorHAnsi"/>
                <w:color w:val="auto"/>
                <w:sz w:val="20"/>
                <w:szCs w:val="20"/>
              </w:rPr>
              <w:t xml:space="preserve"> involving the </w:t>
            </w:r>
            <w:r>
              <w:rPr>
                <w:rFonts w:cstheme="minorHAnsi"/>
                <w:color w:val="auto"/>
                <w:sz w:val="20"/>
                <w:szCs w:val="20"/>
              </w:rPr>
              <w:t>SART</w:t>
            </w:r>
            <w:r w:rsidRPr="00B43D82">
              <w:rPr>
                <w:rFonts w:cstheme="minorHAnsi"/>
                <w:color w:val="auto"/>
                <w:sz w:val="20"/>
                <w:szCs w:val="20"/>
              </w:rPr>
              <w:t>)</w:t>
            </w:r>
          </w:p>
        </w:tc>
        <w:tc>
          <w:tcPr>
            <w:tcW w:w="1694" w:type="pct"/>
            <w:shd w:val="clear" w:color="auto" w:fill="F2F2F2" w:themeFill="background1" w:themeFillShade="F2"/>
          </w:tcPr>
          <w:p w14:paraId="2C20DAE3" w14:textId="77777777" w:rsidR="00BF6161" w:rsidRDefault="00BF6161" w:rsidP="00BF6161">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0D7CEDAD" w14:textId="650AF108" w:rsidR="00C4585C" w:rsidRPr="00B43D82" w:rsidRDefault="00D15437"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F1051">
              <w:rPr>
                <w:rFonts w:cstheme="minorHAnsi"/>
                <w:color w:val="auto"/>
                <w:sz w:val="20"/>
                <w:szCs w:val="20"/>
              </w:rPr>
              <w:t xml:space="preserve">Clarify </w:t>
            </w:r>
            <w:r w:rsidR="0020174B">
              <w:rPr>
                <w:rFonts w:cstheme="minorHAnsi"/>
                <w:color w:val="auto"/>
                <w:sz w:val="20"/>
                <w:szCs w:val="20"/>
              </w:rPr>
              <w:t>men’s</w:t>
            </w:r>
            <w:r w:rsidRPr="003F1051">
              <w:rPr>
                <w:rFonts w:cstheme="minorHAnsi"/>
                <w:color w:val="auto"/>
                <w:sz w:val="20"/>
                <w:szCs w:val="20"/>
              </w:rPr>
              <w:t xml:space="preserve"> and </w:t>
            </w:r>
            <w:r w:rsidR="0020174B">
              <w:rPr>
                <w:rFonts w:cstheme="minorHAnsi"/>
                <w:color w:val="auto"/>
                <w:sz w:val="20"/>
                <w:szCs w:val="20"/>
              </w:rPr>
              <w:t>women’s event</w:t>
            </w:r>
            <w:r w:rsidRPr="003F1051">
              <w:rPr>
                <w:rFonts w:cstheme="minorHAnsi"/>
                <w:color w:val="auto"/>
                <w:sz w:val="20"/>
                <w:szCs w:val="20"/>
              </w:rPr>
              <w:t>.</w:t>
            </w:r>
          </w:p>
        </w:tc>
      </w:tr>
      <w:tr w:rsidR="00C4585C" w:rsidRPr="0041490A" w14:paraId="22B0D41D"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tcPr>
          <w:p w14:paraId="5ABF4200" w14:textId="77777777" w:rsidR="00C4585C" w:rsidRPr="00B43D82" w:rsidRDefault="00C4585C" w:rsidP="00C4585C">
            <w:pPr>
              <w:spacing w:before="20" w:after="40"/>
              <w:rPr>
                <w:rFonts w:cstheme="minorHAnsi"/>
                <w:sz w:val="20"/>
                <w:szCs w:val="20"/>
              </w:rPr>
            </w:pPr>
          </w:p>
        </w:tc>
        <w:tc>
          <w:tcPr>
            <w:tcW w:w="2150" w:type="pct"/>
          </w:tcPr>
          <w:p w14:paraId="7653EE70" w14:textId="3FBE0BB8" w:rsidR="00C4585C" w:rsidRPr="00B43D82" w:rsidRDefault="00D15437"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World Cup</w:t>
            </w:r>
            <w:r>
              <w:rPr>
                <w:rFonts w:cstheme="minorHAnsi"/>
                <w:color w:val="auto"/>
                <w:sz w:val="20"/>
                <w:szCs w:val="20"/>
              </w:rPr>
              <w:t xml:space="preserve"> matches</w:t>
            </w:r>
          </w:p>
          <w:p w14:paraId="0CEF22DF" w14:textId="77777777" w:rsidR="00C4585C" w:rsidRPr="00B43D82"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(final</w:t>
            </w:r>
            <w:r w:rsidRPr="00B43D82">
              <w:rPr>
                <w:rFonts w:cstheme="minorHAnsi"/>
                <w:color w:val="auto"/>
                <w:sz w:val="20"/>
                <w:szCs w:val="20"/>
              </w:rPr>
              <w:t>)</w:t>
            </w:r>
          </w:p>
        </w:tc>
        <w:tc>
          <w:tcPr>
            <w:tcW w:w="1694" w:type="pct"/>
          </w:tcPr>
          <w:p w14:paraId="76D6081B" w14:textId="77777777" w:rsidR="00BF6161" w:rsidRDefault="00BF6161" w:rsidP="00BF6161">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645B6EA6" w14:textId="3D90060F" w:rsidR="00C4585C" w:rsidRPr="00B43D82" w:rsidRDefault="00D15437"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3F1051">
              <w:rPr>
                <w:rFonts w:cstheme="minorHAnsi"/>
                <w:color w:val="auto"/>
                <w:sz w:val="20"/>
                <w:szCs w:val="20"/>
              </w:rPr>
              <w:t xml:space="preserve">Clarify </w:t>
            </w:r>
            <w:r w:rsidR="0020174B">
              <w:rPr>
                <w:rFonts w:cstheme="minorHAnsi"/>
                <w:color w:val="auto"/>
                <w:sz w:val="20"/>
                <w:szCs w:val="20"/>
              </w:rPr>
              <w:t>men’s</w:t>
            </w:r>
            <w:r w:rsidRPr="003F1051">
              <w:rPr>
                <w:rFonts w:cstheme="minorHAnsi"/>
                <w:color w:val="auto"/>
                <w:sz w:val="20"/>
                <w:szCs w:val="20"/>
              </w:rPr>
              <w:t xml:space="preserve"> and </w:t>
            </w:r>
            <w:r w:rsidR="0020174B">
              <w:rPr>
                <w:rFonts w:cstheme="minorHAnsi"/>
                <w:color w:val="auto"/>
                <w:sz w:val="20"/>
                <w:szCs w:val="20"/>
              </w:rPr>
              <w:t>women’s event</w:t>
            </w:r>
            <w:r w:rsidRPr="003F1051">
              <w:rPr>
                <w:rFonts w:cstheme="minorHAnsi"/>
                <w:color w:val="auto"/>
                <w:sz w:val="20"/>
                <w:szCs w:val="20"/>
              </w:rPr>
              <w:t>.</w:t>
            </w:r>
          </w:p>
        </w:tc>
      </w:tr>
      <w:tr w:rsidR="00C4585C" w:rsidRPr="0041490A" w14:paraId="55E65017"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tcPr>
          <w:p w14:paraId="74C60F09" w14:textId="77777777" w:rsidR="00C4585C" w:rsidRDefault="00C4585C" w:rsidP="00C4585C">
            <w:pPr>
              <w:spacing w:before="20" w:after="40"/>
              <w:rPr>
                <w:rFonts w:cstheme="minorHAnsi"/>
                <w:sz w:val="20"/>
                <w:szCs w:val="20"/>
              </w:rPr>
            </w:pPr>
            <w:r>
              <w:rPr>
                <w:rFonts w:cstheme="minorHAnsi"/>
                <w:sz w:val="20"/>
                <w:szCs w:val="20"/>
              </w:rPr>
              <w:t>Cricket</w:t>
            </w:r>
          </w:p>
        </w:tc>
        <w:tc>
          <w:tcPr>
            <w:tcW w:w="2150" w:type="pct"/>
            <w:shd w:val="clear" w:color="auto" w:fill="auto"/>
          </w:tcPr>
          <w:p w14:paraId="6D3BB671" w14:textId="301E0704" w:rsidR="00C4585C" w:rsidRPr="00B43D82" w:rsidRDefault="00D15437"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T</w:t>
            </w:r>
            <w:r w:rsidRPr="00B43D82">
              <w:rPr>
                <w:rFonts w:cstheme="minorHAnsi"/>
                <w:color w:val="auto"/>
                <w:sz w:val="20"/>
                <w:szCs w:val="20"/>
              </w:rPr>
              <w:t>est matches</w:t>
            </w:r>
          </w:p>
          <w:p w14:paraId="26D2F5BA" w14:textId="1A594984" w:rsidR="00C4585C" w:rsidRPr="00401E19" w:rsidRDefault="00C4585C" w:rsidP="00C4585C">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 xml:space="preserve">ach test </w:t>
            </w:r>
            <w:r w:rsidR="001B7BDD">
              <w:rPr>
                <w:rFonts w:cstheme="minorHAnsi"/>
                <w:color w:val="auto"/>
                <w:sz w:val="20"/>
                <w:szCs w:val="20"/>
              </w:rPr>
              <w:t>match</w:t>
            </w:r>
            <w:r w:rsidR="001B7BDD" w:rsidRPr="00F21A0D">
              <w:rPr>
                <w:rFonts w:cstheme="minorHAnsi"/>
                <w:color w:val="auto"/>
                <w:sz w:val="20"/>
                <w:szCs w:val="20"/>
              </w:rPr>
              <w:t xml:space="preserve"> </w:t>
            </w:r>
            <w:r w:rsidRPr="00B43D82">
              <w:rPr>
                <w:rFonts w:cstheme="minorHAnsi"/>
                <w:color w:val="auto"/>
                <w:sz w:val="20"/>
                <w:szCs w:val="20"/>
              </w:rPr>
              <w:t xml:space="preserve">involving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w:t>
            </w:r>
          </w:p>
        </w:tc>
        <w:tc>
          <w:tcPr>
            <w:tcW w:w="1694" w:type="pct"/>
            <w:shd w:val="clear" w:color="auto" w:fill="auto"/>
          </w:tcPr>
          <w:p w14:paraId="03D53EF4" w14:textId="77777777" w:rsidR="00BF6161" w:rsidRDefault="00BF6161" w:rsidP="00BF6161">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0876F01D" w14:textId="51C13412" w:rsidR="00C4585C" w:rsidRPr="00B43D82" w:rsidRDefault="00D15437"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F1051">
              <w:rPr>
                <w:rFonts w:cstheme="minorHAnsi"/>
                <w:color w:val="auto"/>
                <w:sz w:val="20"/>
                <w:szCs w:val="20"/>
              </w:rPr>
              <w:t xml:space="preserve">Clarify </w:t>
            </w:r>
            <w:r w:rsidR="0020174B">
              <w:rPr>
                <w:rFonts w:cstheme="minorHAnsi"/>
                <w:color w:val="auto"/>
                <w:sz w:val="20"/>
                <w:szCs w:val="20"/>
              </w:rPr>
              <w:t>men’s</w:t>
            </w:r>
            <w:r w:rsidRPr="003F1051">
              <w:rPr>
                <w:rFonts w:cstheme="minorHAnsi"/>
                <w:color w:val="auto"/>
                <w:sz w:val="20"/>
                <w:szCs w:val="20"/>
              </w:rPr>
              <w:t xml:space="preserve"> and </w:t>
            </w:r>
            <w:r w:rsidR="0020174B">
              <w:rPr>
                <w:rFonts w:cstheme="minorHAnsi"/>
                <w:color w:val="auto"/>
                <w:sz w:val="20"/>
                <w:szCs w:val="20"/>
              </w:rPr>
              <w:t>women’s event</w:t>
            </w:r>
            <w:r w:rsidRPr="003F1051">
              <w:rPr>
                <w:rFonts w:cstheme="minorHAnsi"/>
                <w:color w:val="auto"/>
                <w:sz w:val="20"/>
                <w:szCs w:val="20"/>
              </w:rPr>
              <w:t>.</w:t>
            </w:r>
          </w:p>
        </w:tc>
      </w:tr>
      <w:tr w:rsidR="00C4585C" w:rsidRPr="0041490A" w14:paraId="3A2ADF09"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7F9B6E19" w14:textId="77777777" w:rsidR="00C4585C" w:rsidRDefault="00C4585C" w:rsidP="00C4585C">
            <w:pPr>
              <w:spacing w:before="20" w:after="40"/>
              <w:rPr>
                <w:rFonts w:cstheme="minorHAnsi"/>
                <w:sz w:val="20"/>
                <w:szCs w:val="20"/>
              </w:rPr>
            </w:pPr>
          </w:p>
        </w:tc>
        <w:tc>
          <w:tcPr>
            <w:tcW w:w="2150" w:type="pct"/>
            <w:shd w:val="clear" w:color="auto" w:fill="auto"/>
          </w:tcPr>
          <w:p w14:paraId="08DBBCEE" w14:textId="1F415AA8" w:rsidR="00C4585C" w:rsidRPr="00B43D82" w:rsidRDefault="00D15437" w:rsidP="00C4585C">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T</w:t>
            </w:r>
            <w:r w:rsidR="00C4585C" w:rsidRPr="00B43D82">
              <w:rPr>
                <w:rFonts w:cstheme="minorHAnsi"/>
                <w:color w:val="auto"/>
                <w:sz w:val="20"/>
                <w:szCs w:val="20"/>
              </w:rPr>
              <w:t>est matches</w:t>
            </w:r>
          </w:p>
          <w:p w14:paraId="70EBB613" w14:textId="4AAF7D22" w:rsidR="00C4585C" w:rsidRPr="00E8613B" w:rsidRDefault="00C4585C" w:rsidP="00C4585C">
            <w:pPr>
              <w:spacing w:before="20" w:after="40"/>
              <w:jc w:val="center"/>
              <w:cnfStyle w:val="000000010000" w:firstRow="0" w:lastRow="0" w:firstColumn="0" w:lastColumn="0" w:oddVBand="0" w:evenVBand="0" w:oddHBand="0" w:evenHBand="1" w:firstRowFirstColumn="0" w:firstRowLastColumn="0" w:lastRowFirstColumn="0" w:lastRowLastColumn="0"/>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 xml:space="preserve">ach test </w:t>
            </w:r>
            <w:r w:rsidR="001B7BDD">
              <w:rPr>
                <w:rFonts w:cstheme="minorHAnsi"/>
                <w:color w:val="auto"/>
                <w:sz w:val="20"/>
                <w:szCs w:val="20"/>
              </w:rPr>
              <w:t>match</w:t>
            </w:r>
            <w:r w:rsidRPr="00B43D82">
              <w:rPr>
                <w:rFonts w:cstheme="minorHAnsi"/>
                <w:color w:val="auto"/>
                <w:sz w:val="20"/>
                <w:szCs w:val="20"/>
              </w:rPr>
              <w:t xml:space="preserve"> involving </w:t>
            </w:r>
            <w:r w:rsidR="00CB35C8">
              <w:rPr>
                <w:rFonts w:cstheme="minorHAnsi"/>
                <w:color w:val="auto"/>
                <w:sz w:val="20"/>
                <w:szCs w:val="20"/>
              </w:rPr>
              <w:t xml:space="preserve">both </w:t>
            </w:r>
            <w:r w:rsidRPr="00B43D82">
              <w:rPr>
                <w:rFonts w:cstheme="minorHAnsi"/>
                <w:color w:val="auto"/>
                <w:sz w:val="20"/>
                <w:szCs w:val="20"/>
              </w:rPr>
              <w:t xml:space="preserve">the </w:t>
            </w:r>
            <w:r>
              <w:rPr>
                <w:rFonts w:cstheme="minorHAnsi"/>
                <w:color w:val="auto"/>
                <w:sz w:val="20"/>
                <w:szCs w:val="20"/>
              </w:rPr>
              <w:t>SART</w:t>
            </w:r>
            <w:r w:rsidRPr="00B43D82">
              <w:rPr>
                <w:rFonts w:cstheme="minorHAnsi"/>
                <w:color w:val="auto"/>
                <w:sz w:val="20"/>
                <w:szCs w:val="20"/>
              </w:rPr>
              <w:t xml:space="preserve"> </w:t>
            </w:r>
            <w:r w:rsidRPr="00E8613B">
              <w:rPr>
                <w:rFonts w:cstheme="minorHAnsi"/>
                <w:color w:val="auto"/>
                <w:sz w:val="20"/>
                <w:szCs w:val="20"/>
              </w:rPr>
              <w:t>and the senior English representative team;</w:t>
            </w:r>
            <w:r w:rsidRPr="00B43D82">
              <w:rPr>
                <w:rFonts w:cstheme="minorHAnsi"/>
                <w:color w:val="auto"/>
                <w:sz w:val="20"/>
                <w:szCs w:val="20"/>
              </w:rPr>
              <w:t xml:space="preserve"> played in </w:t>
            </w:r>
            <w:r>
              <w:rPr>
                <w:rFonts w:cstheme="minorHAnsi"/>
                <w:color w:val="auto"/>
                <w:sz w:val="20"/>
                <w:szCs w:val="20"/>
              </w:rPr>
              <w:t>the UK</w:t>
            </w:r>
            <w:r w:rsidRPr="00B43D82">
              <w:rPr>
                <w:rFonts w:cstheme="minorHAnsi"/>
                <w:color w:val="auto"/>
                <w:sz w:val="20"/>
                <w:szCs w:val="20"/>
              </w:rPr>
              <w:t>)</w:t>
            </w:r>
          </w:p>
        </w:tc>
        <w:tc>
          <w:tcPr>
            <w:tcW w:w="1694" w:type="pct"/>
            <w:shd w:val="clear" w:color="auto" w:fill="auto"/>
          </w:tcPr>
          <w:p w14:paraId="6DC63351" w14:textId="19365F0A" w:rsidR="00C634D8" w:rsidRDefault="00BF6161" w:rsidP="00786567">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w:t>
            </w:r>
            <w:r w:rsidR="00C634D8">
              <w:rPr>
                <w:sz w:val="20"/>
                <w:szCs w:val="20"/>
              </w:rPr>
              <w:t>he ‘Ashes’ series</w:t>
            </w:r>
          </w:p>
          <w:p w14:paraId="09E1E56B" w14:textId="08234041" w:rsidR="00C4585C" w:rsidRPr="00786567" w:rsidRDefault="00C634D8" w:rsidP="00786567">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rFonts w:cstheme="minorHAnsi"/>
                <w:color w:val="auto"/>
                <w:sz w:val="20"/>
                <w:szCs w:val="20"/>
              </w:rPr>
              <w:t>(e</w:t>
            </w:r>
            <w:r w:rsidRPr="00B43D82">
              <w:rPr>
                <w:rFonts w:cstheme="minorHAnsi"/>
                <w:color w:val="auto"/>
                <w:sz w:val="20"/>
                <w:szCs w:val="20"/>
              </w:rPr>
              <w:t xml:space="preserve">ach </w:t>
            </w:r>
            <w:r>
              <w:rPr>
                <w:rFonts w:cstheme="minorHAnsi"/>
                <w:color w:val="auto"/>
                <w:sz w:val="20"/>
                <w:szCs w:val="20"/>
              </w:rPr>
              <w:t>match</w:t>
            </w:r>
            <w:r w:rsidRPr="00B43D82">
              <w:rPr>
                <w:rFonts w:cstheme="minorHAnsi"/>
                <w:color w:val="auto"/>
                <w:sz w:val="20"/>
                <w:szCs w:val="20"/>
              </w:rPr>
              <w:t xml:space="preserve"> involving </w:t>
            </w:r>
            <w:r w:rsidR="0008627D">
              <w:rPr>
                <w:rFonts w:cstheme="minorHAnsi"/>
                <w:color w:val="auto"/>
                <w:sz w:val="20"/>
                <w:szCs w:val="20"/>
              </w:rPr>
              <w:t xml:space="preserve">both </w:t>
            </w:r>
            <w:r w:rsidRPr="00B43D82">
              <w:rPr>
                <w:rFonts w:cstheme="minorHAnsi"/>
                <w:color w:val="auto"/>
                <w:sz w:val="20"/>
                <w:szCs w:val="20"/>
              </w:rPr>
              <w:t xml:space="preserve">the </w:t>
            </w:r>
            <w:r>
              <w:rPr>
                <w:rFonts w:cstheme="minorHAnsi"/>
                <w:color w:val="auto"/>
                <w:sz w:val="20"/>
                <w:szCs w:val="20"/>
              </w:rPr>
              <w:t>SART</w:t>
            </w:r>
            <w:r w:rsidRPr="00B43D82">
              <w:rPr>
                <w:rFonts w:cstheme="minorHAnsi"/>
                <w:color w:val="auto"/>
                <w:sz w:val="20"/>
                <w:szCs w:val="20"/>
              </w:rPr>
              <w:t xml:space="preserve"> </w:t>
            </w:r>
            <w:r w:rsidRPr="000C788E">
              <w:rPr>
                <w:rFonts w:cstheme="minorHAnsi"/>
                <w:color w:val="auto"/>
                <w:sz w:val="20"/>
                <w:szCs w:val="20"/>
              </w:rPr>
              <w:t>and the senior English representative team;</w:t>
            </w:r>
            <w:r w:rsidRPr="00B43D82">
              <w:rPr>
                <w:rFonts w:cstheme="minorHAnsi"/>
                <w:color w:val="auto"/>
                <w:sz w:val="20"/>
                <w:szCs w:val="20"/>
              </w:rPr>
              <w:t xml:space="preserve"> played in </w:t>
            </w:r>
            <w:r>
              <w:rPr>
                <w:rFonts w:cstheme="minorHAnsi"/>
                <w:color w:val="auto"/>
                <w:sz w:val="20"/>
                <w:szCs w:val="20"/>
              </w:rPr>
              <w:t>the UK</w:t>
            </w:r>
            <w:r w:rsidRPr="00B43D82">
              <w:rPr>
                <w:rFonts w:cstheme="minorHAnsi"/>
                <w:color w:val="auto"/>
                <w:sz w:val="20"/>
                <w:szCs w:val="20"/>
              </w:rPr>
              <w:t>)</w:t>
            </w:r>
          </w:p>
        </w:tc>
      </w:tr>
      <w:tr w:rsidR="00C634D8" w:rsidRPr="0041490A" w14:paraId="219E2870"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19BB39B5" w14:textId="77777777" w:rsidR="00C634D8" w:rsidRDefault="00C634D8" w:rsidP="00C634D8">
            <w:pPr>
              <w:spacing w:before="20" w:after="40"/>
              <w:rPr>
                <w:rFonts w:cstheme="minorHAnsi"/>
                <w:sz w:val="20"/>
                <w:szCs w:val="20"/>
              </w:rPr>
            </w:pPr>
          </w:p>
        </w:tc>
        <w:tc>
          <w:tcPr>
            <w:tcW w:w="2150" w:type="pct"/>
            <w:shd w:val="clear" w:color="auto" w:fill="auto"/>
          </w:tcPr>
          <w:p w14:paraId="3EA19BA3" w14:textId="16B1212E" w:rsidR="00C634D8" w:rsidRDefault="00D15437"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O</w:t>
            </w:r>
            <w:r w:rsidRPr="00E8613B">
              <w:rPr>
                <w:rFonts w:cstheme="minorHAnsi"/>
                <w:color w:val="auto"/>
                <w:sz w:val="20"/>
                <w:szCs w:val="20"/>
              </w:rPr>
              <w:t xml:space="preserve">ne </w:t>
            </w:r>
            <w:r>
              <w:rPr>
                <w:rFonts w:cstheme="minorHAnsi"/>
                <w:color w:val="auto"/>
                <w:sz w:val="20"/>
                <w:szCs w:val="20"/>
              </w:rPr>
              <w:t>d</w:t>
            </w:r>
            <w:r w:rsidRPr="00E8613B">
              <w:rPr>
                <w:rFonts w:cstheme="minorHAnsi"/>
                <w:color w:val="auto"/>
                <w:sz w:val="20"/>
                <w:szCs w:val="20"/>
              </w:rPr>
              <w:t xml:space="preserve">ay </w:t>
            </w:r>
            <w:r>
              <w:rPr>
                <w:rFonts w:cstheme="minorHAnsi"/>
                <w:color w:val="auto"/>
                <w:sz w:val="20"/>
                <w:szCs w:val="20"/>
              </w:rPr>
              <w:t>matches</w:t>
            </w:r>
          </w:p>
          <w:p w14:paraId="58DC8F9C" w14:textId="77777777" w:rsidR="00C634D8" w:rsidRPr="00401E19"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cstheme="minorHAnsi"/>
                <w:color w:val="auto"/>
                <w:sz w:val="20"/>
                <w:szCs w:val="20"/>
              </w:rPr>
              <w:t>(</w:t>
            </w:r>
            <w:r w:rsidRPr="00E8613B">
              <w:rPr>
                <w:rFonts w:cstheme="minorHAnsi"/>
                <w:color w:val="auto"/>
                <w:sz w:val="20"/>
                <w:szCs w:val="20"/>
              </w:rPr>
              <w:t>matches involv</w:t>
            </w:r>
            <w:r>
              <w:rPr>
                <w:rFonts w:cstheme="minorHAnsi"/>
                <w:color w:val="auto"/>
                <w:sz w:val="20"/>
                <w:szCs w:val="20"/>
              </w:rPr>
              <w:t>ing</w:t>
            </w:r>
            <w:r w:rsidRPr="00E8613B">
              <w:rPr>
                <w:rFonts w:cstheme="minorHAnsi"/>
                <w:color w:val="auto"/>
                <w:sz w:val="20"/>
                <w:szCs w:val="20"/>
              </w:rPr>
              <w:t xml:space="preserve"> the </w:t>
            </w:r>
            <w:r>
              <w:rPr>
                <w:rFonts w:cstheme="minorHAnsi"/>
                <w:color w:val="auto"/>
                <w:sz w:val="20"/>
                <w:szCs w:val="20"/>
              </w:rPr>
              <w:t>SART; played in</w:t>
            </w:r>
            <w:r w:rsidRPr="00E8613B">
              <w:rPr>
                <w:rFonts w:cstheme="minorHAnsi"/>
                <w:color w:val="auto"/>
                <w:sz w:val="20"/>
                <w:szCs w:val="20"/>
              </w:rPr>
              <w:t xml:space="preserve"> </w:t>
            </w:r>
            <w:r>
              <w:rPr>
                <w:rFonts w:cstheme="minorHAnsi"/>
                <w:color w:val="auto"/>
                <w:sz w:val="20"/>
                <w:szCs w:val="20"/>
              </w:rPr>
              <w:t>AU)</w:t>
            </w:r>
            <w:r w:rsidRPr="00E8613B">
              <w:rPr>
                <w:rFonts w:cstheme="minorHAnsi"/>
                <w:color w:val="auto"/>
                <w:sz w:val="20"/>
                <w:szCs w:val="20"/>
              </w:rPr>
              <w:t>.</w:t>
            </w:r>
          </w:p>
        </w:tc>
        <w:tc>
          <w:tcPr>
            <w:tcW w:w="1694" w:type="pct"/>
            <w:shd w:val="clear" w:color="auto" w:fill="auto"/>
          </w:tcPr>
          <w:p w14:paraId="3E01DD98" w14:textId="77777777" w:rsidR="00BF6161" w:rsidRDefault="00BF6161" w:rsidP="00BF6161">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24992145" w14:textId="454EEAA3" w:rsidR="00C634D8" w:rsidRPr="00B43D82" w:rsidRDefault="00D15437"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E525B">
              <w:rPr>
                <w:rFonts w:cstheme="minorHAnsi"/>
                <w:color w:val="auto"/>
                <w:sz w:val="20"/>
                <w:szCs w:val="20"/>
              </w:rPr>
              <w:t xml:space="preserve">Clarify </w:t>
            </w:r>
            <w:r w:rsidR="0020174B">
              <w:rPr>
                <w:rFonts w:cstheme="minorHAnsi"/>
                <w:color w:val="auto"/>
                <w:sz w:val="20"/>
                <w:szCs w:val="20"/>
              </w:rPr>
              <w:t>men’s</w:t>
            </w:r>
            <w:r w:rsidRPr="009E525B">
              <w:rPr>
                <w:rFonts w:cstheme="minorHAnsi"/>
                <w:color w:val="auto"/>
                <w:sz w:val="20"/>
                <w:szCs w:val="20"/>
              </w:rPr>
              <w:t xml:space="preserve"> and </w:t>
            </w:r>
            <w:r w:rsidR="0020174B">
              <w:rPr>
                <w:rFonts w:cstheme="minorHAnsi"/>
                <w:color w:val="auto"/>
                <w:sz w:val="20"/>
                <w:szCs w:val="20"/>
              </w:rPr>
              <w:t>women’s event</w:t>
            </w:r>
            <w:r w:rsidRPr="009E525B">
              <w:rPr>
                <w:rFonts w:cstheme="minorHAnsi"/>
                <w:color w:val="auto"/>
                <w:sz w:val="20"/>
                <w:szCs w:val="20"/>
              </w:rPr>
              <w:t>.</w:t>
            </w:r>
          </w:p>
        </w:tc>
      </w:tr>
      <w:tr w:rsidR="00C634D8" w:rsidRPr="0041490A" w14:paraId="1D09C09E"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4B821865" w14:textId="77777777" w:rsidR="00C634D8" w:rsidRDefault="00C634D8" w:rsidP="00C634D8">
            <w:pPr>
              <w:spacing w:before="20" w:after="40"/>
              <w:rPr>
                <w:rFonts w:cstheme="minorHAnsi"/>
                <w:sz w:val="20"/>
                <w:szCs w:val="20"/>
              </w:rPr>
            </w:pPr>
          </w:p>
        </w:tc>
        <w:tc>
          <w:tcPr>
            <w:tcW w:w="2150" w:type="pct"/>
            <w:shd w:val="clear" w:color="auto" w:fill="auto"/>
          </w:tcPr>
          <w:p w14:paraId="58EEAE03" w14:textId="406DCB75" w:rsidR="00C634D8" w:rsidRPr="00401E19"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sidRPr="00E8613B">
              <w:rPr>
                <w:sz w:val="20"/>
                <w:szCs w:val="20"/>
              </w:rPr>
              <w:t>T20</w:t>
            </w:r>
            <w:r w:rsidRPr="00021F1F">
              <w:t xml:space="preserve"> </w:t>
            </w:r>
            <w:r w:rsidR="007A03E3" w:rsidRPr="000C788E">
              <w:rPr>
                <w:rFonts w:cstheme="minorHAnsi"/>
                <w:color w:val="auto"/>
                <w:sz w:val="20"/>
                <w:szCs w:val="20"/>
              </w:rPr>
              <w:t>matches</w:t>
            </w:r>
            <w:r w:rsidR="007A03E3">
              <w:rPr>
                <w:rFonts w:cstheme="minorHAnsi"/>
                <w:color w:val="auto"/>
                <w:sz w:val="20"/>
                <w:szCs w:val="20"/>
              </w:rPr>
              <w:t xml:space="preserve"> </w:t>
            </w:r>
            <w:r w:rsidR="007A03E3">
              <w:rPr>
                <w:rFonts w:cstheme="minorHAnsi"/>
                <w:color w:val="auto"/>
                <w:sz w:val="20"/>
                <w:szCs w:val="20"/>
              </w:rPr>
              <w:br/>
            </w:r>
            <w:r>
              <w:rPr>
                <w:rFonts w:cstheme="minorHAnsi"/>
                <w:color w:val="auto"/>
                <w:sz w:val="20"/>
                <w:szCs w:val="20"/>
              </w:rPr>
              <w:t>(</w:t>
            </w:r>
            <w:r w:rsidRPr="000C788E">
              <w:rPr>
                <w:rFonts w:cstheme="minorHAnsi"/>
                <w:color w:val="auto"/>
                <w:sz w:val="20"/>
                <w:szCs w:val="20"/>
              </w:rPr>
              <w:t>matches involv</w:t>
            </w:r>
            <w:r>
              <w:rPr>
                <w:rFonts w:cstheme="minorHAnsi"/>
                <w:color w:val="auto"/>
                <w:sz w:val="20"/>
                <w:szCs w:val="20"/>
              </w:rPr>
              <w:t>ing</w:t>
            </w:r>
            <w:r w:rsidRPr="000C788E">
              <w:rPr>
                <w:rFonts w:cstheme="minorHAnsi"/>
                <w:color w:val="auto"/>
                <w:sz w:val="20"/>
                <w:szCs w:val="20"/>
              </w:rPr>
              <w:t xml:space="preserve"> the </w:t>
            </w:r>
            <w:r>
              <w:rPr>
                <w:rFonts w:cstheme="minorHAnsi"/>
                <w:color w:val="auto"/>
                <w:sz w:val="20"/>
                <w:szCs w:val="20"/>
              </w:rPr>
              <w:t>SART; played in</w:t>
            </w:r>
            <w:r w:rsidRPr="000C788E">
              <w:rPr>
                <w:rFonts w:cstheme="minorHAnsi"/>
                <w:color w:val="auto"/>
                <w:sz w:val="20"/>
                <w:szCs w:val="20"/>
              </w:rPr>
              <w:t xml:space="preserve"> </w:t>
            </w:r>
            <w:r>
              <w:rPr>
                <w:rFonts w:cstheme="minorHAnsi"/>
                <w:color w:val="auto"/>
                <w:sz w:val="20"/>
                <w:szCs w:val="20"/>
              </w:rPr>
              <w:t>AU)</w:t>
            </w:r>
            <w:r w:rsidRPr="000C788E">
              <w:rPr>
                <w:rFonts w:cstheme="minorHAnsi"/>
                <w:color w:val="auto"/>
                <w:sz w:val="20"/>
                <w:szCs w:val="20"/>
              </w:rPr>
              <w:t>.</w:t>
            </w:r>
          </w:p>
        </w:tc>
        <w:tc>
          <w:tcPr>
            <w:tcW w:w="1694" w:type="pct"/>
            <w:shd w:val="clear" w:color="auto" w:fill="auto"/>
          </w:tcPr>
          <w:p w14:paraId="6BB1DE9F" w14:textId="77777777" w:rsidR="00BF6161" w:rsidRDefault="00BF6161" w:rsidP="00BF6161">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4412B72B" w14:textId="42A21DDB" w:rsidR="00C634D8" w:rsidRPr="00B43D82" w:rsidRDefault="00D15437"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9E525B">
              <w:rPr>
                <w:rFonts w:cstheme="minorHAnsi"/>
                <w:color w:val="auto"/>
                <w:sz w:val="20"/>
                <w:szCs w:val="20"/>
              </w:rPr>
              <w:t xml:space="preserve">Clarify </w:t>
            </w:r>
            <w:r w:rsidR="0020174B">
              <w:rPr>
                <w:rFonts w:cstheme="minorHAnsi"/>
                <w:color w:val="auto"/>
                <w:sz w:val="20"/>
                <w:szCs w:val="20"/>
              </w:rPr>
              <w:t>men’s</w:t>
            </w:r>
            <w:r w:rsidRPr="009E525B">
              <w:rPr>
                <w:rFonts w:cstheme="minorHAnsi"/>
                <w:color w:val="auto"/>
                <w:sz w:val="20"/>
                <w:szCs w:val="20"/>
              </w:rPr>
              <w:t xml:space="preserve"> and </w:t>
            </w:r>
            <w:r w:rsidR="0020174B">
              <w:rPr>
                <w:rFonts w:cstheme="minorHAnsi"/>
                <w:color w:val="auto"/>
                <w:sz w:val="20"/>
                <w:szCs w:val="20"/>
              </w:rPr>
              <w:t>women’s event</w:t>
            </w:r>
            <w:r w:rsidRPr="009E525B">
              <w:rPr>
                <w:rFonts w:cstheme="minorHAnsi"/>
                <w:color w:val="auto"/>
                <w:sz w:val="20"/>
                <w:szCs w:val="20"/>
              </w:rPr>
              <w:t>.</w:t>
            </w:r>
          </w:p>
        </w:tc>
      </w:tr>
      <w:tr w:rsidR="00C634D8" w:rsidRPr="0041490A" w14:paraId="1602BDB9"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1A2F38A1" w14:textId="77777777" w:rsidR="00C634D8" w:rsidRDefault="00C634D8" w:rsidP="00C634D8">
            <w:pPr>
              <w:spacing w:before="20" w:after="40"/>
              <w:rPr>
                <w:rFonts w:cstheme="minorHAnsi"/>
                <w:sz w:val="20"/>
                <w:szCs w:val="20"/>
              </w:rPr>
            </w:pPr>
          </w:p>
        </w:tc>
        <w:tc>
          <w:tcPr>
            <w:tcW w:w="2150" w:type="pct"/>
            <w:shd w:val="clear" w:color="auto" w:fill="auto"/>
          </w:tcPr>
          <w:p w14:paraId="209C3A0E" w14:textId="11710A3F" w:rsidR="00C634D8" w:rsidRDefault="00D15437" w:rsidP="00C634D8">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One</w:t>
            </w:r>
            <w:r w:rsidR="00C634D8">
              <w:rPr>
                <w:sz w:val="20"/>
                <w:szCs w:val="20"/>
              </w:rPr>
              <w:t xml:space="preserve"> day</w:t>
            </w:r>
            <w:r w:rsidR="00C634D8" w:rsidRPr="00E8613B">
              <w:rPr>
                <w:sz w:val="20"/>
                <w:szCs w:val="20"/>
              </w:rPr>
              <w:t xml:space="preserve"> World Cup </w:t>
            </w:r>
          </w:p>
          <w:p w14:paraId="246BDC17" w14:textId="77777777" w:rsidR="00C634D8" w:rsidRPr="00EE7436"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B43D82">
              <w:rPr>
                <w:rFonts w:cstheme="minorHAnsi"/>
                <w:color w:val="auto"/>
                <w:sz w:val="20"/>
                <w:szCs w:val="20"/>
              </w:rPr>
              <w:t>(match</w:t>
            </w:r>
            <w:r>
              <w:rPr>
                <w:rFonts w:cstheme="minorHAnsi"/>
                <w:color w:val="auto"/>
                <w:sz w:val="20"/>
                <w:szCs w:val="20"/>
              </w:rPr>
              <w:t>es 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 xml:space="preserve"> or New Zealand)</w:t>
            </w:r>
          </w:p>
        </w:tc>
        <w:tc>
          <w:tcPr>
            <w:tcW w:w="1694" w:type="pct"/>
            <w:shd w:val="clear" w:color="auto" w:fill="auto"/>
          </w:tcPr>
          <w:p w14:paraId="5DCB4108" w14:textId="77777777" w:rsidR="00BF6161" w:rsidRDefault="00BF6161" w:rsidP="00BF6161">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3832F58C" w14:textId="640C52A4" w:rsidR="00C634D8" w:rsidRPr="00EE7436" w:rsidRDefault="00D15437"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E525B">
              <w:rPr>
                <w:rFonts w:cstheme="minorHAnsi"/>
                <w:color w:val="auto"/>
                <w:sz w:val="20"/>
                <w:szCs w:val="20"/>
              </w:rPr>
              <w:t xml:space="preserve">Clarify </w:t>
            </w:r>
            <w:r w:rsidR="0020174B">
              <w:rPr>
                <w:rFonts w:cstheme="minorHAnsi"/>
                <w:color w:val="auto"/>
                <w:sz w:val="20"/>
                <w:szCs w:val="20"/>
              </w:rPr>
              <w:t>men’s</w:t>
            </w:r>
            <w:r w:rsidRPr="009E525B">
              <w:rPr>
                <w:rFonts w:cstheme="minorHAnsi"/>
                <w:color w:val="auto"/>
                <w:sz w:val="20"/>
                <w:szCs w:val="20"/>
              </w:rPr>
              <w:t xml:space="preserve"> and </w:t>
            </w:r>
            <w:r w:rsidR="0020174B">
              <w:rPr>
                <w:rFonts w:cstheme="minorHAnsi"/>
                <w:color w:val="auto"/>
                <w:sz w:val="20"/>
                <w:szCs w:val="20"/>
              </w:rPr>
              <w:t>women’s event</w:t>
            </w:r>
            <w:r w:rsidRPr="009E525B">
              <w:rPr>
                <w:rFonts w:cstheme="minorHAnsi"/>
                <w:color w:val="auto"/>
                <w:sz w:val="20"/>
                <w:szCs w:val="20"/>
              </w:rPr>
              <w:t>.</w:t>
            </w:r>
          </w:p>
        </w:tc>
      </w:tr>
      <w:tr w:rsidR="00C634D8" w:rsidRPr="0041490A" w14:paraId="093415F6"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02352F16" w14:textId="77777777" w:rsidR="00C634D8" w:rsidRDefault="00C634D8" w:rsidP="00C634D8">
            <w:pPr>
              <w:spacing w:before="20" w:after="40"/>
              <w:rPr>
                <w:rFonts w:cstheme="minorHAnsi"/>
                <w:sz w:val="20"/>
                <w:szCs w:val="20"/>
              </w:rPr>
            </w:pPr>
          </w:p>
        </w:tc>
        <w:tc>
          <w:tcPr>
            <w:tcW w:w="2150" w:type="pct"/>
            <w:shd w:val="clear" w:color="auto" w:fill="auto"/>
          </w:tcPr>
          <w:p w14:paraId="4D5C2067" w14:textId="463DE150" w:rsidR="00C634D8" w:rsidRPr="00401E19" w:rsidRDefault="00D15437"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One</w:t>
            </w:r>
            <w:r w:rsidR="00C634D8">
              <w:rPr>
                <w:rFonts w:ascii="Calibri" w:eastAsia="Calibri" w:hAnsi="Calibri" w:cs="Times New Roman"/>
                <w:sz w:val="20"/>
                <w:szCs w:val="20"/>
              </w:rPr>
              <w:t xml:space="preserve"> day </w:t>
            </w:r>
            <w:r w:rsidR="00C634D8" w:rsidRPr="00401E19">
              <w:rPr>
                <w:rFonts w:ascii="Calibri" w:eastAsia="Calibri" w:hAnsi="Calibri" w:cs="Times New Roman"/>
                <w:sz w:val="20"/>
                <w:szCs w:val="20"/>
              </w:rPr>
              <w:t xml:space="preserve">World Cup </w:t>
            </w:r>
            <w:r w:rsidR="00163723">
              <w:rPr>
                <w:rFonts w:ascii="Calibri" w:eastAsia="Calibri" w:hAnsi="Calibri" w:cs="Times New Roman"/>
                <w:sz w:val="20"/>
                <w:szCs w:val="20"/>
              </w:rPr>
              <w:br/>
            </w:r>
            <w:r w:rsidR="00C634D8">
              <w:rPr>
                <w:rFonts w:cstheme="minorHAnsi"/>
                <w:color w:val="auto"/>
                <w:sz w:val="20"/>
                <w:szCs w:val="20"/>
              </w:rPr>
              <w:t>(final</w:t>
            </w:r>
            <w:r w:rsidR="00F96486">
              <w:rPr>
                <w:rFonts w:cstheme="minorHAnsi"/>
                <w:color w:val="auto"/>
                <w:sz w:val="20"/>
                <w:szCs w:val="20"/>
              </w:rPr>
              <w:t xml:space="preserve"> played in AU or New Zealand</w:t>
            </w:r>
            <w:r w:rsidR="00C634D8" w:rsidRPr="00B43D82">
              <w:rPr>
                <w:rFonts w:cstheme="minorHAnsi"/>
                <w:color w:val="auto"/>
                <w:sz w:val="20"/>
                <w:szCs w:val="20"/>
              </w:rPr>
              <w:t>)</w:t>
            </w:r>
          </w:p>
        </w:tc>
        <w:tc>
          <w:tcPr>
            <w:tcW w:w="1694" w:type="pct"/>
            <w:shd w:val="clear" w:color="auto" w:fill="auto"/>
          </w:tcPr>
          <w:p w14:paraId="7343D150" w14:textId="77777777" w:rsidR="00BF6161" w:rsidRDefault="00BF6161" w:rsidP="00BF6161">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4B72ABC2" w14:textId="5D27B25D" w:rsidR="00C634D8" w:rsidRPr="00B43D82" w:rsidRDefault="00D15437"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9E525B">
              <w:rPr>
                <w:rFonts w:cstheme="minorHAnsi"/>
                <w:color w:val="auto"/>
                <w:sz w:val="20"/>
                <w:szCs w:val="20"/>
              </w:rPr>
              <w:t xml:space="preserve">Clarify </w:t>
            </w:r>
            <w:r w:rsidR="0020174B">
              <w:rPr>
                <w:rFonts w:cstheme="minorHAnsi"/>
                <w:color w:val="auto"/>
                <w:sz w:val="20"/>
                <w:szCs w:val="20"/>
              </w:rPr>
              <w:t>men’s</w:t>
            </w:r>
            <w:r w:rsidRPr="009E525B">
              <w:rPr>
                <w:rFonts w:cstheme="minorHAnsi"/>
                <w:color w:val="auto"/>
                <w:sz w:val="20"/>
                <w:szCs w:val="20"/>
              </w:rPr>
              <w:t xml:space="preserve"> and </w:t>
            </w:r>
            <w:r w:rsidR="0020174B">
              <w:rPr>
                <w:rFonts w:cstheme="minorHAnsi"/>
                <w:color w:val="auto"/>
                <w:sz w:val="20"/>
                <w:szCs w:val="20"/>
              </w:rPr>
              <w:t>women’s event</w:t>
            </w:r>
            <w:r w:rsidRPr="009E525B">
              <w:rPr>
                <w:rFonts w:cstheme="minorHAnsi"/>
                <w:color w:val="auto"/>
                <w:sz w:val="20"/>
                <w:szCs w:val="20"/>
              </w:rPr>
              <w:t>.</w:t>
            </w:r>
          </w:p>
        </w:tc>
      </w:tr>
      <w:tr w:rsidR="00C634D8" w:rsidRPr="0041490A" w14:paraId="0DB18918"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2E3B21BC" w14:textId="77777777" w:rsidR="00C634D8" w:rsidRDefault="00C634D8" w:rsidP="00C634D8">
            <w:pPr>
              <w:spacing w:before="20" w:after="40"/>
              <w:rPr>
                <w:rFonts w:cstheme="minorHAnsi"/>
                <w:sz w:val="20"/>
                <w:szCs w:val="20"/>
              </w:rPr>
            </w:pPr>
          </w:p>
        </w:tc>
        <w:tc>
          <w:tcPr>
            <w:tcW w:w="2150" w:type="pct"/>
            <w:shd w:val="clear" w:color="auto" w:fill="auto"/>
          </w:tcPr>
          <w:p w14:paraId="2D89F8F2" w14:textId="4F233041" w:rsidR="00C634D8" w:rsidRPr="00E8613B"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BD73DF">
              <w:rPr>
                <w:sz w:val="20"/>
                <w:szCs w:val="20"/>
              </w:rPr>
              <w:t>T20</w:t>
            </w:r>
            <w:r w:rsidRPr="00E8613B">
              <w:rPr>
                <w:sz w:val="20"/>
                <w:szCs w:val="20"/>
              </w:rPr>
              <w:t xml:space="preserve"> World Cup </w:t>
            </w:r>
          </w:p>
          <w:p w14:paraId="212038FA" w14:textId="77777777" w:rsidR="00C634D8" w:rsidRPr="00401E19"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BD73DF">
              <w:rPr>
                <w:rFonts w:cstheme="minorHAnsi"/>
                <w:color w:val="auto"/>
                <w:sz w:val="20"/>
                <w:szCs w:val="20"/>
              </w:rPr>
              <w:t>(matches involving the SART; played in AU or New Zealand)</w:t>
            </w:r>
          </w:p>
        </w:tc>
        <w:tc>
          <w:tcPr>
            <w:tcW w:w="1694" w:type="pct"/>
            <w:shd w:val="clear" w:color="auto" w:fill="auto"/>
          </w:tcPr>
          <w:p w14:paraId="11B3DB47" w14:textId="77777777" w:rsidR="00BF6161" w:rsidRDefault="00BF6161" w:rsidP="00BF6161">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05A107B6" w14:textId="32B71FD8" w:rsidR="00C634D8" w:rsidRPr="00B43D82" w:rsidRDefault="00D15437"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E525B">
              <w:rPr>
                <w:rFonts w:cstheme="minorHAnsi"/>
                <w:color w:val="auto"/>
                <w:sz w:val="20"/>
                <w:szCs w:val="20"/>
              </w:rPr>
              <w:t xml:space="preserve">Clarify </w:t>
            </w:r>
            <w:r w:rsidR="0020174B">
              <w:rPr>
                <w:rFonts w:cstheme="minorHAnsi"/>
                <w:color w:val="auto"/>
                <w:sz w:val="20"/>
                <w:szCs w:val="20"/>
              </w:rPr>
              <w:t>men’s</w:t>
            </w:r>
            <w:r w:rsidRPr="009E525B">
              <w:rPr>
                <w:rFonts w:cstheme="minorHAnsi"/>
                <w:color w:val="auto"/>
                <w:sz w:val="20"/>
                <w:szCs w:val="20"/>
              </w:rPr>
              <w:t xml:space="preserve"> and </w:t>
            </w:r>
            <w:r w:rsidR="0020174B">
              <w:rPr>
                <w:rFonts w:cstheme="minorHAnsi"/>
                <w:color w:val="auto"/>
                <w:sz w:val="20"/>
                <w:szCs w:val="20"/>
              </w:rPr>
              <w:t>women’s event</w:t>
            </w:r>
            <w:r w:rsidRPr="009E525B">
              <w:rPr>
                <w:rFonts w:cstheme="minorHAnsi"/>
                <w:color w:val="auto"/>
                <w:sz w:val="20"/>
                <w:szCs w:val="20"/>
              </w:rPr>
              <w:t>.</w:t>
            </w:r>
          </w:p>
        </w:tc>
      </w:tr>
      <w:tr w:rsidR="00C634D8" w:rsidRPr="0041490A" w14:paraId="05A16E01"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6EE50521" w14:textId="77777777" w:rsidR="00C634D8" w:rsidRDefault="00C634D8" w:rsidP="00C634D8">
            <w:pPr>
              <w:spacing w:before="20" w:after="40"/>
              <w:rPr>
                <w:rFonts w:cstheme="minorHAnsi"/>
                <w:sz w:val="20"/>
                <w:szCs w:val="20"/>
              </w:rPr>
            </w:pPr>
          </w:p>
        </w:tc>
        <w:tc>
          <w:tcPr>
            <w:tcW w:w="2150" w:type="pct"/>
            <w:shd w:val="clear" w:color="auto" w:fill="auto"/>
          </w:tcPr>
          <w:p w14:paraId="6302B1A8" w14:textId="7FC3FAAA" w:rsidR="00C634D8" w:rsidRPr="00401E19"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T20</w:t>
            </w:r>
            <w:r w:rsidRPr="0009237A">
              <w:rPr>
                <w:rFonts w:ascii="Calibri" w:eastAsia="Calibri" w:hAnsi="Calibri" w:cs="Times New Roman"/>
                <w:sz w:val="20"/>
                <w:szCs w:val="20"/>
              </w:rPr>
              <w:t xml:space="preserve"> World Cup</w:t>
            </w:r>
            <w:r>
              <w:rPr>
                <w:rFonts w:ascii="Calibri" w:eastAsia="Calibri" w:hAnsi="Calibri" w:cs="Times New Roman"/>
                <w:sz w:val="20"/>
                <w:szCs w:val="20"/>
              </w:rPr>
              <w:t xml:space="preserve"> </w:t>
            </w:r>
            <w:r w:rsidR="007A03E3">
              <w:rPr>
                <w:rFonts w:ascii="Calibri" w:eastAsia="Calibri" w:hAnsi="Calibri" w:cs="Times New Roman"/>
                <w:sz w:val="20"/>
                <w:szCs w:val="20"/>
              </w:rPr>
              <w:br/>
            </w:r>
            <w:r>
              <w:rPr>
                <w:rFonts w:ascii="Calibri" w:eastAsia="Calibri" w:hAnsi="Calibri" w:cs="Times New Roman"/>
                <w:sz w:val="20"/>
                <w:szCs w:val="20"/>
              </w:rPr>
              <w:t>(final</w:t>
            </w:r>
            <w:r w:rsidR="00F96486">
              <w:rPr>
                <w:rFonts w:ascii="Calibri" w:eastAsia="Calibri" w:hAnsi="Calibri" w:cs="Times New Roman"/>
                <w:sz w:val="20"/>
                <w:szCs w:val="20"/>
              </w:rPr>
              <w:t xml:space="preserve"> </w:t>
            </w:r>
            <w:r w:rsidR="00F96486">
              <w:rPr>
                <w:rFonts w:cstheme="minorHAnsi"/>
                <w:color w:val="auto"/>
                <w:sz w:val="20"/>
                <w:szCs w:val="20"/>
              </w:rPr>
              <w:t>played in AU or New Zealand</w:t>
            </w:r>
            <w:r>
              <w:rPr>
                <w:rFonts w:ascii="Calibri" w:eastAsia="Calibri" w:hAnsi="Calibri" w:cs="Times New Roman"/>
                <w:sz w:val="20"/>
                <w:szCs w:val="20"/>
              </w:rPr>
              <w:t>)</w:t>
            </w:r>
          </w:p>
        </w:tc>
        <w:tc>
          <w:tcPr>
            <w:tcW w:w="1694" w:type="pct"/>
            <w:shd w:val="clear" w:color="auto" w:fill="auto"/>
          </w:tcPr>
          <w:p w14:paraId="448D8DAA" w14:textId="77777777" w:rsidR="00BF6161" w:rsidRDefault="00BF6161" w:rsidP="00BF6161">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675010CD" w14:textId="5391ED9D" w:rsidR="00C634D8" w:rsidRPr="00B43D82" w:rsidRDefault="00D15437"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9E525B">
              <w:rPr>
                <w:rFonts w:cstheme="minorHAnsi"/>
                <w:color w:val="auto"/>
                <w:sz w:val="20"/>
                <w:szCs w:val="20"/>
              </w:rPr>
              <w:t xml:space="preserve">Clarify </w:t>
            </w:r>
            <w:r w:rsidR="0020174B">
              <w:rPr>
                <w:rFonts w:cstheme="minorHAnsi"/>
                <w:color w:val="auto"/>
                <w:sz w:val="20"/>
                <w:szCs w:val="20"/>
              </w:rPr>
              <w:t>men’s</w:t>
            </w:r>
            <w:r w:rsidRPr="009E525B">
              <w:rPr>
                <w:rFonts w:cstheme="minorHAnsi"/>
                <w:color w:val="auto"/>
                <w:sz w:val="20"/>
                <w:szCs w:val="20"/>
              </w:rPr>
              <w:t xml:space="preserve"> and </w:t>
            </w:r>
            <w:r w:rsidR="0020174B">
              <w:rPr>
                <w:rFonts w:cstheme="minorHAnsi"/>
                <w:color w:val="auto"/>
                <w:sz w:val="20"/>
                <w:szCs w:val="20"/>
              </w:rPr>
              <w:t>women’s event</w:t>
            </w:r>
            <w:r w:rsidRPr="009E525B">
              <w:rPr>
                <w:rFonts w:cstheme="minorHAnsi"/>
                <w:color w:val="auto"/>
                <w:sz w:val="20"/>
                <w:szCs w:val="20"/>
              </w:rPr>
              <w:t>.</w:t>
            </w:r>
          </w:p>
        </w:tc>
      </w:tr>
      <w:tr w:rsidR="00C634D8" w:rsidRPr="0041490A" w14:paraId="2CABBA28"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F2F2F2" w:themeFill="background1" w:themeFillShade="F2"/>
            <w:hideMark/>
          </w:tcPr>
          <w:p w14:paraId="1D05D490" w14:textId="77777777" w:rsidR="00C634D8" w:rsidRPr="00B43D82" w:rsidRDefault="00C634D8" w:rsidP="00C634D8">
            <w:pPr>
              <w:spacing w:before="20" w:after="40"/>
              <w:rPr>
                <w:rFonts w:cstheme="minorHAnsi"/>
                <w:sz w:val="20"/>
                <w:szCs w:val="20"/>
              </w:rPr>
            </w:pPr>
            <w:r w:rsidRPr="00B43D82">
              <w:rPr>
                <w:rFonts w:cstheme="minorHAnsi"/>
                <w:sz w:val="20"/>
                <w:szCs w:val="20"/>
              </w:rPr>
              <w:t>Soccer</w:t>
            </w:r>
          </w:p>
        </w:tc>
        <w:tc>
          <w:tcPr>
            <w:tcW w:w="2150" w:type="pct"/>
            <w:shd w:val="clear" w:color="auto" w:fill="F2F2F2" w:themeFill="background1" w:themeFillShade="F2"/>
          </w:tcPr>
          <w:p w14:paraId="03B854A2" w14:textId="77777777"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FIFA </w:t>
            </w:r>
            <w:r>
              <w:rPr>
                <w:rFonts w:cstheme="minorHAnsi"/>
                <w:color w:val="auto"/>
                <w:sz w:val="20"/>
                <w:szCs w:val="20"/>
              </w:rPr>
              <w:t>m</w:t>
            </w:r>
            <w:r w:rsidRPr="00B43D82">
              <w:rPr>
                <w:rFonts w:cstheme="minorHAnsi"/>
                <w:color w:val="auto"/>
                <w:sz w:val="20"/>
                <w:szCs w:val="20"/>
              </w:rPr>
              <w:t xml:space="preserve">en’s and </w:t>
            </w:r>
            <w:r>
              <w:rPr>
                <w:rFonts w:cstheme="minorHAnsi"/>
                <w:color w:val="auto"/>
                <w:sz w:val="20"/>
                <w:szCs w:val="20"/>
              </w:rPr>
              <w:t>w</w:t>
            </w:r>
            <w:r w:rsidRPr="00B43D82">
              <w:rPr>
                <w:rFonts w:cstheme="minorHAnsi"/>
                <w:color w:val="auto"/>
                <w:sz w:val="20"/>
                <w:szCs w:val="20"/>
              </w:rPr>
              <w:t>omen’s World Cups</w:t>
            </w:r>
          </w:p>
          <w:p w14:paraId="519386CB" w14:textId="77777777"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(match</w:t>
            </w:r>
            <w:r>
              <w:rPr>
                <w:rFonts w:cstheme="minorHAnsi"/>
                <w:color w:val="auto"/>
                <w:sz w:val="20"/>
                <w:szCs w:val="20"/>
              </w:rPr>
              <w:t>es</w:t>
            </w:r>
            <w:r w:rsidRPr="00B43D82">
              <w:rPr>
                <w:rFonts w:cstheme="minorHAnsi"/>
                <w:color w:val="auto"/>
                <w:sz w:val="20"/>
                <w:szCs w:val="20"/>
              </w:rPr>
              <w:t xml:space="preserve"> involving the </w:t>
            </w:r>
            <w:r>
              <w:rPr>
                <w:rFonts w:cstheme="minorHAnsi"/>
                <w:color w:val="auto"/>
                <w:sz w:val="20"/>
                <w:szCs w:val="20"/>
              </w:rPr>
              <w:t>SART</w:t>
            </w:r>
            <w:r w:rsidRPr="00B43D82">
              <w:rPr>
                <w:rFonts w:cstheme="minorHAnsi"/>
                <w:color w:val="auto"/>
                <w:sz w:val="20"/>
                <w:szCs w:val="20"/>
              </w:rPr>
              <w:t>)</w:t>
            </w:r>
          </w:p>
        </w:tc>
        <w:tc>
          <w:tcPr>
            <w:tcW w:w="1694" w:type="pct"/>
            <w:shd w:val="clear" w:color="auto" w:fill="F2F2F2" w:themeFill="background1" w:themeFillShade="F2"/>
          </w:tcPr>
          <w:p w14:paraId="58A77E79" w14:textId="040331E2" w:rsidR="00C634D8" w:rsidRPr="00B43D82"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4AC6256A"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tcPr>
          <w:p w14:paraId="53114DF9" w14:textId="77777777" w:rsidR="00C634D8" w:rsidRPr="00B43D82" w:rsidRDefault="00C634D8" w:rsidP="00C634D8">
            <w:pPr>
              <w:spacing w:before="20" w:after="40"/>
              <w:rPr>
                <w:rFonts w:cstheme="minorHAnsi"/>
                <w:sz w:val="20"/>
                <w:szCs w:val="20"/>
              </w:rPr>
            </w:pPr>
          </w:p>
        </w:tc>
        <w:tc>
          <w:tcPr>
            <w:tcW w:w="2150" w:type="pct"/>
          </w:tcPr>
          <w:p w14:paraId="59E92132" w14:textId="77777777" w:rsidR="00C634D8" w:rsidRPr="00B43D82"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FIFA </w:t>
            </w:r>
            <w:r>
              <w:rPr>
                <w:rFonts w:cstheme="minorHAnsi"/>
                <w:color w:val="auto"/>
                <w:sz w:val="20"/>
                <w:szCs w:val="20"/>
              </w:rPr>
              <w:t>m</w:t>
            </w:r>
            <w:r w:rsidRPr="00B43D82">
              <w:rPr>
                <w:rFonts w:cstheme="minorHAnsi"/>
                <w:color w:val="auto"/>
                <w:sz w:val="20"/>
                <w:szCs w:val="20"/>
              </w:rPr>
              <w:t xml:space="preserve">en’s and </w:t>
            </w:r>
            <w:r>
              <w:rPr>
                <w:rFonts w:cstheme="minorHAnsi"/>
                <w:color w:val="auto"/>
                <w:sz w:val="20"/>
                <w:szCs w:val="20"/>
              </w:rPr>
              <w:t>w</w:t>
            </w:r>
            <w:r w:rsidRPr="00B43D82">
              <w:rPr>
                <w:rFonts w:cstheme="minorHAnsi"/>
                <w:color w:val="auto"/>
                <w:sz w:val="20"/>
                <w:szCs w:val="20"/>
              </w:rPr>
              <w:t>omen’s World Cups</w:t>
            </w:r>
          </w:p>
          <w:p w14:paraId="5FAB6FE7" w14:textId="77777777" w:rsidR="00C634D8" w:rsidRPr="00B43D82"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(final)</w:t>
            </w:r>
          </w:p>
        </w:tc>
        <w:tc>
          <w:tcPr>
            <w:tcW w:w="1694" w:type="pct"/>
          </w:tcPr>
          <w:p w14:paraId="06998669" w14:textId="099D640D" w:rsidR="00C634D8" w:rsidRPr="00B43D82" w:rsidRDefault="00C634D8"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7F235378"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F2F2F2" w:themeFill="background1" w:themeFillShade="F2"/>
          </w:tcPr>
          <w:p w14:paraId="2E9620FC" w14:textId="77777777" w:rsidR="00C634D8" w:rsidRPr="00B43D82" w:rsidRDefault="00C634D8" w:rsidP="00C634D8">
            <w:pPr>
              <w:spacing w:before="20" w:after="40"/>
              <w:rPr>
                <w:rFonts w:cstheme="minorHAnsi"/>
                <w:sz w:val="20"/>
                <w:szCs w:val="20"/>
              </w:rPr>
            </w:pPr>
          </w:p>
        </w:tc>
        <w:tc>
          <w:tcPr>
            <w:tcW w:w="2150" w:type="pct"/>
            <w:shd w:val="clear" w:color="auto" w:fill="F2F2F2" w:themeFill="background1" w:themeFillShade="F2"/>
          </w:tcPr>
          <w:p w14:paraId="507C3658" w14:textId="77777777"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FIFA men’s and women’s World Cup Qualification tournament </w:t>
            </w:r>
            <w:r>
              <w:rPr>
                <w:sz w:val="20"/>
                <w:szCs w:val="20"/>
              </w:rPr>
              <w:br/>
            </w:r>
            <w:r w:rsidRPr="00B43D82">
              <w:rPr>
                <w:rFonts w:cstheme="minorHAnsi"/>
                <w:color w:val="auto"/>
                <w:sz w:val="20"/>
                <w:szCs w:val="20"/>
              </w:rPr>
              <w:t>(match</w:t>
            </w:r>
            <w:r>
              <w:rPr>
                <w:rFonts w:cstheme="minorHAnsi"/>
                <w:color w:val="auto"/>
                <w:sz w:val="20"/>
                <w:szCs w:val="20"/>
              </w:rPr>
              <w:t>es 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p>
        </w:tc>
        <w:tc>
          <w:tcPr>
            <w:tcW w:w="1694" w:type="pct"/>
            <w:shd w:val="clear" w:color="auto" w:fill="F2F2F2" w:themeFill="background1" w:themeFillShade="F2"/>
          </w:tcPr>
          <w:p w14:paraId="7EB4F4E1" w14:textId="7613FBFE" w:rsidR="00C634D8"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8B433B" w14:paraId="3222EA0A"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hideMark/>
          </w:tcPr>
          <w:p w14:paraId="09462CFD" w14:textId="77777777" w:rsidR="00C634D8" w:rsidRPr="00B43D82" w:rsidRDefault="00C634D8" w:rsidP="00C634D8">
            <w:pPr>
              <w:spacing w:before="20" w:after="40"/>
              <w:rPr>
                <w:rFonts w:cstheme="minorHAnsi"/>
                <w:sz w:val="20"/>
                <w:szCs w:val="20"/>
              </w:rPr>
            </w:pPr>
            <w:r w:rsidRPr="00B43D82">
              <w:rPr>
                <w:rFonts w:cstheme="minorHAnsi"/>
                <w:sz w:val="20"/>
                <w:szCs w:val="20"/>
              </w:rPr>
              <w:t>Tennis</w:t>
            </w:r>
          </w:p>
        </w:tc>
        <w:tc>
          <w:tcPr>
            <w:tcW w:w="2150" w:type="pct"/>
            <w:shd w:val="clear" w:color="auto" w:fill="auto"/>
            <w:hideMark/>
          </w:tcPr>
          <w:p w14:paraId="6438AC44" w14:textId="77777777" w:rsidR="00C634D8" w:rsidRPr="00B43D82"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Australian Open</w:t>
            </w:r>
          </w:p>
          <w:p w14:paraId="6D359C0B" w14:textId="533EA671" w:rsidR="00C634D8" w:rsidRPr="00B43D82"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w:t>
            </w:r>
          </w:p>
        </w:tc>
        <w:tc>
          <w:tcPr>
            <w:tcW w:w="1694" w:type="pct"/>
            <w:shd w:val="clear" w:color="auto" w:fill="auto"/>
          </w:tcPr>
          <w:p w14:paraId="4DA0EFF8" w14:textId="77B74518" w:rsidR="00C634D8" w:rsidRPr="00B43D82" w:rsidRDefault="00C634D8"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8B433B" w14:paraId="427AE59F"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00795F86" w14:textId="77777777" w:rsidR="00C634D8" w:rsidRPr="00B43D82" w:rsidRDefault="00C634D8" w:rsidP="00C634D8">
            <w:pPr>
              <w:spacing w:before="20" w:after="40"/>
              <w:rPr>
                <w:rFonts w:cstheme="minorHAnsi"/>
                <w:sz w:val="20"/>
                <w:szCs w:val="20"/>
              </w:rPr>
            </w:pPr>
          </w:p>
        </w:tc>
        <w:tc>
          <w:tcPr>
            <w:tcW w:w="2150" w:type="pct"/>
            <w:shd w:val="clear" w:color="auto" w:fill="auto"/>
          </w:tcPr>
          <w:p w14:paraId="4B523BA5" w14:textId="258413BF"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Davis Cup </w:t>
            </w:r>
            <w:r>
              <w:rPr>
                <w:sz w:val="20"/>
                <w:szCs w:val="20"/>
              </w:rPr>
              <w:br/>
              <w:t>(</w:t>
            </w:r>
            <w:r w:rsidR="001B7BDD" w:rsidRPr="001B7BDD">
              <w:rPr>
                <w:sz w:val="20"/>
                <w:szCs w:val="20"/>
              </w:rPr>
              <w:t>each match in each tie</w:t>
            </w:r>
            <w:r>
              <w:rPr>
                <w:sz w:val="20"/>
                <w:szCs w:val="20"/>
              </w:rPr>
              <w:t xml:space="preserve"> </w:t>
            </w:r>
            <w:r>
              <w:rPr>
                <w:rFonts w:cstheme="minorHAnsi"/>
                <w:color w:val="auto"/>
                <w:sz w:val="20"/>
                <w:szCs w:val="20"/>
              </w:rPr>
              <w:t>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p>
        </w:tc>
        <w:tc>
          <w:tcPr>
            <w:tcW w:w="1694" w:type="pct"/>
            <w:shd w:val="clear" w:color="auto" w:fill="auto"/>
          </w:tcPr>
          <w:p w14:paraId="6AD68360" w14:textId="4CE29371" w:rsidR="00C634D8" w:rsidRPr="00B43D82"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8B433B" w14:paraId="47ADF041"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7FC7E664" w14:textId="77777777" w:rsidR="00C634D8" w:rsidRPr="00B43D82" w:rsidRDefault="00C634D8" w:rsidP="00C634D8">
            <w:pPr>
              <w:spacing w:before="20" w:after="40"/>
              <w:rPr>
                <w:rFonts w:cstheme="minorHAnsi"/>
                <w:sz w:val="20"/>
                <w:szCs w:val="20"/>
              </w:rPr>
            </w:pPr>
          </w:p>
        </w:tc>
        <w:tc>
          <w:tcPr>
            <w:tcW w:w="2150" w:type="pct"/>
            <w:shd w:val="clear" w:color="auto" w:fill="auto"/>
          </w:tcPr>
          <w:p w14:paraId="32DE7E2B" w14:textId="77777777" w:rsidR="00C634D8"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Davis Cup </w:t>
            </w:r>
          </w:p>
          <w:p w14:paraId="1C9B0A92" w14:textId="77777777" w:rsidR="00C634D8" w:rsidRPr="00B43D82"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sz w:val="20"/>
                <w:szCs w:val="20"/>
              </w:rPr>
              <w:t>(final involving the SART)</w:t>
            </w:r>
          </w:p>
        </w:tc>
        <w:tc>
          <w:tcPr>
            <w:tcW w:w="1694" w:type="pct"/>
            <w:shd w:val="clear" w:color="auto" w:fill="auto"/>
          </w:tcPr>
          <w:p w14:paraId="7B355294" w14:textId="2B3F3B48" w:rsidR="00C634D8" w:rsidRPr="00B43D82" w:rsidRDefault="00C634D8"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3A659290" w14:textId="77777777" w:rsidTr="00786567">
        <w:trPr>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F2F2F2" w:themeFill="background1" w:themeFillShade="F2"/>
            <w:hideMark/>
          </w:tcPr>
          <w:p w14:paraId="76E6BB29" w14:textId="77777777" w:rsidR="00C634D8" w:rsidRPr="00B43D82" w:rsidRDefault="00C634D8" w:rsidP="00C634D8">
            <w:pPr>
              <w:spacing w:before="20" w:after="40"/>
              <w:rPr>
                <w:rFonts w:cstheme="minorHAnsi"/>
                <w:b w:val="0"/>
                <w:sz w:val="20"/>
                <w:szCs w:val="20"/>
              </w:rPr>
            </w:pPr>
            <w:r w:rsidRPr="00B43D82">
              <w:rPr>
                <w:rFonts w:cstheme="minorHAnsi"/>
                <w:sz w:val="20"/>
                <w:szCs w:val="20"/>
              </w:rPr>
              <w:t>Netball</w:t>
            </w:r>
          </w:p>
          <w:p w14:paraId="0CA71406" w14:textId="77777777" w:rsidR="00C634D8" w:rsidRPr="00B43D82" w:rsidRDefault="00C634D8" w:rsidP="00C634D8">
            <w:pPr>
              <w:spacing w:before="20" w:after="40"/>
              <w:rPr>
                <w:rFonts w:cstheme="minorHAnsi"/>
                <w:sz w:val="20"/>
                <w:szCs w:val="20"/>
              </w:rPr>
            </w:pPr>
          </w:p>
        </w:tc>
        <w:tc>
          <w:tcPr>
            <w:tcW w:w="2150" w:type="pct"/>
            <w:shd w:val="clear" w:color="auto" w:fill="F2F2F2" w:themeFill="background1" w:themeFillShade="F2"/>
            <w:hideMark/>
          </w:tcPr>
          <w:p w14:paraId="00B7F50A" w14:textId="77777777"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Netball World Cup</w:t>
            </w:r>
          </w:p>
          <w:p w14:paraId="2C401F5B" w14:textId="77777777"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(semi-final involving the </w:t>
            </w:r>
            <w:r>
              <w:rPr>
                <w:rFonts w:cstheme="minorHAnsi"/>
                <w:color w:val="auto"/>
                <w:sz w:val="20"/>
                <w:szCs w:val="20"/>
              </w:rPr>
              <w:t>SART)</w:t>
            </w:r>
          </w:p>
        </w:tc>
        <w:tc>
          <w:tcPr>
            <w:tcW w:w="1694" w:type="pct"/>
            <w:shd w:val="clear" w:color="auto" w:fill="F2F2F2" w:themeFill="background1" w:themeFillShade="F2"/>
          </w:tcPr>
          <w:p w14:paraId="0F5E9422" w14:textId="33D1FBD8" w:rsidR="00C634D8" w:rsidRPr="00B43D82"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1D842546" w14:textId="77777777" w:rsidTr="007865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tcPr>
          <w:p w14:paraId="65B474F7" w14:textId="77777777" w:rsidR="00C634D8" w:rsidRPr="00B43D82" w:rsidRDefault="00C634D8" w:rsidP="00C634D8">
            <w:pPr>
              <w:spacing w:before="20" w:after="40"/>
              <w:rPr>
                <w:rFonts w:cstheme="minorHAnsi"/>
                <w:sz w:val="20"/>
                <w:szCs w:val="20"/>
              </w:rPr>
            </w:pPr>
          </w:p>
        </w:tc>
        <w:tc>
          <w:tcPr>
            <w:tcW w:w="2150" w:type="pct"/>
          </w:tcPr>
          <w:p w14:paraId="56F8175F" w14:textId="77777777" w:rsidR="00C634D8" w:rsidRPr="00B43D82"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Netball World Cup</w:t>
            </w:r>
          </w:p>
          <w:p w14:paraId="06A58A15" w14:textId="77777777" w:rsidR="00C634D8" w:rsidRPr="00B43D82"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 xml:space="preserve">a final </w:t>
            </w:r>
            <w:r w:rsidRPr="00B43D82">
              <w:rPr>
                <w:rFonts w:cstheme="minorHAnsi"/>
                <w:color w:val="auto"/>
                <w:sz w:val="20"/>
                <w:szCs w:val="20"/>
              </w:rPr>
              <w:t xml:space="preserve">involving the </w:t>
            </w:r>
            <w:r>
              <w:rPr>
                <w:rFonts w:cstheme="minorHAnsi"/>
                <w:color w:val="auto"/>
                <w:sz w:val="20"/>
                <w:szCs w:val="20"/>
              </w:rPr>
              <w:t>SART)</w:t>
            </w:r>
          </w:p>
        </w:tc>
        <w:tc>
          <w:tcPr>
            <w:tcW w:w="1694" w:type="pct"/>
          </w:tcPr>
          <w:p w14:paraId="2D547E75" w14:textId="19B75A46" w:rsidR="00C634D8" w:rsidRPr="00B43D82" w:rsidRDefault="00C634D8"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69C5374F" w14:textId="77777777" w:rsidTr="00786567">
        <w:trPr>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tcPr>
          <w:p w14:paraId="7196AEF1" w14:textId="77777777" w:rsidR="00C634D8" w:rsidRPr="00B43D82" w:rsidRDefault="00C634D8" w:rsidP="00C634D8">
            <w:pPr>
              <w:spacing w:before="20" w:after="40"/>
              <w:rPr>
                <w:rFonts w:cstheme="minorHAnsi"/>
                <w:sz w:val="20"/>
                <w:szCs w:val="20"/>
              </w:rPr>
            </w:pPr>
            <w:r>
              <w:rPr>
                <w:rFonts w:cstheme="minorHAnsi"/>
                <w:sz w:val="20"/>
                <w:szCs w:val="20"/>
              </w:rPr>
              <w:t>Motor Sports</w:t>
            </w:r>
          </w:p>
        </w:tc>
        <w:tc>
          <w:tcPr>
            <w:tcW w:w="2150" w:type="pct"/>
            <w:shd w:val="clear" w:color="auto" w:fill="auto"/>
          </w:tcPr>
          <w:p w14:paraId="3CC23C73" w14:textId="77777777"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Formula One </w:t>
            </w:r>
            <w:r w:rsidRPr="00BD73DF">
              <w:rPr>
                <w:sz w:val="20"/>
                <w:szCs w:val="20"/>
              </w:rPr>
              <w:t xml:space="preserve">World Championship </w:t>
            </w:r>
            <w:r>
              <w:rPr>
                <w:sz w:val="20"/>
                <w:szCs w:val="20"/>
              </w:rPr>
              <w:t>– Grand Prix (held in AU)</w:t>
            </w:r>
          </w:p>
        </w:tc>
        <w:tc>
          <w:tcPr>
            <w:tcW w:w="1694" w:type="pct"/>
            <w:shd w:val="clear" w:color="auto" w:fill="auto"/>
          </w:tcPr>
          <w:p w14:paraId="4CB2286A" w14:textId="2A0EE9E0" w:rsidR="00C634D8"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69F126A7" w14:textId="77777777" w:rsidTr="007865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4DE7C982" w14:textId="77777777" w:rsidR="00C634D8" w:rsidRPr="00B43D82" w:rsidRDefault="00C634D8" w:rsidP="00C634D8">
            <w:pPr>
              <w:spacing w:before="20" w:after="40"/>
              <w:rPr>
                <w:rFonts w:cstheme="minorHAnsi"/>
                <w:sz w:val="20"/>
                <w:szCs w:val="20"/>
              </w:rPr>
            </w:pPr>
          </w:p>
        </w:tc>
        <w:tc>
          <w:tcPr>
            <w:tcW w:w="2150" w:type="pct"/>
            <w:shd w:val="clear" w:color="auto" w:fill="auto"/>
          </w:tcPr>
          <w:p w14:paraId="502A6B13" w14:textId="679AB53F" w:rsidR="00C634D8"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MotoGP </w:t>
            </w:r>
            <w:r w:rsidRPr="00BD73DF">
              <w:rPr>
                <w:sz w:val="20"/>
                <w:szCs w:val="20"/>
              </w:rPr>
              <w:t>World Championship</w:t>
            </w:r>
            <w:r w:rsidR="00F96486">
              <w:t xml:space="preserve"> </w:t>
            </w:r>
            <w:r w:rsidR="00F96486" w:rsidRPr="00F96486">
              <w:rPr>
                <w:sz w:val="20"/>
                <w:szCs w:val="20"/>
              </w:rPr>
              <w:t>- Grand Prix</w:t>
            </w:r>
          </w:p>
          <w:p w14:paraId="065A927F" w14:textId="5AE7BA3B" w:rsidR="00C634D8" w:rsidRPr="00B43D82" w:rsidRDefault="00C634D8" w:rsidP="00C634D8">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sz w:val="20"/>
                <w:szCs w:val="20"/>
              </w:rPr>
              <w:t xml:space="preserve">(held in </w:t>
            </w:r>
            <w:r w:rsidR="0040107C">
              <w:rPr>
                <w:sz w:val="20"/>
                <w:szCs w:val="20"/>
              </w:rPr>
              <w:t>AU</w:t>
            </w:r>
            <w:r>
              <w:rPr>
                <w:sz w:val="20"/>
                <w:szCs w:val="20"/>
              </w:rPr>
              <w:t>)</w:t>
            </w:r>
          </w:p>
        </w:tc>
        <w:tc>
          <w:tcPr>
            <w:tcW w:w="1694" w:type="pct"/>
            <w:shd w:val="clear" w:color="auto" w:fill="auto"/>
          </w:tcPr>
          <w:p w14:paraId="6063A656" w14:textId="192F03EE" w:rsidR="00C634D8" w:rsidRDefault="00C634D8" w:rsidP="00786567">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3B2A24D5" w14:textId="77777777" w:rsidTr="00786567">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6364C6B5" w14:textId="77777777" w:rsidR="00C634D8" w:rsidRPr="00B43D82" w:rsidRDefault="00C634D8" w:rsidP="00C634D8">
            <w:pPr>
              <w:spacing w:before="20" w:after="40"/>
              <w:rPr>
                <w:rFonts w:cstheme="minorHAnsi"/>
                <w:sz w:val="20"/>
                <w:szCs w:val="20"/>
              </w:rPr>
            </w:pPr>
          </w:p>
        </w:tc>
        <w:tc>
          <w:tcPr>
            <w:tcW w:w="2150" w:type="pct"/>
            <w:shd w:val="clear" w:color="auto" w:fill="auto"/>
          </w:tcPr>
          <w:p w14:paraId="2C27F921" w14:textId="1C7459F9" w:rsidR="00C634D8"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Bathurst 1000 </w:t>
            </w:r>
          </w:p>
          <w:p w14:paraId="148D25A2" w14:textId="77777777" w:rsidR="00C634D8" w:rsidRPr="00B43D82" w:rsidRDefault="00C634D8" w:rsidP="00C634D8">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tcW w:w="1694" w:type="pct"/>
            <w:shd w:val="clear" w:color="auto" w:fill="auto"/>
          </w:tcPr>
          <w:p w14:paraId="491B6623" w14:textId="3BB674DD" w:rsidR="00C634D8" w:rsidRDefault="00C634D8" w:rsidP="00786567">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bl>
    <w:bookmarkEnd w:id="108"/>
    <w:p w14:paraId="7564E2E6" w14:textId="4BB0CA1C" w:rsidR="00DC3338" w:rsidRPr="00EE7B89" w:rsidRDefault="00DC3338" w:rsidP="00CA5FD2">
      <w:pPr>
        <w:pStyle w:val="Introduction"/>
      </w:pPr>
      <w:r w:rsidRPr="00EE7B89">
        <w:t>Relationship with proposed models</w:t>
      </w:r>
    </w:p>
    <w:p w14:paraId="2021443E" w14:textId="789F7105" w:rsidR="00CE600F" w:rsidRDefault="00CE600F" w:rsidP="00CE600F">
      <w:r>
        <w:t>The modernised list has been designed to operate in conjunction with the broadcasting safety net and free</w:t>
      </w:r>
      <w:r>
        <w:noBreakHyphen/>
        <w:t>to</w:t>
      </w:r>
      <w:r>
        <w:noBreakHyphen/>
        <w:t>air first models for the reform of the scheme (</w:t>
      </w:r>
      <w:r w:rsidR="00D815D9">
        <w:t xml:space="preserve">Models </w:t>
      </w:r>
      <w:r>
        <w:t xml:space="preserve">2 and 3 respectively). </w:t>
      </w:r>
    </w:p>
    <w:p w14:paraId="3743CB7A" w14:textId="17BFB6D8" w:rsidR="00CE600F" w:rsidRDefault="00CE600F" w:rsidP="00CE600F">
      <w:r>
        <w:t>The modernised list is not designed to be compatible with the free</w:t>
      </w:r>
      <w:r>
        <w:noBreakHyphen/>
        <w:t>to</w:t>
      </w:r>
      <w:r>
        <w:noBreakHyphen/>
        <w:t>view model (</w:t>
      </w:r>
      <w:r w:rsidR="007F6F0D">
        <w:t xml:space="preserve">Model </w:t>
      </w:r>
      <w:r>
        <w:t>1). That model is constructed around coverage obligations which require all events on the list to be shown live and in full. It would not be technically or financially feasible for content services to provide live and in full coverage of competitions that involve dozens of events occurring simultaneously. In terms of the current list, this includes the Australian Open tennis tournament, the Summer and Winter Olympic Games, and the Commonwealth Games.</w:t>
      </w:r>
    </w:p>
    <w:p w14:paraId="041E814C" w14:textId="7DA12ACF" w:rsidR="0009719A" w:rsidRPr="009B3A80" w:rsidRDefault="0009719A" w:rsidP="0009719A">
      <w:pPr>
        <w:pStyle w:val="Heading3"/>
      </w:pPr>
      <w:bookmarkStart w:id="111" w:name="_Toc150883274"/>
      <w:bookmarkStart w:id="112" w:name="_Toc151053056"/>
      <w:r w:rsidRPr="009B3A80">
        <w:t>Option 3:</w:t>
      </w:r>
      <w:r w:rsidR="00800D63">
        <w:t xml:space="preserve"> </w:t>
      </w:r>
      <w:r w:rsidRPr="009B3A80">
        <w:t>‘expanded’ list</w:t>
      </w:r>
      <w:bookmarkEnd w:id="111"/>
      <w:bookmarkEnd w:id="112"/>
      <w:r w:rsidRPr="009B3A80">
        <w:t xml:space="preserve">  </w:t>
      </w:r>
    </w:p>
    <w:p w14:paraId="0D1A48B3" w14:textId="30D630D8" w:rsidR="00876C20" w:rsidRDefault="00876C20" w:rsidP="00876C20">
      <w:bookmarkStart w:id="113" w:name="_Hlk142257350"/>
      <w:bookmarkStart w:id="114" w:name="_Toc140842951"/>
      <w:r>
        <w:t xml:space="preserve">The expanded list would represent a significant increase in the number of events on the list compared with the current instrument. This list option is detailed </w:t>
      </w:r>
      <w:r w:rsidRPr="00AD45FC">
        <w:t xml:space="preserve">at </w:t>
      </w:r>
      <w:r w:rsidR="005763C6">
        <w:rPr>
          <w:b/>
        </w:rPr>
        <w:t>Table 7</w:t>
      </w:r>
      <w:r>
        <w:t>.</w:t>
      </w:r>
    </w:p>
    <w:p w14:paraId="4463C5E2" w14:textId="77777777" w:rsidR="00876C20" w:rsidRDefault="00876C20" w:rsidP="00876C20">
      <w:r>
        <w:t>The aims of the expanded list are two-fold:</w:t>
      </w:r>
    </w:p>
    <w:p w14:paraId="42AB4B2E" w14:textId="241CA709" w:rsidR="00876C20" w:rsidRDefault="006D6329" w:rsidP="00EE7B89">
      <w:pPr>
        <w:pStyle w:val="Bullet1"/>
      </w:pPr>
      <w:r>
        <w:t>To enable the list to operate effectively with the broadcasting safety net and free-to-air first models for the reform of the scheme (</w:t>
      </w:r>
      <w:r w:rsidR="008B2F9F">
        <w:rPr>
          <w:lang w:val="en-AU"/>
        </w:rPr>
        <w:t>Models</w:t>
      </w:r>
      <w:r w:rsidR="008B2F9F">
        <w:t xml:space="preserve"> </w:t>
      </w:r>
      <w:r>
        <w:t>2 and 3 respectively).</w:t>
      </w:r>
    </w:p>
    <w:p w14:paraId="406FF755" w14:textId="44325645" w:rsidR="00876C20" w:rsidRDefault="00876C20" w:rsidP="00EE7B89">
      <w:pPr>
        <w:pStyle w:val="Bullet1"/>
      </w:pPr>
      <w:r>
        <w:t>To apply the scheme in a way that better reflects the contemporary media landscape and significantly broadens the construction of nationally important and culturally significant events.</w:t>
      </w:r>
    </w:p>
    <w:p w14:paraId="05FC93EC" w14:textId="4FEAF0A1" w:rsidR="00A05E90" w:rsidRPr="00A05E90" w:rsidRDefault="00A05E90" w:rsidP="00CA5FD2">
      <w:pPr>
        <w:pStyle w:val="Introduction"/>
      </w:pPr>
      <w:bookmarkStart w:id="115" w:name="_Hlk150872719"/>
      <w:bookmarkEnd w:id="113"/>
      <w:r w:rsidRPr="00A05E90">
        <w:t>Comparison with the current list</w:t>
      </w:r>
    </w:p>
    <w:p w14:paraId="4C68CF83" w14:textId="7A40D291" w:rsidR="00586F9D" w:rsidRPr="00586F9D" w:rsidRDefault="00A05E90" w:rsidP="00A05E90">
      <w:pPr>
        <w:rPr>
          <w:b/>
        </w:rPr>
      </w:pPr>
      <w:bookmarkStart w:id="116" w:name="_Hlk147760405"/>
      <w:r>
        <w:t>T</w:t>
      </w:r>
      <w:r w:rsidRPr="00AB786E">
        <w:t xml:space="preserve">he </w:t>
      </w:r>
      <w:r>
        <w:t>expanded</w:t>
      </w:r>
      <w:r w:rsidRPr="00AB786E">
        <w:t xml:space="preserve"> list continues to include </w:t>
      </w:r>
      <w:r>
        <w:t xml:space="preserve">events and competitions from </w:t>
      </w:r>
      <w:r w:rsidRPr="00AB786E">
        <w:t xml:space="preserve">the same </w:t>
      </w:r>
      <w:r>
        <w:t xml:space="preserve">11 </w:t>
      </w:r>
      <w:r w:rsidRPr="00AB786E">
        <w:t>sports</w:t>
      </w:r>
      <w:r>
        <w:t xml:space="preserve"> </w:t>
      </w:r>
      <w:r w:rsidRPr="00AB786E">
        <w:t>included in the current list. However, th</w:t>
      </w:r>
      <w:r>
        <w:t xml:space="preserve">is </w:t>
      </w:r>
      <w:r w:rsidRPr="00AB786E">
        <w:t xml:space="preserve">list option </w:t>
      </w:r>
      <w:r>
        <w:t xml:space="preserve">would significantly </w:t>
      </w:r>
      <w:r w:rsidRPr="00AB786E">
        <w:t xml:space="preserve">increase the number </w:t>
      </w:r>
      <w:r w:rsidR="006D6B4D">
        <w:t>of</w:t>
      </w:r>
      <w:r w:rsidRPr="00AB786E">
        <w:t xml:space="preserve"> listed events </w:t>
      </w:r>
      <w:r>
        <w:t xml:space="preserve">with respect to certain of sports, adding: </w:t>
      </w:r>
    </w:p>
    <w:bookmarkEnd w:id="114"/>
    <w:p w14:paraId="2B5F3F1E" w14:textId="77777777" w:rsidR="00360088" w:rsidRPr="00360088" w:rsidRDefault="00360088" w:rsidP="00EE7B89">
      <w:pPr>
        <w:pStyle w:val="Bullet1"/>
      </w:pPr>
      <w:r w:rsidRPr="00360088">
        <w:t xml:space="preserve">all events held as part of the Summer Paralympic Games; </w:t>
      </w:r>
    </w:p>
    <w:p w14:paraId="00053752" w14:textId="77777777" w:rsidR="00360088" w:rsidRPr="00360088" w:rsidRDefault="00360088" w:rsidP="00EE7B89">
      <w:pPr>
        <w:pStyle w:val="Bullet1"/>
      </w:pPr>
      <w:r w:rsidRPr="00360088">
        <w:t>all matches of the AFL Women’s Premiership, including the finals series;</w:t>
      </w:r>
    </w:p>
    <w:p w14:paraId="6327FAF6" w14:textId="77777777" w:rsidR="00360088" w:rsidRPr="00360088" w:rsidRDefault="00360088" w:rsidP="00EE7B89">
      <w:pPr>
        <w:pStyle w:val="Bullet1"/>
      </w:pPr>
      <w:r w:rsidRPr="00360088">
        <w:t xml:space="preserve">all matches of the NRL Women’s Premiership, including the finals series; </w:t>
      </w:r>
    </w:p>
    <w:p w14:paraId="0FD395B9" w14:textId="77777777" w:rsidR="00360088" w:rsidRPr="00360088" w:rsidRDefault="00360088" w:rsidP="00EE7B89">
      <w:pPr>
        <w:pStyle w:val="Bullet1"/>
      </w:pPr>
      <w:r w:rsidRPr="00360088">
        <w:t xml:space="preserve">the NRL Women’s State of Origin Series;   </w:t>
      </w:r>
    </w:p>
    <w:p w14:paraId="4323A031" w14:textId="77777777" w:rsidR="00360088" w:rsidRPr="00360088" w:rsidRDefault="00360088" w:rsidP="00EE7B89">
      <w:pPr>
        <w:pStyle w:val="Bullet1"/>
      </w:pPr>
      <w:r w:rsidRPr="00360088">
        <w:t xml:space="preserve">each match of the Super Rugby Pacific and Super W finals series that involves at least one Australian team;  </w:t>
      </w:r>
    </w:p>
    <w:p w14:paraId="48C5444D" w14:textId="23DAFDC3" w:rsidR="00360088" w:rsidRPr="00360088" w:rsidRDefault="00360088" w:rsidP="00EE7B89">
      <w:pPr>
        <w:pStyle w:val="Bullet1"/>
      </w:pPr>
      <w:r w:rsidRPr="00360088">
        <w:t xml:space="preserve">all matches of the FIFA World Cup </w:t>
      </w:r>
      <w:r w:rsidR="0032727B">
        <w:rPr>
          <w:lang w:val="en-AU"/>
        </w:rPr>
        <w:t xml:space="preserve">(men’s) </w:t>
      </w:r>
      <w:r w:rsidRPr="00360088">
        <w:t xml:space="preserve">and the FIFA Women’s World Cup; </w:t>
      </w:r>
    </w:p>
    <w:p w14:paraId="2B8BAAF9" w14:textId="2B2E41C6" w:rsidR="00360088" w:rsidRPr="00360088" w:rsidRDefault="00360088" w:rsidP="00EE7B89">
      <w:pPr>
        <w:pStyle w:val="Bullet1"/>
      </w:pPr>
      <w:r w:rsidRPr="00360088">
        <w:t>the complete Women’s Ashes</w:t>
      </w:r>
      <w:r>
        <w:rPr>
          <w:lang w:val="en-US"/>
        </w:rPr>
        <w:t xml:space="preserve"> </w:t>
      </w:r>
      <w:r w:rsidR="00336F07">
        <w:rPr>
          <w:lang w:val="en-US"/>
        </w:rPr>
        <w:t>series</w:t>
      </w:r>
      <w:r w:rsidRPr="00360088">
        <w:t xml:space="preserve"> played in the United Kingdom </w:t>
      </w:r>
      <w:r w:rsidRPr="00CE600F">
        <w:t xml:space="preserve">(currently only test matches are listed, but the </w:t>
      </w:r>
      <w:r w:rsidR="00BF6161">
        <w:rPr>
          <w:lang w:val="en-AU"/>
        </w:rPr>
        <w:t xml:space="preserve">series currently includes </w:t>
      </w:r>
      <w:r w:rsidRPr="00CE600F">
        <w:t xml:space="preserve">‘one day’ and </w:t>
      </w:r>
      <w:r w:rsidR="00336F07">
        <w:rPr>
          <w:lang w:val="en-US"/>
        </w:rPr>
        <w:t>T20</w:t>
      </w:r>
      <w:r w:rsidRPr="00CE600F">
        <w:t>matches)</w:t>
      </w:r>
      <w:r w:rsidRPr="00360088">
        <w:t xml:space="preserve">; </w:t>
      </w:r>
    </w:p>
    <w:p w14:paraId="64AE393B" w14:textId="1D11D232" w:rsidR="00360088" w:rsidRPr="00360088" w:rsidRDefault="00402762" w:rsidP="00EE7B89">
      <w:pPr>
        <w:pStyle w:val="Bullet1"/>
      </w:pPr>
      <w:r>
        <w:t>e</w:t>
      </w:r>
      <w:r w:rsidR="00360088" w:rsidRPr="00324B18">
        <w:t>ach match in each tie of the International Tennis Federation Davis Cup World Group tennis tournament that involves an Australian representative team (currently</w:t>
      </w:r>
      <w:r>
        <w:t xml:space="preserve"> the match</w:t>
      </w:r>
      <w:r w:rsidR="00360088" w:rsidRPr="00324B18">
        <w:t xml:space="preserve"> must be played in Australia)</w:t>
      </w:r>
      <w:r>
        <w:t xml:space="preserve">; </w:t>
      </w:r>
    </w:p>
    <w:p w14:paraId="52DA2945" w14:textId="0431478F" w:rsidR="00360088" w:rsidRPr="00360088" w:rsidRDefault="00360088" w:rsidP="00EE7B89">
      <w:pPr>
        <w:pStyle w:val="Bullet1"/>
      </w:pPr>
      <w:r w:rsidRPr="00360088">
        <w:t>each match in each tie and the final of the International Tennis Federation Billie Jean Cup tennis tournament that involves an Australian representative team</w:t>
      </w:r>
      <w:r w:rsidR="00402762">
        <w:t>; and</w:t>
      </w:r>
    </w:p>
    <w:bookmarkEnd w:id="115"/>
    <w:p w14:paraId="620A1668" w14:textId="4991112B" w:rsidR="00876C20" w:rsidRDefault="00360088" w:rsidP="00586F9D">
      <w:pPr>
        <w:pStyle w:val="Bullet1"/>
      </w:pPr>
      <w:r w:rsidRPr="00360088">
        <w:t>all international Netball matches that involve the senior Australian women’s representative team that are played in Australia.</w:t>
      </w:r>
    </w:p>
    <w:p w14:paraId="25F4412A" w14:textId="6BC6DE42" w:rsidR="00C634D8" w:rsidRDefault="00C634D8" w:rsidP="00786567">
      <w:pPr>
        <w:pStyle w:val="Caption"/>
        <w:suppressAutoHyphens w:val="0"/>
      </w:pPr>
      <w:bookmarkStart w:id="117" w:name="_Toc150883303"/>
      <w:bookmarkStart w:id="118" w:name="_Toc151053023"/>
      <w:r>
        <w:t>Table 7: Proposed changes to the expanded list</w:t>
      </w:r>
      <w:bookmarkEnd w:id="117"/>
      <w:bookmarkEnd w:id="118"/>
    </w:p>
    <w:p w14:paraId="69AEAAD2" w14:textId="77777777" w:rsidR="00E84966" w:rsidRPr="00800D63" w:rsidRDefault="00E84966" w:rsidP="00E84966">
      <w:pPr>
        <w:spacing w:before="0" w:after="0"/>
        <w:rPr>
          <w:sz w:val="16"/>
          <w:szCs w:val="16"/>
        </w:rPr>
      </w:pPr>
      <w:r w:rsidRPr="00800D63">
        <w:rPr>
          <w:sz w:val="16"/>
          <w:szCs w:val="16"/>
        </w:rPr>
        <w:t>AU = Australia</w:t>
      </w:r>
    </w:p>
    <w:p w14:paraId="47497F8A" w14:textId="53D501BF" w:rsidR="00E84966" w:rsidRPr="00E84966" w:rsidRDefault="00E84966" w:rsidP="00E84966">
      <w:pPr>
        <w:spacing w:before="0" w:after="0"/>
      </w:pPr>
      <w:r w:rsidRPr="00800D63">
        <w:rPr>
          <w:sz w:val="16"/>
          <w:szCs w:val="16"/>
        </w:rPr>
        <w:t>SART = Senior Australian Representative Team</w:t>
      </w:r>
    </w:p>
    <w:tbl>
      <w:tblPr>
        <w:tblStyle w:val="DefaultTable1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237"/>
        <w:gridCol w:w="3339"/>
      </w:tblGrid>
      <w:tr w:rsidR="00C634D8" w:rsidRPr="004B546B" w14:paraId="4C35CD2A" w14:textId="77777777" w:rsidTr="00074B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6" w:type="pct"/>
            <w:hideMark/>
          </w:tcPr>
          <w:p w14:paraId="26749E48" w14:textId="77777777" w:rsidR="00C634D8" w:rsidRPr="00B43D82" w:rsidRDefault="00C634D8" w:rsidP="00074B1E">
            <w:pPr>
              <w:spacing w:before="20" w:after="40"/>
              <w:rPr>
                <w:rFonts w:cstheme="minorHAnsi"/>
                <w:color w:val="auto"/>
                <w:sz w:val="20"/>
                <w:szCs w:val="20"/>
              </w:rPr>
            </w:pPr>
            <w:r w:rsidRPr="00B43D82">
              <w:rPr>
                <w:rFonts w:cstheme="minorHAnsi"/>
                <w:color w:val="auto"/>
                <w:sz w:val="20"/>
                <w:szCs w:val="20"/>
              </w:rPr>
              <w:t>Sport</w:t>
            </w:r>
          </w:p>
        </w:tc>
        <w:tc>
          <w:tcPr>
            <w:tcW w:w="2150" w:type="pct"/>
            <w:hideMark/>
          </w:tcPr>
          <w:p w14:paraId="62E90892" w14:textId="77777777" w:rsidR="00C634D8" w:rsidRPr="00B43D82" w:rsidRDefault="00C634D8" w:rsidP="00074B1E">
            <w:pPr>
              <w:spacing w:before="20" w:after="4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Current listing inclusions</w:t>
            </w:r>
          </w:p>
        </w:tc>
        <w:tc>
          <w:tcPr>
            <w:tcW w:w="1694" w:type="pct"/>
          </w:tcPr>
          <w:p w14:paraId="20FAAFC5" w14:textId="36BF8138" w:rsidR="00C634D8" w:rsidRPr="00B43D82" w:rsidRDefault="00052480" w:rsidP="00074B1E">
            <w:pPr>
              <w:spacing w:before="20" w:after="4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Expanded</w:t>
            </w:r>
            <w:r w:rsidR="00C634D8">
              <w:rPr>
                <w:rFonts w:cstheme="minorHAnsi"/>
                <w:color w:val="auto"/>
                <w:sz w:val="20"/>
                <w:szCs w:val="20"/>
              </w:rPr>
              <w:t xml:space="preserve"> list</w:t>
            </w:r>
          </w:p>
        </w:tc>
      </w:tr>
      <w:tr w:rsidR="00C634D8" w:rsidRPr="0041490A" w14:paraId="2579DAC9"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hideMark/>
          </w:tcPr>
          <w:p w14:paraId="470CB1BA" w14:textId="77777777" w:rsidR="00C634D8" w:rsidRPr="00B43D82" w:rsidRDefault="00C634D8" w:rsidP="00074B1E">
            <w:pPr>
              <w:spacing w:before="20" w:after="40"/>
              <w:rPr>
                <w:rFonts w:cstheme="minorHAnsi"/>
                <w:color w:val="auto"/>
                <w:sz w:val="20"/>
                <w:szCs w:val="20"/>
              </w:rPr>
            </w:pPr>
            <w:r w:rsidRPr="00B43D82">
              <w:rPr>
                <w:rFonts w:cstheme="minorHAnsi"/>
                <w:color w:val="auto"/>
                <w:sz w:val="20"/>
                <w:szCs w:val="20"/>
              </w:rPr>
              <w:t>Olympic Games</w:t>
            </w:r>
          </w:p>
        </w:tc>
        <w:tc>
          <w:tcPr>
            <w:tcW w:w="2150" w:type="pct"/>
            <w:shd w:val="clear" w:color="auto" w:fill="auto"/>
          </w:tcPr>
          <w:p w14:paraId="4D0B14DF" w14:textId="77777777" w:rsidR="00C634D8" w:rsidRPr="00B43D82"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Summer Olympic Games</w:t>
            </w:r>
          </w:p>
          <w:p w14:paraId="3D2C82DB" w14:textId="3FFF7A7B" w:rsidR="00C634D8" w:rsidRPr="00B43D82"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Opening and Closing Ceremonies)</w:t>
            </w:r>
          </w:p>
        </w:tc>
        <w:tc>
          <w:tcPr>
            <w:tcW w:w="1694" w:type="pct"/>
            <w:shd w:val="clear" w:color="auto" w:fill="auto"/>
          </w:tcPr>
          <w:p w14:paraId="6FA4EF36" w14:textId="77777777" w:rsidR="00C634D8" w:rsidRPr="00B43D82"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tc>
      </w:tr>
      <w:tr w:rsidR="00C634D8" w:rsidRPr="0041490A" w14:paraId="058D7AD0"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4ECB27B6" w14:textId="77777777" w:rsidR="00C634D8" w:rsidRPr="00B43D82" w:rsidRDefault="00C634D8" w:rsidP="00074B1E">
            <w:pPr>
              <w:spacing w:before="20" w:after="40"/>
              <w:rPr>
                <w:rFonts w:cstheme="minorHAnsi"/>
                <w:color w:val="auto"/>
                <w:sz w:val="20"/>
                <w:szCs w:val="20"/>
              </w:rPr>
            </w:pPr>
          </w:p>
        </w:tc>
        <w:tc>
          <w:tcPr>
            <w:tcW w:w="2150" w:type="pct"/>
            <w:shd w:val="clear" w:color="auto" w:fill="auto"/>
          </w:tcPr>
          <w:p w14:paraId="62BF5106" w14:textId="77777777"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Winter Olympic Games</w:t>
            </w:r>
          </w:p>
          <w:p w14:paraId="60944033" w14:textId="7E7D6556"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Opening and Closing Ceremonies)</w:t>
            </w:r>
          </w:p>
        </w:tc>
        <w:tc>
          <w:tcPr>
            <w:tcW w:w="1694" w:type="pct"/>
            <w:shd w:val="clear" w:color="auto" w:fill="auto"/>
          </w:tcPr>
          <w:p w14:paraId="326FC962" w14:textId="77777777"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5F295621"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1FAD389C" w14:textId="77777777" w:rsidR="00C634D8" w:rsidRPr="00B43D82" w:rsidRDefault="00C634D8" w:rsidP="00074B1E">
            <w:pPr>
              <w:spacing w:before="20" w:after="40"/>
              <w:rPr>
                <w:rFonts w:cstheme="minorHAnsi"/>
                <w:color w:val="auto"/>
                <w:sz w:val="20"/>
                <w:szCs w:val="20"/>
              </w:rPr>
            </w:pPr>
          </w:p>
        </w:tc>
        <w:tc>
          <w:tcPr>
            <w:tcW w:w="2150" w:type="pct"/>
            <w:shd w:val="clear" w:color="auto" w:fill="auto"/>
          </w:tcPr>
          <w:p w14:paraId="5361713E" w14:textId="72C41000" w:rsidR="00C634D8" w:rsidRPr="00B43D82" w:rsidRDefault="00510ADF"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shd w:val="clear" w:color="auto" w:fill="auto"/>
          </w:tcPr>
          <w:p w14:paraId="5C4236AE" w14:textId="77777777" w:rsidR="00C634D8" w:rsidRPr="00B43D82"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Summer </w:t>
            </w:r>
            <w:r>
              <w:rPr>
                <w:rFonts w:cstheme="minorHAnsi"/>
                <w:color w:val="auto"/>
                <w:sz w:val="20"/>
                <w:szCs w:val="20"/>
              </w:rPr>
              <w:t>Para</w:t>
            </w:r>
            <w:r w:rsidRPr="00B43D82">
              <w:rPr>
                <w:rFonts w:cstheme="minorHAnsi"/>
                <w:color w:val="auto"/>
                <w:sz w:val="20"/>
                <w:szCs w:val="20"/>
              </w:rPr>
              <w:t>lympic Games</w:t>
            </w:r>
          </w:p>
          <w:p w14:paraId="7338A546" w14:textId="362E4E08" w:rsidR="00C634D8" w:rsidRPr="00E11052"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Opening and Closing Ceremonies)</w:t>
            </w:r>
          </w:p>
        </w:tc>
      </w:tr>
      <w:tr w:rsidR="00C634D8" w:rsidRPr="0041490A" w14:paraId="3D75C272"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hideMark/>
          </w:tcPr>
          <w:p w14:paraId="4FDA18D0" w14:textId="77777777" w:rsidR="00C634D8" w:rsidRPr="00B43D82" w:rsidRDefault="00C634D8" w:rsidP="00074B1E">
            <w:pPr>
              <w:spacing w:before="20" w:after="40"/>
              <w:rPr>
                <w:rFonts w:cstheme="minorHAnsi"/>
                <w:color w:val="auto"/>
                <w:sz w:val="20"/>
                <w:szCs w:val="20"/>
              </w:rPr>
            </w:pPr>
            <w:r w:rsidRPr="00B43D82">
              <w:rPr>
                <w:rFonts w:cstheme="minorHAnsi"/>
                <w:color w:val="auto"/>
                <w:sz w:val="20"/>
                <w:szCs w:val="20"/>
              </w:rPr>
              <w:t>Commonwealth Games</w:t>
            </w:r>
          </w:p>
        </w:tc>
        <w:tc>
          <w:tcPr>
            <w:tcW w:w="2150" w:type="pct"/>
          </w:tcPr>
          <w:p w14:paraId="7CF6C1D2" w14:textId="77777777"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Commonwealth Games</w:t>
            </w:r>
          </w:p>
          <w:p w14:paraId="21768276" w14:textId="0B5EFE07"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Opening and Closing Ceremonies)</w:t>
            </w:r>
          </w:p>
        </w:tc>
        <w:tc>
          <w:tcPr>
            <w:tcW w:w="1694" w:type="pct"/>
          </w:tcPr>
          <w:p w14:paraId="5A77B55E" w14:textId="77777777"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06239D3A"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shd w:val="clear" w:color="auto" w:fill="auto"/>
          </w:tcPr>
          <w:p w14:paraId="69B16D72" w14:textId="77777777" w:rsidR="00C634D8" w:rsidRPr="00B43D82" w:rsidRDefault="00C634D8" w:rsidP="00074B1E">
            <w:pPr>
              <w:spacing w:before="20" w:after="40"/>
              <w:rPr>
                <w:rFonts w:cstheme="minorHAnsi"/>
                <w:color w:val="auto"/>
                <w:sz w:val="20"/>
                <w:szCs w:val="20"/>
              </w:rPr>
            </w:pPr>
            <w:r>
              <w:rPr>
                <w:sz w:val="20"/>
                <w:szCs w:val="20"/>
              </w:rPr>
              <w:t>Horse racing</w:t>
            </w:r>
          </w:p>
        </w:tc>
        <w:tc>
          <w:tcPr>
            <w:tcW w:w="2150" w:type="pct"/>
            <w:shd w:val="clear" w:color="auto" w:fill="auto"/>
          </w:tcPr>
          <w:p w14:paraId="56C0AD0B" w14:textId="77777777" w:rsidR="00C634D8" w:rsidRPr="00E8613B"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Melbourne Cup </w:t>
            </w:r>
          </w:p>
        </w:tc>
        <w:tc>
          <w:tcPr>
            <w:tcW w:w="1694" w:type="pct"/>
            <w:shd w:val="clear" w:color="auto" w:fill="auto"/>
          </w:tcPr>
          <w:p w14:paraId="38BB57C9" w14:textId="77777777" w:rsidR="00C634D8" w:rsidRPr="00B43D82"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C634D8" w:rsidRPr="0041490A" w14:paraId="625812FB"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val="restart"/>
            <w:hideMark/>
          </w:tcPr>
          <w:p w14:paraId="1F53806E" w14:textId="77777777" w:rsidR="00C634D8" w:rsidRPr="00B43D82" w:rsidRDefault="00C634D8" w:rsidP="00074B1E">
            <w:pPr>
              <w:spacing w:before="20" w:after="40"/>
              <w:rPr>
                <w:rFonts w:cstheme="minorHAnsi"/>
                <w:color w:val="auto"/>
                <w:sz w:val="20"/>
                <w:szCs w:val="20"/>
              </w:rPr>
            </w:pPr>
            <w:r w:rsidRPr="00B43D82">
              <w:rPr>
                <w:rFonts w:cstheme="minorHAnsi"/>
                <w:color w:val="auto"/>
                <w:sz w:val="20"/>
                <w:szCs w:val="20"/>
              </w:rPr>
              <w:t>AFL</w:t>
            </w:r>
          </w:p>
        </w:tc>
        <w:tc>
          <w:tcPr>
            <w:tcW w:w="2150" w:type="pct"/>
          </w:tcPr>
          <w:p w14:paraId="6172C4F0" w14:textId="4D2FE5F4"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AFL Premiership</w:t>
            </w:r>
          </w:p>
          <w:p w14:paraId="0AFA283F" w14:textId="56440B56"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the Finals Series)</w:t>
            </w:r>
          </w:p>
        </w:tc>
        <w:tc>
          <w:tcPr>
            <w:tcW w:w="1694" w:type="pct"/>
          </w:tcPr>
          <w:p w14:paraId="6C10CD60" w14:textId="5BA3DF5F" w:rsidR="0020174B" w:rsidRDefault="0020174B"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39E6B26F" w14:textId="406133E6" w:rsidR="00C634D8" w:rsidRPr="00B43D82" w:rsidRDefault="00D15437"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3F1051">
              <w:rPr>
                <w:rFonts w:cstheme="minorHAnsi"/>
                <w:color w:val="auto"/>
                <w:sz w:val="20"/>
                <w:szCs w:val="20"/>
              </w:rPr>
              <w:t xml:space="preserve">Clarify </w:t>
            </w:r>
            <w:r w:rsidR="0020174B">
              <w:rPr>
                <w:rFonts w:cstheme="minorHAnsi"/>
                <w:color w:val="auto"/>
                <w:sz w:val="20"/>
                <w:szCs w:val="20"/>
              </w:rPr>
              <w:t>men’s event</w:t>
            </w:r>
            <w:r w:rsidRPr="003F1051">
              <w:rPr>
                <w:rFonts w:cstheme="minorHAnsi"/>
                <w:color w:val="auto"/>
                <w:sz w:val="20"/>
                <w:szCs w:val="20"/>
              </w:rPr>
              <w:t>.</w:t>
            </w:r>
          </w:p>
        </w:tc>
      </w:tr>
      <w:tr w:rsidR="00C634D8" w:rsidRPr="0041490A" w14:paraId="594739D6"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F2F2F2" w:themeFill="background1" w:themeFillShade="F2"/>
          </w:tcPr>
          <w:p w14:paraId="67DD0C09" w14:textId="77777777" w:rsidR="00C634D8" w:rsidRPr="00B43D82" w:rsidRDefault="00C634D8" w:rsidP="00074B1E">
            <w:pPr>
              <w:spacing w:before="20" w:after="40"/>
              <w:rPr>
                <w:rFonts w:cstheme="minorHAnsi"/>
                <w:color w:val="auto"/>
                <w:sz w:val="20"/>
                <w:szCs w:val="20"/>
              </w:rPr>
            </w:pPr>
          </w:p>
        </w:tc>
        <w:tc>
          <w:tcPr>
            <w:tcW w:w="2150" w:type="pct"/>
            <w:shd w:val="clear" w:color="auto" w:fill="F2F2F2" w:themeFill="background1" w:themeFillShade="F2"/>
          </w:tcPr>
          <w:p w14:paraId="2623A1D8" w14:textId="269FC2E2" w:rsidR="00C634D8" w:rsidRDefault="00510ADF"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shd w:val="clear" w:color="auto" w:fill="F2F2F2" w:themeFill="background1" w:themeFillShade="F2"/>
          </w:tcPr>
          <w:p w14:paraId="74C20D8E" w14:textId="67A04210" w:rsidR="005763C6" w:rsidRPr="00B43D8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Women’s </w:t>
            </w:r>
            <w:r w:rsidRPr="00B43D82">
              <w:rPr>
                <w:rFonts w:cstheme="minorHAnsi"/>
                <w:color w:val="auto"/>
                <w:sz w:val="20"/>
                <w:szCs w:val="20"/>
              </w:rPr>
              <w:t>AFL Premiership</w:t>
            </w:r>
          </w:p>
          <w:p w14:paraId="0B0EFE87" w14:textId="714207F4" w:rsidR="00C634D8" w:rsidRPr="00E1105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the Finals Series)</w:t>
            </w:r>
            <w:r w:rsidR="001200BF">
              <w:rPr>
                <w:rFonts w:cstheme="minorHAnsi"/>
                <w:color w:val="auto"/>
                <w:sz w:val="20"/>
                <w:szCs w:val="20"/>
              </w:rPr>
              <w:t>.</w:t>
            </w:r>
          </w:p>
        </w:tc>
      </w:tr>
      <w:tr w:rsidR="00C634D8" w:rsidRPr="0041490A" w14:paraId="5A9BCE7D"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hideMark/>
          </w:tcPr>
          <w:p w14:paraId="1C82BACF" w14:textId="77777777" w:rsidR="00C634D8" w:rsidRPr="00B43D82" w:rsidRDefault="00C634D8" w:rsidP="00074B1E">
            <w:pPr>
              <w:spacing w:before="20" w:after="40"/>
              <w:rPr>
                <w:rFonts w:cstheme="minorHAnsi"/>
                <w:color w:val="auto"/>
                <w:sz w:val="20"/>
                <w:szCs w:val="20"/>
              </w:rPr>
            </w:pPr>
            <w:r w:rsidRPr="00B43D82">
              <w:rPr>
                <w:rFonts w:cstheme="minorHAnsi"/>
                <w:color w:val="auto"/>
                <w:sz w:val="20"/>
                <w:szCs w:val="20"/>
              </w:rPr>
              <w:t>Rugby League</w:t>
            </w:r>
          </w:p>
        </w:tc>
        <w:tc>
          <w:tcPr>
            <w:tcW w:w="2150" w:type="pct"/>
            <w:shd w:val="clear" w:color="auto" w:fill="auto"/>
          </w:tcPr>
          <w:p w14:paraId="5E455889" w14:textId="4195A0CD"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NRL Premiership</w:t>
            </w:r>
          </w:p>
          <w:p w14:paraId="25626899" w14:textId="0B73D64F"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the Finals Series)</w:t>
            </w:r>
          </w:p>
        </w:tc>
        <w:tc>
          <w:tcPr>
            <w:tcW w:w="1694" w:type="pct"/>
            <w:shd w:val="clear" w:color="auto" w:fill="auto"/>
          </w:tcPr>
          <w:p w14:paraId="4E002FA3" w14:textId="78305ACD" w:rsidR="0020174B" w:rsidRDefault="0020174B"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4B536D7A" w14:textId="38BD3753" w:rsidR="00C634D8" w:rsidRPr="00B43D82" w:rsidRDefault="00D15437"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3F1051">
              <w:rPr>
                <w:rFonts w:cstheme="minorHAnsi"/>
                <w:color w:val="auto"/>
                <w:sz w:val="20"/>
                <w:szCs w:val="20"/>
              </w:rPr>
              <w:t xml:space="preserve">Clarify </w:t>
            </w:r>
            <w:r w:rsidR="0020174B">
              <w:rPr>
                <w:rFonts w:cstheme="minorHAnsi"/>
                <w:color w:val="auto"/>
                <w:sz w:val="20"/>
                <w:szCs w:val="20"/>
              </w:rPr>
              <w:t>men’s event</w:t>
            </w:r>
            <w:r w:rsidRPr="003F1051">
              <w:rPr>
                <w:rFonts w:cstheme="minorHAnsi"/>
                <w:color w:val="auto"/>
                <w:sz w:val="20"/>
                <w:szCs w:val="20"/>
              </w:rPr>
              <w:t>.</w:t>
            </w:r>
          </w:p>
        </w:tc>
      </w:tr>
      <w:tr w:rsidR="00C634D8" w:rsidRPr="0041490A" w14:paraId="32E7C3D3"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264D8434" w14:textId="77777777" w:rsidR="00C634D8" w:rsidRPr="00B43D82" w:rsidRDefault="00C634D8" w:rsidP="00074B1E">
            <w:pPr>
              <w:spacing w:before="20" w:after="40"/>
              <w:rPr>
                <w:rFonts w:cstheme="minorHAnsi"/>
                <w:color w:val="auto"/>
                <w:sz w:val="20"/>
                <w:szCs w:val="20"/>
              </w:rPr>
            </w:pPr>
          </w:p>
        </w:tc>
        <w:tc>
          <w:tcPr>
            <w:tcW w:w="2150" w:type="pct"/>
            <w:shd w:val="clear" w:color="auto" w:fill="auto"/>
          </w:tcPr>
          <w:p w14:paraId="06D57CDC" w14:textId="6BF473A1" w:rsidR="00C634D8" w:rsidRDefault="00510ADF"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bookmarkStart w:id="119" w:name="_GoBack"/>
            <w:bookmarkEnd w:id="119"/>
            <w:r>
              <w:rPr>
                <w:rFonts w:cstheme="minorHAnsi"/>
                <w:color w:val="auto"/>
                <w:sz w:val="20"/>
                <w:szCs w:val="20"/>
              </w:rPr>
              <w:t>No listing.</w:t>
            </w:r>
          </w:p>
        </w:tc>
        <w:tc>
          <w:tcPr>
            <w:tcW w:w="1694" w:type="pct"/>
            <w:shd w:val="clear" w:color="auto" w:fill="auto"/>
          </w:tcPr>
          <w:p w14:paraId="1DEFB1F3" w14:textId="05A0B704" w:rsidR="005763C6" w:rsidRPr="00B43D8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Women’s NRL</w:t>
            </w:r>
            <w:r w:rsidRPr="00B43D82">
              <w:rPr>
                <w:rFonts w:cstheme="minorHAnsi"/>
                <w:color w:val="auto"/>
                <w:sz w:val="20"/>
                <w:szCs w:val="20"/>
              </w:rPr>
              <w:t xml:space="preserve"> Premiership</w:t>
            </w:r>
          </w:p>
          <w:p w14:paraId="417EA75F" w14:textId="318E4599" w:rsidR="00C634D8" w:rsidRPr="00E1105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 including the Finals Series)</w:t>
            </w:r>
          </w:p>
        </w:tc>
      </w:tr>
      <w:tr w:rsidR="00C634D8" w:rsidRPr="0041490A" w14:paraId="4C6A9468"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0050471B" w14:textId="77777777" w:rsidR="00C634D8" w:rsidRPr="00B43D82" w:rsidRDefault="00C634D8" w:rsidP="00074B1E">
            <w:pPr>
              <w:spacing w:before="20" w:after="40"/>
              <w:rPr>
                <w:rFonts w:cstheme="minorHAnsi"/>
                <w:color w:val="auto"/>
                <w:sz w:val="20"/>
                <w:szCs w:val="20"/>
              </w:rPr>
            </w:pPr>
          </w:p>
        </w:tc>
        <w:tc>
          <w:tcPr>
            <w:tcW w:w="2150" w:type="pct"/>
            <w:shd w:val="clear" w:color="auto" w:fill="auto"/>
          </w:tcPr>
          <w:p w14:paraId="22C474EF" w14:textId="2446BD2E" w:rsidR="00C634D8"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State of Origin</w:t>
            </w:r>
          </w:p>
          <w:p w14:paraId="65C6A90C" w14:textId="75F15609"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(entire event)</w:t>
            </w:r>
          </w:p>
        </w:tc>
        <w:tc>
          <w:tcPr>
            <w:tcW w:w="1694" w:type="pct"/>
            <w:shd w:val="clear" w:color="auto" w:fill="auto"/>
          </w:tcPr>
          <w:p w14:paraId="2B79BAC6" w14:textId="77FF0FF9" w:rsidR="0020174B" w:rsidRDefault="0020174B"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115030BE" w14:textId="72185B76" w:rsidR="00C634D8" w:rsidRPr="00B43D82" w:rsidRDefault="00D15437"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3F1051">
              <w:rPr>
                <w:rFonts w:cstheme="minorHAnsi"/>
                <w:color w:val="auto"/>
                <w:sz w:val="20"/>
                <w:szCs w:val="20"/>
              </w:rPr>
              <w:t>Clarify men’s event.</w:t>
            </w:r>
          </w:p>
        </w:tc>
      </w:tr>
      <w:tr w:rsidR="00C634D8" w:rsidRPr="0041490A" w14:paraId="6C7AB758"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2FCC3A24" w14:textId="77777777" w:rsidR="00C634D8" w:rsidRPr="00B43D82" w:rsidRDefault="00C634D8" w:rsidP="00074B1E">
            <w:pPr>
              <w:spacing w:before="20" w:after="40"/>
              <w:rPr>
                <w:rFonts w:cstheme="minorHAnsi"/>
                <w:color w:val="auto"/>
                <w:sz w:val="20"/>
                <w:szCs w:val="20"/>
              </w:rPr>
            </w:pPr>
          </w:p>
        </w:tc>
        <w:tc>
          <w:tcPr>
            <w:tcW w:w="2150" w:type="pct"/>
            <w:shd w:val="clear" w:color="auto" w:fill="auto"/>
          </w:tcPr>
          <w:p w14:paraId="48DF412F" w14:textId="7FF4C89A" w:rsidR="00C634D8" w:rsidRDefault="00510ADF"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shd w:val="clear" w:color="auto" w:fill="auto"/>
          </w:tcPr>
          <w:p w14:paraId="08F352F6" w14:textId="77777777" w:rsidR="005763C6"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Women’s State of Origin</w:t>
            </w:r>
          </w:p>
          <w:p w14:paraId="37D47434" w14:textId="3A10D49A" w:rsidR="00C634D8" w:rsidRPr="00E1105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(entire event)</w:t>
            </w:r>
          </w:p>
        </w:tc>
      </w:tr>
      <w:tr w:rsidR="00C634D8" w:rsidRPr="0041490A" w14:paraId="4A771C3D"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3AD89D9C" w14:textId="77777777" w:rsidR="00C634D8" w:rsidRPr="00B43D82" w:rsidRDefault="00C634D8" w:rsidP="00074B1E">
            <w:pPr>
              <w:spacing w:before="20" w:after="40"/>
              <w:rPr>
                <w:rFonts w:cstheme="minorHAnsi"/>
                <w:color w:val="auto"/>
                <w:sz w:val="20"/>
                <w:szCs w:val="20"/>
              </w:rPr>
            </w:pPr>
          </w:p>
        </w:tc>
        <w:tc>
          <w:tcPr>
            <w:tcW w:w="2150" w:type="pct"/>
            <w:shd w:val="clear" w:color="auto" w:fill="auto"/>
          </w:tcPr>
          <w:p w14:paraId="23234037" w14:textId="48D445FB"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International test matches</w:t>
            </w:r>
          </w:p>
          <w:p w14:paraId="1A634FF4" w14:textId="0CC73F2A"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 xml:space="preserve">ach test </w:t>
            </w:r>
            <w:r w:rsidR="004A5EFB">
              <w:rPr>
                <w:rFonts w:cstheme="minorHAnsi"/>
                <w:color w:val="auto"/>
                <w:sz w:val="20"/>
                <w:szCs w:val="20"/>
              </w:rPr>
              <w:t>match</w:t>
            </w:r>
            <w:r w:rsidR="004A5EFB" w:rsidRPr="00B43D82">
              <w:rPr>
                <w:rFonts w:cstheme="minorHAnsi"/>
                <w:color w:val="auto"/>
                <w:sz w:val="20"/>
                <w:szCs w:val="20"/>
              </w:rPr>
              <w:t xml:space="preserve"> </w:t>
            </w:r>
            <w:r w:rsidRPr="00B43D82">
              <w:rPr>
                <w:rFonts w:cstheme="minorHAnsi"/>
                <w:color w:val="auto"/>
                <w:sz w:val="20"/>
                <w:szCs w:val="20"/>
              </w:rPr>
              <w:t xml:space="preserve">involving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 xml:space="preserve"> or New Zealand)</w:t>
            </w:r>
          </w:p>
        </w:tc>
        <w:tc>
          <w:tcPr>
            <w:tcW w:w="1694" w:type="pct"/>
            <w:shd w:val="clear" w:color="auto" w:fill="auto"/>
          </w:tcPr>
          <w:p w14:paraId="2A0AA312" w14:textId="751EC519" w:rsidR="0020174B" w:rsidRDefault="0020174B"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6EFF128A" w14:textId="0F14BFB1" w:rsidR="00C634D8" w:rsidRPr="00B43D82" w:rsidRDefault="00D15437"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326D6C">
              <w:rPr>
                <w:rFonts w:cstheme="minorHAnsi"/>
                <w:color w:val="auto"/>
                <w:sz w:val="20"/>
                <w:szCs w:val="20"/>
              </w:rPr>
              <w:t xml:space="preserve">Clarify </w:t>
            </w:r>
            <w:r w:rsidR="0020174B">
              <w:rPr>
                <w:rFonts w:cstheme="minorHAnsi"/>
                <w:color w:val="auto"/>
                <w:sz w:val="20"/>
                <w:szCs w:val="20"/>
              </w:rPr>
              <w:t>men’s</w:t>
            </w:r>
            <w:r w:rsidRPr="00326D6C">
              <w:rPr>
                <w:rFonts w:cstheme="minorHAnsi"/>
                <w:color w:val="auto"/>
                <w:sz w:val="20"/>
                <w:szCs w:val="20"/>
              </w:rPr>
              <w:t xml:space="preserve"> and </w:t>
            </w:r>
            <w:r w:rsidR="0020174B">
              <w:rPr>
                <w:rFonts w:cstheme="minorHAnsi"/>
                <w:color w:val="auto"/>
                <w:sz w:val="20"/>
                <w:szCs w:val="20"/>
              </w:rPr>
              <w:t>women’s event</w:t>
            </w:r>
            <w:r w:rsidRPr="00326D6C">
              <w:rPr>
                <w:rFonts w:cstheme="minorHAnsi"/>
                <w:color w:val="auto"/>
                <w:sz w:val="20"/>
                <w:szCs w:val="20"/>
              </w:rPr>
              <w:t>.</w:t>
            </w:r>
          </w:p>
        </w:tc>
      </w:tr>
      <w:tr w:rsidR="00C634D8" w:rsidRPr="0041490A" w14:paraId="6DC52293"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56831D69" w14:textId="77777777" w:rsidR="00C634D8" w:rsidRPr="00B43D82" w:rsidRDefault="00C634D8" w:rsidP="00074B1E">
            <w:pPr>
              <w:spacing w:before="20" w:after="40"/>
              <w:rPr>
                <w:rFonts w:cstheme="minorHAnsi"/>
                <w:sz w:val="20"/>
                <w:szCs w:val="20"/>
              </w:rPr>
            </w:pPr>
          </w:p>
        </w:tc>
        <w:tc>
          <w:tcPr>
            <w:tcW w:w="2150" w:type="pct"/>
            <w:shd w:val="clear" w:color="auto" w:fill="auto"/>
          </w:tcPr>
          <w:p w14:paraId="7F0C2965" w14:textId="128D97D6" w:rsidR="00C634D8" w:rsidRPr="00B43D82"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Rugby League World Cup</w:t>
            </w:r>
          </w:p>
          <w:p w14:paraId="109D093F" w14:textId="77777777" w:rsidR="00C634D8" w:rsidRPr="00B43D82"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 xml:space="preserve">ach match involving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 New Zealand or Papua New Guinea)</w:t>
            </w:r>
          </w:p>
        </w:tc>
        <w:tc>
          <w:tcPr>
            <w:tcW w:w="1694" w:type="pct"/>
            <w:shd w:val="clear" w:color="auto" w:fill="auto"/>
          </w:tcPr>
          <w:p w14:paraId="641C7C1B" w14:textId="77777777" w:rsidR="0020174B" w:rsidRDefault="0020174B" w:rsidP="0020174B">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73786B9C" w14:textId="787ED74F" w:rsidR="00C634D8" w:rsidRPr="00B43D82" w:rsidRDefault="00D15437"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26D6C">
              <w:rPr>
                <w:rFonts w:cstheme="minorHAnsi"/>
                <w:color w:val="auto"/>
                <w:sz w:val="20"/>
                <w:szCs w:val="20"/>
              </w:rPr>
              <w:t xml:space="preserve">Clarify </w:t>
            </w:r>
            <w:r w:rsidR="0020174B">
              <w:rPr>
                <w:rFonts w:cstheme="minorHAnsi"/>
                <w:color w:val="auto"/>
                <w:sz w:val="20"/>
                <w:szCs w:val="20"/>
              </w:rPr>
              <w:t>men’s</w:t>
            </w:r>
            <w:r w:rsidRPr="00326D6C">
              <w:rPr>
                <w:rFonts w:cstheme="minorHAnsi"/>
                <w:color w:val="auto"/>
                <w:sz w:val="20"/>
                <w:szCs w:val="20"/>
              </w:rPr>
              <w:t xml:space="preserve"> and </w:t>
            </w:r>
            <w:r w:rsidR="0020174B">
              <w:rPr>
                <w:rFonts w:cstheme="minorHAnsi"/>
                <w:color w:val="auto"/>
                <w:sz w:val="20"/>
                <w:szCs w:val="20"/>
              </w:rPr>
              <w:t>women’s event</w:t>
            </w:r>
            <w:r w:rsidRPr="00326D6C">
              <w:rPr>
                <w:rFonts w:cstheme="minorHAnsi"/>
                <w:color w:val="auto"/>
                <w:sz w:val="20"/>
                <w:szCs w:val="20"/>
              </w:rPr>
              <w:t>.</w:t>
            </w:r>
          </w:p>
        </w:tc>
      </w:tr>
      <w:tr w:rsidR="00C634D8" w:rsidRPr="0041490A" w14:paraId="113CB72B"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val="restart"/>
            <w:hideMark/>
          </w:tcPr>
          <w:p w14:paraId="3ECC589D" w14:textId="77777777" w:rsidR="00C634D8" w:rsidRPr="00B43D82" w:rsidRDefault="00C634D8" w:rsidP="00074B1E">
            <w:pPr>
              <w:spacing w:before="20" w:after="40"/>
              <w:rPr>
                <w:rFonts w:cstheme="minorHAnsi"/>
                <w:sz w:val="20"/>
                <w:szCs w:val="20"/>
              </w:rPr>
            </w:pPr>
            <w:r w:rsidRPr="00B43D82">
              <w:rPr>
                <w:rFonts w:cstheme="minorHAnsi"/>
                <w:sz w:val="20"/>
                <w:szCs w:val="20"/>
              </w:rPr>
              <w:t>Rugby Union</w:t>
            </w:r>
          </w:p>
        </w:tc>
        <w:tc>
          <w:tcPr>
            <w:tcW w:w="2150" w:type="pct"/>
            <w:hideMark/>
          </w:tcPr>
          <w:p w14:paraId="40705893" w14:textId="47DCEDAF" w:rsidR="00C634D8" w:rsidRPr="00B43D82" w:rsidRDefault="00D15437"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I</w:t>
            </w:r>
            <w:r w:rsidRPr="00B43D82">
              <w:rPr>
                <w:rFonts w:cstheme="minorHAnsi"/>
                <w:color w:val="auto"/>
                <w:sz w:val="20"/>
                <w:szCs w:val="20"/>
              </w:rPr>
              <w:t>nternational test matches</w:t>
            </w:r>
          </w:p>
          <w:p w14:paraId="3102DB91" w14:textId="7CA09CE2"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sidR="001B7BDD">
              <w:rPr>
                <w:rFonts w:cstheme="minorHAnsi"/>
                <w:color w:val="auto"/>
                <w:sz w:val="20"/>
                <w:szCs w:val="20"/>
              </w:rPr>
              <w:t xml:space="preserve">test </w:t>
            </w:r>
            <w:r w:rsidRPr="00B43D82">
              <w:rPr>
                <w:rFonts w:cstheme="minorHAnsi"/>
                <w:color w:val="auto"/>
                <w:sz w:val="20"/>
                <w:szCs w:val="20"/>
              </w:rPr>
              <w:t>match</w:t>
            </w:r>
            <w:r>
              <w:rPr>
                <w:rFonts w:cstheme="minorHAnsi"/>
                <w:color w:val="auto"/>
                <w:sz w:val="20"/>
                <w:szCs w:val="20"/>
              </w:rPr>
              <w:t>es 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 xml:space="preserve"> or New Zealand)</w:t>
            </w:r>
          </w:p>
        </w:tc>
        <w:tc>
          <w:tcPr>
            <w:tcW w:w="1694" w:type="pct"/>
          </w:tcPr>
          <w:p w14:paraId="6816517F" w14:textId="77777777" w:rsidR="0020174B" w:rsidRDefault="0020174B" w:rsidP="0020174B">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55AE0D2F" w14:textId="2E069615" w:rsidR="00C634D8" w:rsidRPr="00B43D82" w:rsidRDefault="00D15437"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326D6C">
              <w:rPr>
                <w:rFonts w:cstheme="minorHAnsi"/>
                <w:color w:val="auto"/>
                <w:sz w:val="20"/>
                <w:szCs w:val="20"/>
              </w:rPr>
              <w:t xml:space="preserve">Clarify </w:t>
            </w:r>
            <w:r w:rsidR="0020174B">
              <w:rPr>
                <w:rFonts w:cstheme="minorHAnsi"/>
                <w:color w:val="auto"/>
                <w:sz w:val="20"/>
                <w:szCs w:val="20"/>
              </w:rPr>
              <w:t>men’s</w:t>
            </w:r>
            <w:r w:rsidRPr="00326D6C">
              <w:rPr>
                <w:rFonts w:cstheme="minorHAnsi"/>
                <w:color w:val="auto"/>
                <w:sz w:val="20"/>
                <w:szCs w:val="20"/>
              </w:rPr>
              <w:t xml:space="preserve"> and </w:t>
            </w:r>
            <w:r w:rsidR="0020174B">
              <w:rPr>
                <w:rFonts w:cstheme="minorHAnsi"/>
                <w:color w:val="auto"/>
                <w:sz w:val="20"/>
                <w:szCs w:val="20"/>
              </w:rPr>
              <w:t>women’s event</w:t>
            </w:r>
            <w:r w:rsidRPr="00326D6C">
              <w:rPr>
                <w:rFonts w:cstheme="minorHAnsi"/>
                <w:color w:val="auto"/>
                <w:sz w:val="20"/>
                <w:szCs w:val="20"/>
              </w:rPr>
              <w:t>.</w:t>
            </w:r>
          </w:p>
        </w:tc>
      </w:tr>
      <w:tr w:rsidR="00C634D8" w:rsidRPr="0041490A" w14:paraId="641C121B"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F2F2F2" w:themeFill="background1" w:themeFillShade="F2"/>
          </w:tcPr>
          <w:p w14:paraId="614BA018" w14:textId="77777777" w:rsidR="00C634D8" w:rsidRPr="00B43D82" w:rsidRDefault="00C634D8" w:rsidP="00074B1E">
            <w:pPr>
              <w:spacing w:before="20" w:after="40"/>
              <w:rPr>
                <w:rFonts w:cstheme="minorHAnsi"/>
                <w:sz w:val="20"/>
                <w:szCs w:val="20"/>
              </w:rPr>
            </w:pPr>
          </w:p>
        </w:tc>
        <w:tc>
          <w:tcPr>
            <w:tcW w:w="2150" w:type="pct"/>
            <w:shd w:val="clear" w:color="auto" w:fill="F2F2F2" w:themeFill="background1" w:themeFillShade="F2"/>
          </w:tcPr>
          <w:p w14:paraId="2D49B0C1" w14:textId="59525429" w:rsidR="00C634D8" w:rsidRPr="00B43D82" w:rsidRDefault="00D15437"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World Cup</w:t>
            </w:r>
            <w:r>
              <w:rPr>
                <w:rFonts w:cstheme="minorHAnsi"/>
                <w:color w:val="auto"/>
                <w:sz w:val="20"/>
                <w:szCs w:val="20"/>
              </w:rPr>
              <w:t xml:space="preserve"> matches</w:t>
            </w:r>
          </w:p>
          <w:p w14:paraId="7F0EB580" w14:textId="77777777" w:rsidR="00C634D8" w:rsidRPr="00B43D82" w:rsidRDefault="00C634D8"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w:t>
            </w:r>
            <w:r w:rsidRPr="00B43D82">
              <w:rPr>
                <w:rFonts w:cstheme="minorHAnsi"/>
                <w:color w:val="auto"/>
                <w:sz w:val="20"/>
                <w:szCs w:val="20"/>
              </w:rPr>
              <w:t>match</w:t>
            </w:r>
            <w:r>
              <w:rPr>
                <w:rFonts w:cstheme="minorHAnsi"/>
                <w:color w:val="auto"/>
                <w:sz w:val="20"/>
                <w:szCs w:val="20"/>
              </w:rPr>
              <w:t>es</w:t>
            </w:r>
            <w:r w:rsidRPr="00B43D82">
              <w:rPr>
                <w:rFonts w:cstheme="minorHAnsi"/>
                <w:color w:val="auto"/>
                <w:sz w:val="20"/>
                <w:szCs w:val="20"/>
              </w:rPr>
              <w:t xml:space="preserve"> involving the </w:t>
            </w:r>
            <w:r>
              <w:rPr>
                <w:rFonts w:cstheme="minorHAnsi"/>
                <w:color w:val="auto"/>
                <w:sz w:val="20"/>
                <w:szCs w:val="20"/>
              </w:rPr>
              <w:t>SART</w:t>
            </w:r>
            <w:r w:rsidRPr="00B43D82">
              <w:rPr>
                <w:rFonts w:cstheme="minorHAnsi"/>
                <w:color w:val="auto"/>
                <w:sz w:val="20"/>
                <w:szCs w:val="20"/>
              </w:rPr>
              <w:t>)</w:t>
            </w:r>
          </w:p>
        </w:tc>
        <w:tc>
          <w:tcPr>
            <w:tcW w:w="1694" w:type="pct"/>
            <w:shd w:val="clear" w:color="auto" w:fill="F2F2F2" w:themeFill="background1" w:themeFillShade="F2"/>
          </w:tcPr>
          <w:p w14:paraId="5349A48A" w14:textId="77777777" w:rsidR="0020174B" w:rsidRDefault="0020174B" w:rsidP="0020174B">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7255E416" w14:textId="4DB876E0" w:rsidR="00C634D8" w:rsidRPr="00B43D82" w:rsidRDefault="00D15437" w:rsidP="00074B1E">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26D6C">
              <w:rPr>
                <w:rFonts w:cstheme="minorHAnsi"/>
                <w:color w:val="auto"/>
                <w:sz w:val="20"/>
                <w:szCs w:val="20"/>
              </w:rPr>
              <w:t xml:space="preserve">Clarify </w:t>
            </w:r>
            <w:r w:rsidR="0020174B">
              <w:rPr>
                <w:rFonts w:cstheme="minorHAnsi"/>
                <w:color w:val="auto"/>
                <w:sz w:val="20"/>
                <w:szCs w:val="20"/>
              </w:rPr>
              <w:t>men’s</w:t>
            </w:r>
            <w:r w:rsidRPr="00326D6C">
              <w:rPr>
                <w:rFonts w:cstheme="minorHAnsi"/>
                <w:color w:val="auto"/>
                <w:sz w:val="20"/>
                <w:szCs w:val="20"/>
              </w:rPr>
              <w:t xml:space="preserve"> and </w:t>
            </w:r>
            <w:r w:rsidR="0020174B">
              <w:rPr>
                <w:rFonts w:cstheme="minorHAnsi"/>
                <w:color w:val="auto"/>
                <w:sz w:val="20"/>
                <w:szCs w:val="20"/>
              </w:rPr>
              <w:t>women’s event</w:t>
            </w:r>
            <w:r w:rsidRPr="00326D6C">
              <w:rPr>
                <w:rFonts w:cstheme="minorHAnsi"/>
                <w:color w:val="auto"/>
                <w:sz w:val="20"/>
                <w:szCs w:val="20"/>
              </w:rPr>
              <w:t>.</w:t>
            </w:r>
          </w:p>
        </w:tc>
      </w:tr>
      <w:tr w:rsidR="00C634D8" w:rsidRPr="0041490A" w14:paraId="228E3041"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tcPr>
          <w:p w14:paraId="23EF883A" w14:textId="77777777" w:rsidR="00C634D8" w:rsidRPr="00B43D82" w:rsidRDefault="00C634D8" w:rsidP="00074B1E">
            <w:pPr>
              <w:spacing w:before="20" w:after="40"/>
              <w:rPr>
                <w:rFonts w:cstheme="minorHAnsi"/>
                <w:sz w:val="20"/>
                <w:szCs w:val="20"/>
              </w:rPr>
            </w:pPr>
          </w:p>
        </w:tc>
        <w:tc>
          <w:tcPr>
            <w:tcW w:w="2150" w:type="pct"/>
          </w:tcPr>
          <w:p w14:paraId="3749DA8F" w14:textId="260C4BC4" w:rsidR="00C634D8" w:rsidRPr="00B43D82" w:rsidRDefault="00D15437"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World Cup</w:t>
            </w:r>
            <w:r>
              <w:rPr>
                <w:rFonts w:cstheme="minorHAnsi"/>
                <w:color w:val="auto"/>
                <w:sz w:val="20"/>
                <w:szCs w:val="20"/>
              </w:rPr>
              <w:t xml:space="preserve"> matches</w:t>
            </w:r>
          </w:p>
          <w:p w14:paraId="27527059" w14:textId="77777777" w:rsidR="00C634D8" w:rsidRPr="00B43D82" w:rsidRDefault="00C634D8"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(final</w:t>
            </w:r>
            <w:r w:rsidRPr="00B43D82">
              <w:rPr>
                <w:rFonts w:cstheme="minorHAnsi"/>
                <w:color w:val="auto"/>
                <w:sz w:val="20"/>
                <w:szCs w:val="20"/>
              </w:rPr>
              <w:t>)</w:t>
            </w:r>
          </w:p>
        </w:tc>
        <w:tc>
          <w:tcPr>
            <w:tcW w:w="1694" w:type="pct"/>
          </w:tcPr>
          <w:p w14:paraId="47B0AC22" w14:textId="77777777" w:rsidR="0020174B" w:rsidRDefault="0020174B" w:rsidP="0020174B">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20ACDC5A" w14:textId="38B541A6" w:rsidR="00C634D8" w:rsidRPr="00B43D82" w:rsidRDefault="00D15437" w:rsidP="00074B1E">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326D6C">
              <w:rPr>
                <w:rFonts w:cstheme="minorHAnsi"/>
                <w:color w:val="auto"/>
                <w:sz w:val="20"/>
                <w:szCs w:val="20"/>
              </w:rPr>
              <w:t xml:space="preserve">Clarify </w:t>
            </w:r>
            <w:r w:rsidR="0020174B">
              <w:rPr>
                <w:rFonts w:cstheme="minorHAnsi"/>
                <w:color w:val="auto"/>
                <w:sz w:val="20"/>
                <w:szCs w:val="20"/>
              </w:rPr>
              <w:t>men’s</w:t>
            </w:r>
            <w:r w:rsidRPr="00326D6C">
              <w:rPr>
                <w:rFonts w:cstheme="minorHAnsi"/>
                <w:color w:val="auto"/>
                <w:sz w:val="20"/>
                <w:szCs w:val="20"/>
              </w:rPr>
              <w:t xml:space="preserve"> and </w:t>
            </w:r>
            <w:r w:rsidR="0020174B">
              <w:rPr>
                <w:rFonts w:cstheme="minorHAnsi"/>
                <w:color w:val="auto"/>
                <w:sz w:val="20"/>
                <w:szCs w:val="20"/>
              </w:rPr>
              <w:t>women’s event</w:t>
            </w:r>
            <w:r w:rsidRPr="00326D6C">
              <w:rPr>
                <w:rFonts w:cstheme="minorHAnsi"/>
                <w:color w:val="auto"/>
                <w:sz w:val="20"/>
                <w:szCs w:val="20"/>
              </w:rPr>
              <w:t>.</w:t>
            </w:r>
          </w:p>
        </w:tc>
      </w:tr>
      <w:tr w:rsidR="005763C6" w:rsidRPr="0041490A" w14:paraId="4120BDE0"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F2F2F2" w:themeFill="background1" w:themeFillShade="F2"/>
          </w:tcPr>
          <w:p w14:paraId="1ED5FF48" w14:textId="77777777" w:rsidR="005763C6" w:rsidRPr="00B43D82" w:rsidRDefault="005763C6" w:rsidP="005763C6">
            <w:pPr>
              <w:spacing w:before="20" w:after="40"/>
              <w:rPr>
                <w:rFonts w:cstheme="minorHAnsi"/>
                <w:sz w:val="20"/>
                <w:szCs w:val="20"/>
              </w:rPr>
            </w:pPr>
          </w:p>
        </w:tc>
        <w:tc>
          <w:tcPr>
            <w:tcW w:w="2150" w:type="pct"/>
            <w:shd w:val="clear" w:color="auto" w:fill="F2F2F2" w:themeFill="background1" w:themeFillShade="F2"/>
          </w:tcPr>
          <w:p w14:paraId="12AF2FD8" w14:textId="6CC0C5A9" w:rsidR="005763C6" w:rsidRPr="00B43D82" w:rsidRDefault="00510ADF"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shd w:val="clear" w:color="auto" w:fill="F2F2F2" w:themeFill="background1" w:themeFillShade="F2"/>
          </w:tcPr>
          <w:p w14:paraId="74589835" w14:textId="77777777" w:rsidR="005763C6" w:rsidRPr="00F23097"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F23097">
              <w:rPr>
                <w:rFonts w:cstheme="minorHAnsi"/>
                <w:color w:val="auto"/>
                <w:sz w:val="20"/>
                <w:szCs w:val="20"/>
              </w:rPr>
              <w:t>Super Rugby Pacific finals series</w:t>
            </w:r>
          </w:p>
          <w:p w14:paraId="65CB3E45" w14:textId="05D42677" w:rsidR="005763C6" w:rsidRPr="00E1105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w:t>
            </w:r>
            <w:r w:rsidRPr="00B43D82">
              <w:rPr>
                <w:rFonts w:cstheme="minorHAnsi"/>
                <w:color w:val="auto"/>
                <w:sz w:val="20"/>
                <w:szCs w:val="20"/>
              </w:rPr>
              <w:t>match</w:t>
            </w:r>
            <w:r>
              <w:rPr>
                <w:rFonts w:cstheme="minorHAnsi"/>
                <w:color w:val="auto"/>
                <w:sz w:val="20"/>
                <w:szCs w:val="20"/>
              </w:rPr>
              <w:t>es</w:t>
            </w:r>
            <w:r w:rsidRPr="00B43D82">
              <w:rPr>
                <w:rFonts w:cstheme="minorHAnsi"/>
                <w:color w:val="auto"/>
                <w:sz w:val="20"/>
                <w:szCs w:val="20"/>
              </w:rPr>
              <w:t xml:space="preserve"> </w:t>
            </w:r>
            <w:r>
              <w:rPr>
                <w:rFonts w:cstheme="minorHAnsi"/>
                <w:color w:val="auto"/>
                <w:sz w:val="20"/>
                <w:szCs w:val="20"/>
              </w:rPr>
              <w:t>involving an Australian team</w:t>
            </w:r>
            <w:r w:rsidRPr="00B43D82">
              <w:rPr>
                <w:rFonts w:cstheme="minorHAnsi"/>
                <w:color w:val="auto"/>
                <w:sz w:val="20"/>
                <w:szCs w:val="20"/>
              </w:rPr>
              <w:t>)</w:t>
            </w:r>
          </w:p>
        </w:tc>
      </w:tr>
      <w:tr w:rsidR="005763C6" w:rsidRPr="0041490A" w14:paraId="5C940158"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tcPr>
          <w:p w14:paraId="2561E0E3" w14:textId="77777777" w:rsidR="005763C6" w:rsidRPr="00B43D82" w:rsidRDefault="005763C6" w:rsidP="005763C6">
            <w:pPr>
              <w:spacing w:before="20" w:after="40"/>
              <w:rPr>
                <w:rFonts w:cstheme="minorHAnsi"/>
                <w:sz w:val="20"/>
                <w:szCs w:val="20"/>
              </w:rPr>
            </w:pPr>
          </w:p>
        </w:tc>
        <w:tc>
          <w:tcPr>
            <w:tcW w:w="2150" w:type="pct"/>
          </w:tcPr>
          <w:p w14:paraId="36FD353D" w14:textId="3A6BDF34" w:rsidR="005763C6" w:rsidRPr="00B43D82" w:rsidRDefault="00510ADF"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tcPr>
          <w:p w14:paraId="36D4446D" w14:textId="77777777" w:rsidR="005763C6" w:rsidRPr="000C788E"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0C788E">
              <w:rPr>
                <w:rFonts w:cstheme="minorHAnsi"/>
                <w:color w:val="auto"/>
                <w:sz w:val="20"/>
                <w:szCs w:val="20"/>
              </w:rPr>
              <w:t xml:space="preserve">Super </w:t>
            </w:r>
            <w:r>
              <w:rPr>
                <w:rFonts w:cstheme="minorHAnsi"/>
                <w:color w:val="auto"/>
                <w:sz w:val="20"/>
                <w:szCs w:val="20"/>
              </w:rPr>
              <w:t>W</w:t>
            </w:r>
            <w:r w:rsidRPr="000C788E">
              <w:rPr>
                <w:rFonts w:cstheme="minorHAnsi"/>
                <w:color w:val="auto"/>
                <w:sz w:val="20"/>
                <w:szCs w:val="20"/>
              </w:rPr>
              <w:t xml:space="preserve"> finals series</w:t>
            </w:r>
          </w:p>
          <w:p w14:paraId="2AF037A8" w14:textId="0851CEFC" w:rsidR="005763C6" w:rsidRPr="00E11052"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w:t>
            </w:r>
            <w:r w:rsidRPr="00B43D82">
              <w:rPr>
                <w:rFonts w:cstheme="minorHAnsi"/>
                <w:color w:val="auto"/>
                <w:sz w:val="20"/>
                <w:szCs w:val="20"/>
              </w:rPr>
              <w:t>match</w:t>
            </w:r>
            <w:r>
              <w:rPr>
                <w:rFonts w:cstheme="minorHAnsi"/>
                <w:color w:val="auto"/>
                <w:sz w:val="20"/>
                <w:szCs w:val="20"/>
              </w:rPr>
              <w:t>es</w:t>
            </w:r>
            <w:r w:rsidRPr="00B43D82">
              <w:rPr>
                <w:rFonts w:cstheme="minorHAnsi"/>
                <w:color w:val="auto"/>
                <w:sz w:val="20"/>
                <w:szCs w:val="20"/>
              </w:rPr>
              <w:t xml:space="preserve"> </w:t>
            </w:r>
            <w:r>
              <w:rPr>
                <w:rFonts w:cstheme="minorHAnsi"/>
                <w:color w:val="auto"/>
                <w:sz w:val="20"/>
                <w:szCs w:val="20"/>
              </w:rPr>
              <w:t>involving an Australian team</w:t>
            </w:r>
            <w:r w:rsidRPr="00B43D82">
              <w:rPr>
                <w:rFonts w:cstheme="minorHAnsi"/>
                <w:color w:val="auto"/>
                <w:sz w:val="20"/>
                <w:szCs w:val="20"/>
              </w:rPr>
              <w:t>)</w:t>
            </w:r>
          </w:p>
        </w:tc>
      </w:tr>
      <w:tr w:rsidR="005763C6" w:rsidRPr="0041490A" w14:paraId="549264AA"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tcPr>
          <w:p w14:paraId="43DDF2FF" w14:textId="77777777" w:rsidR="005763C6" w:rsidRDefault="005763C6" w:rsidP="005763C6">
            <w:pPr>
              <w:spacing w:before="20" w:after="40"/>
              <w:rPr>
                <w:rFonts w:cstheme="minorHAnsi"/>
                <w:sz w:val="20"/>
                <w:szCs w:val="20"/>
              </w:rPr>
            </w:pPr>
            <w:r>
              <w:rPr>
                <w:rFonts w:cstheme="minorHAnsi"/>
                <w:sz w:val="20"/>
                <w:szCs w:val="20"/>
              </w:rPr>
              <w:t>Cricket</w:t>
            </w:r>
          </w:p>
        </w:tc>
        <w:tc>
          <w:tcPr>
            <w:tcW w:w="2150" w:type="pct"/>
            <w:shd w:val="clear" w:color="auto" w:fill="auto"/>
          </w:tcPr>
          <w:p w14:paraId="34C0021F" w14:textId="0DA7A274" w:rsidR="005763C6" w:rsidRPr="00B43D82" w:rsidRDefault="00D15437"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T</w:t>
            </w:r>
            <w:r w:rsidR="005763C6" w:rsidRPr="00B43D82">
              <w:rPr>
                <w:rFonts w:cstheme="minorHAnsi"/>
                <w:color w:val="auto"/>
                <w:sz w:val="20"/>
                <w:szCs w:val="20"/>
              </w:rPr>
              <w:t>est matches</w:t>
            </w:r>
          </w:p>
          <w:p w14:paraId="451E1ECD" w14:textId="6E66024D" w:rsidR="005763C6" w:rsidRPr="00401E19"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 xml:space="preserve">ach test </w:t>
            </w:r>
            <w:r w:rsidR="001B7BDD">
              <w:rPr>
                <w:rFonts w:cstheme="minorHAnsi"/>
                <w:color w:val="auto"/>
                <w:sz w:val="20"/>
                <w:szCs w:val="20"/>
              </w:rPr>
              <w:t>match</w:t>
            </w:r>
            <w:r w:rsidR="001B7BDD" w:rsidRPr="00F21A0D">
              <w:rPr>
                <w:rFonts w:cstheme="minorHAnsi"/>
                <w:color w:val="auto"/>
                <w:sz w:val="20"/>
                <w:szCs w:val="20"/>
              </w:rPr>
              <w:t xml:space="preserve"> </w:t>
            </w:r>
            <w:r w:rsidRPr="00B43D82">
              <w:rPr>
                <w:rFonts w:cstheme="minorHAnsi"/>
                <w:color w:val="auto"/>
                <w:sz w:val="20"/>
                <w:szCs w:val="20"/>
              </w:rPr>
              <w:t xml:space="preserve">involving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w:t>
            </w:r>
          </w:p>
        </w:tc>
        <w:tc>
          <w:tcPr>
            <w:tcW w:w="1694" w:type="pct"/>
            <w:shd w:val="clear" w:color="auto" w:fill="auto"/>
          </w:tcPr>
          <w:p w14:paraId="08AB24DD" w14:textId="77777777" w:rsidR="0020174B" w:rsidRDefault="0020174B" w:rsidP="0020174B">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2F907983" w14:textId="005DB843" w:rsidR="005763C6" w:rsidRPr="00B43D82" w:rsidRDefault="00D15437"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F1051">
              <w:rPr>
                <w:rFonts w:cstheme="minorHAnsi"/>
                <w:color w:val="auto"/>
                <w:sz w:val="20"/>
                <w:szCs w:val="20"/>
              </w:rPr>
              <w:t xml:space="preserve">Clarify </w:t>
            </w:r>
            <w:r w:rsidR="0020174B">
              <w:rPr>
                <w:rFonts w:cstheme="minorHAnsi"/>
                <w:color w:val="auto"/>
                <w:sz w:val="20"/>
                <w:szCs w:val="20"/>
              </w:rPr>
              <w:t>men’s</w:t>
            </w:r>
            <w:r w:rsidRPr="003F1051">
              <w:rPr>
                <w:rFonts w:cstheme="minorHAnsi"/>
                <w:color w:val="auto"/>
                <w:sz w:val="20"/>
                <w:szCs w:val="20"/>
              </w:rPr>
              <w:t xml:space="preserve"> and </w:t>
            </w:r>
            <w:r w:rsidR="0020174B">
              <w:rPr>
                <w:rFonts w:cstheme="minorHAnsi"/>
                <w:color w:val="auto"/>
                <w:sz w:val="20"/>
                <w:szCs w:val="20"/>
              </w:rPr>
              <w:t>women’s event</w:t>
            </w:r>
            <w:r w:rsidRPr="003F1051">
              <w:rPr>
                <w:rFonts w:cstheme="minorHAnsi"/>
                <w:color w:val="auto"/>
                <w:sz w:val="20"/>
                <w:szCs w:val="20"/>
              </w:rPr>
              <w:t>.</w:t>
            </w:r>
          </w:p>
        </w:tc>
      </w:tr>
      <w:tr w:rsidR="005763C6" w:rsidRPr="0041490A" w14:paraId="7EE58ABC"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0F2CB1F1" w14:textId="77777777" w:rsidR="005763C6" w:rsidRDefault="005763C6" w:rsidP="005763C6">
            <w:pPr>
              <w:spacing w:before="20" w:after="40"/>
              <w:rPr>
                <w:rFonts w:cstheme="minorHAnsi"/>
                <w:sz w:val="20"/>
                <w:szCs w:val="20"/>
              </w:rPr>
            </w:pPr>
          </w:p>
        </w:tc>
        <w:tc>
          <w:tcPr>
            <w:tcW w:w="2150" w:type="pct"/>
            <w:shd w:val="clear" w:color="auto" w:fill="auto"/>
          </w:tcPr>
          <w:p w14:paraId="40B31868" w14:textId="045BA44B" w:rsidR="005763C6" w:rsidRPr="00B43D82" w:rsidRDefault="0008627D"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T</w:t>
            </w:r>
            <w:r w:rsidR="005763C6" w:rsidRPr="00B43D82">
              <w:rPr>
                <w:rFonts w:cstheme="minorHAnsi"/>
                <w:color w:val="auto"/>
                <w:sz w:val="20"/>
                <w:szCs w:val="20"/>
              </w:rPr>
              <w:t>est matches</w:t>
            </w:r>
          </w:p>
          <w:p w14:paraId="31BC2DEA" w14:textId="6824470D" w:rsidR="005763C6" w:rsidRPr="00E8613B"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 xml:space="preserve">ach test </w:t>
            </w:r>
            <w:r w:rsidR="001B7BDD">
              <w:rPr>
                <w:rFonts w:cstheme="minorHAnsi"/>
                <w:color w:val="auto"/>
                <w:sz w:val="20"/>
                <w:szCs w:val="20"/>
              </w:rPr>
              <w:t>match</w:t>
            </w:r>
            <w:r w:rsidR="001B7BDD" w:rsidRPr="00F21A0D">
              <w:rPr>
                <w:rFonts w:cstheme="minorHAnsi"/>
                <w:color w:val="auto"/>
                <w:sz w:val="20"/>
                <w:szCs w:val="20"/>
              </w:rPr>
              <w:t xml:space="preserve"> </w:t>
            </w:r>
            <w:r w:rsidRPr="00B43D82">
              <w:rPr>
                <w:rFonts w:cstheme="minorHAnsi"/>
                <w:color w:val="auto"/>
                <w:sz w:val="20"/>
                <w:szCs w:val="20"/>
              </w:rPr>
              <w:t xml:space="preserve">involving </w:t>
            </w:r>
            <w:r w:rsidR="00F96486">
              <w:rPr>
                <w:rFonts w:cstheme="minorHAnsi"/>
                <w:color w:val="auto"/>
                <w:sz w:val="20"/>
                <w:szCs w:val="20"/>
              </w:rPr>
              <w:t xml:space="preserve">both </w:t>
            </w:r>
            <w:r w:rsidRPr="00B43D82">
              <w:rPr>
                <w:rFonts w:cstheme="minorHAnsi"/>
                <w:color w:val="auto"/>
                <w:sz w:val="20"/>
                <w:szCs w:val="20"/>
              </w:rPr>
              <w:t xml:space="preserve">the </w:t>
            </w:r>
            <w:r>
              <w:rPr>
                <w:rFonts w:cstheme="minorHAnsi"/>
                <w:color w:val="auto"/>
                <w:sz w:val="20"/>
                <w:szCs w:val="20"/>
              </w:rPr>
              <w:t>SART</w:t>
            </w:r>
            <w:r w:rsidRPr="00B43D82">
              <w:rPr>
                <w:rFonts w:cstheme="minorHAnsi"/>
                <w:color w:val="auto"/>
                <w:sz w:val="20"/>
                <w:szCs w:val="20"/>
              </w:rPr>
              <w:t xml:space="preserve"> </w:t>
            </w:r>
            <w:r w:rsidRPr="00E8613B">
              <w:rPr>
                <w:rFonts w:cstheme="minorHAnsi"/>
                <w:color w:val="auto"/>
                <w:sz w:val="20"/>
                <w:szCs w:val="20"/>
              </w:rPr>
              <w:t>and the senior English representative team;</w:t>
            </w:r>
            <w:r w:rsidRPr="00B43D82">
              <w:rPr>
                <w:rFonts w:cstheme="minorHAnsi"/>
                <w:color w:val="auto"/>
                <w:sz w:val="20"/>
                <w:szCs w:val="20"/>
              </w:rPr>
              <w:t xml:space="preserve"> played in </w:t>
            </w:r>
            <w:r>
              <w:rPr>
                <w:rFonts w:cstheme="minorHAnsi"/>
                <w:color w:val="auto"/>
                <w:sz w:val="20"/>
                <w:szCs w:val="20"/>
              </w:rPr>
              <w:t>the UK</w:t>
            </w:r>
            <w:r w:rsidRPr="00B43D82">
              <w:rPr>
                <w:rFonts w:cstheme="minorHAnsi"/>
                <w:color w:val="auto"/>
                <w:sz w:val="20"/>
                <w:szCs w:val="20"/>
              </w:rPr>
              <w:t>)</w:t>
            </w:r>
          </w:p>
        </w:tc>
        <w:tc>
          <w:tcPr>
            <w:tcW w:w="1694" w:type="pct"/>
            <w:shd w:val="clear" w:color="auto" w:fill="auto"/>
          </w:tcPr>
          <w:p w14:paraId="1B3A4593" w14:textId="4ABA91D5" w:rsidR="005763C6" w:rsidRDefault="0008627D" w:rsidP="005763C6">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w:t>
            </w:r>
            <w:r w:rsidR="005763C6">
              <w:rPr>
                <w:sz w:val="20"/>
                <w:szCs w:val="20"/>
              </w:rPr>
              <w:t>he ‘Ashes’ series</w:t>
            </w:r>
          </w:p>
          <w:p w14:paraId="258BCA88" w14:textId="75CA4CB4" w:rsidR="005763C6" w:rsidRPr="000C788E"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rFonts w:cstheme="minorHAnsi"/>
                <w:color w:val="auto"/>
                <w:sz w:val="20"/>
                <w:szCs w:val="20"/>
              </w:rPr>
              <w:t>(e</w:t>
            </w:r>
            <w:r w:rsidRPr="00B43D82">
              <w:rPr>
                <w:rFonts w:cstheme="minorHAnsi"/>
                <w:color w:val="auto"/>
                <w:sz w:val="20"/>
                <w:szCs w:val="20"/>
              </w:rPr>
              <w:t xml:space="preserve">ach </w:t>
            </w:r>
            <w:r>
              <w:rPr>
                <w:rFonts w:cstheme="minorHAnsi"/>
                <w:color w:val="auto"/>
                <w:sz w:val="20"/>
                <w:szCs w:val="20"/>
              </w:rPr>
              <w:t>match</w:t>
            </w:r>
            <w:r w:rsidRPr="00B43D82">
              <w:rPr>
                <w:rFonts w:cstheme="minorHAnsi"/>
                <w:color w:val="auto"/>
                <w:sz w:val="20"/>
                <w:szCs w:val="20"/>
              </w:rPr>
              <w:t xml:space="preserve"> involving </w:t>
            </w:r>
            <w:r w:rsidR="0008627D">
              <w:rPr>
                <w:rFonts w:cstheme="minorHAnsi"/>
                <w:color w:val="auto"/>
                <w:sz w:val="20"/>
                <w:szCs w:val="20"/>
              </w:rPr>
              <w:t xml:space="preserve">both </w:t>
            </w:r>
            <w:r w:rsidRPr="00B43D82">
              <w:rPr>
                <w:rFonts w:cstheme="minorHAnsi"/>
                <w:color w:val="auto"/>
                <w:sz w:val="20"/>
                <w:szCs w:val="20"/>
              </w:rPr>
              <w:t xml:space="preserve">the </w:t>
            </w:r>
            <w:r>
              <w:rPr>
                <w:rFonts w:cstheme="minorHAnsi"/>
                <w:color w:val="auto"/>
                <w:sz w:val="20"/>
                <w:szCs w:val="20"/>
              </w:rPr>
              <w:t>SART</w:t>
            </w:r>
            <w:r w:rsidRPr="00B43D82">
              <w:rPr>
                <w:rFonts w:cstheme="minorHAnsi"/>
                <w:color w:val="auto"/>
                <w:sz w:val="20"/>
                <w:szCs w:val="20"/>
              </w:rPr>
              <w:t xml:space="preserve"> </w:t>
            </w:r>
            <w:r w:rsidRPr="000C788E">
              <w:rPr>
                <w:rFonts w:cstheme="minorHAnsi"/>
                <w:color w:val="auto"/>
                <w:sz w:val="20"/>
                <w:szCs w:val="20"/>
              </w:rPr>
              <w:t>and the senior English representative team;</w:t>
            </w:r>
            <w:r w:rsidRPr="00B43D82">
              <w:rPr>
                <w:rFonts w:cstheme="minorHAnsi"/>
                <w:color w:val="auto"/>
                <w:sz w:val="20"/>
                <w:szCs w:val="20"/>
              </w:rPr>
              <w:t xml:space="preserve"> played in </w:t>
            </w:r>
            <w:r>
              <w:rPr>
                <w:rFonts w:cstheme="minorHAnsi"/>
                <w:color w:val="auto"/>
                <w:sz w:val="20"/>
                <w:szCs w:val="20"/>
              </w:rPr>
              <w:t>the UK</w:t>
            </w:r>
            <w:r w:rsidRPr="00B43D82">
              <w:rPr>
                <w:rFonts w:cstheme="minorHAnsi"/>
                <w:color w:val="auto"/>
                <w:sz w:val="20"/>
                <w:szCs w:val="20"/>
              </w:rPr>
              <w:t>)</w:t>
            </w:r>
          </w:p>
        </w:tc>
      </w:tr>
      <w:tr w:rsidR="005763C6" w:rsidRPr="0041490A" w14:paraId="7FDC8EA3"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47084B80" w14:textId="77777777" w:rsidR="005763C6" w:rsidRDefault="005763C6" w:rsidP="005763C6">
            <w:pPr>
              <w:spacing w:before="20" w:after="40"/>
              <w:rPr>
                <w:rFonts w:cstheme="minorHAnsi"/>
                <w:sz w:val="20"/>
                <w:szCs w:val="20"/>
              </w:rPr>
            </w:pPr>
          </w:p>
        </w:tc>
        <w:tc>
          <w:tcPr>
            <w:tcW w:w="2150" w:type="pct"/>
            <w:shd w:val="clear" w:color="auto" w:fill="auto"/>
          </w:tcPr>
          <w:p w14:paraId="24455B6C" w14:textId="1C8142A6" w:rsidR="005763C6" w:rsidRDefault="00D15437"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O</w:t>
            </w:r>
            <w:r w:rsidRPr="00E8613B">
              <w:rPr>
                <w:rFonts w:cstheme="minorHAnsi"/>
                <w:color w:val="auto"/>
                <w:sz w:val="20"/>
                <w:szCs w:val="20"/>
              </w:rPr>
              <w:t xml:space="preserve">ne </w:t>
            </w:r>
            <w:r>
              <w:rPr>
                <w:rFonts w:cstheme="minorHAnsi"/>
                <w:color w:val="auto"/>
                <w:sz w:val="20"/>
                <w:szCs w:val="20"/>
              </w:rPr>
              <w:t>d</w:t>
            </w:r>
            <w:r w:rsidRPr="00E8613B">
              <w:rPr>
                <w:rFonts w:cstheme="minorHAnsi"/>
                <w:color w:val="auto"/>
                <w:sz w:val="20"/>
                <w:szCs w:val="20"/>
              </w:rPr>
              <w:t xml:space="preserve">ay </w:t>
            </w:r>
            <w:r>
              <w:rPr>
                <w:rFonts w:cstheme="minorHAnsi"/>
                <w:color w:val="auto"/>
                <w:sz w:val="20"/>
                <w:szCs w:val="20"/>
              </w:rPr>
              <w:t>matches</w:t>
            </w:r>
          </w:p>
          <w:p w14:paraId="13D1039F" w14:textId="77777777" w:rsidR="005763C6" w:rsidRPr="00401E19"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cstheme="minorHAnsi"/>
                <w:color w:val="auto"/>
                <w:sz w:val="20"/>
                <w:szCs w:val="20"/>
              </w:rPr>
              <w:t>(</w:t>
            </w:r>
            <w:r w:rsidRPr="00E8613B">
              <w:rPr>
                <w:rFonts w:cstheme="minorHAnsi"/>
                <w:color w:val="auto"/>
                <w:sz w:val="20"/>
                <w:szCs w:val="20"/>
              </w:rPr>
              <w:t>matches involv</w:t>
            </w:r>
            <w:r>
              <w:rPr>
                <w:rFonts w:cstheme="minorHAnsi"/>
                <w:color w:val="auto"/>
                <w:sz w:val="20"/>
                <w:szCs w:val="20"/>
              </w:rPr>
              <w:t>ing</w:t>
            </w:r>
            <w:r w:rsidRPr="00E8613B">
              <w:rPr>
                <w:rFonts w:cstheme="minorHAnsi"/>
                <w:color w:val="auto"/>
                <w:sz w:val="20"/>
                <w:szCs w:val="20"/>
              </w:rPr>
              <w:t xml:space="preserve"> the </w:t>
            </w:r>
            <w:r>
              <w:rPr>
                <w:rFonts w:cstheme="minorHAnsi"/>
                <w:color w:val="auto"/>
                <w:sz w:val="20"/>
                <w:szCs w:val="20"/>
              </w:rPr>
              <w:t>SART; played in</w:t>
            </w:r>
            <w:r w:rsidRPr="00E8613B">
              <w:rPr>
                <w:rFonts w:cstheme="minorHAnsi"/>
                <w:color w:val="auto"/>
                <w:sz w:val="20"/>
                <w:szCs w:val="20"/>
              </w:rPr>
              <w:t xml:space="preserve"> </w:t>
            </w:r>
            <w:r>
              <w:rPr>
                <w:rFonts w:cstheme="minorHAnsi"/>
                <w:color w:val="auto"/>
                <w:sz w:val="20"/>
                <w:szCs w:val="20"/>
              </w:rPr>
              <w:t>AU)</w:t>
            </w:r>
            <w:r w:rsidRPr="00E8613B">
              <w:rPr>
                <w:rFonts w:cstheme="minorHAnsi"/>
                <w:color w:val="auto"/>
                <w:sz w:val="20"/>
                <w:szCs w:val="20"/>
              </w:rPr>
              <w:t>.</w:t>
            </w:r>
          </w:p>
        </w:tc>
        <w:tc>
          <w:tcPr>
            <w:tcW w:w="1694" w:type="pct"/>
            <w:shd w:val="clear" w:color="auto" w:fill="auto"/>
          </w:tcPr>
          <w:p w14:paraId="21550FA8" w14:textId="77777777" w:rsidR="0020174B" w:rsidRDefault="0020174B" w:rsidP="0020174B">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5484A5E1" w14:textId="267281F6" w:rsidR="005763C6" w:rsidRPr="00B43D82" w:rsidRDefault="00D15437"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F440FD">
              <w:rPr>
                <w:rFonts w:cstheme="minorHAnsi"/>
                <w:color w:val="auto"/>
                <w:sz w:val="20"/>
                <w:szCs w:val="20"/>
              </w:rPr>
              <w:t xml:space="preserve">Clarify </w:t>
            </w:r>
            <w:r w:rsidR="0020174B">
              <w:rPr>
                <w:rFonts w:cstheme="minorHAnsi"/>
                <w:color w:val="auto"/>
                <w:sz w:val="20"/>
                <w:szCs w:val="20"/>
              </w:rPr>
              <w:t>men’s</w:t>
            </w:r>
            <w:r w:rsidRPr="00F440FD">
              <w:rPr>
                <w:rFonts w:cstheme="minorHAnsi"/>
                <w:color w:val="auto"/>
                <w:sz w:val="20"/>
                <w:szCs w:val="20"/>
              </w:rPr>
              <w:t xml:space="preserve"> and </w:t>
            </w:r>
            <w:r w:rsidR="0020174B">
              <w:rPr>
                <w:rFonts w:cstheme="minorHAnsi"/>
                <w:color w:val="auto"/>
                <w:sz w:val="20"/>
                <w:szCs w:val="20"/>
              </w:rPr>
              <w:t>women’s event</w:t>
            </w:r>
            <w:r w:rsidRPr="00F440FD">
              <w:rPr>
                <w:rFonts w:cstheme="minorHAnsi"/>
                <w:color w:val="auto"/>
                <w:sz w:val="20"/>
                <w:szCs w:val="20"/>
              </w:rPr>
              <w:t>.</w:t>
            </w:r>
          </w:p>
        </w:tc>
      </w:tr>
      <w:tr w:rsidR="005763C6" w:rsidRPr="0041490A" w14:paraId="51D251D3"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4B59049E" w14:textId="77777777" w:rsidR="005763C6" w:rsidRDefault="005763C6" w:rsidP="005763C6">
            <w:pPr>
              <w:spacing w:before="20" w:after="40"/>
              <w:rPr>
                <w:rFonts w:cstheme="minorHAnsi"/>
                <w:sz w:val="20"/>
                <w:szCs w:val="20"/>
              </w:rPr>
            </w:pPr>
          </w:p>
        </w:tc>
        <w:tc>
          <w:tcPr>
            <w:tcW w:w="2150" w:type="pct"/>
            <w:shd w:val="clear" w:color="auto" w:fill="auto"/>
          </w:tcPr>
          <w:p w14:paraId="3112EF8D" w14:textId="3B6CB9FF" w:rsidR="005763C6" w:rsidRPr="00401E19"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sidRPr="00E8613B">
              <w:rPr>
                <w:sz w:val="20"/>
                <w:szCs w:val="20"/>
              </w:rPr>
              <w:t>T20</w:t>
            </w:r>
            <w:r w:rsidRPr="00021F1F">
              <w:t xml:space="preserve"> </w:t>
            </w:r>
            <w:r w:rsidR="007A03E3" w:rsidRPr="000C788E">
              <w:rPr>
                <w:rFonts w:cstheme="minorHAnsi"/>
                <w:color w:val="auto"/>
                <w:sz w:val="20"/>
                <w:szCs w:val="20"/>
              </w:rPr>
              <w:t>matches</w:t>
            </w:r>
            <w:r w:rsidR="007A03E3">
              <w:rPr>
                <w:rFonts w:cstheme="minorHAnsi"/>
                <w:color w:val="auto"/>
                <w:sz w:val="20"/>
                <w:szCs w:val="20"/>
              </w:rPr>
              <w:t xml:space="preserve"> </w:t>
            </w:r>
            <w:r w:rsidR="007A03E3">
              <w:rPr>
                <w:rFonts w:cstheme="minorHAnsi"/>
                <w:color w:val="auto"/>
                <w:sz w:val="20"/>
                <w:szCs w:val="20"/>
              </w:rPr>
              <w:br/>
            </w:r>
            <w:r>
              <w:rPr>
                <w:rFonts w:cstheme="minorHAnsi"/>
                <w:color w:val="auto"/>
                <w:sz w:val="20"/>
                <w:szCs w:val="20"/>
              </w:rPr>
              <w:t>(</w:t>
            </w:r>
            <w:r w:rsidRPr="000C788E">
              <w:rPr>
                <w:rFonts w:cstheme="minorHAnsi"/>
                <w:color w:val="auto"/>
                <w:sz w:val="20"/>
                <w:szCs w:val="20"/>
              </w:rPr>
              <w:t>matches involv</w:t>
            </w:r>
            <w:r>
              <w:rPr>
                <w:rFonts w:cstheme="minorHAnsi"/>
                <w:color w:val="auto"/>
                <w:sz w:val="20"/>
                <w:szCs w:val="20"/>
              </w:rPr>
              <w:t>ing</w:t>
            </w:r>
            <w:r w:rsidRPr="000C788E">
              <w:rPr>
                <w:rFonts w:cstheme="minorHAnsi"/>
                <w:color w:val="auto"/>
                <w:sz w:val="20"/>
                <w:szCs w:val="20"/>
              </w:rPr>
              <w:t xml:space="preserve"> the </w:t>
            </w:r>
            <w:r>
              <w:rPr>
                <w:rFonts w:cstheme="minorHAnsi"/>
                <w:color w:val="auto"/>
                <w:sz w:val="20"/>
                <w:szCs w:val="20"/>
              </w:rPr>
              <w:t>SART; played in</w:t>
            </w:r>
            <w:r w:rsidRPr="000C788E">
              <w:rPr>
                <w:rFonts w:cstheme="minorHAnsi"/>
                <w:color w:val="auto"/>
                <w:sz w:val="20"/>
                <w:szCs w:val="20"/>
              </w:rPr>
              <w:t xml:space="preserve"> </w:t>
            </w:r>
            <w:r>
              <w:rPr>
                <w:rFonts w:cstheme="minorHAnsi"/>
                <w:color w:val="auto"/>
                <w:sz w:val="20"/>
                <w:szCs w:val="20"/>
              </w:rPr>
              <w:t>AU)</w:t>
            </w:r>
            <w:r w:rsidRPr="000C788E">
              <w:rPr>
                <w:rFonts w:cstheme="minorHAnsi"/>
                <w:color w:val="auto"/>
                <w:sz w:val="20"/>
                <w:szCs w:val="20"/>
              </w:rPr>
              <w:t>.</w:t>
            </w:r>
          </w:p>
        </w:tc>
        <w:tc>
          <w:tcPr>
            <w:tcW w:w="1694" w:type="pct"/>
            <w:shd w:val="clear" w:color="auto" w:fill="auto"/>
          </w:tcPr>
          <w:p w14:paraId="0433967D" w14:textId="77777777" w:rsidR="0020174B" w:rsidRDefault="0020174B" w:rsidP="0020174B">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3E7CB902" w14:textId="11F086E0" w:rsidR="005763C6" w:rsidRPr="00B43D82" w:rsidRDefault="00D15437"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440FD">
              <w:rPr>
                <w:rFonts w:cstheme="minorHAnsi"/>
                <w:color w:val="auto"/>
                <w:sz w:val="20"/>
                <w:szCs w:val="20"/>
              </w:rPr>
              <w:t xml:space="preserve">Clarify </w:t>
            </w:r>
            <w:r w:rsidR="0020174B">
              <w:rPr>
                <w:rFonts w:cstheme="minorHAnsi"/>
                <w:color w:val="auto"/>
                <w:sz w:val="20"/>
                <w:szCs w:val="20"/>
              </w:rPr>
              <w:t>men’s</w:t>
            </w:r>
            <w:r w:rsidRPr="00F440FD">
              <w:rPr>
                <w:rFonts w:cstheme="minorHAnsi"/>
                <w:color w:val="auto"/>
                <w:sz w:val="20"/>
                <w:szCs w:val="20"/>
              </w:rPr>
              <w:t xml:space="preserve"> and </w:t>
            </w:r>
            <w:r w:rsidR="0020174B">
              <w:rPr>
                <w:rFonts w:cstheme="minorHAnsi"/>
                <w:color w:val="auto"/>
                <w:sz w:val="20"/>
                <w:szCs w:val="20"/>
              </w:rPr>
              <w:t>women’s event</w:t>
            </w:r>
            <w:r w:rsidRPr="00F440FD">
              <w:rPr>
                <w:rFonts w:cstheme="minorHAnsi"/>
                <w:color w:val="auto"/>
                <w:sz w:val="20"/>
                <w:szCs w:val="20"/>
              </w:rPr>
              <w:t>.</w:t>
            </w:r>
          </w:p>
        </w:tc>
      </w:tr>
      <w:tr w:rsidR="005763C6" w:rsidRPr="0041490A" w14:paraId="61F93C67"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0C99EC2A" w14:textId="77777777" w:rsidR="005763C6" w:rsidRDefault="005763C6" w:rsidP="005763C6">
            <w:pPr>
              <w:spacing w:before="20" w:after="40"/>
              <w:rPr>
                <w:rFonts w:cstheme="minorHAnsi"/>
                <w:sz w:val="20"/>
                <w:szCs w:val="20"/>
              </w:rPr>
            </w:pPr>
          </w:p>
        </w:tc>
        <w:tc>
          <w:tcPr>
            <w:tcW w:w="2150" w:type="pct"/>
            <w:shd w:val="clear" w:color="auto" w:fill="auto"/>
          </w:tcPr>
          <w:p w14:paraId="0805B8F0" w14:textId="3063EA34" w:rsidR="005763C6" w:rsidRDefault="0008627D" w:rsidP="005763C6">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One day</w:t>
            </w:r>
            <w:r w:rsidRPr="00E8613B">
              <w:rPr>
                <w:sz w:val="20"/>
                <w:szCs w:val="20"/>
              </w:rPr>
              <w:t xml:space="preserve"> </w:t>
            </w:r>
            <w:r w:rsidR="00D15437" w:rsidRPr="00E8613B">
              <w:rPr>
                <w:sz w:val="20"/>
                <w:szCs w:val="20"/>
              </w:rPr>
              <w:t xml:space="preserve">World Cup </w:t>
            </w:r>
            <w:r w:rsidR="00D15437">
              <w:rPr>
                <w:sz w:val="20"/>
                <w:szCs w:val="20"/>
              </w:rPr>
              <w:t>matches</w:t>
            </w:r>
          </w:p>
          <w:p w14:paraId="5E949312" w14:textId="77777777" w:rsidR="005763C6" w:rsidRPr="00EE7436"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B43D82">
              <w:rPr>
                <w:rFonts w:cstheme="minorHAnsi"/>
                <w:color w:val="auto"/>
                <w:sz w:val="20"/>
                <w:szCs w:val="20"/>
              </w:rPr>
              <w:t>(match</w:t>
            </w:r>
            <w:r>
              <w:rPr>
                <w:rFonts w:cstheme="minorHAnsi"/>
                <w:color w:val="auto"/>
                <w:sz w:val="20"/>
                <w:szCs w:val="20"/>
              </w:rPr>
              <w:t>es 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Pr="00B43D82">
              <w:rPr>
                <w:rFonts w:cstheme="minorHAnsi"/>
                <w:color w:val="auto"/>
                <w:sz w:val="20"/>
                <w:szCs w:val="20"/>
              </w:rPr>
              <w:t xml:space="preserve"> or New Zealand)</w:t>
            </w:r>
          </w:p>
        </w:tc>
        <w:tc>
          <w:tcPr>
            <w:tcW w:w="1694" w:type="pct"/>
            <w:shd w:val="clear" w:color="auto" w:fill="auto"/>
          </w:tcPr>
          <w:p w14:paraId="736DE4BC" w14:textId="77777777" w:rsidR="0020174B" w:rsidRDefault="0020174B" w:rsidP="0020174B">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04DB091C" w14:textId="5372EC55" w:rsidR="005763C6" w:rsidRPr="00EE7436" w:rsidRDefault="00D15437"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F440FD">
              <w:rPr>
                <w:rFonts w:cstheme="minorHAnsi"/>
                <w:color w:val="auto"/>
                <w:sz w:val="20"/>
                <w:szCs w:val="20"/>
              </w:rPr>
              <w:t xml:space="preserve">Clarify </w:t>
            </w:r>
            <w:r w:rsidR="0020174B">
              <w:rPr>
                <w:rFonts w:cstheme="minorHAnsi"/>
                <w:color w:val="auto"/>
                <w:sz w:val="20"/>
                <w:szCs w:val="20"/>
              </w:rPr>
              <w:t>men’s</w:t>
            </w:r>
            <w:r w:rsidRPr="00F440FD">
              <w:rPr>
                <w:rFonts w:cstheme="minorHAnsi"/>
                <w:color w:val="auto"/>
                <w:sz w:val="20"/>
                <w:szCs w:val="20"/>
              </w:rPr>
              <w:t xml:space="preserve"> and </w:t>
            </w:r>
            <w:r w:rsidR="0020174B">
              <w:rPr>
                <w:rFonts w:cstheme="minorHAnsi"/>
                <w:color w:val="auto"/>
                <w:sz w:val="20"/>
                <w:szCs w:val="20"/>
              </w:rPr>
              <w:t>women’s event</w:t>
            </w:r>
            <w:r w:rsidRPr="00F440FD">
              <w:rPr>
                <w:rFonts w:cstheme="minorHAnsi"/>
                <w:color w:val="auto"/>
                <w:sz w:val="20"/>
                <w:szCs w:val="20"/>
              </w:rPr>
              <w:t>.</w:t>
            </w:r>
          </w:p>
        </w:tc>
      </w:tr>
      <w:tr w:rsidR="005763C6" w:rsidRPr="0041490A" w14:paraId="37904CAD"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318F3554" w14:textId="77777777" w:rsidR="005763C6" w:rsidRDefault="005763C6" w:rsidP="005763C6">
            <w:pPr>
              <w:spacing w:before="20" w:after="40"/>
              <w:rPr>
                <w:rFonts w:cstheme="minorHAnsi"/>
                <w:sz w:val="20"/>
                <w:szCs w:val="20"/>
              </w:rPr>
            </w:pPr>
          </w:p>
        </w:tc>
        <w:tc>
          <w:tcPr>
            <w:tcW w:w="2150" w:type="pct"/>
            <w:shd w:val="clear" w:color="auto" w:fill="auto"/>
          </w:tcPr>
          <w:p w14:paraId="5DFD9F4C" w14:textId="01945250" w:rsidR="005763C6" w:rsidRPr="00401E19" w:rsidRDefault="0008627D"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O</w:t>
            </w:r>
            <w:r w:rsidR="005763C6">
              <w:rPr>
                <w:rFonts w:ascii="Calibri" w:eastAsia="Calibri" w:hAnsi="Calibri" w:cs="Times New Roman"/>
                <w:sz w:val="20"/>
                <w:szCs w:val="20"/>
              </w:rPr>
              <w:t xml:space="preserve">ne day </w:t>
            </w:r>
            <w:r w:rsidR="005763C6" w:rsidRPr="00401E19">
              <w:rPr>
                <w:rFonts w:ascii="Calibri" w:eastAsia="Calibri" w:hAnsi="Calibri" w:cs="Times New Roman"/>
                <w:sz w:val="20"/>
                <w:szCs w:val="20"/>
              </w:rPr>
              <w:t xml:space="preserve">World Cup </w:t>
            </w:r>
            <w:r w:rsidR="007A03E3">
              <w:rPr>
                <w:rFonts w:ascii="Calibri" w:eastAsia="Calibri" w:hAnsi="Calibri" w:cs="Times New Roman"/>
                <w:sz w:val="20"/>
                <w:szCs w:val="20"/>
              </w:rPr>
              <w:br/>
            </w:r>
            <w:r w:rsidR="005763C6">
              <w:rPr>
                <w:rFonts w:cstheme="minorHAnsi"/>
                <w:color w:val="auto"/>
                <w:sz w:val="20"/>
                <w:szCs w:val="20"/>
              </w:rPr>
              <w:t>(final</w:t>
            </w:r>
            <w:r>
              <w:rPr>
                <w:rFonts w:cstheme="minorHAnsi"/>
                <w:color w:val="auto"/>
                <w:sz w:val="20"/>
                <w:szCs w:val="20"/>
              </w:rPr>
              <w:t xml:space="preserve"> played in AU or New Zealand</w:t>
            </w:r>
            <w:r w:rsidR="005763C6" w:rsidRPr="00B43D82">
              <w:rPr>
                <w:rFonts w:cstheme="minorHAnsi"/>
                <w:color w:val="auto"/>
                <w:sz w:val="20"/>
                <w:szCs w:val="20"/>
              </w:rPr>
              <w:t>)</w:t>
            </w:r>
          </w:p>
        </w:tc>
        <w:tc>
          <w:tcPr>
            <w:tcW w:w="1694" w:type="pct"/>
            <w:shd w:val="clear" w:color="auto" w:fill="auto"/>
          </w:tcPr>
          <w:p w14:paraId="5270B805" w14:textId="77777777" w:rsidR="0020174B" w:rsidRDefault="0020174B" w:rsidP="0020174B">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65D500E5" w14:textId="7AE1521D" w:rsidR="005763C6" w:rsidRPr="00B43D82" w:rsidRDefault="00D15437"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440FD">
              <w:rPr>
                <w:rFonts w:cstheme="minorHAnsi"/>
                <w:color w:val="auto"/>
                <w:sz w:val="20"/>
                <w:szCs w:val="20"/>
              </w:rPr>
              <w:t xml:space="preserve">Clarify </w:t>
            </w:r>
            <w:r w:rsidR="0020174B">
              <w:rPr>
                <w:rFonts w:cstheme="minorHAnsi"/>
                <w:color w:val="auto"/>
                <w:sz w:val="20"/>
                <w:szCs w:val="20"/>
              </w:rPr>
              <w:t>men’s</w:t>
            </w:r>
            <w:r w:rsidRPr="00F440FD">
              <w:rPr>
                <w:rFonts w:cstheme="minorHAnsi"/>
                <w:color w:val="auto"/>
                <w:sz w:val="20"/>
                <w:szCs w:val="20"/>
              </w:rPr>
              <w:t xml:space="preserve"> and </w:t>
            </w:r>
            <w:r w:rsidR="0020174B">
              <w:rPr>
                <w:rFonts w:cstheme="minorHAnsi"/>
                <w:color w:val="auto"/>
                <w:sz w:val="20"/>
                <w:szCs w:val="20"/>
              </w:rPr>
              <w:t>women’s event</w:t>
            </w:r>
            <w:r w:rsidRPr="00F440FD">
              <w:rPr>
                <w:rFonts w:cstheme="minorHAnsi"/>
                <w:color w:val="auto"/>
                <w:sz w:val="20"/>
                <w:szCs w:val="20"/>
              </w:rPr>
              <w:t>.</w:t>
            </w:r>
          </w:p>
        </w:tc>
      </w:tr>
      <w:tr w:rsidR="005763C6" w:rsidRPr="0041490A" w14:paraId="70390466"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35DA4983" w14:textId="77777777" w:rsidR="005763C6" w:rsidRDefault="005763C6" w:rsidP="005763C6">
            <w:pPr>
              <w:spacing w:before="20" w:after="40"/>
              <w:rPr>
                <w:rFonts w:cstheme="minorHAnsi"/>
                <w:sz w:val="20"/>
                <w:szCs w:val="20"/>
              </w:rPr>
            </w:pPr>
          </w:p>
        </w:tc>
        <w:tc>
          <w:tcPr>
            <w:tcW w:w="2150" w:type="pct"/>
            <w:shd w:val="clear" w:color="auto" w:fill="auto"/>
          </w:tcPr>
          <w:p w14:paraId="1242F711" w14:textId="32266CE7" w:rsidR="005763C6" w:rsidRPr="00E8613B"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BD73DF">
              <w:rPr>
                <w:sz w:val="20"/>
                <w:szCs w:val="20"/>
              </w:rPr>
              <w:t>T20</w:t>
            </w:r>
            <w:r w:rsidRPr="00E8613B">
              <w:rPr>
                <w:sz w:val="20"/>
                <w:szCs w:val="20"/>
              </w:rPr>
              <w:t xml:space="preserve"> World Cup </w:t>
            </w:r>
          </w:p>
          <w:p w14:paraId="2E0CFDCD" w14:textId="77777777" w:rsidR="005763C6" w:rsidRPr="00401E19"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BD73DF">
              <w:rPr>
                <w:rFonts w:cstheme="minorHAnsi"/>
                <w:color w:val="auto"/>
                <w:sz w:val="20"/>
                <w:szCs w:val="20"/>
              </w:rPr>
              <w:t>(matches involving the SART; played in AU or New Zealand)</w:t>
            </w:r>
          </w:p>
        </w:tc>
        <w:tc>
          <w:tcPr>
            <w:tcW w:w="1694" w:type="pct"/>
            <w:shd w:val="clear" w:color="auto" w:fill="auto"/>
          </w:tcPr>
          <w:p w14:paraId="1B9A5A06" w14:textId="77777777" w:rsidR="0020174B" w:rsidRDefault="0020174B" w:rsidP="0020174B">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change.</w:t>
            </w:r>
          </w:p>
          <w:p w14:paraId="437164E9" w14:textId="31182F8D" w:rsidR="005763C6" w:rsidRPr="00B43D82" w:rsidRDefault="00D15437"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F440FD">
              <w:rPr>
                <w:rFonts w:cstheme="minorHAnsi"/>
                <w:color w:val="auto"/>
                <w:sz w:val="20"/>
                <w:szCs w:val="20"/>
              </w:rPr>
              <w:t xml:space="preserve">Clarify </w:t>
            </w:r>
            <w:r w:rsidR="0020174B">
              <w:rPr>
                <w:rFonts w:cstheme="minorHAnsi"/>
                <w:color w:val="auto"/>
                <w:sz w:val="20"/>
                <w:szCs w:val="20"/>
              </w:rPr>
              <w:t>men’s</w:t>
            </w:r>
            <w:r w:rsidRPr="00F440FD">
              <w:rPr>
                <w:rFonts w:cstheme="minorHAnsi"/>
                <w:color w:val="auto"/>
                <w:sz w:val="20"/>
                <w:szCs w:val="20"/>
              </w:rPr>
              <w:t xml:space="preserve"> and </w:t>
            </w:r>
            <w:r w:rsidR="0020174B">
              <w:rPr>
                <w:rFonts w:cstheme="minorHAnsi"/>
                <w:color w:val="auto"/>
                <w:sz w:val="20"/>
                <w:szCs w:val="20"/>
              </w:rPr>
              <w:t>women’s event</w:t>
            </w:r>
            <w:r w:rsidRPr="00F440FD">
              <w:rPr>
                <w:rFonts w:cstheme="minorHAnsi"/>
                <w:color w:val="auto"/>
                <w:sz w:val="20"/>
                <w:szCs w:val="20"/>
              </w:rPr>
              <w:t>.</w:t>
            </w:r>
          </w:p>
        </w:tc>
      </w:tr>
      <w:tr w:rsidR="005763C6" w:rsidRPr="0041490A" w14:paraId="11768CD3"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566AC161" w14:textId="77777777" w:rsidR="005763C6" w:rsidRDefault="005763C6" w:rsidP="005763C6">
            <w:pPr>
              <w:spacing w:before="20" w:after="40"/>
              <w:rPr>
                <w:rFonts w:cstheme="minorHAnsi"/>
                <w:sz w:val="20"/>
                <w:szCs w:val="20"/>
              </w:rPr>
            </w:pPr>
          </w:p>
        </w:tc>
        <w:tc>
          <w:tcPr>
            <w:tcW w:w="2150" w:type="pct"/>
            <w:shd w:val="clear" w:color="auto" w:fill="auto"/>
          </w:tcPr>
          <w:p w14:paraId="459F5940" w14:textId="072CA959" w:rsidR="00D15437" w:rsidRDefault="00D15437" w:rsidP="00D15437">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T20</w:t>
            </w:r>
            <w:r w:rsidRPr="0009237A">
              <w:rPr>
                <w:rFonts w:ascii="Calibri" w:eastAsia="Calibri" w:hAnsi="Calibri" w:cs="Times New Roman"/>
                <w:sz w:val="20"/>
                <w:szCs w:val="20"/>
              </w:rPr>
              <w:t xml:space="preserve"> World Cup</w:t>
            </w:r>
            <w:r>
              <w:rPr>
                <w:rFonts w:ascii="Calibri" w:eastAsia="Calibri" w:hAnsi="Calibri" w:cs="Times New Roman"/>
                <w:sz w:val="20"/>
                <w:szCs w:val="20"/>
              </w:rPr>
              <w:t xml:space="preserve"> </w:t>
            </w:r>
          </w:p>
          <w:p w14:paraId="588977AF" w14:textId="1F16DD74" w:rsidR="005763C6" w:rsidRPr="00401E19" w:rsidRDefault="00D15437"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(final</w:t>
            </w:r>
            <w:r w:rsidR="0008627D">
              <w:rPr>
                <w:rFonts w:ascii="Calibri" w:eastAsia="Calibri" w:hAnsi="Calibri" w:cs="Times New Roman"/>
                <w:sz w:val="20"/>
                <w:szCs w:val="20"/>
              </w:rPr>
              <w:t xml:space="preserve"> </w:t>
            </w:r>
            <w:r w:rsidR="0008627D">
              <w:rPr>
                <w:rFonts w:cstheme="minorHAnsi"/>
                <w:color w:val="auto"/>
                <w:sz w:val="20"/>
                <w:szCs w:val="20"/>
              </w:rPr>
              <w:t>played in AU or New Zealand</w:t>
            </w:r>
            <w:r>
              <w:rPr>
                <w:rFonts w:ascii="Calibri" w:eastAsia="Calibri" w:hAnsi="Calibri" w:cs="Times New Roman"/>
                <w:sz w:val="20"/>
                <w:szCs w:val="20"/>
              </w:rPr>
              <w:t>)</w:t>
            </w:r>
          </w:p>
        </w:tc>
        <w:tc>
          <w:tcPr>
            <w:tcW w:w="1694" w:type="pct"/>
            <w:shd w:val="clear" w:color="auto" w:fill="auto"/>
          </w:tcPr>
          <w:p w14:paraId="35F5B2A8" w14:textId="77777777" w:rsidR="0020174B" w:rsidRDefault="0020174B" w:rsidP="0020174B">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rFonts w:cstheme="minorHAnsi"/>
                <w:color w:val="auto"/>
                <w:sz w:val="20"/>
                <w:szCs w:val="20"/>
              </w:rPr>
              <w:t>No change.</w:t>
            </w:r>
          </w:p>
          <w:p w14:paraId="2CC15F6C" w14:textId="07E5085F" w:rsidR="005763C6" w:rsidRPr="00B43D82" w:rsidRDefault="00D15437"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440FD">
              <w:rPr>
                <w:rFonts w:cstheme="minorHAnsi"/>
                <w:color w:val="auto"/>
                <w:sz w:val="20"/>
                <w:szCs w:val="20"/>
              </w:rPr>
              <w:t xml:space="preserve">Clarify </w:t>
            </w:r>
            <w:r w:rsidR="0020174B">
              <w:rPr>
                <w:rFonts w:cstheme="minorHAnsi"/>
                <w:color w:val="auto"/>
                <w:sz w:val="20"/>
                <w:szCs w:val="20"/>
              </w:rPr>
              <w:t>men’s</w:t>
            </w:r>
            <w:r w:rsidRPr="00F440FD">
              <w:rPr>
                <w:rFonts w:cstheme="minorHAnsi"/>
                <w:color w:val="auto"/>
                <w:sz w:val="20"/>
                <w:szCs w:val="20"/>
              </w:rPr>
              <w:t xml:space="preserve"> and </w:t>
            </w:r>
            <w:r w:rsidR="0020174B">
              <w:rPr>
                <w:rFonts w:cstheme="minorHAnsi"/>
                <w:color w:val="auto"/>
                <w:sz w:val="20"/>
                <w:szCs w:val="20"/>
              </w:rPr>
              <w:t>women’s event</w:t>
            </w:r>
            <w:r w:rsidRPr="00F440FD">
              <w:rPr>
                <w:rFonts w:cstheme="minorHAnsi"/>
                <w:color w:val="auto"/>
                <w:sz w:val="20"/>
                <w:szCs w:val="20"/>
              </w:rPr>
              <w:t>.</w:t>
            </w:r>
          </w:p>
        </w:tc>
      </w:tr>
      <w:tr w:rsidR="005763C6" w:rsidRPr="0041490A" w14:paraId="72E233A8"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F2F2F2" w:themeFill="background1" w:themeFillShade="F2"/>
            <w:hideMark/>
          </w:tcPr>
          <w:p w14:paraId="0C054549" w14:textId="77777777" w:rsidR="005763C6" w:rsidRPr="00B43D82" w:rsidRDefault="005763C6" w:rsidP="005763C6">
            <w:pPr>
              <w:spacing w:before="20" w:after="40"/>
              <w:rPr>
                <w:rFonts w:cstheme="minorHAnsi"/>
                <w:sz w:val="20"/>
                <w:szCs w:val="20"/>
              </w:rPr>
            </w:pPr>
            <w:r w:rsidRPr="00B43D82">
              <w:rPr>
                <w:rFonts w:cstheme="minorHAnsi"/>
                <w:sz w:val="20"/>
                <w:szCs w:val="20"/>
              </w:rPr>
              <w:t>Soccer</w:t>
            </w:r>
          </w:p>
        </w:tc>
        <w:tc>
          <w:tcPr>
            <w:tcW w:w="2150" w:type="pct"/>
            <w:shd w:val="clear" w:color="auto" w:fill="F2F2F2" w:themeFill="background1" w:themeFillShade="F2"/>
          </w:tcPr>
          <w:p w14:paraId="413FB1B3" w14:textId="77777777" w:rsidR="005763C6" w:rsidRPr="00B43D8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FIFA </w:t>
            </w:r>
            <w:r>
              <w:rPr>
                <w:rFonts w:cstheme="minorHAnsi"/>
                <w:color w:val="auto"/>
                <w:sz w:val="20"/>
                <w:szCs w:val="20"/>
              </w:rPr>
              <w:t>m</w:t>
            </w:r>
            <w:r w:rsidRPr="00B43D82">
              <w:rPr>
                <w:rFonts w:cstheme="minorHAnsi"/>
                <w:color w:val="auto"/>
                <w:sz w:val="20"/>
                <w:szCs w:val="20"/>
              </w:rPr>
              <w:t xml:space="preserve">en’s and </w:t>
            </w:r>
            <w:r>
              <w:rPr>
                <w:rFonts w:cstheme="minorHAnsi"/>
                <w:color w:val="auto"/>
                <w:sz w:val="20"/>
                <w:szCs w:val="20"/>
              </w:rPr>
              <w:t>w</w:t>
            </w:r>
            <w:r w:rsidRPr="00B43D82">
              <w:rPr>
                <w:rFonts w:cstheme="minorHAnsi"/>
                <w:color w:val="auto"/>
                <w:sz w:val="20"/>
                <w:szCs w:val="20"/>
              </w:rPr>
              <w:t>omen’s World Cups</w:t>
            </w:r>
          </w:p>
          <w:p w14:paraId="4390F200" w14:textId="77777777" w:rsidR="005763C6" w:rsidRPr="00B43D8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(match</w:t>
            </w:r>
            <w:r>
              <w:rPr>
                <w:rFonts w:cstheme="minorHAnsi"/>
                <w:color w:val="auto"/>
                <w:sz w:val="20"/>
                <w:szCs w:val="20"/>
              </w:rPr>
              <w:t>es</w:t>
            </w:r>
            <w:r w:rsidRPr="00B43D82">
              <w:rPr>
                <w:rFonts w:cstheme="minorHAnsi"/>
                <w:color w:val="auto"/>
                <w:sz w:val="20"/>
                <w:szCs w:val="20"/>
              </w:rPr>
              <w:t xml:space="preserve"> involving the </w:t>
            </w:r>
            <w:r>
              <w:rPr>
                <w:rFonts w:cstheme="minorHAnsi"/>
                <w:color w:val="auto"/>
                <w:sz w:val="20"/>
                <w:szCs w:val="20"/>
              </w:rPr>
              <w:t>SART</w:t>
            </w:r>
            <w:r w:rsidRPr="00B43D82">
              <w:rPr>
                <w:rFonts w:cstheme="minorHAnsi"/>
                <w:color w:val="auto"/>
                <w:sz w:val="20"/>
                <w:szCs w:val="20"/>
              </w:rPr>
              <w:t>)</w:t>
            </w:r>
          </w:p>
        </w:tc>
        <w:tc>
          <w:tcPr>
            <w:tcW w:w="1694" w:type="pct"/>
            <w:shd w:val="clear" w:color="auto" w:fill="F2F2F2" w:themeFill="background1" w:themeFillShade="F2"/>
          </w:tcPr>
          <w:p w14:paraId="492CC60A" w14:textId="77777777" w:rsidR="005763C6" w:rsidRPr="00B43D8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FIFA </w:t>
            </w:r>
            <w:r>
              <w:rPr>
                <w:rFonts w:cstheme="minorHAnsi"/>
                <w:color w:val="auto"/>
                <w:sz w:val="20"/>
                <w:szCs w:val="20"/>
              </w:rPr>
              <w:t>m</w:t>
            </w:r>
            <w:r w:rsidRPr="00B43D82">
              <w:rPr>
                <w:rFonts w:cstheme="minorHAnsi"/>
                <w:color w:val="auto"/>
                <w:sz w:val="20"/>
                <w:szCs w:val="20"/>
              </w:rPr>
              <w:t xml:space="preserve">en’s and </w:t>
            </w:r>
            <w:r>
              <w:rPr>
                <w:rFonts w:cstheme="minorHAnsi"/>
                <w:color w:val="auto"/>
                <w:sz w:val="20"/>
                <w:szCs w:val="20"/>
              </w:rPr>
              <w:t>w</w:t>
            </w:r>
            <w:r w:rsidRPr="00B43D82">
              <w:rPr>
                <w:rFonts w:cstheme="minorHAnsi"/>
                <w:color w:val="auto"/>
                <w:sz w:val="20"/>
                <w:szCs w:val="20"/>
              </w:rPr>
              <w:t>omen’s World Cups</w:t>
            </w:r>
          </w:p>
          <w:p w14:paraId="2AA0B8E7" w14:textId="1DC1F3CB" w:rsidR="005763C6" w:rsidRPr="00B43D8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entire tournament</w:t>
            </w:r>
            <w:r w:rsidRPr="00B43D82">
              <w:rPr>
                <w:rFonts w:cstheme="minorHAnsi"/>
                <w:color w:val="auto"/>
                <w:sz w:val="20"/>
                <w:szCs w:val="20"/>
              </w:rPr>
              <w:t>)</w:t>
            </w:r>
          </w:p>
        </w:tc>
      </w:tr>
      <w:tr w:rsidR="005763C6" w:rsidRPr="0041490A" w14:paraId="4714FBC9"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tcPr>
          <w:p w14:paraId="6AE4A7A5" w14:textId="77777777" w:rsidR="005763C6" w:rsidRPr="00B43D82" w:rsidRDefault="005763C6" w:rsidP="005763C6">
            <w:pPr>
              <w:spacing w:before="20" w:after="40"/>
              <w:rPr>
                <w:rFonts w:cstheme="minorHAnsi"/>
                <w:sz w:val="20"/>
                <w:szCs w:val="20"/>
              </w:rPr>
            </w:pPr>
          </w:p>
        </w:tc>
        <w:tc>
          <w:tcPr>
            <w:tcW w:w="2150" w:type="pct"/>
          </w:tcPr>
          <w:p w14:paraId="61004945" w14:textId="77777777" w:rsidR="005763C6" w:rsidRPr="00B43D82"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FIFA </w:t>
            </w:r>
            <w:r>
              <w:rPr>
                <w:rFonts w:cstheme="minorHAnsi"/>
                <w:color w:val="auto"/>
                <w:sz w:val="20"/>
                <w:szCs w:val="20"/>
              </w:rPr>
              <w:t>m</w:t>
            </w:r>
            <w:r w:rsidRPr="00B43D82">
              <w:rPr>
                <w:rFonts w:cstheme="minorHAnsi"/>
                <w:color w:val="auto"/>
                <w:sz w:val="20"/>
                <w:szCs w:val="20"/>
              </w:rPr>
              <w:t xml:space="preserve">en’s and </w:t>
            </w:r>
            <w:r>
              <w:rPr>
                <w:rFonts w:cstheme="minorHAnsi"/>
                <w:color w:val="auto"/>
                <w:sz w:val="20"/>
                <w:szCs w:val="20"/>
              </w:rPr>
              <w:t>w</w:t>
            </w:r>
            <w:r w:rsidRPr="00B43D82">
              <w:rPr>
                <w:rFonts w:cstheme="minorHAnsi"/>
                <w:color w:val="auto"/>
                <w:sz w:val="20"/>
                <w:szCs w:val="20"/>
              </w:rPr>
              <w:t>omen’s World Cups</w:t>
            </w:r>
          </w:p>
          <w:p w14:paraId="6307BE4C" w14:textId="77777777" w:rsidR="005763C6" w:rsidRPr="00B43D82"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(final)</w:t>
            </w:r>
          </w:p>
        </w:tc>
        <w:tc>
          <w:tcPr>
            <w:tcW w:w="1694" w:type="pct"/>
          </w:tcPr>
          <w:p w14:paraId="7714ED4E" w14:textId="77777777" w:rsidR="005763C6" w:rsidRPr="00B43D82"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FIFA </w:t>
            </w:r>
            <w:r>
              <w:rPr>
                <w:rFonts w:cstheme="minorHAnsi"/>
                <w:color w:val="auto"/>
                <w:sz w:val="20"/>
                <w:szCs w:val="20"/>
              </w:rPr>
              <w:t>m</w:t>
            </w:r>
            <w:r w:rsidRPr="00B43D82">
              <w:rPr>
                <w:rFonts w:cstheme="minorHAnsi"/>
                <w:color w:val="auto"/>
                <w:sz w:val="20"/>
                <w:szCs w:val="20"/>
              </w:rPr>
              <w:t xml:space="preserve">en’s and </w:t>
            </w:r>
            <w:r>
              <w:rPr>
                <w:rFonts w:cstheme="minorHAnsi"/>
                <w:color w:val="auto"/>
                <w:sz w:val="20"/>
                <w:szCs w:val="20"/>
              </w:rPr>
              <w:t>w</w:t>
            </w:r>
            <w:r w:rsidRPr="00B43D82">
              <w:rPr>
                <w:rFonts w:cstheme="minorHAnsi"/>
                <w:color w:val="auto"/>
                <w:sz w:val="20"/>
                <w:szCs w:val="20"/>
              </w:rPr>
              <w:t>omen’s World Cups</w:t>
            </w:r>
          </w:p>
          <w:p w14:paraId="3B1C4878" w14:textId="0D380538" w:rsidR="005763C6" w:rsidRPr="00B43D82"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entire tournament</w:t>
            </w:r>
            <w:r w:rsidRPr="00B43D82">
              <w:rPr>
                <w:rFonts w:cstheme="minorHAnsi"/>
                <w:color w:val="auto"/>
                <w:sz w:val="20"/>
                <w:szCs w:val="20"/>
              </w:rPr>
              <w:t>)</w:t>
            </w:r>
            <w:r w:rsidR="001200BF">
              <w:rPr>
                <w:rFonts w:cstheme="minorHAnsi"/>
                <w:color w:val="auto"/>
                <w:sz w:val="20"/>
                <w:szCs w:val="20"/>
              </w:rPr>
              <w:t>.</w:t>
            </w:r>
          </w:p>
        </w:tc>
      </w:tr>
      <w:tr w:rsidR="005763C6" w:rsidRPr="0041490A" w14:paraId="55FC5D5A"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F2F2F2" w:themeFill="background1" w:themeFillShade="F2"/>
          </w:tcPr>
          <w:p w14:paraId="0B0C1FD8" w14:textId="77777777" w:rsidR="005763C6" w:rsidRPr="00B43D82" w:rsidRDefault="005763C6" w:rsidP="005763C6">
            <w:pPr>
              <w:spacing w:before="20" w:after="40"/>
              <w:rPr>
                <w:rFonts w:cstheme="minorHAnsi"/>
                <w:sz w:val="20"/>
                <w:szCs w:val="20"/>
              </w:rPr>
            </w:pPr>
          </w:p>
        </w:tc>
        <w:tc>
          <w:tcPr>
            <w:tcW w:w="2150" w:type="pct"/>
            <w:shd w:val="clear" w:color="auto" w:fill="F2F2F2" w:themeFill="background1" w:themeFillShade="F2"/>
          </w:tcPr>
          <w:p w14:paraId="6B2E626E" w14:textId="77777777" w:rsidR="005763C6" w:rsidRPr="00B43D8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FIFA men’s and women’s World Cup Qualification tournament </w:t>
            </w:r>
            <w:r>
              <w:rPr>
                <w:sz w:val="20"/>
                <w:szCs w:val="20"/>
              </w:rPr>
              <w:br/>
            </w:r>
            <w:r w:rsidRPr="00B43D82">
              <w:rPr>
                <w:rFonts w:cstheme="minorHAnsi"/>
                <w:color w:val="auto"/>
                <w:sz w:val="20"/>
                <w:szCs w:val="20"/>
              </w:rPr>
              <w:t>(match</w:t>
            </w:r>
            <w:r>
              <w:rPr>
                <w:rFonts w:cstheme="minorHAnsi"/>
                <w:color w:val="auto"/>
                <w:sz w:val="20"/>
                <w:szCs w:val="20"/>
              </w:rPr>
              <w:t>es 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p>
        </w:tc>
        <w:tc>
          <w:tcPr>
            <w:tcW w:w="1694" w:type="pct"/>
            <w:shd w:val="clear" w:color="auto" w:fill="F2F2F2" w:themeFill="background1" w:themeFillShade="F2"/>
          </w:tcPr>
          <w:p w14:paraId="6D83024E" w14:textId="77777777" w:rsidR="005763C6"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800AF5" w:rsidRPr="008B433B" w14:paraId="0A66C69A"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hideMark/>
          </w:tcPr>
          <w:p w14:paraId="4D9618A4" w14:textId="77777777" w:rsidR="00800AF5" w:rsidRPr="00B43D82" w:rsidRDefault="00800AF5" w:rsidP="005763C6">
            <w:pPr>
              <w:spacing w:before="20" w:after="40"/>
              <w:rPr>
                <w:rFonts w:cstheme="minorHAnsi"/>
                <w:sz w:val="20"/>
                <w:szCs w:val="20"/>
              </w:rPr>
            </w:pPr>
            <w:r w:rsidRPr="00B43D82">
              <w:rPr>
                <w:rFonts w:cstheme="minorHAnsi"/>
                <w:sz w:val="20"/>
                <w:szCs w:val="20"/>
              </w:rPr>
              <w:t>Tennis</w:t>
            </w:r>
          </w:p>
        </w:tc>
        <w:tc>
          <w:tcPr>
            <w:tcW w:w="2150" w:type="pct"/>
            <w:shd w:val="clear" w:color="auto" w:fill="auto"/>
            <w:hideMark/>
          </w:tcPr>
          <w:p w14:paraId="123C2858" w14:textId="77777777" w:rsidR="00800AF5" w:rsidRPr="00B43D82" w:rsidRDefault="00800AF5"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Australian Open</w:t>
            </w:r>
          </w:p>
          <w:p w14:paraId="28E46680" w14:textId="77777777" w:rsidR="00800AF5" w:rsidRPr="00B43D82" w:rsidRDefault="00800AF5"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e</w:t>
            </w:r>
            <w:r w:rsidRPr="00B43D82">
              <w:rPr>
                <w:rFonts w:cstheme="minorHAnsi"/>
                <w:color w:val="auto"/>
                <w:sz w:val="20"/>
                <w:szCs w:val="20"/>
              </w:rPr>
              <w:t>ntire event)</w:t>
            </w:r>
          </w:p>
        </w:tc>
        <w:tc>
          <w:tcPr>
            <w:tcW w:w="1694" w:type="pct"/>
            <w:shd w:val="clear" w:color="auto" w:fill="auto"/>
          </w:tcPr>
          <w:p w14:paraId="5D3D0E9F" w14:textId="77777777" w:rsidR="00800AF5" w:rsidRPr="00B43D82" w:rsidRDefault="00800AF5"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800AF5" w:rsidRPr="008B433B" w14:paraId="304E9C2F"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23DDB772" w14:textId="77777777" w:rsidR="00800AF5" w:rsidRPr="00B43D82" w:rsidRDefault="00800AF5" w:rsidP="005763C6">
            <w:pPr>
              <w:spacing w:before="20" w:after="40"/>
              <w:rPr>
                <w:rFonts w:cstheme="minorHAnsi"/>
                <w:sz w:val="20"/>
                <w:szCs w:val="20"/>
              </w:rPr>
            </w:pPr>
          </w:p>
        </w:tc>
        <w:tc>
          <w:tcPr>
            <w:tcW w:w="2150" w:type="pct"/>
            <w:shd w:val="clear" w:color="auto" w:fill="auto"/>
          </w:tcPr>
          <w:p w14:paraId="0BD35E6B" w14:textId="467E8018" w:rsidR="00800AF5" w:rsidRPr="00B43D82" w:rsidRDefault="00800AF5"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Davis Cup </w:t>
            </w:r>
            <w:r>
              <w:rPr>
                <w:sz w:val="20"/>
                <w:szCs w:val="20"/>
              </w:rPr>
              <w:br/>
              <w:t>(</w:t>
            </w:r>
            <w:r w:rsidR="001B7BDD" w:rsidRPr="001B7BDD">
              <w:rPr>
                <w:sz w:val="20"/>
                <w:szCs w:val="20"/>
              </w:rPr>
              <w:t>each match in each tie</w:t>
            </w:r>
            <w:r w:rsidR="001B7BDD" w:rsidRPr="001B7BDD" w:rsidDel="001B7BDD">
              <w:rPr>
                <w:sz w:val="20"/>
                <w:szCs w:val="20"/>
              </w:rPr>
              <w:t xml:space="preserve"> </w:t>
            </w:r>
            <w:r>
              <w:rPr>
                <w:rFonts w:cstheme="minorHAnsi"/>
                <w:color w:val="auto"/>
                <w:sz w:val="20"/>
                <w:szCs w:val="20"/>
              </w:rPr>
              <w:t>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p>
        </w:tc>
        <w:tc>
          <w:tcPr>
            <w:tcW w:w="1694" w:type="pct"/>
            <w:shd w:val="clear" w:color="auto" w:fill="auto"/>
          </w:tcPr>
          <w:p w14:paraId="46D9E5B8" w14:textId="7E04F70D" w:rsidR="00800AF5" w:rsidRPr="00B43D82" w:rsidRDefault="00800AF5"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Davis Cup </w:t>
            </w:r>
            <w:r>
              <w:rPr>
                <w:sz w:val="20"/>
                <w:szCs w:val="20"/>
              </w:rPr>
              <w:br/>
              <w:t>(</w:t>
            </w:r>
            <w:r w:rsidR="004D65AF" w:rsidRPr="004D65AF">
              <w:rPr>
                <w:sz w:val="20"/>
                <w:szCs w:val="20"/>
              </w:rPr>
              <w:t>each match in each tie</w:t>
            </w:r>
            <w:r w:rsidR="004D65AF" w:rsidRPr="004D65AF" w:rsidDel="004D65AF">
              <w:rPr>
                <w:sz w:val="20"/>
                <w:szCs w:val="20"/>
              </w:rPr>
              <w:t xml:space="preserve"> </w:t>
            </w:r>
            <w:r>
              <w:rPr>
                <w:rFonts w:cstheme="minorHAnsi"/>
                <w:color w:val="auto"/>
                <w:sz w:val="20"/>
                <w:szCs w:val="20"/>
              </w:rPr>
              <w:t>involving</w:t>
            </w:r>
            <w:r w:rsidRPr="00B43D82">
              <w:rPr>
                <w:rFonts w:cstheme="minorHAnsi"/>
                <w:color w:val="auto"/>
                <w:sz w:val="20"/>
                <w:szCs w:val="20"/>
              </w:rPr>
              <w:t xml:space="preserve"> the </w:t>
            </w:r>
            <w:r>
              <w:rPr>
                <w:rFonts w:cstheme="minorHAnsi"/>
                <w:color w:val="auto"/>
                <w:sz w:val="20"/>
                <w:szCs w:val="20"/>
              </w:rPr>
              <w:t>SART)</w:t>
            </w:r>
            <w:r w:rsidR="001200BF">
              <w:rPr>
                <w:rFonts w:cstheme="minorHAnsi"/>
                <w:color w:val="auto"/>
                <w:sz w:val="20"/>
                <w:szCs w:val="20"/>
              </w:rPr>
              <w:t>.</w:t>
            </w:r>
          </w:p>
        </w:tc>
      </w:tr>
      <w:tr w:rsidR="00800AF5" w:rsidRPr="008B433B" w14:paraId="45E539E3"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52CA96D5" w14:textId="77777777" w:rsidR="00800AF5" w:rsidRPr="00B43D82" w:rsidRDefault="00800AF5" w:rsidP="005763C6">
            <w:pPr>
              <w:spacing w:before="20" w:after="40"/>
              <w:rPr>
                <w:rFonts w:cstheme="minorHAnsi"/>
                <w:sz w:val="20"/>
                <w:szCs w:val="20"/>
              </w:rPr>
            </w:pPr>
          </w:p>
        </w:tc>
        <w:tc>
          <w:tcPr>
            <w:tcW w:w="2150" w:type="pct"/>
            <w:shd w:val="clear" w:color="auto" w:fill="auto"/>
          </w:tcPr>
          <w:p w14:paraId="41094877" w14:textId="77777777" w:rsidR="00800AF5" w:rsidRDefault="00800AF5" w:rsidP="005763C6">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Davis Cup </w:t>
            </w:r>
          </w:p>
          <w:p w14:paraId="1C2DC3F7" w14:textId="77777777" w:rsidR="00800AF5" w:rsidRPr="00B43D82" w:rsidRDefault="00800AF5"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sz w:val="20"/>
                <w:szCs w:val="20"/>
              </w:rPr>
              <w:t>(final involving the SART)</w:t>
            </w:r>
          </w:p>
        </w:tc>
        <w:tc>
          <w:tcPr>
            <w:tcW w:w="1694" w:type="pct"/>
            <w:shd w:val="clear" w:color="auto" w:fill="auto"/>
          </w:tcPr>
          <w:p w14:paraId="22C3A031" w14:textId="77777777" w:rsidR="00800AF5" w:rsidRPr="00B43D82" w:rsidRDefault="00800AF5"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800AF5" w:rsidRPr="008B433B" w14:paraId="7F0FE1CD" w14:textId="77777777" w:rsidTr="002E7CBB">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4B22B89B" w14:textId="77777777" w:rsidR="00800AF5" w:rsidRPr="00B43D82" w:rsidRDefault="00800AF5" w:rsidP="00800AF5">
            <w:pPr>
              <w:spacing w:before="20" w:after="40"/>
              <w:rPr>
                <w:rFonts w:cstheme="minorHAnsi"/>
                <w:sz w:val="20"/>
                <w:szCs w:val="20"/>
              </w:rPr>
            </w:pPr>
          </w:p>
        </w:tc>
        <w:tc>
          <w:tcPr>
            <w:tcW w:w="2150" w:type="pct"/>
            <w:shd w:val="clear" w:color="auto" w:fill="auto"/>
          </w:tcPr>
          <w:p w14:paraId="0E10EB67" w14:textId="74240C9F" w:rsidR="00800AF5" w:rsidRDefault="00510ADF" w:rsidP="00800AF5">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color w:val="auto"/>
                <w:sz w:val="20"/>
                <w:szCs w:val="20"/>
              </w:rPr>
              <w:t>No listing.</w:t>
            </w:r>
          </w:p>
        </w:tc>
        <w:tc>
          <w:tcPr>
            <w:tcW w:w="1694" w:type="pct"/>
            <w:shd w:val="clear" w:color="auto" w:fill="auto"/>
          </w:tcPr>
          <w:p w14:paraId="3A2380C5" w14:textId="1F86A1DD" w:rsidR="00800AF5" w:rsidRPr="00E11052" w:rsidRDefault="00800AF5" w:rsidP="00800AF5">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786567">
              <w:rPr>
                <w:sz w:val="20"/>
                <w:szCs w:val="20"/>
              </w:rPr>
              <w:t xml:space="preserve">Billie Jean Cup </w:t>
            </w:r>
            <w:r>
              <w:rPr>
                <w:sz w:val="20"/>
                <w:szCs w:val="20"/>
              </w:rPr>
              <w:br/>
              <w:t>(</w:t>
            </w:r>
            <w:r w:rsidR="004D65AF" w:rsidRPr="004D65AF">
              <w:rPr>
                <w:sz w:val="20"/>
                <w:szCs w:val="20"/>
              </w:rPr>
              <w:t>each match in each tie</w:t>
            </w:r>
            <w:r w:rsidR="004D65AF" w:rsidRPr="004D65AF" w:rsidDel="004D65AF">
              <w:rPr>
                <w:sz w:val="20"/>
                <w:szCs w:val="20"/>
              </w:rPr>
              <w:t xml:space="preserve"> </w:t>
            </w:r>
            <w:r w:rsidRPr="00786567">
              <w:rPr>
                <w:sz w:val="20"/>
                <w:szCs w:val="20"/>
              </w:rPr>
              <w:t>involving the SART</w:t>
            </w:r>
            <w:r>
              <w:rPr>
                <w:rFonts w:cstheme="minorHAnsi"/>
                <w:color w:val="auto"/>
                <w:sz w:val="20"/>
                <w:szCs w:val="20"/>
              </w:rPr>
              <w:t>)</w:t>
            </w:r>
            <w:r w:rsidR="001200BF">
              <w:rPr>
                <w:rFonts w:cstheme="minorHAnsi"/>
                <w:color w:val="auto"/>
                <w:sz w:val="20"/>
                <w:szCs w:val="20"/>
              </w:rPr>
              <w:t>.</w:t>
            </w:r>
          </w:p>
        </w:tc>
      </w:tr>
      <w:tr w:rsidR="00800AF5" w:rsidRPr="008B433B" w14:paraId="2044DAE2" w14:textId="77777777" w:rsidTr="002E7C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5B85C88F" w14:textId="77777777" w:rsidR="00800AF5" w:rsidRPr="00B43D82" w:rsidRDefault="00800AF5" w:rsidP="00800AF5">
            <w:pPr>
              <w:spacing w:before="20" w:after="40"/>
              <w:rPr>
                <w:rFonts w:cstheme="minorHAnsi"/>
                <w:sz w:val="20"/>
                <w:szCs w:val="20"/>
              </w:rPr>
            </w:pPr>
          </w:p>
        </w:tc>
        <w:tc>
          <w:tcPr>
            <w:tcW w:w="2150" w:type="pct"/>
            <w:shd w:val="clear" w:color="auto" w:fill="auto"/>
          </w:tcPr>
          <w:p w14:paraId="366BEE24" w14:textId="260522A1" w:rsidR="00800AF5" w:rsidRDefault="00510ADF" w:rsidP="00800AF5">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rFonts w:cstheme="minorHAnsi"/>
                <w:color w:val="auto"/>
                <w:sz w:val="20"/>
                <w:szCs w:val="20"/>
              </w:rPr>
              <w:t>No listing.</w:t>
            </w:r>
          </w:p>
        </w:tc>
        <w:tc>
          <w:tcPr>
            <w:tcW w:w="1694" w:type="pct"/>
            <w:shd w:val="clear" w:color="auto" w:fill="auto"/>
          </w:tcPr>
          <w:p w14:paraId="602AE325" w14:textId="2E0E3F80" w:rsidR="00800AF5" w:rsidRDefault="00510ADF" w:rsidP="00800AF5">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sidRPr="00786567">
              <w:rPr>
                <w:sz w:val="20"/>
                <w:szCs w:val="20"/>
              </w:rPr>
              <w:t>Billie Jean Cup</w:t>
            </w:r>
            <w:r w:rsidR="00800AF5">
              <w:rPr>
                <w:sz w:val="20"/>
                <w:szCs w:val="20"/>
              </w:rPr>
              <w:t xml:space="preserve"> </w:t>
            </w:r>
          </w:p>
          <w:p w14:paraId="659BACE6" w14:textId="0B4E537A" w:rsidR="00800AF5" w:rsidRPr="00800AF5" w:rsidRDefault="00800AF5" w:rsidP="00800AF5">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(final involving the SART)</w:t>
            </w:r>
            <w:r w:rsidR="001200BF">
              <w:rPr>
                <w:sz w:val="20"/>
                <w:szCs w:val="20"/>
              </w:rPr>
              <w:t>.</w:t>
            </w:r>
          </w:p>
        </w:tc>
      </w:tr>
      <w:tr w:rsidR="00800AF5" w:rsidRPr="0041490A" w14:paraId="030F504D" w14:textId="77777777" w:rsidTr="00074B1E">
        <w:trPr>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F2F2F2" w:themeFill="background1" w:themeFillShade="F2"/>
            <w:hideMark/>
          </w:tcPr>
          <w:p w14:paraId="05EA9B40" w14:textId="77777777" w:rsidR="00800AF5" w:rsidRPr="00B43D82" w:rsidRDefault="00800AF5" w:rsidP="005763C6">
            <w:pPr>
              <w:spacing w:before="20" w:after="40"/>
              <w:rPr>
                <w:rFonts w:cstheme="minorHAnsi"/>
                <w:b w:val="0"/>
                <w:sz w:val="20"/>
                <w:szCs w:val="20"/>
              </w:rPr>
            </w:pPr>
            <w:r w:rsidRPr="00B43D82">
              <w:rPr>
                <w:rFonts w:cstheme="minorHAnsi"/>
                <w:sz w:val="20"/>
                <w:szCs w:val="20"/>
              </w:rPr>
              <w:t>Netball</w:t>
            </w:r>
          </w:p>
          <w:p w14:paraId="14529B4D" w14:textId="77777777" w:rsidR="00800AF5" w:rsidRPr="00B43D82" w:rsidRDefault="00800AF5" w:rsidP="005763C6">
            <w:pPr>
              <w:spacing w:before="20" w:after="40"/>
              <w:rPr>
                <w:rFonts w:cstheme="minorHAnsi"/>
                <w:sz w:val="20"/>
                <w:szCs w:val="20"/>
              </w:rPr>
            </w:pPr>
          </w:p>
        </w:tc>
        <w:tc>
          <w:tcPr>
            <w:tcW w:w="2150" w:type="pct"/>
            <w:shd w:val="clear" w:color="auto" w:fill="F2F2F2" w:themeFill="background1" w:themeFillShade="F2"/>
            <w:hideMark/>
          </w:tcPr>
          <w:p w14:paraId="401CA387" w14:textId="77777777" w:rsidR="00800AF5" w:rsidRPr="00B43D82" w:rsidRDefault="00800AF5"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Netball World Cup</w:t>
            </w:r>
          </w:p>
          <w:p w14:paraId="25BA419E" w14:textId="77777777" w:rsidR="00800AF5" w:rsidRPr="00B43D82" w:rsidRDefault="00800AF5"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B43D82">
              <w:rPr>
                <w:rFonts w:cstheme="minorHAnsi"/>
                <w:color w:val="auto"/>
                <w:sz w:val="20"/>
                <w:szCs w:val="20"/>
              </w:rPr>
              <w:t xml:space="preserve">(semi-final involving the </w:t>
            </w:r>
            <w:r>
              <w:rPr>
                <w:rFonts w:cstheme="minorHAnsi"/>
                <w:color w:val="auto"/>
                <w:sz w:val="20"/>
                <w:szCs w:val="20"/>
              </w:rPr>
              <w:t>SART)</w:t>
            </w:r>
          </w:p>
        </w:tc>
        <w:tc>
          <w:tcPr>
            <w:tcW w:w="1694" w:type="pct"/>
            <w:shd w:val="clear" w:color="auto" w:fill="F2F2F2" w:themeFill="background1" w:themeFillShade="F2"/>
          </w:tcPr>
          <w:p w14:paraId="7574207D" w14:textId="77777777" w:rsidR="00800AF5" w:rsidRPr="00B43D82" w:rsidRDefault="00800AF5"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800AF5" w:rsidRPr="0041490A" w14:paraId="13F9E0AD" w14:textId="77777777" w:rsidTr="00074B1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tcPr>
          <w:p w14:paraId="7D885B3B" w14:textId="77777777" w:rsidR="00800AF5" w:rsidRPr="00B43D82" w:rsidRDefault="00800AF5" w:rsidP="005763C6">
            <w:pPr>
              <w:spacing w:before="20" w:after="40"/>
              <w:rPr>
                <w:rFonts w:cstheme="minorHAnsi"/>
                <w:sz w:val="20"/>
                <w:szCs w:val="20"/>
              </w:rPr>
            </w:pPr>
          </w:p>
        </w:tc>
        <w:tc>
          <w:tcPr>
            <w:tcW w:w="2150" w:type="pct"/>
          </w:tcPr>
          <w:p w14:paraId="7320EEA7" w14:textId="77777777" w:rsidR="00800AF5" w:rsidRPr="00B43D82" w:rsidRDefault="00800AF5"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Netball World Cup</w:t>
            </w:r>
          </w:p>
          <w:p w14:paraId="51707620" w14:textId="77777777" w:rsidR="00800AF5" w:rsidRPr="00B43D82" w:rsidRDefault="00800AF5"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43D82">
              <w:rPr>
                <w:rFonts w:cstheme="minorHAnsi"/>
                <w:color w:val="auto"/>
                <w:sz w:val="20"/>
                <w:szCs w:val="20"/>
              </w:rPr>
              <w:t>(</w:t>
            </w:r>
            <w:r>
              <w:rPr>
                <w:rFonts w:cstheme="minorHAnsi"/>
                <w:color w:val="auto"/>
                <w:sz w:val="20"/>
                <w:szCs w:val="20"/>
              </w:rPr>
              <w:t xml:space="preserve">a final </w:t>
            </w:r>
            <w:r w:rsidRPr="00B43D82">
              <w:rPr>
                <w:rFonts w:cstheme="minorHAnsi"/>
                <w:color w:val="auto"/>
                <w:sz w:val="20"/>
                <w:szCs w:val="20"/>
              </w:rPr>
              <w:t xml:space="preserve">involving the </w:t>
            </w:r>
            <w:r>
              <w:rPr>
                <w:rFonts w:cstheme="minorHAnsi"/>
                <w:color w:val="auto"/>
                <w:sz w:val="20"/>
                <w:szCs w:val="20"/>
              </w:rPr>
              <w:t>SART)</w:t>
            </w:r>
          </w:p>
        </w:tc>
        <w:tc>
          <w:tcPr>
            <w:tcW w:w="1694" w:type="pct"/>
          </w:tcPr>
          <w:p w14:paraId="62709465" w14:textId="77777777" w:rsidR="00800AF5" w:rsidRPr="00B43D82" w:rsidRDefault="00800AF5"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800AF5" w:rsidRPr="0041490A" w14:paraId="47171A5B" w14:textId="77777777" w:rsidTr="00074B1E">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F2F2F2" w:themeFill="background1" w:themeFillShade="F2"/>
          </w:tcPr>
          <w:p w14:paraId="5DB52B1A" w14:textId="77777777" w:rsidR="00800AF5" w:rsidRPr="00B43D82" w:rsidRDefault="00800AF5" w:rsidP="005763C6">
            <w:pPr>
              <w:spacing w:before="20" w:after="40"/>
              <w:rPr>
                <w:rFonts w:cstheme="minorHAnsi"/>
                <w:sz w:val="20"/>
                <w:szCs w:val="20"/>
              </w:rPr>
            </w:pPr>
          </w:p>
        </w:tc>
        <w:tc>
          <w:tcPr>
            <w:tcW w:w="2150" w:type="pct"/>
            <w:shd w:val="clear" w:color="auto" w:fill="F2F2F2" w:themeFill="background1" w:themeFillShade="F2"/>
          </w:tcPr>
          <w:p w14:paraId="0A435C44" w14:textId="73A6D023" w:rsidR="00800AF5" w:rsidRPr="00B43D82" w:rsidRDefault="00510ADF"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No listing.</w:t>
            </w:r>
          </w:p>
        </w:tc>
        <w:tc>
          <w:tcPr>
            <w:tcW w:w="1694" w:type="pct"/>
            <w:shd w:val="clear" w:color="auto" w:fill="F2F2F2" w:themeFill="background1" w:themeFillShade="F2"/>
          </w:tcPr>
          <w:p w14:paraId="62BF6D49" w14:textId="77777777" w:rsidR="00800AF5" w:rsidRPr="00786567" w:rsidRDefault="00800AF5"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786567">
              <w:rPr>
                <w:rFonts w:cstheme="minorHAnsi"/>
                <w:color w:val="auto"/>
                <w:sz w:val="20"/>
                <w:szCs w:val="20"/>
              </w:rPr>
              <w:t xml:space="preserve">International Netball </w:t>
            </w:r>
          </w:p>
          <w:p w14:paraId="55375725" w14:textId="56E530CE" w:rsidR="00800AF5" w:rsidRPr="00E11052" w:rsidRDefault="00800AF5"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(matches </w:t>
            </w:r>
            <w:r>
              <w:rPr>
                <w:rFonts w:cstheme="minorHAnsi"/>
                <w:color w:val="auto"/>
                <w:sz w:val="20"/>
                <w:szCs w:val="20"/>
              </w:rPr>
              <w:t>involving</w:t>
            </w:r>
            <w:r w:rsidRPr="00B43D82">
              <w:rPr>
                <w:rFonts w:cstheme="minorHAnsi"/>
                <w:color w:val="auto"/>
                <w:sz w:val="20"/>
                <w:szCs w:val="20"/>
              </w:rPr>
              <w:t xml:space="preserve"> the </w:t>
            </w:r>
            <w:r>
              <w:rPr>
                <w:rFonts w:cstheme="minorHAnsi"/>
                <w:color w:val="auto"/>
                <w:sz w:val="20"/>
                <w:szCs w:val="20"/>
              </w:rPr>
              <w:t>SART</w:t>
            </w:r>
            <w:r w:rsidRPr="00B43D82">
              <w:rPr>
                <w:rFonts w:cstheme="minorHAnsi"/>
                <w:color w:val="auto"/>
                <w:sz w:val="20"/>
                <w:szCs w:val="20"/>
              </w:rPr>
              <w:t xml:space="preserve">; played in </w:t>
            </w:r>
            <w:r>
              <w:rPr>
                <w:rFonts w:cstheme="minorHAnsi"/>
                <w:color w:val="auto"/>
                <w:sz w:val="20"/>
                <w:szCs w:val="20"/>
              </w:rPr>
              <w:t>AU)</w:t>
            </w:r>
            <w:r w:rsidR="001200BF">
              <w:rPr>
                <w:rFonts w:cstheme="minorHAnsi"/>
                <w:color w:val="auto"/>
                <w:sz w:val="20"/>
                <w:szCs w:val="20"/>
              </w:rPr>
              <w:t>.</w:t>
            </w:r>
          </w:p>
        </w:tc>
      </w:tr>
      <w:tr w:rsidR="005763C6" w:rsidRPr="0041490A" w14:paraId="1C3FDEC6" w14:textId="77777777" w:rsidTr="00074B1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val="restart"/>
            <w:shd w:val="clear" w:color="auto" w:fill="auto"/>
          </w:tcPr>
          <w:p w14:paraId="742D1B98" w14:textId="77777777" w:rsidR="005763C6" w:rsidRPr="00B43D82" w:rsidRDefault="005763C6" w:rsidP="005763C6">
            <w:pPr>
              <w:spacing w:before="20" w:after="40"/>
              <w:rPr>
                <w:rFonts w:cstheme="minorHAnsi"/>
                <w:sz w:val="20"/>
                <w:szCs w:val="20"/>
              </w:rPr>
            </w:pPr>
            <w:r>
              <w:rPr>
                <w:rFonts w:cstheme="minorHAnsi"/>
                <w:sz w:val="20"/>
                <w:szCs w:val="20"/>
              </w:rPr>
              <w:t>Motor Sports</w:t>
            </w:r>
          </w:p>
        </w:tc>
        <w:tc>
          <w:tcPr>
            <w:tcW w:w="2150" w:type="pct"/>
            <w:shd w:val="clear" w:color="auto" w:fill="auto"/>
          </w:tcPr>
          <w:p w14:paraId="018892C1" w14:textId="77777777" w:rsidR="005763C6" w:rsidRPr="00B43D82"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Pr>
                <w:sz w:val="20"/>
                <w:szCs w:val="20"/>
              </w:rPr>
              <w:t xml:space="preserve">Formula One </w:t>
            </w:r>
            <w:r w:rsidRPr="00BD73DF">
              <w:rPr>
                <w:sz w:val="20"/>
                <w:szCs w:val="20"/>
              </w:rPr>
              <w:t xml:space="preserve">World Championship </w:t>
            </w:r>
            <w:r>
              <w:rPr>
                <w:sz w:val="20"/>
                <w:szCs w:val="20"/>
              </w:rPr>
              <w:t>– Grand Prix (held in AU)</w:t>
            </w:r>
          </w:p>
        </w:tc>
        <w:tc>
          <w:tcPr>
            <w:tcW w:w="1694" w:type="pct"/>
            <w:shd w:val="clear" w:color="auto" w:fill="auto"/>
          </w:tcPr>
          <w:p w14:paraId="6F72A564" w14:textId="77777777" w:rsidR="005763C6"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5763C6" w:rsidRPr="0041490A" w14:paraId="377ACE2B" w14:textId="77777777" w:rsidTr="00074B1E">
        <w:trPr>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59521118" w14:textId="77777777" w:rsidR="005763C6" w:rsidRPr="00B43D82" w:rsidRDefault="005763C6" w:rsidP="005763C6">
            <w:pPr>
              <w:spacing w:before="20" w:after="40"/>
              <w:rPr>
                <w:rFonts w:cstheme="minorHAnsi"/>
                <w:sz w:val="20"/>
                <w:szCs w:val="20"/>
              </w:rPr>
            </w:pPr>
          </w:p>
        </w:tc>
        <w:tc>
          <w:tcPr>
            <w:tcW w:w="2150" w:type="pct"/>
            <w:shd w:val="clear" w:color="auto" w:fill="auto"/>
          </w:tcPr>
          <w:p w14:paraId="3C66A447" w14:textId="77777777" w:rsidR="005763C6"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MotoGP </w:t>
            </w:r>
            <w:r w:rsidRPr="00BD73DF">
              <w:rPr>
                <w:sz w:val="20"/>
                <w:szCs w:val="20"/>
              </w:rPr>
              <w:t>World Championship</w:t>
            </w:r>
          </w:p>
          <w:p w14:paraId="48B91A79" w14:textId="62F055EA" w:rsidR="005763C6" w:rsidRPr="00B43D82"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sz w:val="20"/>
                <w:szCs w:val="20"/>
              </w:rPr>
              <w:t xml:space="preserve">(held in </w:t>
            </w:r>
            <w:r w:rsidR="0040107C">
              <w:rPr>
                <w:sz w:val="20"/>
                <w:szCs w:val="20"/>
              </w:rPr>
              <w:t>AU</w:t>
            </w:r>
            <w:r>
              <w:rPr>
                <w:sz w:val="20"/>
                <w:szCs w:val="20"/>
              </w:rPr>
              <w:t>)</w:t>
            </w:r>
            <w:r w:rsidR="00F96486">
              <w:t xml:space="preserve"> </w:t>
            </w:r>
            <w:r w:rsidR="00F96486" w:rsidRPr="00F96486">
              <w:rPr>
                <w:sz w:val="20"/>
                <w:szCs w:val="20"/>
              </w:rPr>
              <w:t>- Grand Prix</w:t>
            </w:r>
          </w:p>
        </w:tc>
        <w:tc>
          <w:tcPr>
            <w:tcW w:w="1694" w:type="pct"/>
            <w:shd w:val="clear" w:color="auto" w:fill="auto"/>
          </w:tcPr>
          <w:p w14:paraId="00397644" w14:textId="77777777" w:rsidR="005763C6" w:rsidRDefault="005763C6" w:rsidP="005763C6">
            <w:pPr>
              <w:spacing w:before="2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r w:rsidR="005763C6" w:rsidRPr="0041490A" w14:paraId="314BE372" w14:textId="77777777" w:rsidTr="00074B1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6" w:type="pct"/>
            <w:vMerge/>
            <w:shd w:val="clear" w:color="auto" w:fill="auto"/>
          </w:tcPr>
          <w:p w14:paraId="7D441BB0" w14:textId="77777777" w:rsidR="005763C6" w:rsidRPr="00B43D82" w:rsidRDefault="005763C6" w:rsidP="005763C6">
            <w:pPr>
              <w:spacing w:before="20" w:after="40"/>
              <w:rPr>
                <w:rFonts w:cstheme="minorHAnsi"/>
                <w:sz w:val="20"/>
                <w:szCs w:val="20"/>
              </w:rPr>
            </w:pPr>
          </w:p>
        </w:tc>
        <w:tc>
          <w:tcPr>
            <w:tcW w:w="2150" w:type="pct"/>
            <w:shd w:val="clear" w:color="auto" w:fill="auto"/>
          </w:tcPr>
          <w:p w14:paraId="190AFE30" w14:textId="576968A0" w:rsidR="005763C6" w:rsidRPr="00786567"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Bathurst 1000 </w:t>
            </w:r>
          </w:p>
        </w:tc>
        <w:tc>
          <w:tcPr>
            <w:tcW w:w="1694" w:type="pct"/>
            <w:shd w:val="clear" w:color="auto" w:fill="auto"/>
          </w:tcPr>
          <w:p w14:paraId="55C63E2B" w14:textId="77777777" w:rsidR="005763C6" w:rsidRDefault="005763C6" w:rsidP="005763C6">
            <w:pPr>
              <w:spacing w:before="20" w:after="40"/>
              <w:jc w:val="center"/>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11052">
              <w:rPr>
                <w:rFonts w:cstheme="minorHAnsi"/>
                <w:color w:val="auto"/>
                <w:sz w:val="20"/>
                <w:szCs w:val="20"/>
              </w:rPr>
              <w:t>No change.</w:t>
            </w:r>
          </w:p>
        </w:tc>
      </w:tr>
    </w:tbl>
    <w:bookmarkEnd w:id="116"/>
    <w:p w14:paraId="3E5D84FF" w14:textId="4FEA0094" w:rsidR="00586F9D" w:rsidRPr="00A05E90" w:rsidRDefault="00586F9D" w:rsidP="00CA5FD2">
      <w:pPr>
        <w:pStyle w:val="Introduction"/>
      </w:pPr>
      <w:r w:rsidRPr="00586F9D">
        <w:t>Relationship with proposed models</w:t>
      </w:r>
    </w:p>
    <w:p w14:paraId="25B4341C" w14:textId="29A3BFC8" w:rsidR="00586F9D" w:rsidRDefault="00586F9D" w:rsidP="00586F9D">
      <w:r>
        <w:t>The expanded list has been designed to operate in conjunction with the broadcasting safety net and free</w:t>
      </w:r>
      <w:r>
        <w:noBreakHyphen/>
        <w:t>to</w:t>
      </w:r>
      <w:r>
        <w:noBreakHyphen/>
        <w:t>air first models for the reform of the scheme (</w:t>
      </w:r>
      <w:r w:rsidR="00466E86">
        <w:t xml:space="preserve">Models </w:t>
      </w:r>
      <w:r>
        <w:t xml:space="preserve">2 and 3 respectively). </w:t>
      </w:r>
    </w:p>
    <w:p w14:paraId="0A33A730" w14:textId="0A013307" w:rsidR="00586F9D" w:rsidRDefault="00586F9D" w:rsidP="00586F9D">
      <w:r>
        <w:t>The expanded list is not designed to be compatible with the free</w:t>
      </w:r>
      <w:r>
        <w:noBreakHyphen/>
        <w:t>to</w:t>
      </w:r>
      <w:r>
        <w:noBreakHyphen/>
        <w:t>view model (</w:t>
      </w:r>
      <w:r w:rsidR="00B2776A">
        <w:t xml:space="preserve">Model </w:t>
      </w:r>
      <w:r>
        <w:t>1). That model is constructed around coverage obligations which require all events on the list to be shown live and in full. It would not be technically or financially feasible for content services to provide live and in full coverage of competitions that involve dozens of events occurring simultaneously. In terms of the current list, this includes the Australian Open tennis tournament, the Summer and Winter Olympic Games, and the Commonwealth Games.</w:t>
      </w:r>
    </w:p>
    <w:p w14:paraId="05DB0822" w14:textId="59FAE8AD" w:rsidR="0009719A" w:rsidRPr="009B3A80" w:rsidRDefault="0009719A" w:rsidP="0009719A">
      <w:pPr>
        <w:pStyle w:val="Heading3"/>
      </w:pPr>
      <w:bookmarkStart w:id="120" w:name="_Toc150883275"/>
      <w:bookmarkStart w:id="121" w:name="_Toc151053057"/>
      <w:r w:rsidRPr="009B3A80">
        <w:t xml:space="preserve">Option 4: </w:t>
      </w:r>
      <w:r w:rsidR="00393FA4">
        <w:t>‘</w:t>
      </w:r>
      <w:r w:rsidR="00800D63">
        <w:t>s</w:t>
      </w:r>
      <w:r w:rsidR="00A17666">
        <w:t xml:space="preserve">tatus </w:t>
      </w:r>
      <w:r w:rsidR="00800D63">
        <w:t>q</w:t>
      </w:r>
      <w:r w:rsidR="00A17666">
        <w:t>uo</w:t>
      </w:r>
      <w:r w:rsidR="00393FA4">
        <w:t>’</w:t>
      </w:r>
      <w:bookmarkEnd w:id="120"/>
      <w:bookmarkEnd w:id="121"/>
      <w:r w:rsidRPr="009B3A80">
        <w:t xml:space="preserve">  </w:t>
      </w:r>
    </w:p>
    <w:p w14:paraId="22874B3D" w14:textId="2B759F07" w:rsidR="00876C20" w:rsidRDefault="0009719A" w:rsidP="00226B05">
      <w:r w:rsidRPr="00A17666">
        <w:t>Th</w:t>
      </w:r>
      <w:r w:rsidR="00A17666">
        <w:t>e existing list would be retained without amendment under this option.</w:t>
      </w:r>
      <w:r w:rsidRPr="00A17666">
        <w:t xml:space="preserve"> </w:t>
      </w:r>
      <w:r w:rsidR="000C51FA">
        <w:t>The current events on the list would continue to be subject to the scheme, and the list</w:t>
      </w:r>
      <w:r w:rsidR="00A17666">
        <w:t xml:space="preserve"> would remain </w:t>
      </w:r>
      <w:r w:rsidR="000C51FA">
        <w:t>in place until it</w:t>
      </w:r>
      <w:r w:rsidR="00114E6B">
        <w:t xml:space="preserve"> sunsets on 2</w:t>
      </w:r>
      <w:r w:rsidRPr="00A17666">
        <w:t>5</w:t>
      </w:r>
      <w:r w:rsidR="000C51FA">
        <w:t> </w:t>
      </w:r>
      <w:r w:rsidRPr="00A17666">
        <w:t>Mar</w:t>
      </w:r>
      <w:r w:rsidR="00800D63">
        <w:t>ch</w:t>
      </w:r>
      <w:r w:rsidR="000C51FA">
        <w:t> </w:t>
      </w:r>
      <w:r w:rsidRPr="00A17666">
        <w:t>2026.</w:t>
      </w:r>
    </w:p>
    <w:p w14:paraId="07985E36" w14:textId="0B63CD0C" w:rsidR="0009719A" w:rsidRPr="009B3A80" w:rsidRDefault="00D0790D" w:rsidP="00907BE0">
      <w:pPr>
        <w:pStyle w:val="Heading1Numbered"/>
        <w:spacing w:before="360"/>
      </w:pPr>
      <w:bookmarkStart w:id="122" w:name="_Toc150883276"/>
      <w:bookmarkStart w:id="123" w:name="_Toc151053058"/>
      <w:bookmarkStart w:id="124" w:name="_Hlk147756052"/>
      <w:r w:rsidRPr="009B3A80">
        <w:t xml:space="preserve">Impact </w:t>
      </w:r>
      <w:r w:rsidR="0025598E">
        <w:t>A</w:t>
      </w:r>
      <w:r w:rsidRPr="009B3A80">
        <w:t>nalysi</w:t>
      </w:r>
      <w:r w:rsidR="00FF6CDB" w:rsidRPr="009B3A80">
        <w:t>s</w:t>
      </w:r>
      <w:bookmarkEnd w:id="122"/>
      <w:bookmarkEnd w:id="123"/>
    </w:p>
    <w:p w14:paraId="567FC330" w14:textId="0EBE007B" w:rsidR="00C1647C" w:rsidRPr="00C10DE5" w:rsidRDefault="00C1647C" w:rsidP="00960C3D">
      <w:pPr>
        <w:pStyle w:val="Heading2"/>
      </w:pPr>
      <w:bookmarkStart w:id="125" w:name="_Toc150883277"/>
      <w:bookmarkStart w:id="126" w:name="_Toc151053059"/>
      <w:r w:rsidRPr="00C10DE5">
        <w:t xml:space="preserve">Data </w:t>
      </w:r>
      <w:r w:rsidR="00BC55A4" w:rsidRPr="00C10DE5">
        <w:t>a</w:t>
      </w:r>
      <w:r w:rsidRPr="00C10DE5">
        <w:t>ssessment</w:t>
      </w:r>
      <w:bookmarkEnd w:id="125"/>
      <w:bookmarkEnd w:id="126"/>
    </w:p>
    <w:p w14:paraId="35F9060A" w14:textId="102CC14B" w:rsidR="002F6AF2" w:rsidRDefault="002F6AF2" w:rsidP="002F6AF2">
      <w:pPr>
        <w:rPr>
          <w:lang w:val="en-US"/>
        </w:rPr>
      </w:pPr>
      <w:r w:rsidRPr="00C10DE5">
        <w:rPr>
          <w:lang w:val="en-US"/>
        </w:rPr>
        <w:t xml:space="preserve">Under the IA framework, there is a preference for IAs to be undertaken with a quantitative assessment utilising a </w:t>
      </w:r>
      <w:r w:rsidRPr="00C10DE5">
        <w:rPr>
          <w:i/>
          <w:lang w:val="en-US"/>
        </w:rPr>
        <w:t xml:space="preserve">Cost-Benefit Analysis </w:t>
      </w:r>
      <w:r w:rsidRPr="00C10DE5">
        <w:rPr>
          <w:lang w:val="en-US"/>
        </w:rPr>
        <w:t xml:space="preserve">(CBA), </w:t>
      </w:r>
      <w:r w:rsidRPr="00C10DE5">
        <w:rPr>
          <w:i/>
          <w:lang w:val="en-US"/>
        </w:rPr>
        <w:t>Cost Effectiveness Analysis</w:t>
      </w:r>
      <w:r w:rsidRPr="00C10DE5">
        <w:rPr>
          <w:lang w:val="en-US"/>
        </w:rPr>
        <w:t xml:space="preserve"> (CEA), or a </w:t>
      </w:r>
      <w:r w:rsidRPr="00C10DE5">
        <w:rPr>
          <w:i/>
          <w:lang w:val="en-US"/>
        </w:rPr>
        <w:t>Multi-criteria Analysis</w:t>
      </w:r>
      <w:r w:rsidRPr="00C10DE5">
        <w:rPr>
          <w:lang w:val="en-US"/>
        </w:rPr>
        <w:t xml:space="preserve"> (MCA). However, for a range of reasons </w:t>
      </w:r>
      <w:r w:rsidR="009D111A">
        <w:rPr>
          <w:lang w:val="en-US"/>
        </w:rPr>
        <w:t>outlined</w:t>
      </w:r>
      <w:r w:rsidRPr="00C10DE5">
        <w:rPr>
          <w:lang w:val="en-US"/>
        </w:rPr>
        <w:t xml:space="preserve"> below, quantitative data to support such analysis methods is not available or applicable to the </w:t>
      </w:r>
      <w:r w:rsidR="00EB24B4" w:rsidRPr="00C10DE5">
        <w:rPr>
          <w:lang w:val="en-US"/>
        </w:rPr>
        <w:t xml:space="preserve">consideration of reforms to the </w:t>
      </w:r>
      <w:r w:rsidRPr="00C10DE5">
        <w:rPr>
          <w:lang w:val="en-US"/>
        </w:rPr>
        <w:t>anti-siphoning scheme and list.</w:t>
      </w:r>
    </w:p>
    <w:p w14:paraId="4538DA40" w14:textId="42F3AA32" w:rsidR="00554EA7" w:rsidRPr="00554EA7" w:rsidRDefault="00554EA7" w:rsidP="00977C5B">
      <w:r w:rsidRPr="00554EA7">
        <w:t>Th</w:t>
      </w:r>
      <w:r w:rsidR="00907BE0">
        <w:t xml:space="preserve">is </w:t>
      </w:r>
      <w:r w:rsidRPr="00554EA7">
        <w:t xml:space="preserve">IA provides an assessment of the likely regulatory costs and impacts associated with the four </w:t>
      </w:r>
      <w:r w:rsidR="00907BE0">
        <w:t>models</w:t>
      </w:r>
      <w:r w:rsidRPr="00554EA7">
        <w:t xml:space="preserve"> for the scheme and the four options for the list. This has been informed by the consecutive consultations undertaken in 2022 and 2023 as part of the review of the scheme. It also draws on previous reviews of the scheme that have been undertaken over the past two decades. </w:t>
      </w:r>
    </w:p>
    <w:p w14:paraId="46B64B26" w14:textId="4E2AF26B" w:rsidR="00554EA7" w:rsidRDefault="00977C5B" w:rsidP="00E33CCD">
      <w:pPr>
        <w:pStyle w:val="ListParagraph"/>
        <w:numPr>
          <w:ilvl w:val="0"/>
          <w:numId w:val="38"/>
        </w:numPr>
      </w:pPr>
      <w:bookmarkStart w:id="127" w:name="_Hlk148011261"/>
      <w:r>
        <w:t>In 2000, the Productivity Commission’s (PC) review of broadcasting considered, among a range of matters, the anti-siphoning scheme. The</w:t>
      </w:r>
      <w:r w:rsidDel="00D70B99">
        <w:t xml:space="preserve"> </w:t>
      </w:r>
      <w:r w:rsidR="004C54B3">
        <w:t>PC</w:t>
      </w:r>
      <w:r>
        <w:t xml:space="preserve"> concluded that the scheme was exclusionary</w:t>
      </w:r>
      <w:r w:rsidR="00812109" w:rsidRPr="00E53044">
        <w:rPr>
          <w:vertAlign w:val="superscript"/>
        </w:rPr>
        <w:footnoteReference w:id="73"/>
      </w:r>
      <w:r>
        <w:t xml:space="preserve"> and gave </w:t>
      </w:r>
      <w:r w:rsidR="00B17CDA">
        <w:t xml:space="preserve">free-to-air </w:t>
      </w:r>
      <w:r>
        <w:t xml:space="preserve">broadcasters a competitive advantage over subscription </w:t>
      </w:r>
      <w:r w:rsidR="0017021B">
        <w:t xml:space="preserve">television </w:t>
      </w:r>
      <w:r>
        <w:t xml:space="preserve">broadcasters and increased their revenue. Additionally, </w:t>
      </w:r>
      <w:r w:rsidR="0017021B">
        <w:t xml:space="preserve">the scheme </w:t>
      </w:r>
      <w:r>
        <w:t>disadvantaged sport organisations by decreasing their negotiating power in marketing their products.</w:t>
      </w:r>
      <w:r w:rsidR="00812109" w:rsidRPr="00E53044">
        <w:rPr>
          <w:vertAlign w:val="superscript"/>
        </w:rPr>
        <w:footnoteReference w:id="74"/>
      </w:r>
    </w:p>
    <w:p w14:paraId="4373B18D" w14:textId="77777777" w:rsidR="00554EA7" w:rsidRDefault="00554EA7" w:rsidP="00554EA7">
      <w:pPr>
        <w:pStyle w:val="ListParagraph"/>
        <w:ind w:left="360"/>
      </w:pPr>
    </w:p>
    <w:p w14:paraId="6E5214D2" w14:textId="77777777" w:rsidR="00554EA7" w:rsidRPr="00554EA7" w:rsidRDefault="00812109" w:rsidP="00E33CCD">
      <w:pPr>
        <w:pStyle w:val="ListParagraph"/>
        <w:numPr>
          <w:ilvl w:val="0"/>
          <w:numId w:val="38"/>
        </w:numPr>
      </w:pPr>
      <w:r>
        <w:t>The PC came to a similar conclusion in 2009, as part of its annual review of regulatory burdens on business. The PC found the scheme to be anti-competitive, imposing a protracted negotiation process on subscription television broadcasters and reducing the bargaining power and potential revenue of sports bodies.</w:t>
      </w:r>
      <w:r w:rsidRPr="00E53044">
        <w:rPr>
          <w:vertAlign w:val="superscript"/>
        </w:rPr>
        <w:footnoteReference w:id="75"/>
      </w:r>
      <w:r w:rsidRPr="00554EA7">
        <w:rPr>
          <w:vertAlign w:val="superscript"/>
        </w:rPr>
        <w:t xml:space="preserve"> </w:t>
      </w:r>
    </w:p>
    <w:p w14:paraId="5DF5B17A" w14:textId="77777777" w:rsidR="00554EA7" w:rsidRDefault="00554EA7" w:rsidP="00CB3ABB">
      <w:pPr>
        <w:pStyle w:val="ListParagraph"/>
      </w:pPr>
    </w:p>
    <w:p w14:paraId="0540938F" w14:textId="7E0408D5" w:rsidR="005407AA" w:rsidRDefault="00812109" w:rsidP="00CB3ABB">
      <w:pPr>
        <w:pStyle w:val="ListParagraph"/>
        <w:numPr>
          <w:ilvl w:val="0"/>
          <w:numId w:val="38"/>
        </w:numPr>
      </w:pPr>
      <w:r>
        <w:t>Anti</w:t>
      </w:r>
      <w:r>
        <w:noBreakHyphen/>
        <w:t>siphoning was also discussed in the report of the Independent Sports Panel</w:t>
      </w:r>
      <w:r w:rsidR="009D111A">
        <w:t xml:space="preserve"> in 2009</w:t>
      </w:r>
      <w:r>
        <w:t xml:space="preserve">. This report (the Crawford Report) argued that scheme limited the earning potential for sports and reduced the quantity and quality of sports coverage on television by incentivising </w:t>
      </w:r>
      <w:r w:rsidR="00B17CDA">
        <w:t>free-to-a</w:t>
      </w:r>
      <w:r w:rsidR="0017021B">
        <w:t>i</w:t>
      </w:r>
      <w:r w:rsidR="00B17CDA">
        <w:t xml:space="preserve">r </w:t>
      </w:r>
      <w:r>
        <w:t>broadcasters to acquire rights to popular sports (to the exclusion of less popular sports).</w:t>
      </w:r>
      <w:r w:rsidRPr="00E53044">
        <w:rPr>
          <w:vertAlign w:val="superscript"/>
        </w:rPr>
        <w:footnoteReference w:id="76"/>
      </w:r>
    </w:p>
    <w:bookmarkEnd w:id="127"/>
    <w:p w14:paraId="44218E9F" w14:textId="34726F65" w:rsidR="00332949" w:rsidRDefault="00554EA7" w:rsidP="00C1647C">
      <w:r>
        <w:t>However, n</w:t>
      </w:r>
      <w:r w:rsidR="00812109">
        <w:t>one of these reviews and assessments attempted to quantify these impacts on businesses</w:t>
      </w:r>
      <w:r>
        <w:t xml:space="preserve"> </w:t>
      </w:r>
      <w:r w:rsidR="00812109">
        <w:t>(or community groups and individuals)</w:t>
      </w:r>
      <w:r>
        <w:t xml:space="preserve">. </w:t>
      </w:r>
      <w:r w:rsidR="008749AD">
        <w:t>I</w:t>
      </w:r>
      <w:r w:rsidR="00812109">
        <w:t>t is very difficult</w:t>
      </w:r>
      <w:r>
        <w:t xml:space="preserve"> </w:t>
      </w:r>
      <w:r w:rsidR="00812109">
        <w:t>and</w:t>
      </w:r>
      <w:r>
        <w:t>,</w:t>
      </w:r>
      <w:r w:rsidR="00812109">
        <w:t xml:space="preserve"> in many cases</w:t>
      </w:r>
      <w:r>
        <w:t>,</w:t>
      </w:r>
      <w:r w:rsidR="00812109">
        <w:t xml:space="preserve"> impossible to quantify opportunity costs due to the complexity of accurately predicting what a business would do in response to the lessening </w:t>
      </w:r>
      <w:r w:rsidR="00907BE0">
        <w:t xml:space="preserve">or modification </w:t>
      </w:r>
      <w:r w:rsidR="00812109">
        <w:t xml:space="preserve">of a regulation. </w:t>
      </w:r>
      <w:r>
        <w:t>This was reflected the submissions to the anti</w:t>
      </w:r>
      <w:r>
        <w:noBreakHyphen/>
        <w:t xml:space="preserve">siphoning review, which did not attempt to </w:t>
      </w:r>
      <w:r w:rsidR="000C71EA">
        <w:t xml:space="preserve">quantify </w:t>
      </w:r>
      <w:r>
        <w:t>the impact</w:t>
      </w:r>
      <w:r w:rsidR="003B5EC0">
        <w:t>s</w:t>
      </w:r>
      <w:r>
        <w:t xml:space="preserve"> of the scheme.</w:t>
      </w:r>
      <w:r w:rsidR="00031675">
        <w:t xml:space="preserve"> </w:t>
      </w:r>
    </w:p>
    <w:p w14:paraId="44C0BAFA" w14:textId="447B5134" w:rsidR="003B5EC0" w:rsidRPr="00C10DE5" w:rsidRDefault="00332949" w:rsidP="003B5EC0">
      <w:bookmarkStart w:id="129" w:name="_Hlk147911946"/>
      <w:r w:rsidRPr="00C10DE5">
        <w:rPr>
          <w:rFonts w:cstheme="minorHAnsi"/>
          <w:lang w:val="en-US"/>
        </w:rPr>
        <w:t xml:space="preserve">Anti-siphoning regulation in Australia restricts </w:t>
      </w:r>
      <w:r w:rsidR="003B5EC0" w:rsidRPr="00C10DE5">
        <w:rPr>
          <w:rFonts w:cstheme="minorHAnsi"/>
          <w:lang w:val="en-US"/>
        </w:rPr>
        <w:t xml:space="preserve">the sequence and timing of the </w:t>
      </w:r>
      <w:r w:rsidRPr="00C10DE5">
        <w:rPr>
          <w:rFonts w:cstheme="minorHAnsi"/>
          <w:lang w:val="en-US"/>
        </w:rPr>
        <w:t>acquisition</w:t>
      </w:r>
      <w:r w:rsidR="003B5EC0" w:rsidRPr="00C10DE5">
        <w:rPr>
          <w:rFonts w:cstheme="minorHAnsi"/>
          <w:lang w:val="en-US"/>
        </w:rPr>
        <w:t xml:space="preserve"> of sports rights. </w:t>
      </w:r>
      <w:r w:rsidR="009D111A">
        <w:rPr>
          <w:rFonts w:cstheme="minorHAnsi"/>
          <w:lang w:val="en-US"/>
        </w:rPr>
        <w:t xml:space="preserve">However, </w:t>
      </w:r>
      <w:r w:rsidR="003B5EC0" w:rsidRPr="00C10DE5">
        <w:rPr>
          <w:rFonts w:cstheme="minorHAnsi"/>
          <w:lang w:val="en-US"/>
        </w:rPr>
        <w:t xml:space="preserve">it doesn’t prohibit the acquisition of such rights. At present, the scheme prevents the acquisition of a right to televise an event on the list until a free-to-air broadcaster has acquired a right. </w:t>
      </w:r>
      <w:r w:rsidR="003B5EC0" w:rsidRPr="00C10DE5" w:rsidDel="00B71841">
        <w:t xml:space="preserve">It is therefore not </w:t>
      </w:r>
      <w:r w:rsidR="003B5EC0" w:rsidRPr="00C10DE5">
        <w:t>possible</w:t>
      </w:r>
      <w:r w:rsidR="003B5EC0" w:rsidRPr="00C10DE5" w:rsidDel="00B71841">
        <w:t xml:space="preserve"> to isolate and quantify the impact that </w:t>
      </w:r>
      <w:r w:rsidR="003B5EC0" w:rsidRPr="00C10DE5">
        <w:t xml:space="preserve">this regulation of the sequence and timing of the acquisition of sports rights has on particularly parties, nor any potential changes to those regulations. The inability to quantify impacts of the regulation of sports rights is not unique to Australia. </w:t>
      </w:r>
      <w:bookmarkEnd w:id="129"/>
      <w:r w:rsidR="003B5EC0" w:rsidRPr="00C10DE5">
        <w:rPr>
          <w:rFonts w:cstheme="minorHAnsi"/>
          <w:lang w:val="en-US"/>
        </w:rPr>
        <w:t>T</w:t>
      </w:r>
      <w:r w:rsidR="00ED1F6F" w:rsidRPr="00C10DE5">
        <w:rPr>
          <w:rFonts w:cstheme="minorHAnsi"/>
          <w:lang w:val="en-US"/>
        </w:rPr>
        <w:t>he Impact Assessment for legislation to amend the UK scheme does not attempt to do so.</w:t>
      </w:r>
      <w:r w:rsidRPr="00C10DE5">
        <w:rPr>
          <w:rStyle w:val="FootnoteReference"/>
        </w:rPr>
        <w:footnoteReference w:id="77"/>
      </w:r>
      <w:r w:rsidR="00ED1F6F" w:rsidRPr="00C10DE5">
        <w:rPr>
          <w:rFonts w:cstheme="minorHAnsi"/>
          <w:lang w:val="en-US"/>
        </w:rPr>
        <w:t xml:space="preserve"> </w:t>
      </w:r>
      <w:r w:rsidR="003B5EC0" w:rsidRPr="00C10DE5">
        <w:t xml:space="preserve">It is therefore </w:t>
      </w:r>
      <w:r w:rsidRPr="00C10DE5">
        <w:t xml:space="preserve">not possible to </w:t>
      </w:r>
      <w:r w:rsidR="003B5EC0" w:rsidRPr="00C10DE5">
        <w:t xml:space="preserve">quantify those impacts or </w:t>
      </w:r>
      <w:r w:rsidR="009D111A">
        <w:t xml:space="preserve">to precisely </w:t>
      </w:r>
      <w:r w:rsidR="003B5EC0" w:rsidRPr="00C10DE5">
        <w:t xml:space="preserve">predict how changes in regulation may or may not alter those impacts. </w:t>
      </w:r>
    </w:p>
    <w:p w14:paraId="6AF39A26" w14:textId="4C567DE2" w:rsidR="003B5EC0" w:rsidRPr="00C10DE5" w:rsidRDefault="003B5EC0" w:rsidP="003B5EC0">
      <w:r w:rsidRPr="00C10DE5">
        <w:t>It is also important to acknowledge that d</w:t>
      </w:r>
      <w:r w:rsidR="00554EA7" w:rsidRPr="00C10DE5">
        <w:t>ecisions to acquire sports rights, and the nature of those rights, are driven by a wide range of commercial and other factors</w:t>
      </w:r>
      <w:r w:rsidR="004A7129" w:rsidRPr="00C10DE5">
        <w:t>,</w:t>
      </w:r>
      <w:r w:rsidR="00554EA7" w:rsidRPr="00C10DE5">
        <w:t xml:space="preserve"> and </w:t>
      </w:r>
      <w:r w:rsidR="004A7129" w:rsidRPr="00C10DE5">
        <w:t xml:space="preserve">are </w:t>
      </w:r>
      <w:r w:rsidR="00554EA7" w:rsidRPr="00C10DE5">
        <w:t>not solely</w:t>
      </w:r>
      <w:r w:rsidR="00BC12A5" w:rsidRPr="00C10DE5">
        <w:t xml:space="preserve"> those</w:t>
      </w:r>
      <w:r w:rsidR="00554EA7" w:rsidRPr="00C10DE5">
        <w:t xml:space="preserve"> relat</w:t>
      </w:r>
      <w:r w:rsidR="004A7129" w:rsidRPr="00C10DE5">
        <w:t>ed</w:t>
      </w:r>
      <w:r w:rsidR="00554EA7" w:rsidRPr="00C10DE5">
        <w:t xml:space="preserve"> to regulations imposed under the BSA. </w:t>
      </w:r>
      <w:r w:rsidR="003D4C74" w:rsidRPr="00C10DE5">
        <w:t xml:space="preserve">Factors that might impact </w:t>
      </w:r>
      <w:r w:rsidR="00BC12A5" w:rsidRPr="00C10DE5">
        <w:t xml:space="preserve">these decisions </w:t>
      </w:r>
      <w:r w:rsidR="003D4C74" w:rsidRPr="00C10DE5">
        <w:t>include</w:t>
      </w:r>
      <w:r w:rsidRPr="00C10DE5">
        <w:t>:</w:t>
      </w:r>
    </w:p>
    <w:p w14:paraId="6A87D2FC" w14:textId="5D7CAFEC" w:rsidR="003B5EC0" w:rsidRPr="00C10DE5" w:rsidRDefault="003D4C74" w:rsidP="005F0CCA">
      <w:pPr>
        <w:pStyle w:val="ListParagraph"/>
        <w:numPr>
          <w:ilvl w:val="0"/>
          <w:numId w:val="71"/>
        </w:numPr>
        <w:ind w:left="357" w:hanging="357"/>
        <w:contextualSpacing w:val="0"/>
      </w:pPr>
      <w:r w:rsidRPr="00C10DE5">
        <w:t>the type of right being offered (for example, exclusiv</w:t>
      </w:r>
      <w:r w:rsidR="009D111A">
        <w:t xml:space="preserve">e rights, </w:t>
      </w:r>
      <w:r w:rsidRPr="00C10DE5">
        <w:t>bundling with non-listed events, bu</w:t>
      </w:r>
      <w:r w:rsidR="00F138E9" w:rsidRPr="00C10DE5">
        <w:t>nd</w:t>
      </w:r>
      <w:r w:rsidRPr="00C10DE5">
        <w:t xml:space="preserve">ling platforms, </w:t>
      </w:r>
      <w:r w:rsidR="00DB0A8E" w:rsidRPr="00C10DE5">
        <w:t>pre-packaged</w:t>
      </w:r>
      <w:r w:rsidRPr="00C10DE5">
        <w:t xml:space="preserve"> products)</w:t>
      </w:r>
      <w:r w:rsidR="003B5EC0" w:rsidRPr="00C10DE5">
        <w:t xml:space="preserve">; </w:t>
      </w:r>
    </w:p>
    <w:p w14:paraId="21DF39AC" w14:textId="219EA3E2" w:rsidR="003B5EC0" w:rsidRPr="00C10DE5" w:rsidRDefault="003D4C74" w:rsidP="005F0CCA">
      <w:pPr>
        <w:pStyle w:val="ListParagraph"/>
        <w:numPr>
          <w:ilvl w:val="0"/>
          <w:numId w:val="71"/>
        </w:numPr>
        <w:ind w:left="357" w:hanging="357"/>
        <w:contextualSpacing w:val="0"/>
      </w:pPr>
      <w:r w:rsidRPr="00C10DE5">
        <w:t>the attractiveness of other competing content being offered at the time</w:t>
      </w:r>
      <w:r w:rsidR="003B5EC0" w:rsidRPr="00C10DE5">
        <w:t xml:space="preserve">; </w:t>
      </w:r>
    </w:p>
    <w:p w14:paraId="3AF3EFC4" w14:textId="077290AE" w:rsidR="003B5EC0" w:rsidRPr="00C10DE5" w:rsidRDefault="003D4C74" w:rsidP="005F0CCA">
      <w:pPr>
        <w:pStyle w:val="ListParagraph"/>
        <w:numPr>
          <w:ilvl w:val="0"/>
          <w:numId w:val="71"/>
        </w:numPr>
        <w:ind w:left="357" w:hanging="357"/>
        <w:contextualSpacing w:val="0"/>
      </w:pPr>
      <w:r w:rsidRPr="00C10DE5">
        <w:t xml:space="preserve">the length of the </w:t>
      </w:r>
      <w:r w:rsidR="003B5EC0" w:rsidRPr="00C10DE5">
        <w:t xml:space="preserve">rights </w:t>
      </w:r>
      <w:r w:rsidRPr="00C10DE5">
        <w:t>deal</w:t>
      </w:r>
      <w:r w:rsidR="003B5EC0" w:rsidRPr="00C10DE5">
        <w:t xml:space="preserve">; </w:t>
      </w:r>
    </w:p>
    <w:p w14:paraId="6CAFE66E" w14:textId="512519D5" w:rsidR="003B5EC0" w:rsidRPr="00C10DE5" w:rsidRDefault="003D4C74" w:rsidP="005F0CCA">
      <w:pPr>
        <w:pStyle w:val="ListParagraph"/>
        <w:numPr>
          <w:ilvl w:val="0"/>
          <w:numId w:val="71"/>
        </w:numPr>
        <w:ind w:left="357" w:hanging="357"/>
        <w:contextualSpacing w:val="0"/>
      </w:pPr>
      <w:r w:rsidRPr="00C10DE5">
        <w:t>the popularity of the event</w:t>
      </w:r>
      <w:r w:rsidR="003B5EC0" w:rsidRPr="00C10DE5">
        <w:t xml:space="preserve">; </w:t>
      </w:r>
    </w:p>
    <w:p w14:paraId="3223CCD2" w14:textId="6290AC78" w:rsidR="003B5EC0" w:rsidRPr="00C10DE5" w:rsidRDefault="003B5EC0" w:rsidP="005F0CCA">
      <w:pPr>
        <w:pStyle w:val="ListParagraph"/>
        <w:numPr>
          <w:ilvl w:val="0"/>
          <w:numId w:val="71"/>
        </w:numPr>
        <w:ind w:left="357" w:hanging="357"/>
        <w:contextualSpacing w:val="0"/>
      </w:pPr>
      <w:r w:rsidRPr="00C10DE5">
        <w:t xml:space="preserve">the relevant </w:t>
      </w:r>
      <w:r w:rsidR="003D4C74" w:rsidRPr="00C10DE5">
        <w:t>sports bod</w:t>
      </w:r>
      <w:r w:rsidRPr="00C10DE5">
        <w:t>y’s</w:t>
      </w:r>
      <w:r w:rsidR="003D4C74" w:rsidRPr="00C10DE5">
        <w:t xml:space="preserve"> preference for a particular medium</w:t>
      </w:r>
      <w:r w:rsidRPr="00C10DE5">
        <w:t xml:space="preserve">; </w:t>
      </w:r>
    </w:p>
    <w:p w14:paraId="3312E31E" w14:textId="495FCFA8" w:rsidR="003B5EC0" w:rsidRPr="00C10DE5" w:rsidRDefault="003B5EC0" w:rsidP="005F0CCA">
      <w:pPr>
        <w:pStyle w:val="ListParagraph"/>
        <w:numPr>
          <w:ilvl w:val="0"/>
          <w:numId w:val="71"/>
        </w:numPr>
        <w:ind w:left="357" w:hanging="357"/>
        <w:contextualSpacing w:val="0"/>
      </w:pPr>
      <w:r w:rsidRPr="00C10DE5">
        <w:t xml:space="preserve">the </w:t>
      </w:r>
      <w:r w:rsidR="003D4C74" w:rsidRPr="00C10DE5">
        <w:t>time zone</w:t>
      </w:r>
      <w:r w:rsidRPr="00C10DE5">
        <w:t xml:space="preserve"> in which the event is being played</w:t>
      </w:r>
      <w:r w:rsidR="00BC12A5" w:rsidRPr="00C10DE5">
        <w:t>,</w:t>
      </w:r>
      <w:r w:rsidRPr="00C10DE5">
        <w:t xml:space="preserve"> and the time zone in which it is being viewed</w:t>
      </w:r>
      <w:r w:rsidR="009D111A">
        <w:t xml:space="preserve">; </w:t>
      </w:r>
    </w:p>
    <w:p w14:paraId="30213DBE" w14:textId="0BCA0E8A" w:rsidR="003B5EC0" w:rsidRPr="00C10DE5" w:rsidRDefault="003D4C74" w:rsidP="005F0CCA">
      <w:pPr>
        <w:pStyle w:val="ListParagraph"/>
        <w:numPr>
          <w:ilvl w:val="0"/>
          <w:numId w:val="71"/>
        </w:numPr>
        <w:ind w:left="357" w:hanging="357"/>
        <w:contextualSpacing w:val="0"/>
      </w:pPr>
      <w:r w:rsidRPr="00C10DE5">
        <w:t xml:space="preserve">previous negotiations and </w:t>
      </w:r>
      <w:r w:rsidR="009D111A">
        <w:t>the relationship</w:t>
      </w:r>
      <w:r w:rsidRPr="00C10DE5">
        <w:t xml:space="preserve"> between the parties</w:t>
      </w:r>
      <w:r w:rsidR="003B5EC0" w:rsidRPr="00C10DE5">
        <w:t xml:space="preserve">; </w:t>
      </w:r>
    </w:p>
    <w:p w14:paraId="5A66570D" w14:textId="7BAE3BAA" w:rsidR="00B52E15" w:rsidRDefault="003D4C74" w:rsidP="005F0CCA">
      <w:pPr>
        <w:pStyle w:val="ListParagraph"/>
        <w:numPr>
          <w:ilvl w:val="0"/>
          <w:numId w:val="71"/>
        </w:numPr>
        <w:ind w:left="357" w:hanging="357"/>
        <w:contextualSpacing w:val="0"/>
      </w:pPr>
      <w:r w:rsidRPr="00C10DE5">
        <w:t>competition from other parties</w:t>
      </w:r>
      <w:r w:rsidR="009D111A">
        <w:t>;</w:t>
      </w:r>
    </w:p>
    <w:p w14:paraId="5029BEF4" w14:textId="72D8EBC5" w:rsidR="003B5EC0" w:rsidRPr="00C10DE5" w:rsidRDefault="00B52E15" w:rsidP="005F0CCA">
      <w:pPr>
        <w:pStyle w:val="ListParagraph"/>
        <w:numPr>
          <w:ilvl w:val="0"/>
          <w:numId w:val="71"/>
        </w:numPr>
        <w:ind w:left="357" w:hanging="357"/>
        <w:contextualSpacing w:val="0"/>
      </w:pPr>
      <w:r>
        <w:t>openness to joint bids</w:t>
      </w:r>
      <w:r w:rsidR="003B5EC0" w:rsidRPr="00C10DE5">
        <w:t xml:space="preserve">; and </w:t>
      </w:r>
    </w:p>
    <w:p w14:paraId="17BF5D15" w14:textId="6CDC1736" w:rsidR="003D4C74" w:rsidRPr="00C10DE5" w:rsidRDefault="00525233" w:rsidP="005F0CCA">
      <w:pPr>
        <w:pStyle w:val="ListParagraph"/>
        <w:numPr>
          <w:ilvl w:val="0"/>
          <w:numId w:val="71"/>
        </w:numPr>
        <w:ind w:left="357" w:hanging="357"/>
        <w:contextualSpacing w:val="0"/>
      </w:pPr>
      <w:r w:rsidRPr="00C10DE5">
        <w:t>external factors (for example, the Covid-19 pandemic)</w:t>
      </w:r>
      <w:r w:rsidR="003D4C74" w:rsidRPr="00C10DE5">
        <w:t>.</w:t>
      </w:r>
    </w:p>
    <w:p w14:paraId="71548D7D" w14:textId="42B6AC8D" w:rsidR="009D111A" w:rsidRDefault="00554EA7" w:rsidP="005F0CCA">
      <w:r w:rsidRPr="00C10DE5">
        <w:t xml:space="preserve">Financial data relating to the coverage of sporting events is </w:t>
      </w:r>
      <w:r w:rsidR="00BC12A5" w:rsidRPr="00C10DE5">
        <w:t xml:space="preserve">also </w:t>
      </w:r>
      <w:r w:rsidRPr="00C10DE5">
        <w:t xml:space="preserve">highly sensitive for the relevant parties and is generally not publicly disclosed. </w:t>
      </w:r>
      <w:r w:rsidR="003D4C74" w:rsidRPr="00C10DE5">
        <w:t>For example, media reports speculate that Optus paid anywhere from $10 million and $60 million dollars for the 2023 FIFA Women’s World Cup, and that the Seven Network paid Optus was between $4</w:t>
      </w:r>
      <w:r w:rsidR="00BC12A5" w:rsidRPr="00C10DE5">
        <w:t xml:space="preserve"> and </w:t>
      </w:r>
      <w:r w:rsidR="003D4C74" w:rsidRPr="00C10DE5">
        <w:t>5 million.</w:t>
      </w:r>
      <w:r w:rsidR="003D4C74" w:rsidRPr="00C10DE5">
        <w:rPr>
          <w:vertAlign w:val="superscript"/>
        </w:rPr>
        <w:footnoteReference w:id="78"/>
      </w:r>
      <w:r w:rsidR="00BC12A5" w:rsidRPr="00C10DE5">
        <w:t xml:space="preserve"> </w:t>
      </w:r>
    </w:p>
    <w:p w14:paraId="75F852F2" w14:textId="6633EE94" w:rsidR="00ED1F6F" w:rsidRPr="00C10DE5" w:rsidRDefault="00E8009A" w:rsidP="005F0CCA">
      <w:r w:rsidRPr="00C10DE5">
        <w:t xml:space="preserve">Even where figures may be known, it is also not possible to quantify what may be paid in the future based on previous deals. </w:t>
      </w:r>
      <w:r w:rsidR="00BC12A5" w:rsidRPr="00C10DE5">
        <w:t>For example, t</w:t>
      </w:r>
      <w:r w:rsidRPr="00C10DE5">
        <w:t>he AFL signed a deal covering free</w:t>
      </w:r>
      <w:r w:rsidR="005F0CCA" w:rsidRPr="00C10DE5">
        <w:noBreakHyphen/>
      </w:r>
      <w:r w:rsidRPr="00C10DE5">
        <w:t>to</w:t>
      </w:r>
      <w:r w:rsidR="005F0CCA" w:rsidRPr="00C10DE5">
        <w:noBreakHyphen/>
      </w:r>
      <w:r w:rsidRPr="00C10DE5">
        <w:t>air, subscription television, and online streaming</w:t>
      </w:r>
      <w:hyperlink r:id="rId17" w:tgtFrame="_blank" w:history="1">
        <w:r w:rsidRPr="00C10DE5">
          <w:t xml:space="preserve"> in 2015 for $2.5 billion from 2017-22</w:t>
        </w:r>
      </w:hyperlink>
      <w:r w:rsidRPr="00C10DE5">
        <w:t>. The deal was revised and extended in 2020 due to the Covid-19 pandemic until 2024 for $946 million.</w:t>
      </w:r>
      <w:r w:rsidR="00BC12A5" w:rsidRPr="00C10DE5">
        <w:t xml:space="preserve"> </w:t>
      </w:r>
      <w:r w:rsidRPr="00C10DE5">
        <w:t xml:space="preserve">In 2022, a new deal was negotiated for $4.5 billion from 2025 to 2031. The new deal is worth $643 million </w:t>
      </w:r>
      <w:r w:rsidR="00BC12A5" w:rsidRPr="00C10DE5">
        <w:t xml:space="preserve">per </w:t>
      </w:r>
      <w:r w:rsidRPr="00C10DE5">
        <w:t>season – a</w:t>
      </w:r>
      <w:r w:rsidR="00BC12A5" w:rsidRPr="00C10DE5">
        <w:t xml:space="preserve"> significant increase on the </w:t>
      </w:r>
      <w:r w:rsidRPr="00C10DE5">
        <w:t>$473 million per season</w:t>
      </w:r>
      <w:r w:rsidR="00BC12A5" w:rsidRPr="00C10DE5">
        <w:t xml:space="preserve"> under the preceding arrangements</w:t>
      </w:r>
      <w:r w:rsidRPr="00C10DE5">
        <w:t>.</w:t>
      </w:r>
      <w:r w:rsidRPr="00C10DE5">
        <w:rPr>
          <w:rStyle w:val="FootnoteReference"/>
        </w:rPr>
        <w:footnoteReference w:id="79"/>
      </w:r>
      <w:r w:rsidRPr="00C10DE5">
        <w:t xml:space="preserve"> It is </w:t>
      </w:r>
      <w:r w:rsidR="00BC12A5" w:rsidRPr="00C10DE5">
        <w:t xml:space="preserve">not possible to </w:t>
      </w:r>
      <w:r w:rsidRPr="00C10DE5">
        <w:t>determine how the scheme impacted on th</w:t>
      </w:r>
      <w:r w:rsidR="00BC12A5" w:rsidRPr="00C10DE5">
        <w:t xml:space="preserve">e current or future rights arrangements and the value ascribed to them. </w:t>
      </w:r>
      <w:r w:rsidRPr="00C10DE5">
        <w:t xml:space="preserve"> </w:t>
      </w:r>
    </w:p>
    <w:p w14:paraId="78A23BB8" w14:textId="34D47E18" w:rsidR="001C34AE" w:rsidRPr="00C10DE5" w:rsidRDefault="00BC12A5" w:rsidP="005F0CCA">
      <w:r w:rsidRPr="00C10DE5">
        <w:rPr>
          <w:lang w:val="en-US"/>
        </w:rPr>
        <w:t>Moreover, p</w:t>
      </w:r>
      <w:r w:rsidR="001C34AE" w:rsidRPr="00C10DE5">
        <w:rPr>
          <w:lang w:val="en-US"/>
        </w:rPr>
        <w:t xml:space="preserve">revious data is not a reliable indicator of </w:t>
      </w:r>
      <w:r w:rsidR="00177219" w:rsidRPr="00C10DE5">
        <w:rPr>
          <w:lang w:val="en-US"/>
        </w:rPr>
        <w:t>what is likely to occur in the</w:t>
      </w:r>
      <w:r w:rsidR="001C34AE" w:rsidRPr="00C10DE5">
        <w:rPr>
          <w:lang w:val="en-US"/>
        </w:rPr>
        <w:t xml:space="preserve"> future. This is demonstrated by the FIFA Women’s World Cup. The average </w:t>
      </w:r>
      <w:r w:rsidRPr="00C10DE5">
        <w:rPr>
          <w:lang w:val="en-US"/>
        </w:rPr>
        <w:t xml:space="preserve">audience </w:t>
      </w:r>
      <w:r w:rsidR="001C34AE" w:rsidRPr="00C10DE5">
        <w:rPr>
          <w:lang w:val="en-US"/>
        </w:rPr>
        <w:t xml:space="preserve">for matches involving Australia was </w:t>
      </w:r>
      <w:r w:rsidR="001C34AE" w:rsidRPr="00C10DE5">
        <w:t>119,000 in 2015 and 193,000 in 2019.</w:t>
      </w:r>
      <w:r w:rsidR="001C34AE" w:rsidRPr="00C10DE5">
        <w:rPr>
          <w:rStyle w:val="FootnoteReference"/>
        </w:rPr>
        <w:footnoteReference w:id="80"/>
      </w:r>
      <w:r w:rsidR="001C34AE" w:rsidRPr="00C10DE5">
        <w:t xml:space="preserve"> </w:t>
      </w:r>
      <w:r w:rsidRPr="00C10DE5">
        <w:t>I</w:t>
      </w:r>
      <w:r w:rsidR="001C34AE" w:rsidRPr="00C10DE5">
        <w:t>n 2023</w:t>
      </w:r>
      <w:r w:rsidRPr="00C10DE5">
        <w:t>,</w:t>
      </w:r>
      <w:r w:rsidR="001C34AE" w:rsidRPr="00C10DE5">
        <w:t xml:space="preserve"> Seven Network indicated that an average of 6.24 million viewers tuned in watch the semi-final between Australia and England for the 2023 FIFA Women’s World Cup</w:t>
      </w:r>
      <w:r w:rsidR="00D31E92">
        <w:t xml:space="preserve"> on television</w:t>
      </w:r>
      <w:r w:rsidR="001C34AE" w:rsidRPr="00C10DE5">
        <w:t>.</w:t>
      </w:r>
      <w:r w:rsidR="009244FF">
        <w:rPr>
          <w:rStyle w:val="FootnoteReference"/>
        </w:rPr>
        <w:footnoteReference w:id="81"/>
      </w:r>
      <w:r w:rsidR="001C34AE" w:rsidRPr="00C10DE5">
        <w:t xml:space="preserve"> </w:t>
      </w:r>
      <w:r w:rsidR="00177219" w:rsidRPr="00C10DE5">
        <w:t xml:space="preserve">The increase is likely </w:t>
      </w:r>
      <w:r w:rsidRPr="00C10DE5">
        <w:t xml:space="preserve">to be </w:t>
      </w:r>
      <w:r w:rsidR="00177219" w:rsidRPr="00C10DE5">
        <w:t>attributable, at least in part, to the tournament being held in Australia</w:t>
      </w:r>
      <w:r w:rsidRPr="00C10DE5">
        <w:t xml:space="preserve">. Although </w:t>
      </w:r>
      <w:r w:rsidR="00177219" w:rsidRPr="00C10DE5">
        <w:t xml:space="preserve">future </w:t>
      </w:r>
      <w:r w:rsidR="00C31606" w:rsidRPr="00C10DE5">
        <w:t xml:space="preserve">tournament </w:t>
      </w:r>
      <w:r w:rsidR="00177219" w:rsidRPr="00C10DE5">
        <w:t>locations are not known</w:t>
      </w:r>
      <w:r w:rsidR="00C31606" w:rsidRPr="00C10DE5">
        <w:t xml:space="preserve">, </w:t>
      </w:r>
      <w:r w:rsidRPr="00C10DE5">
        <w:t xml:space="preserve">it is reasonable to expect that </w:t>
      </w:r>
      <w:r w:rsidR="00CE6C18" w:rsidRPr="00C10DE5">
        <w:t xml:space="preserve">future tournaments </w:t>
      </w:r>
      <w:r w:rsidRPr="00C10DE5">
        <w:t>will generate higher audiences than have historically been seen over the past decade.</w:t>
      </w:r>
      <w:r w:rsidR="00CE6C18" w:rsidRPr="00C10DE5">
        <w:rPr>
          <w:rStyle w:val="FootnoteReference"/>
        </w:rPr>
        <w:footnoteReference w:id="82"/>
      </w:r>
      <w:r w:rsidR="00177219" w:rsidRPr="00C10DE5">
        <w:t xml:space="preserve"> </w:t>
      </w:r>
    </w:p>
    <w:p w14:paraId="22FC88EB" w14:textId="7506775C" w:rsidR="00C1647C" w:rsidRPr="00C10DE5" w:rsidRDefault="003B5EC0" w:rsidP="00BC12A5">
      <w:r w:rsidRPr="00C10DE5">
        <w:t>Noting th</w:t>
      </w:r>
      <w:r w:rsidR="00BC12A5" w:rsidRPr="00C10DE5">
        <w:t xml:space="preserve">e above, </w:t>
      </w:r>
      <w:r w:rsidRPr="00C10DE5">
        <w:t xml:space="preserve">a CBA, CEA, nor MCA are </w:t>
      </w:r>
      <w:r w:rsidR="00BC12A5" w:rsidRPr="00C10DE5">
        <w:t>not feasible methods to ascertain the impacts of the scheme and list or any changes to them. T</w:t>
      </w:r>
      <w:r w:rsidR="00554EA7" w:rsidRPr="00C10DE5">
        <w:t>h</w:t>
      </w:r>
      <w:r w:rsidR="00907BE0" w:rsidRPr="00C10DE5">
        <w:t>is</w:t>
      </w:r>
      <w:r w:rsidR="00554EA7" w:rsidRPr="00C10DE5">
        <w:t xml:space="preserve"> IA has </w:t>
      </w:r>
      <w:r w:rsidR="00BC12A5" w:rsidRPr="00C10DE5">
        <w:t xml:space="preserve">therefore been supported by a </w:t>
      </w:r>
      <w:r w:rsidR="00554EA7" w:rsidRPr="00C10DE5">
        <w:t>qualitative assessment of</w:t>
      </w:r>
      <w:r w:rsidR="00BC12A5" w:rsidRPr="00C10DE5">
        <w:t xml:space="preserve"> the</w:t>
      </w:r>
      <w:r w:rsidR="00554EA7" w:rsidRPr="00C10DE5">
        <w:t xml:space="preserve"> impacts of the potential models and options. </w:t>
      </w:r>
      <w:r w:rsidR="002F6AF2" w:rsidRPr="00C10DE5">
        <w:rPr>
          <w:rFonts w:cstheme="minorHAnsi"/>
          <w:lang w:val="en-US"/>
        </w:rPr>
        <w:t>These qualitative assessments have, where possible, been supported with quantitative data sources</w:t>
      </w:r>
      <w:r w:rsidR="00BC12A5" w:rsidRPr="00C10DE5">
        <w:rPr>
          <w:rFonts w:cstheme="minorHAnsi"/>
          <w:lang w:val="en-US"/>
        </w:rPr>
        <w:t xml:space="preserve">, as outlined in Table </w:t>
      </w:r>
      <w:r w:rsidR="00786567">
        <w:rPr>
          <w:rFonts w:cstheme="minorHAnsi"/>
          <w:lang w:val="en-US"/>
        </w:rPr>
        <w:t>8</w:t>
      </w:r>
      <w:r w:rsidR="00BC12A5" w:rsidRPr="00C10DE5">
        <w:rPr>
          <w:rFonts w:cstheme="minorHAnsi"/>
          <w:lang w:val="en-US"/>
        </w:rPr>
        <w:t xml:space="preserve">. </w:t>
      </w:r>
    </w:p>
    <w:p w14:paraId="6401C0E7" w14:textId="141DF1F8" w:rsidR="00C1647C" w:rsidRPr="00C10DE5" w:rsidRDefault="00C1647C" w:rsidP="00300D7F">
      <w:pPr>
        <w:pStyle w:val="Caption"/>
        <w:rPr>
          <w:lang w:val="en-US"/>
        </w:rPr>
      </w:pPr>
      <w:bookmarkStart w:id="130" w:name="_Toc150883304"/>
      <w:bookmarkStart w:id="131" w:name="_Toc151053024"/>
      <w:r w:rsidRPr="00C10DE5">
        <w:rPr>
          <w:lang w:val="en-US"/>
        </w:rPr>
        <w:t xml:space="preserve">Table </w:t>
      </w:r>
      <w:r w:rsidR="00786567">
        <w:rPr>
          <w:lang w:val="en-US"/>
        </w:rPr>
        <w:t>8</w:t>
      </w:r>
      <w:r w:rsidRPr="00C10DE5">
        <w:rPr>
          <w:lang w:val="en-US"/>
        </w:rPr>
        <w:t>: Assessment of available data</w:t>
      </w:r>
      <w:r w:rsidR="002F6AF2" w:rsidRPr="00C10DE5">
        <w:rPr>
          <w:lang w:val="en-US"/>
        </w:rPr>
        <w:t xml:space="preserve"> for quantitative Impact Analysis</w:t>
      </w:r>
      <w:bookmarkEnd w:id="130"/>
      <w:bookmarkEnd w:id="131"/>
    </w:p>
    <w:tbl>
      <w:tblPr>
        <w:tblStyle w:val="DefaultTable1"/>
        <w:tblW w:w="9639" w:type="dxa"/>
        <w:tblLook w:val="04A0" w:firstRow="1" w:lastRow="0" w:firstColumn="1" w:lastColumn="0" w:noHBand="0" w:noVBand="1"/>
      </w:tblPr>
      <w:tblGrid>
        <w:gridCol w:w="1542"/>
        <w:gridCol w:w="1860"/>
        <w:gridCol w:w="6237"/>
      </w:tblGrid>
      <w:tr w:rsidR="002F6AF2" w:rsidRPr="005F0CCA" w14:paraId="608885D6" w14:textId="77777777" w:rsidTr="00300D7F">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542" w:type="dxa"/>
          </w:tcPr>
          <w:p w14:paraId="32524F10" w14:textId="77777777" w:rsidR="002F6AF2" w:rsidRPr="005F0CCA" w:rsidRDefault="002F6AF2" w:rsidP="000734FC">
            <w:pPr>
              <w:spacing w:after="0"/>
              <w:rPr>
                <w:lang w:val="en-US"/>
              </w:rPr>
            </w:pPr>
            <w:r w:rsidRPr="005F0CCA">
              <w:rPr>
                <w:lang w:val="en-US"/>
              </w:rPr>
              <w:t>Data</w:t>
            </w:r>
          </w:p>
        </w:tc>
        <w:tc>
          <w:tcPr>
            <w:tcW w:w="1860" w:type="dxa"/>
          </w:tcPr>
          <w:p w14:paraId="1AAFD6EE" w14:textId="77777777" w:rsidR="002F6AF2" w:rsidRPr="005F0CCA" w:rsidRDefault="002F6AF2" w:rsidP="000734FC">
            <w:pPr>
              <w:spacing w:after="0"/>
              <w:cnfStyle w:val="100000000000" w:firstRow="1" w:lastRow="0" w:firstColumn="0" w:lastColumn="0" w:oddVBand="0" w:evenVBand="0" w:oddHBand="0" w:evenHBand="0" w:firstRowFirstColumn="0" w:firstRowLastColumn="0" w:lastRowFirstColumn="0" w:lastRowLastColumn="0"/>
              <w:rPr>
                <w:lang w:val="en-US"/>
              </w:rPr>
            </w:pPr>
            <w:r w:rsidRPr="005F0CCA">
              <w:rPr>
                <w:lang w:val="en-US"/>
              </w:rPr>
              <w:t>Sources</w:t>
            </w:r>
          </w:p>
        </w:tc>
        <w:tc>
          <w:tcPr>
            <w:tcW w:w="6237" w:type="dxa"/>
          </w:tcPr>
          <w:p w14:paraId="66D53230" w14:textId="44A8E8BD" w:rsidR="002F6AF2" w:rsidRPr="005F0CCA" w:rsidRDefault="002F6AF2" w:rsidP="000734FC">
            <w:pPr>
              <w:spacing w:after="0"/>
              <w:cnfStyle w:val="100000000000" w:firstRow="1" w:lastRow="0" w:firstColumn="0" w:lastColumn="0" w:oddVBand="0" w:evenVBand="0" w:oddHBand="0" w:evenHBand="0" w:firstRowFirstColumn="0" w:firstRowLastColumn="0" w:lastRowFirstColumn="0" w:lastRowLastColumn="0"/>
              <w:rPr>
                <w:lang w:val="en-US"/>
              </w:rPr>
            </w:pPr>
            <w:r w:rsidRPr="005F0CCA">
              <w:rPr>
                <w:lang w:val="en-US"/>
              </w:rPr>
              <w:t xml:space="preserve">Assessment </w:t>
            </w:r>
          </w:p>
        </w:tc>
      </w:tr>
      <w:tr w:rsidR="002F6AF2" w:rsidRPr="005F0CCA" w14:paraId="0A3D0634" w14:textId="77777777" w:rsidTr="00300D7F">
        <w:trPr>
          <w:trHeight w:val="936"/>
        </w:trPr>
        <w:tc>
          <w:tcPr>
            <w:cnfStyle w:val="001000000000" w:firstRow="0" w:lastRow="0" w:firstColumn="1" w:lastColumn="0" w:oddVBand="0" w:evenVBand="0" w:oddHBand="0" w:evenHBand="0" w:firstRowFirstColumn="0" w:firstRowLastColumn="0" w:lastRowFirstColumn="0" w:lastRowLastColumn="0"/>
            <w:tcW w:w="1542" w:type="dxa"/>
          </w:tcPr>
          <w:p w14:paraId="70835382" w14:textId="77777777" w:rsidR="002F6AF2" w:rsidRPr="00C10DE5" w:rsidRDefault="002F6AF2" w:rsidP="000734FC">
            <w:pPr>
              <w:spacing w:after="0"/>
              <w:rPr>
                <w:b w:val="0"/>
                <w:lang w:val="en-US"/>
              </w:rPr>
            </w:pPr>
            <w:r w:rsidRPr="00C10DE5">
              <w:rPr>
                <w:lang w:val="en-US"/>
              </w:rPr>
              <w:t>Sports rights deals</w:t>
            </w:r>
          </w:p>
        </w:tc>
        <w:tc>
          <w:tcPr>
            <w:tcW w:w="1860" w:type="dxa"/>
          </w:tcPr>
          <w:p w14:paraId="79278A39" w14:textId="62657F26" w:rsidR="002F6AF2" w:rsidRPr="00C10DE5" w:rsidRDefault="002F6AF2" w:rsidP="000734FC">
            <w:pPr>
              <w:spacing w:after="0"/>
              <w:cnfStyle w:val="000000000000" w:firstRow="0" w:lastRow="0" w:firstColumn="0" w:lastColumn="0" w:oddVBand="0" w:evenVBand="0" w:oddHBand="0" w:evenHBand="0" w:firstRowFirstColumn="0" w:firstRowLastColumn="0" w:lastRowFirstColumn="0" w:lastRowLastColumn="0"/>
              <w:rPr>
                <w:lang w:val="en-US"/>
              </w:rPr>
            </w:pPr>
            <w:r w:rsidRPr="00C10DE5">
              <w:rPr>
                <w:lang w:val="en-US"/>
              </w:rPr>
              <w:t>News media, Ampere, Sportbusiness, and consultation submissions</w:t>
            </w:r>
          </w:p>
        </w:tc>
        <w:tc>
          <w:tcPr>
            <w:tcW w:w="6237" w:type="dxa"/>
          </w:tcPr>
          <w:p w14:paraId="7CEEB167" w14:textId="63934C7E" w:rsidR="0089044F" w:rsidRPr="00C10DE5" w:rsidRDefault="002F6AF2" w:rsidP="000734FC">
            <w:pPr>
              <w:spacing w:after="0"/>
              <w:cnfStyle w:val="000000000000" w:firstRow="0" w:lastRow="0" w:firstColumn="0" w:lastColumn="0" w:oddVBand="0" w:evenVBand="0" w:oddHBand="0" w:evenHBand="0" w:firstRowFirstColumn="0" w:firstRowLastColumn="0" w:lastRowFirstColumn="0" w:lastRowLastColumn="0"/>
            </w:pPr>
            <w:r w:rsidRPr="00C10DE5">
              <w:t>The volume and nature of sports rights deals (i.e. which competitions are picked up by which broadcaster or content service provider) provide insight into the sports being made available to consumers. However, commercial deals are informed by a range of factors, many of which are independent from the anti-siphoning scheme. It is not possible to quantify the interplay between the anti-siphoning scheme and other market forces to effectively assess the impacts of potential options.</w:t>
            </w:r>
          </w:p>
        </w:tc>
      </w:tr>
      <w:tr w:rsidR="002F6AF2" w:rsidRPr="005F0CCA" w14:paraId="14AEB64A" w14:textId="77777777" w:rsidTr="00300D7F">
        <w:trPr>
          <w:cnfStyle w:val="000000010000" w:firstRow="0" w:lastRow="0" w:firstColumn="0" w:lastColumn="0" w:oddVBand="0" w:evenVBand="0" w:oddHBand="0" w:evenHBand="1"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542" w:type="dxa"/>
          </w:tcPr>
          <w:p w14:paraId="6223BA27" w14:textId="77777777" w:rsidR="002F6AF2" w:rsidRPr="00C10DE5" w:rsidRDefault="002F6AF2" w:rsidP="000734FC">
            <w:pPr>
              <w:spacing w:after="0"/>
              <w:rPr>
                <w:lang w:val="en-US"/>
              </w:rPr>
            </w:pPr>
            <w:r w:rsidRPr="00C10DE5">
              <w:rPr>
                <w:lang w:val="en-US"/>
              </w:rPr>
              <w:t>Value of sports rights purchased</w:t>
            </w:r>
          </w:p>
        </w:tc>
        <w:tc>
          <w:tcPr>
            <w:tcW w:w="1860" w:type="dxa"/>
          </w:tcPr>
          <w:p w14:paraId="0FA94C07" w14:textId="28851EFF" w:rsidR="002F6AF2" w:rsidRPr="00C10DE5" w:rsidRDefault="002F6AF2" w:rsidP="000734FC">
            <w:pPr>
              <w:cnfStyle w:val="000000010000" w:firstRow="0" w:lastRow="0" w:firstColumn="0" w:lastColumn="0" w:oddVBand="0" w:evenVBand="0" w:oddHBand="0" w:evenHBand="1" w:firstRowFirstColumn="0" w:firstRowLastColumn="0" w:lastRowFirstColumn="0" w:lastRowLastColumn="0"/>
              <w:rPr>
                <w:lang w:val="en-US"/>
              </w:rPr>
            </w:pPr>
            <w:r w:rsidRPr="00C10DE5">
              <w:rPr>
                <w:lang w:val="en-US"/>
              </w:rPr>
              <w:t>News media, Ampere, Sportbusiness, annual reports, and consultation submissions</w:t>
            </w:r>
          </w:p>
        </w:tc>
        <w:tc>
          <w:tcPr>
            <w:tcW w:w="6237" w:type="dxa"/>
          </w:tcPr>
          <w:p w14:paraId="291E39B8" w14:textId="78341B7F" w:rsidR="0089044F" w:rsidRPr="00C10DE5" w:rsidRDefault="002F6AF2" w:rsidP="003D4C74">
            <w:pPr>
              <w:cnfStyle w:val="000000010000" w:firstRow="0" w:lastRow="0" w:firstColumn="0" w:lastColumn="0" w:oddVBand="0" w:evenVBand="0" w:oddHBand="0" w:evenHBand="1" w:firstRowFirstColumn="0" w:firstRowLastColumn="0" w:lastRowFirstColumn="0" w:lastRowLastColumn="0"/>
              <w:rPr>
                <w:lang w:val="en-US"/>
              </w:rPr>
            </w:pPr>
            <w:r w:rsidRPr="00C10DE5">
              <w:rPr>
                <w:lang w:val="en-US"/>
              </w:rPr>
              <w:t>Because the dollar value of sports rights deals – particularly multi-party deals where a number of buyers have made a joint bid for rights – is commercially sensitive, information about the value of these deals is not consistent or comprehensive. There is also a lack of transparency about the nature of the deals in many cases. Therefore, the value of sports rights purchased is presented in aggregate, or as evidence to support the qualitative assessment in this IA.</w:t>
            </w:r>
          </w:p>
        </w:tc>
      </w:tr>
      <w:tr w:rsidR="002F6AF2" w:rsidRPr="005F0CCA" w14:paraId="20382B39" w14:textId="77777777" w:rsidTr="00300D7F">
        <w:trPr>
          <w:trHeight w:val="638"/>
        </w:trPr>
        <w:tc>
          <w:tcPr>
            <w:cnfStyle w:val="001000000000" w:firstRow="0" w:lastRow="0" w:firstColumn="1" w:lastColumn="0" w:oddVBand="0" w:evenVBand="0" w:oddHBand="0" w:evenHBand="0" w:firstRowFirstColumn="0" w:firstRowLastColumn="0" w:lastRowFirstColumn="0" w:lastRowLastColumn="0"/>
            <w:tcW w:w="1542" w:type="dxa"/>
          </w:tcPr>
          <w:p w14:paraId="0D93F134" w14:textId="77777777" w:rsidR="002F6AF2" w:rsidRPr="00C10DE5" w:rsidRDefault="002F6AF2" w:rsidP="000734FC">
            <w:pPr>
              <w:spacing w:after="0"/>
              <w:rPr>
                <w:lang w:val="en-US"/>
              </w:rPr>
            </w:pPr>
            <w:r w:rsidRPr="00C10DE5">
              <w:rPr>
                <w:lang w:val="en-US"/>
              </w:rPr>
              <w:t>Sports participation rates</w:t>
            </w:r>
          </w:p>
        </w:tc>
        <w:tc>
          <w:tcPr>
            <w:tcW w:w="1860" w:type="dxa"/>
          </w:tcPr>
          <w:p w14:paraId="7F9913D4" w14:textId="5BD88026" w:rsidR="002F6AF2" w:rsidRPr="00C10DE5" w:rsidRDefault="00ED3ADA" w:rsidP="000734FC">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A</w:t>
            </w:r>
            <w:r w:rsidR="002F6AF2" w:rsidRPr="00C10DE5">
              <w:rPr>
                <w:lang w:val="en-US"/>
              </w:rPr>
              <w:t>nnual reports of sporting bodies</w:t>
            </w:r>
          </w:p>
        </w:tc>
        <w:tc>
          <w:tcPr>
            <w:tcW w:w="6237" w:type="dxa"/>
          </w:tcPr>
          <w:p w14:paraId="2E9AB835" w14:textId="1BB90F78" w:rsidR="00A73145" w:rsidRPr="00C10DE5" w:rsidRDefault="002F6AF2" w:rsidP="000734FC">
            <w:pPr>
              <w:spacing w:after="0"/>
              <w:cnfStyle w:val="000000000000" w:firstRow="0" w:lastRow="0" w:firstColumn="0" w:lastColumn="0" w:oddVBand="0" w:evenVBand="0" w:oddHBand="0" w:evenHBand="0" w:firstRowFirstColumn="0" w:firstRowLastColumn="0" w:lastRowFirstColumn="0" w:lastRowLastColumn="0"/>
              <w:rPr>
                <w:lang w:val="en-US"/>
              </w:rPr>
            </w:pPr>
            <w:r w:rsidRPr="00C10DE5">
              <w:rPr>
                <w:lang w:val="en-US"/>
              </w:rPr>
              <w:t xml:space="preserve">Sports participation rates are related but not integral to the objectives of the anti-siphoning scheme. It would be inappropriate to attempt to quantify the impact of the scheme in terms of sports participation. </w:t>
            </w:r>
            <w:r w:rsidR="001B3ADC" w:rsidRPr="00C10DE5">
              <w:rPr>
                <w:lang w:val="en-US"/>
              </w:rPr>
              <w:t>F</w:t>
            </w:r>
            <w:r w:rsidR="00702945" w:rsidRPr="00C10DE5">
              <w:rPr>
                <w:lang w:val="en-US"/>
              </w:rPr>
              <w:t xml:space="preserve">or </w:t>
            </w:r>
            <w:r w:rsidR="00815A4E" w:rsidRPr="00C10DE5">
              <w:rPr>
                <w:lang w:val="en-US"/>
              </w:rPr>
              <w:t>example,</w:t>
            </w:r>
            <w:r w:rsidR="00702945" w:rsidRPr="00C10DE5">
              <w:rPr>
                <w:lang w:val="en-US"/>
              </w:rPr>
              <w:t xml:space="preserve"> </w:t>
            </w:r>
            <w:r w:rsidR="00A73145" w:rsidRPr="00C10DE5">
              <w:rPr>
                <w:lang w:val="en-US"/>
              </w:rPr>
              <w:t>Golf Australia’s 2021/22 Participation Report has indicated that more than 2.7 million Australians play golf.</w:t>
            </w:r>
            <w:r w:rsidR="00A73145" w:rsidRPr="00C10DE5">
              <w:rPr>
                <w:rStyle w:val="FootnoteReference"/>
                <w:lang w:val="en-US"/>
              </w:rPr>
              <w:footnoteReference w:id="83"/>
            </w:r>
            <w:r w:rsidR="00A73145" w:rsidRPr="00C10DE5">
              <w:rPr>
                <w:lang w:val="en-US"/>
              </w:rPr>
              <w:t xml:space="preserve"> Yet, golfing events have </w:t>
            </w:r>
            <w:r w:rsidR="001B3ADC" w:rsidRPr="00C10DE5">
              <w:rPr>
                <w:lang w:val="en-US"/>
              </w:rPr>
              <w:t xml:space="preserve">in the past </w:t>
            </w:r>
            <w:r w:rsidR="00A73145" w:rsidRPr="00C10DE5">
              <w:rPr>
                <w:lang w:val="en-US"/>
              </w:rPr>
              <w:t xml:space="preserve">been removed from the list in </w:t>
            </w:r>
            <w:r w:rsidR="001B3ADC" w:rsidRPr="00C10DE5">
              <w:rPr>
                <w:lang w:val="en-US"/>
              </w:rPr>
              <w:t xml:space="preserve">part due to the relatively </w:t>
            </w:r>
            <w:r w:rsidR="00763EE5" w:rsidRPr="00C10DE5">
              <w:rPr>
                <w:lang w:val="en-US"/>
              </w:rPr>
              <w:t>low</w:t>
            </w:r>
            <w:r w:rsidR="009D111A">
              <w:rPr>
                <w:lang w:val="en-US"/>
              </w:rPr>
              <w:t xml:space="preserve"> television</w:t>
            </w:r>
            <w:r w:rsidR="00763EE5" w:rsidRPr="00C10DE5">
              <w:rPr>
                <w:lang w:val="en-US"/>
              </w:rPr>
              <w:t xml:space="preserve"> ratings.</w:t>
            </w:r>
            <w:r w:rsidR="00763EE5" w:rsidRPr="00C10DE5">
              <w:rPr>
                <w:rStyle w:val="FootnoteReference"/>
                <w:lang w:val="en-US"/>
              </w:rPr>
              <w:footnoteReference w:id="84"/>
            </w:r>
          </w:p>
        </w:tc>
      </w:tr>
      <w:tr w:rsidR="002F6AF2" w:rsidRPr="005F0CCA" w14:paraId="761681CF" w14:textId="77777777" w:rsidTr="00300D7F">
        <w:trPr>
          <w:cnfStyle w:val="000000010000" w:firstRow="0" w:lastRow="0" w:firstColumn="0" w:lastColumn="0" w:oddVBand="0" w:evenVBand="0" w:oddHBand="0" w:evenHBand="1"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0" w:type="dxa"/>
          </w:tcPr>
          <w:p w14:paraId="33FD8EC0" w14:textId="117496D7" w:rsidR="002F6AF2" w:rsidRPr="00C10DE5" w:rsidRDefault="002F6AF2" w:rsidP="000734FC">
            <w:pPr>
              <w:spacing w:after="0"/>
              <w:rPr>
                <w:lang w:val="en-US"/>
              </w:rPr>
            </w:pPr>
            <w:r w:rsidRPr="00C10DE5">
              <w:rPr>
                <w:lang w:val="en-US"/>
              </w:rPr>
              <w:t>Number of events</w:t>
            </w:r>
          </w:p>
        </w:tc>
        <w:tc>
          <w:tcPr>
            <w:tcW w:w="1860" w:type="dxa"/>
          </w:tcPr>
          <w:p w14:paraId="215A3C2F" w14:textId="659C7B22" w:rsidR="002F6AF2" w:rsidRPr="00C10DE5" w:rsidRDefault="002F6AF2" w:rsidP="000734FC">
            <w:pPr>
              <w:spacing w:after="0"/>
              <w:cnfStyle w:val="000000010000" w:firstRow="0" w:lastRow="0" w:firstColumn="0" w:lastColumn="0" w:oddVBand="0" w:evenVBand="0" w:oddHBand="0" w:evenHBand="1" w:firstRowFirstColumn="0" w:firstRowLastColumn="0" w:lastRowFirstColumn="0" w:lastRowLastColumn="0"/>
              <w:rPr>
                <w:lang w:val="en-US"/>
              </w:rPr>
            </w:pPr>
            <w:r w:rsidRPr="00C10DE5">
              <w:rPr>
                <w:lang w:val="en-US"/>
              </w:rPr>
              <w:t>Public sources, consultation submissions, and websites of sporting bodies</w:t>
            </w:r>
          </w:p>
        </w:tc>
        <w:tc>
          <w:tcPr>
            <w:tcW w:w="6237" w:type="dxa"/>
          </w:tcPr>
          <w:p w14:paraId="1DC3A826" w14:textId="2296CEDB" w:rsidR="002F6AF2" w:rsidRPr="00C10DE5" w:rsidRDefault="002F6AF2" w:rsidP="000734FC">
            <w:pPr>
              <w:spacing w:after="0"/>
              <w:cnfStyle w:val="000000010000" w:firstRow="0" w:lastRow="0" w:firstColumn="0" w:lastColumn="0" w:oddVBand="0" w:evenVBand="0" w:oddHBand="0" w:evenHBand="1" w:firstRowFirstColumn="0" w:firstRowLastColumn="0" w:lastRowFirstColumn="0" w:lastRowLastColumn="0"/>
              <w:rPr>
                <w:lang w:val="en-US"/>
              </w:rPr>
            </w:pPr>
            <w:r w:rsidRPr="00C10DE5">
              <w:rPr>
                <w:lang w:val="en-US"/>
              </w:rPr>
              <w:t xml:space="preserve">The number of events has been used in this IA as a proxy to communicate the scope of the proposed </w:t>
            </w:r>
            <w:r w:rsidR="009D111A">
              <w:rPr>
                <w:lang w:val="en-US"/>
              </w:rPr>
              <w:t xml:space="preserve">changes to </w:t>
            </w:r>
            <w:r w:rsidRPr="00C10DE5">
              <w:rPr>
                <w:lang w:val="en-US"/>
              </w:rPr>
              <w:t>the anti-siphoning list. However, it is important to note that this figure is not generally comparable between different types of sports, as the competition structure and the meaning of ‘event’ varies widely. It would be inappropriate to use these figure</w:t>
            </w:r>
            <w:r w:rsidR="00BB5A84" w:rsidRPr="00C10DE5">
              <w:rPr>
                <w:lang w:val="en-US"/>
              </w:rPr>
              <w:t>s</w:t>
            </w:r>
            <w:r w:rsidRPr="00C10DE5">
              <w:rPr>
                <w:lang w:val="en-US"/>
              </w:rPr>
              <w:t xml:space="preserve"> as a metric of impact of the scheme given the schism between the numbers and real-world impact.</w:t>
            </w:r>
          </w:p>
        </w:tc>
      </w:tr>
      <w:tr w:rsidR="002F6AF2" w:rsidRPr="005F0CCA" w14:paraId="7E4DF453" w14:textId="77777777" w:rsidTr="00300D7F">
        <w:trPr>
          <w:trHeight w:val="2313"/>
        </w:trPr>
        <w:tc>
          <w:tcPr>
            <w:cnfStyle w:val="001000000000" w:firstRow="0" w:lastRow="0" w:firstColumn="1" w:lastColumn="0" w:oddVBand="0" w:evenVBand="0" w:oddHBand="0" w:evenHBand="0" w:firstRowFirstColumn="0" w:firstRowLastColumn="0" w:lastRowFirstColumn="0" w:lastRowLastColumn="0"/>
            <w:tcW w:w="1542" w:type="dxa"/>
          </w:tcPr>
          <w:p w14:paraId="25DEE308" w14:textId="77777777" w:rsidR="002F6AF2" w:rsidRPr="00C10DE5" w:rsidRDefault="002F6AF2" w:rsidP="000734FC">
            <w:pPr>
              <w:spacing w:after="0"/>
              <w:rPr>
                <w:lang w:val="en-US"/>
              </w:rPr>
            </w:pPr>
            <w:r w:rsidRPr="00C10DE5">
              <w:rPr>
                <w:lang w:val="en-US"/>
              </w:rPr>
              <w:t>Hours of sports made available</w:t>
            </w:r>
          </w:p>
        </w:tc>
        <w:tc>
          <w:tcPr>
            <w:tcW w:w="1860" w:type="dxa"/>
          </w:tcPr>
          <w:p w14:paraId="72B86728" w14:textId="4FEDF5CC" w:rsidR="002F6AF2" w:rsidRPr="00C10DE5" w:rsidRDefault="002F6AF2" w:rsidP="000734FC">
            <w:pPr>
              <w:spacing w:after="0"/>
              <w:cnfStyle w:val="000000000000" w:firstRow="0" w:lastRow="0" w:firstColumn="0" w:lastColumn="0" w:oddVBand="0" w:evenVBand="0" w:oddHBand="0" w:evenHBand="0" w:firstRowFirstColumn="0" w:firstRowLastColumn="0" w:lastRowFirstColumn="0" w:lastRowLastColumn="0"/>
              <w:rPr>
                <w:lang w:val="en-US"/>
              </w:rPr>
            </w:pPr>
            <w:r w:rsidRPr="00C10DE5">
              <w:rPr>
                <w:lang w:val="en-US"/>
              </w:rPr>
              <w:t>ACMA, Ampere, TV Guides, and Online content libraries</w:t>
            </w:r>
          </w:p>
        </w:tc>
        <w:tc>
          <w:tcPr>
            <w:tcW w:w="6237" w:type="dxa"/>
          </w:tcPr>
          <w:p w14:paraId="528A33AA" w14:textId="4A3C992D" w:rsidR="002F6AF2" w:rsidRPr="00C10DE5" w:rsidRDefault="002F6AF2" w:rsidP="000734FC">
            <w:pPr>
              <w:cnfStyle w:val="000000000000" w:firstRow="0" w:lastRow="0" w:firstColumn="0" w:lastColumn="0" w:oddVBand="0" w:evenVBand="0" w:oddHBand="0" w:evenHBand="0" w:firstRowFirstColumn="0" w:firstRowLastColumn="0" w:lastRowFirstColumn="0" w:lastRowLastColumn="0"/>
              <w:rPr>
                <w:lang w:val="en-US"/>
              </w:rPr>
            </w:pPr>
            <w:r w:rsidRPr="00C10DE5">
              <w:rPr>
                <w:lang w:val="en-US"/>
              </w:rPr>
              <w:t xml:space="preserve">Comprehensive assessment of the number of hours of sport available on broadcast television and online services has not been undertaken. There is, therefore, no extant data source that can provide a complete understanding of hours of sport available to consumers that may be used to quantify the impacts of the scheme. </w:t>
            </w:r>
          </w:p>
          <w:p w14:paraId="1AECD0C9" w14:textId="3DAF5B5F" w:rsidR="002F6AF2" w:rsidRPr="00C10DE5" w:rsidRDefault="002F6AF2" w:rsidP="000734FC">
            <w:pPr>
              <w:spacing w:after="0"/>
              <w:cnfStyle w:val="000000000000" w:firstRow="0" w:lastRow="0" w:firstColumn="0" w:lastColumn="0" w:oddVBand="0" w:evenVBand="0" w:oddHBand="0" w:evenHBand="0" w:firstRowFirstColumn="0" w:firstRowLastColumn="0" w:lastRowFirstColumn="0" w:lastRowLastColumn="0"/>
              <w:rPr>
                <w:lang w:val="en-US"/>
              </w:rPr>
            </w:pPr>
            <w:r w:rsidRPr="00C10DE5">
              <w:rPr>
                <w:lang w:val="en-US"/>
              </w:rPr>
              <w:t xml:space="preserve">As a metric for impact analysis, hours available would be inappropriate, as there is an upper limit to the feasible and commercially viable number of hours of sport that a linear channel may broadcast. Additionally, broadcasters must abide by other regulations, such as the Australian Content and Children’s Television Standards (ACCTS) for commercial broadcasters, which mandate that certain </w:t>
            </w:r>
            <w:r w:rsidR="009D111A">
              <w:rPr>
                <w:lang w:val="en-US"/>
              </w:rPr>
              <w:t xml:space="preserve">genres </w:t>
            </w:r>
            <w:r w:rsidRPr="00C10DE5">
              <w:rPr>
                <w:lang w:val="en-US"/>
              </w:rPr>
              <w:t xml:space="preserve">sses of content that are not sport be provided at some level on linear channels. </w:t>
            </w:r>
          </w:p>
        </w:tc>
      </w:tr>
      <w:tr w:rsidR="002F6AF2" w:rsidRPr="005F0CCA" w14:paraId="0E9A263C" w14:textId="77777777" w:rsidTr="00300D7F">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542" w:type="dxa"/>
          </w:tcPr>
          <w:p w14:paraId="0FA2FE08" w14:textId="25932405" w:rsidR="002F6AF2" w:rsidRPr="00C10DE5" w:rsidRDefault="002F6AF2" w:rsidP="000734FC">
            <w:pPr>
              <w:spacing w:after="0"/>
              <w:rPr>
                <w:lang w:val="en-US"/>
              </w:rPr>
            </w:pPr>
            <w:r w:rsidRPr="00C10DE5">
              <w:rPr>
                <w:lang w:val="en-US"/>
              </w:rPr>
              <w:t>T</w:t>
            </w:r>
            <w:r w:rsidR="00C12777">
              <w:rPr>
                <w:lang w:val="en-US"/>
              </w:rPr>
              <w:t>elevision</w:t>
            </w:r>
            <w:r w:rsidRPr="00C10DE5">
              <w:rPr>
                <w:lang w:val="en-US"/>
              </w:rPr>
              <w:t xml:space="preserve"> ratings of key competitions</w:t>
            </w:r>
          </w:p>
        </w:tc>
        <w:tc>
          <w:tcPr>
            <w:tcW w:w="1860" w:type="dxa"/>
          </w:tcPr>
          <w:p w14:paraId="7AF81F57" w14:textId="587D08C0" w:rsidR="002F6AF2" w:rsidRPr="00C10DE5" w:rsidRDefault="002F6AF2" w:rsidP="000734FC">
            <w:pPr>
              <w:spacing w:after="0"/>
              <w:cnfStyle w:val="000000010000" w:firstRow="0" w:lastRow="0" w:firstColumn="0" w:lastColumn="0" w:oddVBand="0" w:evenVBand="0" w:oddHBand="0" w:evenHBand="1" w:firstRowFirstColumn="0" w:firstRowLastColumn="0" w:lastRowFirstColumn="0" w:lastRowLastColumn="0"/>
              <w:rPr>
                <w:lang w:val="en-US"/>
              </w:rPr>
            </w:pPr>
            <w:r w:rsidRPr="00C10DE5">
              <w:rPr>
                <w:lang w:val="en-US"/>
              </w:rPr>
              <w:t>News media, consultation submissions, and OzTAM</w:t>
            </w:r>
          </w:p>
        </w:tc>
        <w:tc>
          <w:tcPr>
            <w:tcW w:w="6237" w:type="dxa"/>
          </w:tcPr>
          <w:p w14:paraId="1BD753C7" w14:textId="47411B39" w:rsidR="008123D4" w:rsidRPr="00C10DE5" w:rsidRDefault="002F6AF2" w:rsidP="000734FC">
            <w:pPr>
              <w:spacing w:after="0"/>
              <w:cnfStyle w:val="000000010000" w:firstRow="0" w:lastRow="0" w:firstColumn="0" w:lastColumn="0" w:oddVBand="0" w:evenVBand="0" w:oddHBand="0" w:evenHBand="1" w:firstRowFirstColumn="0" w:firstRowLastColumn="0" w:lastRowFirstColumn="0" w:lastRowLastColumn="0"/>
              <w:rPr>
                <w:lang w:val="en-US"/>
              </w:rPr>
            </w:pPr>
            <w:r w:rsidRPr="00C10DE5">
              <w:rPr>
                <w:lang w:val="en-US"/>
              </w:rPr>
              <w:t xml:space="preserve">The </w:t>
            </w:r>
            <w:r w:rsidR="00C12777">
              <w:rPr>
                <w:lang w:val="en-US"/>
              </w:rPr>
              <w:t>television</w:t>
            </w:r>
            <w:r w:rsidRPr="00C10DE5">
              <w:rPr>
                <w:lang w:val="en-US"/>
              </w:rPr>
              <w:t xml:space="preserve"> audience for sports on free-to-air and subscription broadcasters provides important context for the business imperative for </w:t>
            </w:r>
            <w:r w:rsidR="009D111A">
              <w:rPr>
                <w:lang w:val="en-US"/>
              </w:rPr>
              <w:t>various</w:t>
            </w:r>
            <w:r w:rsidRPr="00C10DE5">
              <w:rPr>
                <w:lang w:val="en-US"/>
              </w:rPr>
              <w:t xml:space="preserve"> sectors in obtaining rights to major sporting events. However, audience measures are impacted by a wide range of factors beyond the scope of the anti-siphoning scheme, including the type of sport; </w:t>
            </w:r>
            <w:r w:rsidR="009D111A">
              <w:rPr>
                <w:lang w:val="en-US"/>
              </w:rPr>
              <w:t xml:space="preserve">the </w:t>
            </w:r>
            <w:r w:rsidRPr="00C10DE5">
              <w:rPr>
                <w:lang w:val="en-US"/>
              </w:rPr>
              <w:t xml:space="preserve">existing fanbase; live attendance; </w:t>
            </w:r>
            <w:r w:rsidR="009D111A">
              <w:rPr>
                <w:lang w:val="en-US"/>
              </w:rPr>
              <w:t xml:space="preserve">the </w:t>
            </w:r>
            <w:r w:rsidRPr="00C10DE5">
              <w:rPr>
                <w:lang w:val="en-US"/>
              </w:rPr>
              <w:t>competition structure;</w:t>
            </w:r>
            <w:r w:rsidR="009D111A">
              <w:rPr>
                <w:lang w:val="en-US"/>
              </w:rPr>
              <w:t xml:space="preserve"> the</w:t>
            </w:r>
            <w:r w:rsidRPr="00C10DE5">
              <w:rPr>
                <w:lang w:val="en-US"/>
              </w:rPr>
              <w:t xml:space="preserve"> time of broadcast; </w:t>
            </w:r>
            <w:r w:rsidR="009D111A">
              <w:rPr>
                <w:lang w:val="en-US"/>
              </w:rPr>
              <w:t xml:space="preserve">the </w:t>
            </w:r>
            <w:r w:rsidRPr="00C10DE5">
              <w:rPr>
                <w:lang w:val="en-US"/>
              </w:rPr>
              <w:t>teams or individuals playing</w:t>
            </w:r>
            <w:r w:rsidR="009D111A">
              <w:rPr>
                <w:lang w:val="en-US"/>
              </w:rPr>
              <w:t xml:space="preserve">, among other matters. </w:t>
            </w:r>
            <w:r w:rsidRPr="00C10DE5">
              <w:rPr>
                <w:lang w:val="en-US"/>
              </w:rPr>
              <w:t xml:space="preserve">It would be inappropriate to rely on </w:t>
            </w:r>
            <w:r w:rsidR="00C12777">
              <w:rPr>
                <w:lang w:val="en-US"/>
              </w:rPr>
              <w:t>television</w:t>
            </w:r>
            <w:r w:rsidRPr="00C10DE5">
              <w:rPr>
                <w:lang w:val="en-US"/>
              </w:rPr>
              <w:t xml:space="preserve"> audience measure for a quantitative assessment of impacts. </w:t>
            </w:r>
          </w:p>
        </w:tc>
      </w:tr>
      <w:tr w:rsidR="002F6AF2" w:rsidRPr="00E2232F" w14:paraId="667F2D3C" w14:textId="77777777" w:rsidTr="00300D7F">
        <w:trPr>
          <w:trHeight w:val="530"/>
        </w:trPr>
        <w:tc>
          <w:tcPr>
            <w:cnfStyle w:val="001000000000" w:firstRow="0" w:lastRow="0" w:firstColumn="1" w:lastColumn="0" w:oddVBand="0" w:evenVBand="0" w:oddHBand="0" w:evenHBand="0" w:firstRowFirstColumn="0" w:firstRowLastColumn="0" w:lastRowFirstColumn="0" w:lastRowLastColumn="0"/>
            <w:tcW w:w="1542" w:type="dxa"/>
          </w:tcPr>
          <w:p w14:paraId="4AB99680" w14:textId="3DB3F6E9" w:rsidR="002F6AF2" w:rsidRPr="00C10DE5" w:rsidRDefault="002F6AF2" w:rsidP="000734FC">
            <w:pPr>
              <w:spacing w:after="0"/>
              <w:rPr>
                <w:lang w:val="en-US"/>
              </w:rPr>
            </w:pPr>
            <w:r w:rsidRPr="00C10DE5">
              <w:rPr>
                <w:lang w:val="en-US"/>
              </w:rPr>
              <w:t>Consumption patterns &amp; Consumer attitudes</w:t>
            </w:r>
          </w:p>
        </w:tc>
        <w:tc>
          <w:tcPr>
            <w:tcW w:w="1860" w:type="dxa"/>
          </w:tcPr>
          <w:p w14:paraId="4CCF8A03" w14:textId="1086F60A" w:rsidR="002F6AF2" w:rsidRPr="00C10DE5" w:rsidRDefault="002F6AF2" w:rsidP="000734FC">
            <w:pPr>
              <w:spacing w:after="0"/>
              <w:cnfStyle w:val="000000000000" w:firstRow="0" w:lastRow="0" w:firstColumn="0" w:lastColumn="0" w:oddVBand="0" w:evenVBand="0" w:oddHBand="0" w:evenHBand="0" w:firstRowFirstColumn="0" w:firstRowLastColumn="0" w:lastRowFirstColumn="0" w:lastRowLastColumn="0"/>
              <w:rPr>
                <w:lang w:val="en-US"/>
              </w:rPr>
            </w:pPr>
            <w:r w:rsidRPr="00C10DE5">
              <w:rPr>
                <w:lang w:val="en-US"/>
              </w:rPr>
              <w:t>News media, Research reports, and Department-commissioned surveys</w:t>
            </w:r>
          </w:p>
        </w:tc>
        <w:tc>
          <w:tcPr>
            <w:tcW w:w="6237" w:type="dxa"/>
          </w:tcPr>
          <w:p w14:paraId="50EE62F1" w14:textId="0A0076DA" w:rsidR="002F6AF2" w:rsidRPr="00E2232F" w:rsidRDefault="002F6AF2" w:rsidP="000734FC">
            <w:pPr>
              <w:spacing w:after="0"/>
              <w:cnfStyle w:val="000000000000" w:firstRow="0" w:lastRow="0" w:firstColumn="0" w:lastColumn="0" w:oddVBand="0" w:evenVBand="0" w:oddHBand="0" w:evenHBand="0" w:firstRowFirstColumn="0" w:firstRowLastColumn="0" w:lastRowFirstColumn="0" w:lastRowLastColumn="0"/>
              <w:rPr>
                <w:lang w:val="en-US"/>
              </w:rPr>
            </w:pPr>
            <w:r w:rsidRPr="00C10DE5">
              <w:rPr>
                <w:lang w:val="en-US"/>
              </w:rPr>
              <w:t xml:space="preserve">Consumer behavior is an important consideration for the suitability of reform options to ensure the efficacy of the scheme. Where possible, information about peoples’ use of media and attitudes towards various platforms, sporting events, and sports broadcasting has been used to support the qualitative assessment in this IA. </w:t>
            </w:r>
            <w:r w:rsidR="0040550E" w:rsidRPr="00C10DE5">
              <w:rPr>
                <w:lang w:val="en-US"/>
              </w:rPr>
              <w:t>However, as reform to the scheme will primarily have direct impact on the way that indust</w:t>
            </w:r>
            <w:r w:rsidR="0064244D" w:rsidRPr="00C10DE5">
              <w:rPr>
                <w:lang w:val="en-US"/>
              </w:rPr>
              <w:t>r</w:t>
            </w:r>
            <w:r w:rsidR="0040550E" w:rsidRPr="00C10DE5">
              <w:rPr>
                <w:lang w:val="en-US"/>
              </w:rPr>
              <w:t>y entities (sports bodies and content platforms) negotiate rights deals, it would be inappropriate to rely on consumer behavior as the only quantitative measure of impact.</w:t>
            </w:r>
          </w:p>
        </w:tc>
      </w:tr>
    </w:tbl>
    <w:p w14:paraId="5B23DE5C" w14:textId="45F7311A" w:rsidR="00554EA7" w:rsidRDefault="00554EA7" w:rsidP="00554EA7">
      <w:pPr>
        <w:pStyle w:val="Heading2"/>
      </w:pPr>
      <w:bookmarkStart w:id="132" w:name="_Toc150883278"/>
      <w:bookmarkStart w:id="133" w:name="_Toc151053060"/>
      <w:bookmarkStart w:id="134" w:name="_Hlk147756012"/>
      <w:bookmarkEnd w:id="124"/>
      <w:r>
        <w:t>The scheme</w:t>
      </w:r>
      <w:bookmarkEnd w:id="132"/>
      <w:bookmarkEnd w:id="133"/>
      <w:r>
        <w:t xml:space="preserve"> </w:t>
      </w:r>
    </w:p>
    <w:p w14:paraId="6A3E8FB2" w14:textId="7971AEED" w:rsidR="00A7152B" w:rsidRPr="006E577B" w:rsidRDefault="00554EA7" w:rsidP="00554EA7">
      <w:pPr>
        <w:pStyle w:val="Heading3"/>
      </w:pPr>
      <w:bookmarkStart w:id="135" w:name="_Toc150883279"/>
      <w:bookmarkStart w:id="136" w:name="_Toc151053061"/>
      <w:r>
        <w:t>Model 1:</w:t>
      </w:r>
      <w:r w:rsidR="00A7152B" w:rsidRPr="006E577B">
        <w:t xml:space="preserve"> ‘</w:t>
      </w:r>
      <w:r>
        <w:t>fr</w:t>
      </w:r>
      <w:r w:rsidR="00A7152B" w:rsidRPr="006E577B">
        <w:t>ee-to-view’</w:t>
      </w:r>
      <w:bookmarkEnd w:id="135"/>
      <w:bookmarkEnd w:id="136"/>
      <w:r w:rsidR="00A7152B" w:rsidRPr="006E577B">
        <w:t xml:space="preserve"> </w:t>
      </w:r>
    </w:p>
    <w:p w14:paraId="7D1BA0E9" w14:textId="20451298" w:rsidR="00A7152B" w:rsidRPr="00CA5FD2" w:rsidRDefault="00A7152B" w:rsidP="00554EA7">
      <w:pPr>
        <w:pStyle w:val="Introduction"/>
      </w:pPr>
      <w:r w:rsidRPr="00CA5FD2">
        <w:t>Impact on industry</w:t>
      </w:r>
    </w:p>
    <w:p w14:paraId="36C32DC7" w14:textId="40CF5E4A" w:rsidR="00A7152B" w:rsidRPr="005B1484" w:rsidRDefault="00186821" w:rsidP="005B1484">
      <w:pPr>
        <w:spacing w:after="0"/>
        <w:rPr>
          <w:b/>
        </w:rPr>
      </w:pPr>
      <w:r w:rsidRPr="005B1484">
        <w:rPr>
          <w:b/>
        </w:rPr>
        <w:t>F</w:t>
      </w:r>
      <w:r w:rsidR="0035122C" w:rsidRPr="005B1484">
        <w:rPr>
          <w:b/>
        </w:rPr>
        <w:t>ree</w:t>
      </w:r>
      <w:r w:rsidR="00A7152B" w:rsidRPr="005B1484">
        <w:rPr>
          <w:b/>
        </w:rPr>
        <w:t xml:space="preserve">-to-air </w:t>
      </w:r>
      <w:r w:rsidR="00B80B0E" w:rsidRPr="005B1484">
        <w:rPr>
          <w:b/>
        </w:rPr>
        <w:t>broadcasters</w:t>
      </w:r>
    </w:p>
    <w:p w14:paraId="7D8E173E" w14:textId="27BE3D24" w:rsidR="000F5D79" w:rsidRDefault="008E112D" w:rsidP="000F5D79">
      <w:pPr>
        <w:spacing w:after="0"/>
      </w:pPr>
      <w:r>
        <w:t>The free-to-view model would negatively impact the</w:t>
      </w:r>
      <w:r w:rsidR="000F5D79">
        <w:t xml:space="preserve"> </w:t>
      </w:r>
      <w:bookmarkStart w:id="137" w:name="_Hlk147703905"/>
      <w:r w:rsidR="000F5D79">
        <w:t>free</w:t>
      </w:r>
      <w:r w:rsidR="000F5D79">
        <w:noBreakHyphen/>
        <w:t>to</w:t>
      </w:r>
      <w:r w:rsidR="000F5D79">
        <w:noBreakHyphen/>
        <w:t xml:space="preserve">air </w:t>
      </w:r>
      <w:bookmarkEnd w:id="137"/>
      <w:r w:rsidR="00C12777">
        <w:t>television</w:t>
      </w:r>
      <w:r w:rsidR="00C12777" w:rsidRPr="00C10DE5">
        <w:t xml:space="preserve"> </w:t>
      </w:r>
      <w:r>
        <w:t xml:space="preserve">sector, as </w:t>
      </w:r>
      <w:r w:rsidR="00907BE0">
        <w:t>these broadcasters</w:t>
      </w:r>
      <w:r w:rsidR="000F5D79">
        <w:t xml:space="preserve"> would no longer have the first opportunity to acquire rights to listed events. This </w:t>
      </w:r>
      <w:r w:rsidR="00045A93">
        <w:t xml:space="preserve">would </w:t>
      </w:r>
      <w:r w:rsidR="00354396">
        <w:t>be a significant</w:t>
      </w:r>
      <w:r w:rsidR="000F5D79">
        <w:t xml:space="preserve"> impact on commercial free</w:t>
      </w:r>
      <w:r w:rsidR="000F5D79">
        <w:noBreakHyphen/>
        <w:t>to</w:t>
      </w:r>
      <w:r w:rsidR="000F5D79">
        <w:noBreakHyphen/>
        <w:t xml:space="preserve">air broadcasters, </w:t>
      </w:r>
      <w:r w:rsidR="00045A93">
        <w:t>for whom</w:t>
      </w:r>
      <w:r w:rsidR="00A40D9E">
        <w:t xml:space="preserve"> </w:t>
      </w:r>
      <w:r w:rsidR="000F0C91">
        <w:t>the</w:t>
      </w:r>
      <w:r w:rsidR="000F5D79">
        <w:t xml:space="preserve"> rights</w:t>
      </w:r>
      <w:r w:rsidR="000F0C91">
        <w:t xml:space="preserve"> to televise </w:t>
      </w:r>
      <w:r w:rsidR="000F5D79">
        <w:t xml:space="preserve">sporting </w:t>
      </w:r>
      <w:r w:rsidR="000F0C91">
        <w:t>events</w:t>
      </w:r>
      <w:r w:rsidR="00045A93">
        <w:t xml:space="preserve"> are critical to the</w:t>
      </w:r>
      <w:r w:rsidR="00907BE0">
        <w:t xml:space="preserve">ir respective businesses. </w:t>
      </w:r>
      <w:r w:rsidR="00A25CC0">
        <w:t xml:space="preserve">The free-to-view </w:t>
      </w:r>
      <w:r w:rsidR="000F5D79">
        <w:t xml:space="preserve">model </w:t>
      </w:r>
      <w:r w:rsidR="00851564">
        <w:t>would negatively impact</w:t>
      </w:r>
      <w:r w:rsidR="000F5D79">
        <w:t xml:space="preserve"> their bargaining position</w:t>
      </w:r>
      <w:r w:rsidR="00851564">
        <w:t xml:space="preserve"> in relation to sporting bodies. This may,</w:t>
      </w:r>
      <w:r w:rsidR="000F5D79">
        <w:t xml:space="preserve"> in turn</w:t>
      </w:r>
      <w:r w:rsidR="00907BE0">
        <w:t>, limit their</w:t>
      </w:r>
      <w:r w:rsidR="000F5D79">
        <w:t xml:space="preserve"> ability to acquire listed events.</w:t>
      </w:r>
      <w:r w:rsidR="00C1647C">
        <w:t xml:space="preserve"> </w:t>
      </w:r>
    </w:p>
    <w:p w14:paraId="2319CF61" w14:textId="4145673A" w:rsidR="00C1647C" w:rsidRDefault="00A83926" w:rsidP="000F5D79">
      <w:pPr>
        <w:spacing w:after="0"/>
      </w:pPr>
      <w:r>
        <w:t>N</w:t>
      </w:r>
      <w:r w:rsidR="000F5D79">
        <w:t xml:space="preserve">ational broadcasters </w:t>
      </w:r>
      <w:r>
        <w:t xml:space="preserve">are </w:t>
      </w:r>
      <w:r w:rsidR="00907BE0">
        <w:t>expected to be impacted to a lesser extent, as t</w:t>
      </w:r>
      <w:r>
        <w:t xml:space="preserve">hey have </w:t>
      </w:r>
      <w:r w:rsidR="00751E7F">
        <w:t xml:space="preserve">not </w:t>
      </w:r>
      <w:r w:rsidR="00907BE0">
        <w:t xml:space="preserve">historically </w:t>
      </w:r>
      <w:r w:rsidR="00751E7F">
        <w:t>tended to acquire rights to listed events at the same rate as</w:t>
      </w:r>
      <w:r>
        <w:t xml:space="preserve"> their commercial counterparts (</w:t>
      </w:r>
      <w:r w:rsidR="00751E7F">
        <w:t xml:space="preserve">with </w:t>
      </w:r>
      <w:r>
        <w:t xml:space="preserve">limited </w:t>
      </w:r>
      <w:r w:rsidR="00751E7F">
        <w:t>exceptions like</w:t>
      </w:r>
      <w:r>
        <w:t xml:space="preserve"> </w:t>
      </w:r>
      <w:r w:rsidR="005F0CCA">
        <w:t>SBS’s</w:t>
      </w:r>
      <w:r w:rsidR="0025598E">
        <w:t xml:space="preserve"> </w:t>
      </w:r>
      <w:r w:rsidR="00751E7F">
        <w:t>acquisition of</w:t>
      </w:r>
      <w:r>
        <w:t xml:space="preserve"> </w:t>
      </w:r>
      <w:r w:rsidR="004D3E28">
        <w:t xml:space="preserve">the </w:t>
      </w:r>
      <w:r>
        <w:t xml:space="preserve">FIFA World Cup </w:t>
      </w:r>
      <w:r w:rsidR="0032727B">
        <w:t>(men’s)</w:t>
      </w:r>
      <w:r>
        <w:t xml:space="preserve"> rights).</w:t>
      </w:r>
      <w:r w:rsidR="000F5D79">
        <w:t xml:space="preserve"> However, under the current scheme, </w:t>
      </w:r>
      <w:r w:rsidR="004D3E28">
        <w:t xml:space="preserve">national broadcasters </w:t>
      </w:r>
      <w:r w:rsidR="00907BE0">
        <w:t xml:space="preserve">were afforded a degree of </w:t>
      </w:r>
      <w:r w:rsidR="008E112D">
        <w:t xml:space="preserve">advantage </w:t>
      </w:r>
      <w:r w:rsidR="0047373F">
        <w:t xml:space="preserve">due to </w:t>
      </w:r>
      <w:r w:rsidR="004D3E28">
        <w:t>subscription</w:t>
      </w:r>
      <w:r>
        <w:t xml:space="preserve"> broadcasters being </w:t>
      </w:r>
      <w:r w:rsidR="00751E7F">
        <w:t>un</w:t>
      </w:r>
      <w:r>
        <w:t xml:space="preserve">able to </w:t>
      </w:r>
      <w:r w:rsidR="008E112D">
        <w:t>acquire events while they are on the list</w:t>
      </w:r>
      <w:r w:rsidR="000F5D79">
        <w:t>.</w:t>
      </w:r>
      <w:r w:rsidR="008E112D">
        <w:t xml:space="preserve"> </w:t>
      </w:r>
      <w:r w:rsidR="0047373F">
        <w:t xml:space="preserve">This, combined with their ability to provide extensive exposure, </w:t>
      </w:r>
      <w:r w:rsidR="00907BE0">
        <w:t xml:space="preserve">would </w:t>
      </w:r>
      <w:r w:rsidR="00E80677">
        <w:t xml:space="preserve">advantage </w:t>
      </w:r>
      <w:r w:rsidR="0047373F">
        <w:t>their negotiating position</w:t>
      </w:r>
      <w:r w:rsidR="00751E7F">
        <w:t xml:space="preserve"> </w:t>
      </w:r>
      <w:r w:rsidR="00907BE0">
        <w:t xml:space="preserve">should </w:t>
      </w:r>
      <w:r w:rsidR="00751E7F">
        <w:t>they seek to acquire rights</w:t>
      </w:r>
      <w:r w:rsidR="0047373F">
        <w:t xml:space="preserve">. </w:t>
      </w:r>
      <w:r w:rsidR="00751E7F">
        <w:t>National broadcasters</w:t>
      </w:r>
      <w:r w:rsidR="0047373F">
        <w:t xml:space="preserve"> would lose </w:t>
      </w:r>
      <w:r w:rsidR="00751E7F">
        <w:t>these</w:t>
      </w:r>
      <w:r w:rsidR="0047373F">
        <w:t xml:space="preserve"> advantage</w:t>
      </w:r>
      <w:r w:rsidR="00751E7F">
        <w:t>s</w:t>
      </w:r>
      <w:r w:rsidR="0047373F">
        <w:t xml:space="preserve"> under </w:t>
      </w:r>
      <w:r w:rsidR="00751E7F">
        <w:t>the free-to</w:t>
      </w:r>
      <w:r w:rsidR="00907BE0">
        <w:t>-</w:t>
      </w:r>
      <w:r w:rsidR="00751E7F">
        <w:t>view</w:t>
      </w:r>
      <w:r w:rsidR="0047373F">
        <w:t xml:space="preserve"> model. </w:t>
      </w:r>
      <w:r w:rsidR="00C1647C" w:rsidRPr="00C10DE5">
        <w:t>Because of the commercial sensitivit</w:t>
      </w:r>
      <w:r w:rsidR="00377F43">
        <w:t>ies</w:t>
      </w:r>
      <w:r w:rsidR="00C1647C" w:rsidRPr="00C10DE5">
        <w:t xml:space="preserve"> of negotiating rights deals, these opportunity costs cannot be quantified. </w:t>
      </w:r>
    </w:p>
    <w:p w14:paraId="161E6FD4" w14:textId="2E3143AF" w:rsidR="000D4409" w:rsidRDefault="00751E7F" w:rsidP="000F5D79">
      <w:pPr>
        <w:spacing w:after="0"/>
      </w:pPr>
      <w:r>
        <w:t xml:space="preserve">Due </w:t>
      </w:r>
      <w:r w:rsidR="0047373F">
        <w:t>to</w:t>
      </w:r>
      <w:r>
        <w:t xml:space="preserve"> the imposition of requirements </w:t>
      </w:r>
      <w:r w:rsidR="0047373F">
        <w:t>to show listed events live, in full, free, and on a broadly available platform</w:t>
      </w:r>
      <w:r>
        <w:t>, f</w:t>
      </w:r>
      <w:r w:rsidR="0047373F">
        <w:t>ree</w:t>
      </w:r>
      <w:r w:rsidR="0047373F">
        <w:noBreakHyphen/>
        <w:t>to</w:t>
      </w:r>
      <w:r w:rsidR="0047373F">
        <w:noBreakHyphen/>
        <w:t xml:space="preserve">air broadcasters would also be subject to </w:t>
      </w:r>
      <w:r w:rsidR="00907BE0">
        <w:t>new and novel</w:t>
      </w:r>
      <w:r w:rsidR="0047373F">
        <w:t xml:space="preserve"> obligations </w:t>
      </w:r>
      <w:r>
        <w:t xml:space="preserve">under </w:t>
      </w:r>
      <w:r w:rsidR="0068164E">
        <w:t>the</w:t>
      </w:r>
      <w:r>
        <w:t xml:space="preserve"> scheme</w:t>
      </w:r>
      <w:r w:rsidR="0047373F">
        <w:t>. The free</w:t>
      </w:r>
      <w:r w:rsidR="0047373F">
        <w:noBreakHyphen/>
        <w:t>to</w:t>
      </w:r>
      <w:r w:rsidR="0047373F">
        <w:noBreakHyphen/>
        <w:t>air business model is</w:t>
      </w:r>
      <w:r w:rsidR="000D20CC">
        <w:t>,</w:t>
      </w:r>
      <w:r w:rsidR="0047373F">
        <w:t xml:space="preserve"> by definition</w:t>
      </w:r>
      <w:r w:rsidR="000D20CC">
        <w:t>,</w:t>
      </w:r>
      <w:r w:rsidR="0047373F">
        <w:t xml:space="preserve"> free</w:t>
      </w:r>
      <w:r w:rsidR="004E61F0">
        <w:t>, and t</w:t>
      </w:r>
      <w:r w:rsidR="0047373F">
        <w:t xml:space="preserve">heir broadcasting services and BVOD </w:t>
      </w:r>
      <w:r w:rsidR="004E61F0">
        <w:t>apps</w:t>
      </w:r>
      <w:r w:rsidR="0047373F">
        <w:t xml:space="preserve"> are already broadly available. However, they would be subject to the ‘live’ and ‘</w:t>
      </w:r>
      <w:r w:rsidR="004D3E28">
        <w:t xml:space="preserve">in full’ </w:t>
      </w:r>
      <w:r w:rsidR="0047373F">
        <w:t>requirements</w:t>
      </w:r>
      <w:r w:rsidR="00907BE0">
        <w:t xml:space="preserve">. </w:t>
      </w:r>
      <w:r w:rsidR="009C50E2">
        <w:t>T</w:t>
      </w:r>
      <w:r w:rsidR="005024F7">
        <w:t xml:space="preserve">here was no evidence presented through the </w:t>
      </w:r>
      <w:r w:rsidR="009C50E2">
        <w:t xml:space="preserve">review </w:t>
      </w:r>
      <w:r w:rsidR="005024F7">
        <w:t xml:space="preserve">of the anti-siphoning </w:t>
      </w:r>
      <w:r w:rsidR="009C50E2">
        <w:t xml:space="preserve">scheme </w:t>
      </w:r>
      <w:r w:rsidR="005024F7">
        <w:t xml:space="preserve">to suggest that free-to-air broadcasters were ‘hoarding’ the rights to listed events. This reflects the strong commercial incentive for broadcasters to fully exploit the rights </w:t>
      </w:r>
      <w:r w:rsidR="00A50DDA">
        <w:t>that</w:t>
      </w:r>
      <w:r w:rsidR="005024F7">
        <w:t xml:space="preserve"> they have acquired (typically at significant cost). Therefore, the impact of the regulatory obligations</w:t>
      </w:r>
      <w:r w:rsidR="009D111A">
        <w:t xml:space="preserve">, including compliance costs, </w:t>
      </w:r>
      <w:r>
        <w:t xml:space="preserve">would </w:t>
      </w:r>
      <w:r w:rsidR="005024F7">
        <w:t xml:space="preserve">not </w:t>
      </w:r>
      <w:r>
        <w:t xml:space="preserve">be </w:t>
      </w:r>
      <w:r w:rsidR="005024F7">
        <w:t>expected to be substantial.</w:t>
      </w:r>
      <w:r w:rsidR="000D4409">
        <w:t xml:space="preserve"> </w:t>
      </w:r>
    </w:p>
    <w:p w14:paraId="781A8C41" w14:textId="76463597" w:rsidR="000D20CC" w:rsidRPr="00C10DE5" w:rsidRDefault="00EC15AE" w:rsidP="00D61250">
      <w:pPr>
        <w:spacing w:after="0"/>
      </w:pPr>
      <w:r w:rsidRPr="00C10DE5">
        <w:t xml:space="preserve">Conversely, the </w:t>
      </w:r>
      <w:r w:rsidR="00B32AAE">
        <w:t>effective</w:t>
      </w:r>
      <w:r w:rsidR="000D20CC" w:rsidRPr="00C10DE5">
        <w:t xml:space="preserve"> removal of the regulation of the acquisition of the rights to listed events under this model could be expected to have an impact on </w:t>
      </w:r>
      <w:r w:rsidR="00C60E36" w:rsidRPr="00C10DE5">
        <w:t>free-to-air broadcasters</w:t>
      </w:r>
      <w:r w:rsidR="000D20CC" w:rsidRPr="00C10DE5">
        <w:t xml:space="preserve">, although the quantum of this impact is </w:t>
      </w:r>
      <w:r w:rsidR="002037CB" w:rsidRPr="00C10DE5">
        <w:t xml:space="preserve">difficult to discern. </w:t>
      </w:r>
      <w:r w:rsidR="00E32DB7" w:rsidRPr="00C10DE5">
        <w:t>T</w:t>
      </w:r>
      <w:r w:rsidR="000D20CC" w:rsidRPr="00C10DE5">
        <w:t xml:space="preserve">hrough the review process, free-to-air broadcasters argued that the effective removal of the current scheme would </w:t>
      </w:r>
      <w:r w:rsidR="00E32DB7" w:rsidRPr="00C10DE5">
        <w:t xml:space="preserve">lead to the </w:t>
      </w:r>
      <w:r w:rsidR="000D20CC" w:rsidRPr="00C10DE5">
        <w:t>‘</w:t>
      </w:r>
      <w:r w:rsidR="00E32DB7" w:rsidRPr="00C10DE5">
        <w:t>cherry picking</w:t>
      </w:r>
      <w:r w:rsidR="000D20CC" w:rsidRPr="00C10DE5">
        <w:t>’</w:t>
      </w:r>
      <w:r w:rsidR="00E32DB7" w:rsidRPr="00C10DE5">
        <w:t xml:space="preserve"> of digital rights</w:t>
      </w:r>
      <w:r w:rsidR="000D20CC" w:rsidRPr="00C10DE5">
        <w:t xml:space="preserve"> </w:t>
      </w:r>
      <w:r w:rsidR="00E32DB7" w:rsidRPr="00C10DE5">
        <w:t>by online content service</w:t>
      </w:r>
      <w:r w:rsidR="000D20CC" w:rsidRPr="00C10DE5">
        <w:t>s</w:t>
      </w:r>
      <w:r w:rsidR="00E32DB7" w:rsidRPr="00C10DE5">
        <w:t xml:space="preserve">, which would threaten the long-term sustainability of </w:t>
      </w:r>
      <w:r w:rsidR="000D20CC" w:rsidRPr="00C10DE5">
        <w:t xml:space="preserve">free-to-air services given the importance of sports rights to the free-to-air business model. They argued that there </w:t>
      </w:r>
      <w:r w:rsidR="00E32DB7" w:rsidRPr="00C10DE5">
        <w:t xml:space="preserve">is a power imbalance between </w:t>
      </w:r>
      <w:r w:rsidR="000D20CC" w:rsidRPr="00C10DE5">
        <w:t>the free-to-air</w:t>
      </w:r>
      <w:r w:rsidR="00E32DB7" w:rsidRPr="00C10DE5">
        <w:t xml:space="preserve"> networks and “well-funded” online content service providers, which </w:t>
      </w:r>
      <w:r w:rsidR="000D20CC" w:rsidRPr="00C10DE5">
        <w:t xml:space="preserve">would </w:t>
      </w:r>
      <w:r w:rsidR="00E32DB7" w:rsidRPr="00C10DE5">
        <w:t xml:space="preserve">leave </w:t>
      </w:r>
      <w:r w:rsidR="000D20CC" w:rsidRPr="00C10DE5">
        <w:t xml:space="preserve">free-to-air broadcasters to acquire </w:t>
      </w:r>
      <w:r w:rsidR="00E32DB7" w:rsidRPr="00C10DE5">
        <w:t xml:space="preserve">what is left after the events on </w:t>
      </w:r>
      <w:r w:rsidR="00613091">
        <w:t xml:space="preserve">the </w:t>
      </w:r>
      <w:r w:rsidR="00E32DB7" w:rsidRPr="00C10DE5">
        <w:t>list have been picked by other providers.</w:t>
      </w:r>
      <w:r w:rsidR="00E32DB7" w:rsidRPr="00C10DE5">
        <w:rPr>
          <w:rStyle w:val="FootnoteReference"/>
        </w:rPr>
        <w:footnoteReference w:id="85"/>
      </w:r>
      <w:r w:rsidR="00E32DB7" w:rsidRPr="00C10DE5">
        <w:t xml:space="preserve"> </w:t>
      </w:r>
    </w:p>
    <w:p w14:paraId="0B7FEB23" w14:textId="6A7F772F" w:rsidR="004E3BEC" w:rsidRDefault="00E32DB7" w:rsidP="00D61250">
      <w:pPr>
        <w:spacing w:after="0"/>
      </w:pPr>
      <w:r w:rsidRPr="00C10DE5">
        <w:t>By contrast, t</w:t>
      </w:r>
      <w:r w:rsidR="002037CB" w:rsidRPr="00C10DE5">
        <w:t xml:space="preserve">he 2009 PC report found that for </w:t>
      </w:r>
      <w:r w:rsidR="000D20CC" w:rsidRPr="00C10DE5">
        <w:t>events</w:t>
      </w:r>
      <w:r w:rsidR="002037CB" w:rsidRPr="00C10DE5">
        <w:t xml:space="preserve"> that are likely to attract large audiences, free-to-air broadcasters would be in a strong position to acquire rights</w:t>
      </w:r>
      <w:r w:rsidR="000D20CC" w:rsidRPr="00C10DE5">
        <w:t>,</w:t>
      </w:r>
      <w:r w:rsidR="002037CB" w:rsidRPr="00C10DE5">
        <w:t xml:space="preserve"> even without the protection of the scheme.</w:t>
      </w:r>
      <w:r w:rsidR="002037CB" w:rsidRPr="00C10DE5">
        <w:rPr>
          <w:vertAlign w:val="superscript"/>
        </w:rPr>
        <w:footnoteReference w:id="86"/>
      </w:r>
      <w:r w:rsidR="002037CB" w:rsidRPr="00C10DE5">
        <w:t xml:space="preserve"> </w:t>
      </w:r>
      <w:r w:rsidRPr="00C10DE5">
        <w:t xml:space="preserve">While </w:t>
      </w:r>
      <w:r w:rsidR="000D20CC" w:rsidRPr="00C10DE5">
        <w:t xml:space="preserve">this model would also require entities to adhere to coverage and availability </w:t>
      </w:r>
      <w:r w:rsidRPr="00C10DE5">
        <w:t>obligations</w:t>
      </w:r>
      <w:r w:rsidR="000D20CC" w:rsidRPr="00C10DE5">
        <w:t xml:space="preserve">, </w:t>
      </w:r>
      <w:r w:rsidRPr="00C10DE5">
        <w:t xml:space="preserve">this analysis </w:t>
      </w:r>
      <w:r w:rsidR="000D20CC" w:rsidRPr="00C10DE5">
        <w:t>is likely to carry some</w:t>
      </w:r>
      <w:r w:rsidRPr="00C10DE5">
        <w:t xml:space="preserve"> weigh</w:t>
      </w:r>
      <w:r w:rsidR="000D20CC" w:rsidRPr="00C10DE5">
        <w:t>t</w:t>
      </w:r>
      <w:r w:rsidRPr="00C10DE5">
        <w:t xml:space="preserve"> </w:t>
      </w:r>
      <w:r w:rsidR="000D20CC" w:rsidRPr="00C10DE5">
        <w:t xml:space="preserve">even if the </w:t>
      </w:r>
      <w:r w:rsidRPr="00C10DE5">
        <w:t>acquisition rule w</w:t>
      </w:r>
      <w:r w:rsidR="000D20CC" w:rsidRPr="00C10DE5">
        <w:t xml:space="preserve">ere to be </w:t>
      </w:r>
      <w:r w:rsidRPr="00C10DE5">
        <w:t>removed.</w:t>
      </w:r>
    </w:p>
    <w:p w14:paraId="6E76EFAD" w14:textId="2A6FDE01" w:rsidR="00D61250" w:rsidRPr="00D61250" w:rsidRDefault="00186821" w:rsidP="00D61250">
      <w:pPr>
        <w:spacing w:after="0"/>
        <w:rPr>
          <w:b/>
        </w:rPr>
      </w:pPr>
      <w:r w:rsidRPr="00D61250">
        <w:rPr>
          <w:b/>
        </w:rPr>
        <w:t>S</w:t>
      </w:r>
      <w:r w:rsidR="00A7152B" w:rsidRPr="00D61250">
        <w:rPr>
          <w:b/>
        </w:rPr>
        <w:t>ubscription television and streaming services</w:t>
      </w:r>
    </w:p>
    <w:p w14:paraId="43D7B195" w14:textId="64B2EF27" w:rsidR="00D44A22" w:rsidRDefault="00301D86" w:rsidP="00A7152B">
      <w:pPr>
        <w:spacing w:after="120"/>
      </w:pPr>
      <w:r>
        <w:t xml:space="preserve">Subscription television services </w:t>
      </w:r>
      <w:r w:rsidR="003F5DB1">
        <w:t xml:space="preserve">would benefit from the </w:t>
      </w:r>
      <w:r w:rsidR="00A0758D">
        <w:t>adoption of the free-to-view model</w:t>
      </w:r>
      <w:r w:rsidR="003F5DB1">
        <w:t xml:space="preserve">. </w:t>
      </w:r>
      <w:r w:rsidR="003321D9">
        <w:t>Currently</w:t>
      </w:r>
      <w:r w:rsidR="00A0758D">
        <w:t>,</w:t>
      </w:r>
      <w:r w:rsidR="003321D9">
        <w:t xml:space="preserve"> s</w:t>
      </w:r>
      <w:r w:rsidR="00A7152B" w:rsidRPr="009457BF">
        <w:t>ubscription television broadcasting licensees</w:t>
      </w:r>
      <w:r w:rsidR="003321D9">
        <w:t xml:space="preserve"> are restricted from acquiring listed events (until they are delisted). </w:t>
      </w:r>
      <w:r w:rsidR="00D44A22">
        <w:t>The removal of any acquisition restriction, combined</w:t>
      </w:r>
      <w:r w:rsidR="003F5DB1">
        <w:t xml:space="preserve"> with the streamlined </w:t>
      </w:r>
      <w:r w:rsidR="009C50E2">
        <w:t>list (</w:t>
      </w:r>
      <w:r w:rsidR="003F5DB1">
        <w:t>Option 1</w:t>
      </w:r>
      <w:r w:rsidR="009C50E2">
        <w:t>)</w:t>
      </w:r>
      <w:r w:rsidR="003F5DB1">
        <w:t xml:space="preserve">, </w:t>
      </w:r>
      <w:r w:rsidR="00D44A22">
        <w:t>would</w:t>
      </w:r>
      <w:r w:rsidR="00EA4993">
        <w:t xml:space="preserve"> </w:t>
      </w:r>
      <w:r w:rsidR="00D44A22">
        <w:t>allow them to acquire rights to televise listed events at any time</w:t>
      </w:r>
      <w:r w:rsidR="00A7152B" w:rsidRPr="009457BF">
        <w:t>.</w:t>
      </w:r>
      <w:r w:rsidR="00D44A22">
        <w:t xml:space="preserve"> This would be </w:t>
      </w:r>
      <w:r w:rsidR="00993A0A">
        <w:t xml:space="preserve">expected to have provide a </w:t>
      </w:r>
      <w:r w:rsidR="00D44A22">
        <w:t xml:space="preserve">significant commercial benefit for subscription </w:t>
      </w:r>
      <w:r w:rsidR="007F1059">
        <w:t xml:space="preserve">television </w:t>
      </w:r>
      <w:r w:rsidR="00D44A22">
        <w:t>broadcasters.</w:t>
      </w:r>
      <w:r w:rsidR="001B0241">
        <w:t xml:space="preserve"> </w:t>
      </w:r>
    </w:p>
    <w:p w14:paraId="06E28717" w14:textId="7D60D431" w:rsidR="00A7152B" w:rsidRPr="009457BF" w:rsidRDefault="00E62A6B" w:rsidP="00A7152B">
      <w:pPr>
        <w:spacing w:after="120"/>
      </w:pPr>
      <w:r>
        <w:t>However, this model also imposes regulatory obligations</w:t>
      </w:r>
      <w:r w:rsidR="004C5AED">
        <w:t xml:space="preserve"> </w:t>
      </w:r>
      <w:r w:rsidR="009C50E2">
        <w:t>on</w:t>
      </w:r>
      <w:r w:rsidR="003321D9">
        <w:t xml:space="preserve"> </w:t>
      </w:r>
      <w:r w:rsidR="008E2A70">
        <w:t>subscription television broadcasting services</w:t>
      </w:r>
      <w:r w:rsidR="009C50E2">
        <w:t xml:space="preserve"> as they would </w:t>
      </w:r>
      <w:r w:rsidR="008E2A70">
        <w:t>have to comply with</w:t>
      </w:r>
      <w:r w:rsidR="00546B09">
        <w:t xml:space="preserve"> </w:t>
      </w:r>
      <w:r w:rsidR="009C50E2">
        <w:t xml:space="preserve">live, in full, and free obligations for their online services for the first time. </w:t>
      </w:r>
      <w:r w:rsidR="00561835">
        <w:t>T</w:t>
      </w:r>
      <w:r w:rsidR="009C50E2">
        <w:t>his is not expected to be onerous, as subscription broadcasters also have an incentive to fully exploit the rights that they have acquired at significant expense.</w:t>
      </w:r>
    </w:p>
    <w:p w14:paraId="6C10DD03" w14:textId="0B00A12F" w:rsidR="000D20CC" w:rsidRDefault="008E2A70" w:rsidP="006B53EE">
      <w:pPr>
        <w:spacing w:after="0"/>
      </w:pPr>
      <w:r w:rsidRPr="009457BF">
        <w:t>The free-to-view model would extend regulatory obligations to content service providers that are not currently subject to the scheme, such as streaming services.</w:t>
      </w:r>
      <w:r>
        <w:t xml:space="preserve"> </w:t>
      </w:r>
      <w:r w:rsidR="00523F3F">
        <w:t>For these firms,</w:t>
      </w:r>
      <w:r>
        <w:t xml:space="preserve"> </w:t>
      </w:r>
      <w:r w:rsidR="00746B29">
        <w:t xml:space="preserve">complying with the regulatory obligations would </w:t>
      </w:r>
      <w:r w:rsidR="007F1059">
        <w:t>have a</w:t>
      </w:r>
      <w:r>
        <w:t xml:space="preserve"> significant </w:t>
      </w:r>
      <w:r w:rsidR="00746B29">
        <w:t>impost, particularly the requirement for ‘free’</w:t>
      </w:r>
      <w:r w:rsidR="002D68A8">
        <w:t xml:space="preserve">. </w:t>
      </w:r>
      <w:r w:rsidR="006B53EE">
        <w:t xml:space="preserve">However, some online subscription </w:t>
      </w:r>
      <w:r w:rsidR="007F1059">
        <w:t>service</w:t>
      </w:r>
      <w:r w:rsidR="006B53EE">
        <w:t xml:space="preserve"> providers do </w:t>
      </w:r>
      <w:r w:rsidR="004E3720">
        <w:t xml:space="preserve">provide </w:t>
      </w:r>
      <w:r w:rsidR="006B53EE">
        <w:t xml:space="preserve">free content </w:t>
      </w:r>
      <w:r w:rsidR="004E3720">
        <w:t>as part of</w:t>
      </w:r>
      <w:r w:rsidR="00CE5560">
        <w:t xml:space="preserve"> </w:t>
      </w:r>
      <w:r w:rsidR="006B53EE">
        <w:t>their business model.</w:t>
      </w:r>
      <w:r w:rsidR="00142ED1">
        <w:rPr>
          <w:rStyle w:val="FootnoteReference"/>
        </w:rPr>
        <w:footnoteReference w:id="87"/>
      </w:r>
      <w:r w:rsidR="00F85521">
        <w:t xml:space="preserve"> </w:t>
      </w:r>
      <w:r w:rsidR="006B53EE">
        <w:t>For example, Kayo offers free content on ‘Kayo Freeb</w:t>
      </w:r>
      <w:r w:rsidR="00B71FE9">
        <w:t>i</w:t>
      </w:r>
      <w:r w:rsidR="006B53EE">
        <w:t>es’</w:t>
      </w:r>
      <w:r w:rsidR="006B53EE">
        <w:rPr>
          <w:rStyle w:val="FootnoteReference"/>
        </w:rPr>
        <w:footnoteReference w:id="88"/>
      </w:r>
      <w:r w:rsidR="006B53EE">
        <w:t xml:space="preserve">, and Optus Sport provided free coverage of 11 matches of the </w:t>
      </w:r>
      <w:r w:rsidR="00993A0A">
        <w:t xml:space="preserve">2023 </w:t>
      </w:r>
      <w:r w:rsidR="006B53EE">
        <w:t>FIFA Women’s World Cup</w:t>
      </w:r>
      <w:r w:rsidR="007B46F8">
        <w:t>.</w:t>
      </w:r>
      <w:r w:rsidR="006B53EE">
        <w:rPr>
          <w:rStyle w:val="FootnoteReference"/>
        </w:rPr>
        <w:footnoteReference w:id="89"/>
      </w:r>
      <w:r w:rsidR="006B53EE">
        <w:t xml:space="preserve"> These providers would </w:t>
      </w:r>
      <w:r w:rsidR="00993A0A">
        <w:t xml:space="preserve">be expected to </w:t>
      </w:r>
      <w:r w:rsidR="006B53EE">
        <w:t>receive a significant benefit from being able to acquire coverage rights to listed events</w:t>
      </w:r>
      <w:r w:rsidR="009C50E2">
        <w:t xml:space="preserve"> without restriction under the scheme</w:t>
      </w:r>
      <w:r w:rsidR="006B53EE">
        <w:t>, should they succeed in acquiring them.</w:t>
      </w:r>
      <w:r w:rsidR="00D33FD6">
        <w:t xml:space="preserve"> </w:t>
      </w:r>
    </w:p>
    <w:p w14:paraId="0CDADA12" w14:textId="736525E0" w:rsidR="006B53EE" w:rsidRDefault="000D20CC" w:rsidP="006B53EE">
      <w:pPr>
        <w:spacing w:after="0"/>
      </w:pPr>
      <w:r w:rsidRPr="00C10DE5">
        <w:t>While t</w:t>
      </w:r>
      <w:r w:rsidR="00D33FD6" w:rsidRPr="00C10DE5">
        <w:t xml:space="preserve">hese variables are not possible to quantify, this </w:t>
      </w:r>
      <w:r w:rsidR="0032727B">
        <w:t>model</w:t>
      </w:r>
      <w:r w:rsidR="00D33FD6" w:rsidRPr="00C10DE5">
        <w:t xml:space="preserve"> is likely to impose le</w:t>
      </w:r>
      <w:r w:rsidR="0082002C">
        <w:t>ss</w:t>
      </w:r>
      <w:r w:rsidR="00D33FD6" w:rsidRPr="00C10DE5">
        <w:t xml:space="preserve"> burden </w:t>
      </w:r>
      <w:r w:rsidR="00FC0C6C" w:rsidRPr="00C10DE5">
        <w:t xml:space="preserve">on </w:t>
      </w:r>
      <w:r w:rsidR="00FC0C6C">
        <w:t>s</w:t>
      </w:r>
      <w:r w:rsidR="00FC0C6C" w:rsidRPr="00FC0C6C">
        <w:t>ubscription television and streaming services</w:t>
      </w:r>
      <w:r w:rsidR="00FC0C6C">
        <w:t xml:space="preserve"> </w:t>
      </w:r>
      <w:r w:rsidR="0082002C">
        <w:t>than the broadcasting safety net and free-to-air first models (Models 2 and</w:t>
      </w:r>
      <w:r w:rsidR="00FC0C6C">
        <w:t> </w:t>
      </w:r>
      <w:r w:rsidR="0082002C">
        <w:t>3),</w:t>
      </w:r>
      <w:r w:rsidR="0082002C" w:rsidRPr="00C10DE5">
        <w:t xml:space="preserve"> </w:t>
      </w:r>
      <w:r w:rsidR="00D33FD6" w:rsidRPr="00C10DE5">
        <w:t>provided it is coupled with a reduction in the list. This is demonstrated by the submissions from Foxtel and Optus to the proposals paper which flag</w:t>
      </w:r>
      <w:r w:rsidRPr="00C10DE5">
        <w:t>ged</w:t>
      </w:r>
      <w:r w:rsidR="00D33FD6" w:rsidRPr="00C10DE5">
        <w:t xml:space="preserve"> the free</w:t>
      </w:r>
      <w:r w:rsidR="00561835">
        <w:noBreakHyphen/>
      </w:r>
      <w:r w:rsidR="00D33FD6" w:rsidRPr="00C10DE5">
        <w:t>to</w:t>
      </w:r>
      <w:r w:rsidR="00561835">
        <w:noBreakHyphen/>
      </w:r>
      <w:r w:rsidR="00D33FD6" w:rsidRPr="00C10DE5">
        <w:t>view model as their preferred option.</w:t>
      </w:r>
      <w:r w:rsidR="00142ED1" w:rsidRPr="00C10DE5">
        <w:t xml:space="preserve"> The Optus submission </w:t>
      </w:r>
      <w:r w:rsidRPr="00C10DE5">
        <w:t>argued that</w:t>
      </w:r>
      <w:r w:rsidR="00142ED1" w:rsidRPr="00C10DE5">
        <w:t xml:space="preserve"> the free-to-view model achieves the benefits of a competitive open market rights process.</w:t>
      </w:r>
      <w:r w:rsidR="00142ED1" w:rsidRPr="00C10DE5">
        <w:rPr>
          <w:rStyle w:val="FootnoteReference"/>
        </w:rPr>
        <w:t xml:space="preserve"> </w:t>
      </w:r>
      <w:r w:rsidR="00142ED1" w:rsidRPr="00C10DE5">
        <w:rPr>
          <w:rStyle w:val="FootnoteReference"/>
        </w:rPr>
        <w:footnoteReference w:id="90"/>
      </w:r>
      <w:r w:rsidR="00142ED1">
        <w:t xml:space="preserve"> </w:t>
      </w:r>
    </w:p>
    <w:p w14:paraId="32AF66AC" w14:textId="6066C360" w:rsidR="00D61250" w:rsidRPr="00D61250" w:rsidRDefault="00186821" w:rsidP="00D61250">
      <w:pPr>
        <w:spacing w:after="0"/>
        <w:rPr>
          <w:b/>
        </w:rPr>
      </w:pPr>
      <w:r w:rsidRPr="00D61250">
        <w:rPr>
          <w:b/>
        </w:rPr>
        <w:t>S</w:t>
      </w:r>
      <w:r w:rsidR="00A7152B" w:rsidRPr="00D61250">
        <w:rPr>
          <w:b/>
        </w:rPr>
        <w:t xml:space="preserve">porting bodies </w:t>
      </w:r>
    </w:p>
    <w:p w14:paraId="42DCCC9F" w14:textId="77777777" w:rsidR="00A7152B" w:rsidRDefault="00A7152B" w:rsidP="00A7152B">
      <w:pPr>
        <w:spacing w:after="0"/>
      </w:pPr>
      <w:r>
        <w:t xml:space="preserve">Sporting bodies would benefit from this model (in comparison to the existing scheme). </w:t>
      </w:r>
      <w:r w:rsidRPr="00044F30">
        <w:t xml:space="preserve">By targeting the coverage outcome, rather than the preceding acquisition of rights, this model would place no </w:t>
      </w:r>
      <w:r>
        <w:t>restrictions</w:t>
      </w:r>
      <w:r w:rsidRPr="00044F30">
        <w:t xml:space="preserve"> on the ability of sports bodies to </w:t>
      </w:r>
      <w:r>
        <w:t>sell</w:t>
      </w:r>
      <w:r w:rsidRPr="00044F30">
        <w:t xml:space="preserve"> their </w:t>
      </w:r>
      <w:r>
        <w:t xml:space="preserve">media </w:t>
      </w:r>
      <w:r w:rsidRPr="00044F30">
        <w:t>rights.</w:t>
      </w:r>
      <w:r>
        <w:t xml:space="preserve"> </w:t>
      </w:r>
    </w:p>
    <w:p w14:paraId="307B7978" w14:textId="214068F1" w:rsidR="00142ED1" w:rsidRDefault="00A7152B" w:rsidP="00A7152B">
      <w:pPr>
        <w:spacing w:after="0"/>
      </w:pPr>
      <w:r>
        <w:t xml:space="preserve">However, the limitations imposed by this model on the acquiring content service providers (live, in full, free, </w:t>
      </w:r>
      <w:r w:rsidR="00D708C4">
        <w:t xml:space="preserve">via a </w:t>
      </w:r>
      <w:r>
        <w:t xml:space="preserve">broadly available platform), </w:t>
      </w:r>
      <w:r w:rsidR="009C50E2">
        <w:t xml:space="preserve">may </w:t>
      </w:r>
      <w:r>
        <w:t>impact sporting bodies</w:t>
      </w:r>
      <w:r w:rsidR="009C50E2">
        <w:t xml:space="preserve"> to the extent that it </w:t>
      </w:r>
      <w:r w:rsidR="00861CD4">
        <w:t xml:space="preserve">may </w:t>
      </w:r>
      <w:r w:rsidR="009C50E2">
        <w:t>require them to ma</w:t>
      </w:r>
      <w:r w:rsidR="00D708C4">
        <w:t>k</w:t>
      </w:r>
      <w:r w:rsidR="009C50E2">
        <w:t>e certain rights available to content service providers</w:t>
      </w:r>
      <w:r>
        <w:t xml:space="preserve">. </w:t>
      </w:r>
      <w:r w:rsidR="00D708C4">
        <w:t xml:space="preserve">This is likely to be the case for streaming services that predominantly operate on a subscription-based </w:t>
      </w:r>
      <w:r w:rsidR="008B49EC">
        <w:t xml:space="preserve">business </w:t>
      </w:r>
      <w:r w:rsidR="00D708C4">
        <w:t xml:space="preserve">model, rather than advertising-based. To the extent that the ‘free’ requirement impacts on the demand for rights by pay-based streaming services, this may impact on the ability of sports bodies to maximise the revenue from the sale of rights. </w:t>
      </w:r>
    </w:p>
    <w:p w14:paraId="5D602FC5" w14:textId="4954B6BF" w:rsidR="009A537C" w:rsidRDefault="00D33FD6" w:rsidP="00A7152B">
      <w:pPr>
        <w:spacing w:after="0"/>
      </w:pPr>
      <w:r w:rsidRPr="00C10DE5">
        <w:t xml:space="preserve">As with subscription television and streaming services, this option is likely to impose the least burden on these sporting bodies – provided it is coupled with a reduction in the list. </w:t>
      </w:r>
      <w:r w:rsidR="00142ED1" w:rsidRPr="00C10DE5">
        <w:t>T</w:t>
      </w:r>
      <w:r w:rsidRPr="00C10DE5">
        <w:t>h</w:t>
      </w:r>
      <w:r w:rsidR="00142ED1" w:rsidRPr="00C10DE5">
        <w:t>e Coalition of Major Professional and Participation Sports (COMPPS) submission</w:t>
      </w:r>
      <w:r w:rsidR="000D20CC" w:rsidRPr="00C10DE5">
        <w:t xml:space="preserve"> to the proposals paper argued</w:t>
      </w:r>
      <w:r w:rsidR="009A537C" w:rsidRPr="00C10DE5">
        <w:t xml:space="preserve"> th</w:t>
      </w:r>
      <w:r w:rsidR="00051214" w:rsidRPr="00C10DE5">
        <w:t>at</w:t>
      </w:r>
      <w:r w:rsidRPr="00C10DE5">
        <w:t xml:space="preserve"> </w:t>
      </w:r>
      <w:r w:rsidR="00051214" w:rsidRPr="00C10DE5">
        <w:t xml:space="preserve">the scheme is anti-competitive and not necessary to protect the interests of the Australian public, but goes onto state that the </w:t>
      </w:r>
      <w:r w:rsidRPr="00C10DE5">
        <w:t xml:space="preserve">free-to-view model </w:t>
      </w:r>
      <w:r w:rsidR="009A537C" w:rsidRPr="00C10DE5">
        <w:t>was</w:t>
      </w:r>
      <w:r w:rsidRPr="00C10DE5">
        <w:t xml:space="preserve"> their preferred option</w:t>
      </w:r>
      <w:r w:rsidR="000D20CC" w:rsidRPr="00C10DE5">
        <w:t xml:space="preserve">, </w:t>
      </w:r>
      <w:r w:rsidR="00142ED1" w:rsidRPr="00C10DE5">
        <w:t>contingent upon a reduced list</w:t>
      </w:r>
      <w:r w:rsidRPr="00C10DE5">
        <w:t>.</w:t>
      </w:r>
      <w:r w:rsidRPr="00C10DE5">
        <w:rPr>
          <w:rStyle w:val="FootnoteReference"/>
        </w:rPr>
        <w:footnoteReference w:id="91"/>
      </w:r>
      <w:r w:rsidR="009A537C">
        <w:t xml:space="preserve"> </w:t>
      </w:r>
    </w:p>
    <w:p w14:paraId="7D32FFA4" w14:textId="14E71748" w:rsidR="00A7152B" w:rsidRPr="00483B39" w:rsidRDefault="00A7152B" w:rsidP="00554EA7">
      <w:pPr>
        <w:pStyle w:val="Introduction"/>
      </w:pPr>
      <w:bookmarkStart w:id="138" w:name="_Hlk149574805"/>
      <w:r w:rsidRPr="00483B39">
        <w:t>Impact on</w:t>
      </w:r>
      <w:r w:rsidR="00D04990">
        <w:rPr>
          <w:lang w:val="en-AU"/>
        </w:rPr>
        <w:t xml:space="preserve"> Australian </w:t>
      </w:r>
      <w:r w:rsidRPr="00483B39">
        <w:t xml:space="preserve">consumers </w:t>
      </w:r>
    </w:p>
    <w:p w14:paraId="49BF8F2C" w14:textId="77777777" w:rsidR="00A7152B" w:rsidRDefault="00A7152B" w:rsidP="00A7152B">
      <w:pPr>
        <w:spacing w:after="0"/>
        <w:rPr>
          <w:b/>
        </w:rPr>
      </w:pPr>
      <w:bookmarkStart w:id="139" w:name="_Hlk149574129"/>
      <w:r>
        <w:rPr>
          <w:b/>
        </w:rPr>
        <w:t>Coverage</w:t>
      </w:r>
    </w:p>
    <w:p w14:paraId="18841663" w14:textId="3F06ABFC" w:rsidR="00D331C5" w:rsidRDefault="00A7152B" w:rsidP="00A7152B">
      <w:pPr>
        <w:spacing w:after="0"/>
      </w:pPr>
      <w:r w:rsidRPr="006E577B">
        <w:t>This</w:t>
      </w:r>
      <w:r>
        <w:t xml:space="preserve"> is the only </w:t>
      </w:r>
      <w:r w:rsidR="00D331C5">
        <w:t>model</w:t>
      </w:r>
      <w:r w:rsidR="00861CD4">
        <w:t>,</w:t>
      </w:r>
      <w:r w:rsidR="00D331C5">
        <w:t xml:space="preserve"> of those considered in this IA</w:t>
      </w:r>
      <w:r w:rsidR="00861CD4">
        <w:t>,</w:t>
      </w:r>
      <w:r w:rsidR="00D331C5">
        <w:t xml:space="preserve"> that incorporates a mandatory set of coverage obligations (live and in full). In theory, this would operate to enhance the outcome for consumers. However, as noted above, there is little to suggest that broadcasters and other online service providers are not already providing live and in full coverage of major sporting events, given the significant sums that are required to be paid to secure media rights. As such, the overall benefit to consumers may be minimal. </w:t>
      </w:r>
    </w:p>
    <w:p w14:paraId="2D521EF7" w14:textId="0A6AEF79" w:rsidR="000F20AB" w:rsidRDefault="00D331C5" w:rsidP="00A7152B">
      <w:pPr>
        <w:spacing w:after="0"/>
      </w:pPr>
      <w:r>
        <w:t>In addition, the free-to-view model is depend</w:t>
      </w:r>
      <w:r w:rsidR="000F20AB">
        <w:t>ent</w:t>
      </w:r>
      <w:r>
        <w:t xml:space="preserve"> upon being </w:t>
      </w:r>
      <w:r w:rsidR="000F20AB">
        <w:t>implemented</w:t>
      </w:r>
      <w:r>
        <w:t xml:space="preserve"> with the streamlined list (</w:t>
      </w:r>
      <w:r w:rsidR="0032727B" w:rsidRPr="00C10DE5">
        <w:t>Option</w:t>
      </w:r>
      <w:r w:rsidR="0032727B">
        <w:t> </w:t>
      </w:r>
      <w:r w:rsidR="000F20AB" w:rsidRPr="00C10DE5">
        <w:t>1).</w:t>
      </w:r>
      <w:r w:rsidR="000F20AB">
        <w:t xml:space="preserve"> </w:t>
      </w:r>
      <w:r w:rsidR="00A7152B">
        <w:t xml:space="preserve">This </w:t>
      </w:r>
      <w:r w:rsidR="006B53EE">
        <w:t xml:space="preserve">would necessarily reduce </w:t>
      </w:r>
      <w:r w:rsidR="00A7152B">
        <w:t xml:space="preserve">the number of events </w:t>
      </w:r>
      <w:r w:rsidR="000F20AB">
        <w:t xml:space="preserve">that are subject to the scheme and therefore subject to the coverage requirements. The overall consumer benefit is likely to be negative in this circumstance. </w:t>
      </w:r>
    </w:p>
    <w:p w14:paraId="07C414D3" w14:textId="77777777" w:rsidR="00A7152B" w:rsidRPr="00A8114F" w:rsidRDefault="00A7152B" w:rsidP="00A7152B">
      <w:pPr>
        <w:spacing w:after="0"/>
        <w:rPr>
          <w:b/>
        </w:rPr>
      </w:pPr>
      <w:r>
        <w:rPr>
          <w:b/>
        </w:rPr>
        <w:t>Access</w:t>
      </w:r>
    </w:p>
    <w:p w14:paraId="213CCC38" w14:textId="4371BA6A" w:rsidR="00A7152B" w:rsidRPr="002E353E" w:rsidRDefault="00A7152B" w:rsidP="00A7152B">
      <w:pPr>
        <w:spacing w:after="0"/>
        <w:rPr>
          <w:rFonts w:cstheme="minorHAnsi"/>
          <w:highlight w:val="yellow"/>
        </w:rPr>
      </w:pPr>
      <w:r>
        <w:t>Access to listed events would require t</w:t>
      </w:r>
      <w:r w:rsidR="000F20AB">
        <w:t xml:space="preserve">hose events to be </w:t>
      </w:r>
      <w:r>
        <w:t>shown on a ‘broadly available’</w:t>
      </w:r>
      <w:r w:rsidR="000F20AB">
        <w:t xml:space="preserve"> technology platform. It is proposed that the relevant threshold would be </w:t>
      </w:r>
      <w:r w:rsidR="00B5738F">
        <w:t xml:space="preserve">a </w:t>
      </w:r>
      <w:r w:rsidR="000F20AB">
        <w:t>c</w:t>
      </w:r>
      <w:r w:rsidRPr="00EF6877">
        <w:t xml:space="preserve">ontent service </w:t>
      </w:r>
      <w:r w:rsidR="000F20AB">
        <w:t xml:space="preserve">that </w:t>
      </w:r>
      <w:r w:rsidR="00B5738F">
        <w:t xml:space="preserve">is </w:t>
      </w:r>
      <w:r w:rsidRPr="00EF6877">
        <w:t xml:space="preserve">available to a minimum of </w:t>
      </w:r>
      <w:r w:rsidRPr="00000AC0">
        <w:t>99</w:t>
      </w:r>
      <w:r w:rsidR="00740C6B">
        <w:t> </w:t>
      </w:r>
      <w:r w:rsidR="0032727B" w:rsidRPr="00000AC0">
        <w:t>per</w:t>
      </w:r>
      <w:r w:rsidR="0032727B">
        <w:t> </w:t>
      </w:r>
      <w:r w:rsidRPr="00000AC0">
        <w:t>cent of the Australian population</w:t>
      </w:r>
      <w:r w:rsidRPr="00EF6877">
        <w:t xml:space="preserve">. </w:t>
      </w:r>
      <w:r>
        <w:t>However, availability doesn’t equal access, and the practical realities of providing coverage of listed events via a given technology or technologies are rel</w:t>
      </w:r>
      <w:r w:rsidRPr="002E353E">
        <w:t xml:space="preserve">evant to the fulfilment of the overall objective of the scheme. </w:t>
      </w:r>
      <w:r w:rsidRPr="002E353E">
        <w:rPr>
          <w:rFonts w:cstheme="minorHAnsi"/>
        </w:rPr>
        <w:t>The free-to-view model relies on consumers having adequate access to the internet to ensure that listed events can be viewed for free, by all Australians.</w:t>
      </w:r>
    </w:p>
    <w:p w14:paraId="34734C06" w14:textId="77777777" w:rsidR="00A7152B" w:rsidRPr="00327CF4" w:rsidRDefault="00A7152B" w:rsidP="00A7152B">
      <w:pPr>
        <w:spacing w:after="0"/>
        <w:rPr>
          <w:rFonts w:cstheme="minorHAnsi"/>
          <w:u w:val="single"/>
        </w:rPr>
      </w:pPr>
      <w:r w:rsidRPr="00327CF4">
        <w:rPr>
          <w:rFonts w:cstheme="minorHAnsi"/>
          <w:u w:val="single"/>
        </w:rPr>
        <w:t>Availability</w:t>
      </w:r>
    </w:p>
    <w:p w14:paraId="780FE170" w14:textId="7D095CF4" w:rsidR="00A7152B" w:rsidRPr="00327CF4" w:rsidRDefault="00A7152B" w:rsidP="00A7152B">
      <w:pPr>
        <w:spacing w:after="0"/>
      </w:pPr>
      <w:r w:rsidRPr="00327CF4">
        <w:rPr>
          <w:rFonts w:cstheme="minorHAnsi"/>
        </w:rPr>
        <w:t xml:space="preserve">In a contemporary environment, the internet is widely available to Australians. </w:t>
      </w:r>
      <w:r w:rsidRPr="00327CF4">
        <w:t>As at September 2020, 99</w:t>
      </w:r>
      <w:r w:rsidRPr="00327CF4">
        <w:rPr>
          <w:sz w:val="24"/>
        </w:rPr>
        <w:t>.</w:t>
      </w:r>
      <w:r w:rsidRPr="00327CF4">
        <w:t>3 per cent of premises could connect to the NBN.</w:t>
      </w:r>
      <w:r w:rsidRPr="00327CF4">
        <w:rPr>
          <w:rStyle w:val="FootnoteReference"/>
        </w:rPr>
        <w:footnoteReference w:id="92"/>
      </w:r>
      <w:r w:rsidRPr="00327CF4">
        <w:t xml:space="preserve"> </w:t>
      </w:r>
      <w:r w:rsidRPr="00327CF4">
        <w:rPr>
          <w:rFonts w:cstheme="minorHAnsi"/>
        </w:rPr>
        <w:t xml:space="preserve">Mobile internet coverage is also high, with </w:t>
      </w:r>
      <w:r w:rsidRPr="00647DCD">
        <w:t>99.</w:t>
      </w:r>
      <w:r w:rsidR="00AF7B97" w:rsidRPr="00647DCD">
        <w:t>5</w:t>
      </w:r>
      <w:r w:rsidRPr="00647DCD">
        <w:t> per</w:t>
      </w:r>
      <w:r w:rsidRPr="00327CF4">
        <w:t> cent of the population able to access Telstra’s 4G services</w:t>
      </w:r>
      <w:r w:rsidRPr="00327CF4">
        <w:rPr>
          <w:rStyle w:val="FootnoteReference"/>
        </w:rPr>
        <w:footnoteReference w:id="93"/>
      </w:r>
      <w:r w:rsidRPr="00327CF4">
        <w:t xml:space="preserve"> and 85 per cent able to access its 5G services.</w:t>
      </w:r>
      <w:r w:rsidRPr="00327CF4">
        <w:rPr>
          <w:rStyle w:val="FootnoteReference"/>
        </w:rPr>
        <w:footnoteReference w:id="94"/>
      </w:r>
      <w:r w:rsidR="000F20AB">
        <w:t xml:space="preserve"> </w:t>
      </w:r>
      <w:r w:rsidRPr="00327CF4">
        <w:t>However, with respect to mobile coverage, there are discrepancies in availability depending on which network a consumer uses.</w:t>
      </w:r>
    </w:p>
    <w:p w14:paraId="14488033" w14:textId="77777777" w:rsidR="00A7152B" w:rsidRPr="00327CF4" w:rsidRDefault="00A7152B" w:rsidP="00E33CCD">
      <w:pPr>
        <w:pStyle w:val="ListParagraph"/>
        <w:numPr>
          <w:ilvl w:val="0"/>
          <w:numId w:val="15"/>
        </w:numPr>
        <w:suppressAutoHyphens w:val="0"/>
        <w:contextualSpacing w:val="0"/>
      </w:pPr>
      <w:r w:rsidRPr="00327CF4">
        <w:t>The Optus 4G network reaches some 97.3 per cent of the Australian population.</w:t>
      </w:r>
      <w:r w:rsidRPr="00327CF4">
        <w:rPr>
          <w:rStyle w:val="FootnoteReference"/>
        </w:rPr>
        <w:footnoteReference w:id="95"/>
      </w:r>
    </w:p>
    <w:p w14:paraId="148E43C5" w14:textId="7AE4B276" w:rsidR="00BE6FD4" w:rsidRDefault="00A7152B" w:rsidP="00BC0EB3">
      <w:pPr>
        <w:pStyle w:val="ListParagraph"/>
        <w:numPr>
          <w:ilvl w:val="0"/>
          <w:numId w:val="15"/>
        </w:numPr>
        <w:suppressAutoHyphens w:val="0"/>
        <w:contextualSpacing w:val="0"/>
      </w:pPr>
      <w:r w:rsidRPr="00327CF4">
        <w:t>TPG’s (Vodafone’s) business model focuses on metropolitan areas, with its 5G network covering more than 96 per cent of the population in Australia’s ten largest cities.</w:t>
      </w:r>
      <w:r w:rsidRPr="00327CF4">
        <w:rPr>
          <w:rStyle w:val="FootnoteReference"/>
        </w:rPr>
        <w:footnoteReference w:id="96"/>
      </w:r>
    </w:p>
    <w:p w14:paraId="69D67111" w14:textId="6A8BE99E" w:rsidR="00A7152B" w:rsidRPr="00327CF4" w:rsidRDefault="00A7152B" w:rsidP="00A7152B">
      <w:r w:rsidRPr="00327CF4">
        <w:t>Mobile-only users of the internet are a minor but significant portion of the Australian population.</w:t>
      </w:r>
    </w:p>
    <w:p w14:paraId="62BC9388" w14:textId="77777777" w:rsidR="00A7152B" w:rsidRPr="00327CF4" w:rsidRDefault="00A7152B" w:rsidP="00E33CCD">
      <w:pPr>
        <w:pStyle w:val="ListParagraph"/>
        <w:numPr>
          <w:ilvl w:val="0"/>
          <w:numId w:val="18"/>
        </w:numPr>
        <w:suppressAutoHyphens w:val="0"/>
        <w:contextualSpacing w:val="0"/>
      </w:pPr>
      <w:r w:rsidRPr="00327CF4">
        <w:t>In the 12 months to June 2020, 16 per cent of Australian adults were mobile-only users of the internet at home (mobile broadband or mobile phone), including 21 per cent of those aged 18 to 24.</w:t>
      </w:r>
      <w:r w:rsidRPr="00327CF4">
        <w:rPr>
          <w:rStyle w:val="FootnoteReference"/>
        </w:rPr>
        <w:footnoteReference w:id="97"/>
      </w:r>
    </w:p>
    <w:p w14:paraId="7774B9FF" w14:textId="77777777" w:rsidR="00A7152B" w:rsidRPr="00327CF4" w:rsidRDefault="00A7152B" w:rsidP="00E33CCD">
      <w:pPr>
        <w:pStyle w:val="ListParagraph"/>
        <w:numPr>
          <w:ilvl w:val="0"/>
          <w:numId w:val="18"/>
        </w:numPr>
        <w:suppressAutoHyphens w:val="0"/>
        <w:contextualSpacing w:val="0"/>
      </w:pPr>
      <w:r w:rsidRPr="00327CF4">
        <w:t>A separate study found that certain groups, including First Nations people and those on the lowest incomes, tend to be overrepresented in this cohort of mobile-only users of the internet.</w:t>
      </w:r>
      <w:r w:rsidRPr="00327CF4">
        <w:rPr>
          <w:rStyle w:val="FootnoteReference"/>
        </w:rPr>
        <w:footnoteReference w:id="98"/>
      </w:r>
    </w:p>
    <w:p w14:paraId="54105390" w14:textId="57F03C92" w:rsidR="00A7152B" w:rsidRPr="00327CF4" w:rsidRDefault="00A7152B" w:rsidP="00A7152B">
      <w:r w:rsidRPr="00327CF4">
        <w:t>This is relevant to the question</w:t>
      </w:r>
      <w:r w:rsidR="00993A0A">
        <w:t xml:space="preserve"> of whether </w:t>
      </w:r>
      <w:r w:rsidRPr="00327CF4">
        <w:t>the free-to-view model can deliver on the objective of the scheme, given the variance in population coverage across mobile networks.</w:t>
      </w:r>
    </w:p>
    <w:p w14:paraId="116292C2" w14:textId="77777777" w:rsidR="00A7152B" w:rsidRPr="00EC066B" w:rsidRDefault="00A7152B" w:rsidP="00A7152B">
      <w:pPr>
        <w:spacing w:after="0"/>
        <w:rPr>
          <w:rFonts w:cstheme="minorHAnsi"/>
          <w:u w:val="single"/>
        </w:rPr>
      </w:pPr>
      <w:r w:rsidRPr="00EC066B">
        <w:rPr>
          <w:rFonts w:cstheme="minorHAnsi"/>
          <w:u w:val="single"/>
        </w:rPr>
        <w:t>Take-up</w:t>
      </w:r>
    </w:p>
    <w:p w14:paraId="0DA4CEFB" w14:textId="6FC3025A" w:rsidR="00A7152B" w:rsidRPr="00EC066B" w:rsidRDefault="00993A0A" w:rsidP="00A7152B">
      <w:pPr>
        <w:spacing w:after="0"/>
      </w:pPr>
      <w:r>
        <w:t>The t</w:t>
      </w:r>
      <w:r w:rsidR="00A7152B" w:rsidRPr="00EC066B">
        <w:t>ake-up of broadband services is also high at an aggregate level.</w:t>
      </w:r>
    </w:p>
    <w:p w14:paraId="06A536FF" w14:textId="3DE06B13" w:rsidR="00A7152B" w:rsidRPr="005E7135" w:rsidRDefault="00A7152B" w:rsidP="00E33CCD">
      <w:pPr>
        <w:pStyle w:val="ListParagraph"/>
        <w:numPr>
          <w:ilvl w:val="0"/>
          <w:numId w:val="16"/>
        </w:numPr>
        <w:suppressAutoHyphens w:val="0"/>
        <w:spacing w:after="0"/>
        <w:contextualSpacing w:val="0"/>
        <w:rPr>
          <w:rFonts w:cstheme="minorHAnsi"/>
        </w:rPr>
      </w:pPr>
      <w:r w:rsidRPr="005E7135">
        <w:rPr>
          <w:rFonts w:eastAsia="Times New Roman" w:cstheme="minorHAnsi"/>
          <w:color w:val="000000"/>
          <w:lang w:val="x-none"/>
        </w:rPr>
        <w:t>99</w:t>
      </w:r>
      <w:r>
        <w:rPr>
          <w:rFonts w:eastAsia="Times New Roman" w:cstheme="minorHAnsi"/>
          <w:color w:val="000000"/>
        </w:rPr>
        <w:t xml:space="preserve"> per cent</w:t>
      </w:r>
      <w:r w:rsidRPr="005E7135">
        <w:rPr>
          <w:rFonts w:eastAsia="Times New Roman" w:cstheme="minorHAnsi"/>
          <w:color w:val="000000"/>
          <w:lang w:val="x-none"/>
        </w:rPr>
        <w:t xml:space="preserve"> of Australian</w:t>
      </w:r>
      <w:r w:rsidR="00BF78B2">
        <w:rPr>
          <w:rFonts w:eastAsia="Times New Roman" w:cstheme="minorHAnsi"/>
          <w:color w:val="000000"/>
        </w:rPr>
        <w:t xml:space="preserve"> adult</w:t>
      </w:r>
      <w:r w:rsidRPr="005E7135">
        <w:rPr>
          <w:rFonts w:eastAsia="Times New Roman" w:cstheme="minorHAnsi"/>
          <w:color w:val="000000"/>
          <w:lang w:val="x-none"/>
        </w:rPr>
        <w:t xml:space="preserve">s </w:t>
      </w:r>
      <w:r w:rsidR="00295C43">
        <w:rPr>
          <w:rFonts w:eastAsia="Times New Roman" w:cstheme="minorHAnsi"/>
          <w:color w:val="000000"/>
        </w:rPr>
        <w:t>accessed the internet</w:t>
      </w:r>
      <w:r w:rsidRPr="00EC066B">
        <w:t xml:space="preserve"> </w:t>
      </w:r>
      <w:r>
        <w:t xml:space="preserve">(and 93 per cent had a home internet connection) as </w:t>
      </w:r>
      <w:r w:rsidRPr="00EC066B">
        <w:t>at June</w:t>
      </w:r>
      <w:r w:rsidRPr="005E7135">
        <w:rPr>
          <w:rFonts w:cstheme="minorHAnsi"/>
        </w:rPr>
        <w:t xml:space="preserve"> 2022</w:t>
      </w:r>
      <w:r>
        <w:t>.</w:t>
      </w:r>
      <w:r w:rsidRPr="00EC066B">
        <w:rPr>
          <w:rStyle w:val="FootnoteReference"/>
          <w:rFonts w:cstheme="minorHAnsi"/>
        </w:rPr>
        <w:footnoteReference w:id="99"/>
      </w:r>
      <w:r w:rsidRPr="005E7135">
        <w:rPr>
          <w:rFonts w:cstheme="minorHAnsi"/>
        </w:rPr>
        <w:t xml:space="preserve"> </w:t>
      </w:r>
    </w:p>
    <w:p w14:paraId="0B3B96E0" w14:textId="170F5B46" w:rsidR="00A7152B" w:rsidRPr="00EC066B" w:rsidRDefault="00A7152B" w:rsidP="00E33CCD">
      <w:pPr>
        <w:pStyle w:val="ListParagraph"/>
        <w:numPr>
          <w:ilvl w:val="0"/>
          <w:numId w:val="16"/>
        </w:numPr>
        <w:suppressAutoHyphens w:val="0"/>
        <w:spacing w:after="0"/>
        <w:contextualSpacing w:val="0"/>
      </w:pPr>
      <w:r w:rsidRPr="00EC066B">
        <w:rPr>
          <w:rFonts w:cstheme="minorHAnsi"/>
        </w:rPr>
        <w:t xml:space="preserve">As at 30 December 2022, analysis of 13 leading retailers revealed there were </w:t>
      </w:r>
      <w:r w:rsidRPr="00EC066B">
        <w:t>7.9 million retail broadband internet services in operation (7.5 million of which were NBN)</w:t>
      </w:r>
      <w:r w:rsidR="00993A0A">
        <w:t>.</w:t>
      </w:r>
      <w:r w:rsidR="007C7B13">
        <w:rPr>
          <w:rStyle w:val="FootnoteReference"/>
        </w:rPr>
        <w:footnoteReference w:id="100"/>
      </w:r>
    </w:p>
    <w:p w14:paraId="0817D8BC" w14:textId="39ACFCE1" w:rsidR="00A7152B" w:rsidRPr="00EC066B" w:rsidRDefault="00A7152B" w:rsidP="00E33CCD">
      <w:pPr>
        <w:pStyle w:val="ListParagraph"/>
        <w:numPr>
          <w:ilvl w:val="0"/>
          <w:numId w:val="16"/>
        </w:numPr>
        <w:suppressAutoHyphens w:val="0"/>
        <w:spacing w:after="0"/>
        <w:contextualSpacing w:val="0"/>
      </w:pPr>
      <w:r w:rsidRPr="00EC066B">
        <w:t>As at 31 December 2022, there were</w:t>
      </w:r>
      <w:r w:rsidRPr="00EC066B">
        <w:rPr>
          <w:rFonts w:cstheme="minorHAnsi"/>
        </w:rPr>
        <w:t xml:space="preserve"> approximately </w:t>
      </w:r>
      <w:r w:rsidRPr="00EC066B">
        <w:t>28.7 million mobile services</w:t>
      </w:r>
      <w:r w:rsidRPr="00EC066B">
        <w:rPr>
          <w:rFonts w:cstheme="minorHAnsi"/>
        </w:rPr>
        <w:t xml:space="preserve"> and some </w:t>
      </w:r>
      <w:r w:rsidRPr="00EC066B">
        <w:t>4.4 million mobile broadband services.</w:t>
      </w:r>
      <w:r w:rsidRPr="00EC066B">
        <w:rPr>
          <w:rStyle w:val="FootnoteReference"/>
        </w:rPr>
        <w:footnoteReference w:id="101"/>
      </w:r>
    </w:p>
    <w:p w14:paraId="15E2511B" w14:textId="77777777" w:rsidR="00A7152B" w:rsidRPr="00EC066B" w:rsidRDefault="00A7152B" w:rsidP="00A7152B">
      <w:pPr>
        <w:spacing w:after="0"/>
        <w:rPr>
          <w:rFonts w:cstheme="minorHAnsi"/>
        </w:rPr>
      </w:pPr>
      <w:r w:rsidRPr="00EC066B">
        <w:rPr>
          <w:rFonts w:cstheme="minorHAnsi"/>
        </w:rPr>
        <w:t xml:space="preserve">However, </w:t>
      </w:r>
      <w:r w:rsidRPr="00A214A2">
        <w:rPr>
          <w:rFonts w:cstheme="minorHAnsi"/>
        </w:rPr>
        <w:t>many Australians have not taken up a home internet connection</w:t>
      </w:r>
      <w:r w:rsidRPr="00EC066B">
        <w:rPr>
          <w:rFonts w:cstheme="minorHAnsi"/>
        </w:rPr>
        <w:t>. In 2022, some 6.82 per cent of Australians had no internet connection at home,</w:t>
      </w:r>
      <w:r w:rsidRPr="00EC066B">
        <w:rPr>
          <w:rStyle w:val="FootnoteReference"/>
          <w:rFonts w:cstheme="minorHAnsi"/>
        </w:rPr>
        <w:footnoteReference w:id="102"/>
      </w:r>
      <w:r w:rsidRPr="00EC066B">
        <w:rPr>
          <w:rFonts w:cstheme="minorHAnsi"/>
        </w:rPr>
        <w:t xml:space="preserve"> and lower take-up is more prevalent among particular groups:</w:t>
      </w:r>
    </w:p>
    <w:p w14:paraId="264E441D" w14:textId="77777777" w:rsidR="00A7152B" w:rsidRPr="00EC066B" w:rsidRDefault="00A7152B" w:rsidP="00E33CCD">
      <w:pPr>
        <w:pStyle w:val="ListParagraph"/>
        <w:numPr>
          <w:ilvl w:val="0"/>
          <w:numId w:val="12"/>
        </w:numPr>
        <w:suppressAutoHyphens w:val="0"/>
        <w:spacing w:after="0"/>
        <w:contextualSpacing w:val="0"/>
        <w:rPr>
          <w:rFonts w:cstheme="minorHAnsi"/>
        </w:rPr>
      </w:pPr>
      <w:r w:rsidRPr="00EC066B">
        <w:rPr>
          <w:rFonts w:cstheme="minorHAnsi"/>
        </w:rPr>
        <w:t>8.51 per cent of regional Australians had no internet connection at home, compared with 5.93 per cent of those in metropolitan areas.</w:t>
      </w:r>
      <w:r w:rsidRPr="00EC066B">
        <w:rPr>
          <w:rStyle w:val="FootnoteReference"/>
          <w:rFonts w:cstheme="minorHAnsi"/>
        </w:rPr>
        <w:footnoteReference w:id="103"/>
      </w:r>
    </w:p>
    <w:p w14:paraId="2397D511" w14:textId="77777777" w:rsidR="00A7152B" w:rsidRPr="00EC066B" w:rsidRDefault="00A7152B" w:rsidP="00E33CCD">
      <w:pPr>
        <w:pStyle w:val="ListParagraph"/>
        <w:numPr>
          <w:ilvl w:val="0"/>
          <w:numId w:val="12"/>
        </w:numPr>
        <w:suppressAutoHyphens w:val="0"/>
        <w:spacing w:after="0"/>
        <w:contextualSpacing w:val="0"/>
        <w:rPr>
          <w:rFonts w:cstheme="minorHAnsi"/>
        </w:rPr>
      </w:pPr>
      <w:r w:rsidRPr="00EC066B">
        <w:rPr>
          <w:rFonts w:cstheme="minorHAnsi"/>
        </w:rPr>
        <w:t>11.71 per cent of Australians over the age of 75 had no internet connection at home.</w:t>
      </w:r>
      <w:r w:rsidRPr="00EC066B">
        <w:rPr>
          <w:rStyle w:val="FootnoteReference"/>
          <w:rFonts w:cstheme="minorHAnsi"/>
        </w:rPr>
        <w:footnoteReference w:id="104"/>
      </w:r>
    </w:p>
    <w:p w14:paraId="12D5C06D" w14:textId="77777777" w:rsidR="00A7152B" w:rsidRDefault="00A7152B" w:rsidP="00A7152B">
      <w:pPr>
        <w:spacing w:after="0"/>
        <w:rPr>
          <w:bCs/>
        </w:rPr>
      </w:pPr>
      <w:r w:rsidRPr="00EC066B">
        <w:rPr>
          <w:rFonts w:cstheme="minorHAnsi"/>
        </w:rPr>
        <w:t xml:space="preserve">Other surveys have found that, although the </w:t>
      </w:r>
      <w:r w:rsidRPr="00EC066B">
        <w:rPr>
          <w:bCs/>
        </w:rPr>
        <w:t>divide between metropolitan and regional areas has narrowed in recent years, it remains marked, and that those aged over 75 continue to be left behind.</w:t>
      </w:r>
      <w:r w:rsidRPr="00EC066B">
        <w:rPr>
          <w:rStyle w:val="FootnoteReference"/>
          <w:bCs/>
        </w:rPr>
        <w:footnoteReference w:id="105"/>
      </w:r>
      <w:r>
        <w:rPr>
          <w:bCs/>
        </w:rPr>
        <w:t xml:space="preserve"> </w:t>
      </w:r>
    </w:p>
    <w:p w14:paraId="2D43C182" w14:textId="413112C9" w:rsidR="00A7152B" w:rsidRPr="00D4488C" w:rsidRDefault="00A7152B" w:rsidP="00A7152B">
      <w:pPr>
        <w:spacing w:after="0"/>
      </w:pPr>
      <w:r w:rsidRPr="00EC066B">
        <w:t xml:space="preserve">While the availability of internet services is close to universal, there are gaps and discrepancies in terms of take-up for certain groups within Australian society. </w:t>
      </w:r>
      <w:r w:rsidR="006B53EE">
        <w:t>For these Australians, it</w:t>
      </w:r>
      <w:r w:rsidRPr="00EC066B">
        <w:t xml:space="preserve"> is </w:t>
      </w:r>
      <w:r w:rsidR="006B53EE">
        <w:t xml:space="preserve">possible that the </w:t>
      </w:r>
      <w:r w:rsidRPr="00EC066B">
        <w:t xml:space="preserve">free-to-view model would </w:t>
      </w:r>
      <w:r w:rsidR="006B53EE">
        <w:t>result in a reduction of</w:t>
      </w:r>
      <w:r w:rsidRPr="00EC066B">
        <w:t xml:space="preserve"> free access to televised coverage of nationally important and culturally significant events</w:t>
      </w:r>
      <w:r w:rsidR="006B53EE">
        <w:t xml:space="preserve"> as they migrate to freely available, but inaccessible, online platforms</w:t>
      </w:r>
      <w:r w:rsidRPr="00EC066B">
        <w:t>.</w:t>
      </w:r>
    </w:p>
    <w:p w14:paraId="1B635CA3" w14:textId="65788A3F" w:rsidR="00A7152B" w:rsidRPr="00186821" w:rsidRDefault="00561835" w:rsidP="00A7152B">
      <w:pPr>
        <w:spacing w:after="0"/>
        <w:rPr>
          <w:u w:val="single"/>
        </w:rPr>
      </w:pPr>
      <w:r>
        <w:rPr>
          <w:u w:val="single"/>
        </w:rPr>
        <w:t>Indirect costs</w:t>
      </w:r>
    </w:p>
    <w:p w14:paraId="4DE5ACD6" w14:textId="6E2C6F93" w:rsidR="00A7152B" w:rsidRPr="00D4488C" w:rsidRDefault="00A7152B" w:rsidP="00A7152B">
      <w:pPr>
        <w:rPr>
          <w:rFonts w:cstheme="minorHAnsi"/>
        </w:rPr>
      </w:pPr>
      <w:r w:rsidRPr="00D4488C">
        <w:rPr>
          <w:rFonts w:cstheme="minorHAnsi"/>
        </w:rPr>
        <w:t xml:space="preserve">The free-to-view model would require coverage of listed events to end-users in Australia to be free (with </w:t>
      </w:r>
      <w:r w:rsidRPr="00D4488C">
        <w:rPr>
          <w:szCs w:val="18"/>
        </w:rPr>
        <w:t xml:space="preserve">no </w:t>
      </w:r>
      <w:r w:rsidRPr="00D4488C">
        <w:rPr>
          <w:rFonts w:cstheme="minorHAnsi"/>
        </w:rPr>
        <w:t>direct or explicit payments, such as subscription fees or pay-per-view charges). However, accessing services online involves additional, indirect costs associated with an internet connection. This requires a fixed broadband service, mobile broadband service, mobile service, satellite or ADSL</w:t>
      </w:r>
      <w:r w:rsidR="00777140">
        <w:rPr>
          <w:rFonts w:cstheme="minorHAnsi"/>
        </w:rPr>
        <w:t xml:space="preserve"> service</w:t>
      </w:r>
      <w:r w:rsidRPr="00D4488C">
        <w:rPr>
          <w:rFonts w:cstheme="minorHAnsi"/>
        </w:rPr>
        <w:t>. Each will have costs, typically charged monthly</w:t>
      </w:r>
      <w:r w:rsidR="00777140">
        <w:rPr>
          <w:rFonts w:cstheme="minorHAnsi"/>
        </w:rPr>
        <w:t>, as well as upfront costs</w:t>
      </w:r>
      <w:r w:rsidRPr="00D4488C">
        <w:rPr>
          <w:rFonts w:cstheme="minorHAnsi"/>
        </w:rPr>
        <w:t>.</w:t>
      </w:r>
    </w:p>
    <w:p w14:paraId="7F245C7D" w14:textId="77777777" w:rsidR="00A7152B" w:rsidRPr="00D4488C" w:rsidRDefault="00A7152B" w:rsidP="00A7152B">
      <w:pPr>
        <w:rPr>
          <w:rFonts w:cstheme="minorHAnsi"/>
        </w:rPr>
      </w:pPr>
      <w:r w:rsidRPr="00D4488C">
        <w:rPr>
          <w:rFonts w:cstheme="minorHAnsi"/>
        </w:rPr>
        <w:t>The take-up of internet services (above) demonstrates that the majority of Australians can afford to meet these access costs. However, this doesn’t include all Australians.</w:t>
      </w:r>
    </w:p>
    <w:p w14:paraId="30FD23F1" w14:textId="77777777" w:rsidR="00A7152B" w:rsidRPr="00D4488C" w:rsidRDefault="00A7152B" w:rsidP="00E33CCD">
      <w:pPr>
        <w:pStyle w:val="ListParagraph"/>
        <w:numPr>
          <w:ilvl w:val="0"/>
          <w:numId w:val="17"/>
        </w:numPr>
        <w:suppressAutoHyphens w:val="0"/>
        <w:contextualSpacing w:val="0"/>
        <w:rPr>
          <w:szCs w:val="18"/>
        </w:rPr>
      </w:pPr>
      <w:r w:rsidRPr="00D4488C">
        <w:rPr>
          <w:szCs w:val="18"/>
        </w:rPr>
        <w:t>In 2022, 4 per cent of Australians needed to pay more than 10 per cent of their household income to gain quality, reliable internet connectivity, with this figure at 27 per cent of those in the lowest income quintile.</w:t>
      </w:r>
      <w:r w:rsidRPr="00D4488C">
        <w:rPr>
          <w:rStyle w:val="FootnoteReference"/>
          <w:szCs w:val="18"/>
        </w:rPr>
        <w:footnoteReference w:id="106"/>
      </w:r>
    </w:p>
    <w:p w14:paraId="7A58AA31" w14:textId="3DA56EAA" w:rsidR="00A7152B" w:rsidRPr="00D4488C" w:rsidRDefault="00A7152B" w:rsidP="00E33CCD">
      <w:pPr>
        <w:pStyle w:val="ListParagraph"/>
        <w:numPr>
          <w:ilvl w:val="0"/>
          <w:numId w:val="17"/>
        </w:numPr>
        <w:suppressAutoHyphens w:val="0"/>
        <w:contextualSpacing w:val="0"/>
        <w:rPr>
          <w:szCs w:val="18"/>
        </w:rPr>
      </w:pPr>
      <w:r w:rsidRPr="00D4488C">
        <w:rPr>
          <w:szCs w:val="18"/>
        </w:rPr>
        <w:t>This research also found that, in 2022, 32 per cent of those in the lowest income quintile</w:t>
      </w:r>
      <w:r w:rsidR="00993A0A">
        <w:rPr>
          <w:szCs w:val="18"/>
        </w:rPr>
        <w:t>,</w:t>
      </w:r>
      <w:r w:rsidRPr="00D4488C">
        <w:rPr>
          <w:szCs w:val="18"/>
        </w:rPr>
        <w:t xml:space="preserve"> and 27 per cent of those in the second lowest income quintile</w:t>
      </w:r>
      <w:r w:rsidR="00993A0A">
        <w:rPr>
          <w:szCs w:val="18"/>
        </w:rPr>
        <w:t>,</w:t>
      </w:r>
      <w:r w:rsidRPr="00D4488C">
        <w:rPr>
          <w:szCs w:val="18"/>
        </w:rPr>
        <w:t xml:space="preserve"> expressed some level of concern over the cost of internet access.</w:t>
      </w:r>
      <w:r w:rsidRPr="00D4488C">
        <w:rPr>
          <w:vertAlign w:val="superscript"/>
        </w:rPr>
        <w:footnoteReference w:id="107"/>
      </w:r>
    </w:p>
    <w:p w14:paraId="389C65F3" w14:textId="77777777" w:rsidR="003716B1" w:rsidRPr="00D4488C" w:rsidRDefault="003716B1" w:rsidP="003716B1">
      <w:pPr>
        <w:rPr>
          <w:rFonts w:cstheme="minorHAnsi"/>
        </w:rPr>
      </w:pPr>
      <w:r w:rsidRPr="00D4488C">
        <w:rPr>
          <w:rFonts w:cstheme="minorHAnsi"/>
        </w:rPr>
        <w:t>Cost is also</w:t>
      </w:r>
      <w:r w:rsidR="00A7152B" w:rsidRPr="00D4488C">
        <w:rPr>
          <w:rFonts w:cstheme="minorHAnsi"/>
        </w:rPr>
        <w:t xml:space="preserve"> a </w:t>
      </w:r>
      <w:r w:rsidRPr="00D4488C">
        <w:rPr>
          <w:rFonts w:cstheme="minorHAnsi"/>
        </w:rPr>
        <w:t xml:space="preserve">factor relevant to </w:t>
      </w:r>
      <w:r w:rsidR="00A7152B" w:rsidRPr="00D4488C">
        <w:rPr>
          <w:rFonts w:cstheme="minorHAnsi"/>
        </w:rPr>
        <w:t xml:space="preserve">the </w:t>
      </w:r>
      <w:r w:rsidRPr="00D4488C">
        <w:rPr>
          <w:rFonts w:cstheme="minorHAnsi"/>
        </w:rPr>
        <w:t>level</w:t>
      </w:r>
      <w:r w:rsidR="00A7152B" w:rsidRPr="00D4488C">
        <w:rPr>
          <w:rFonts w:cstheme="minorHAnsi"/>
        </w:rPr>
        <w:t xml:space="preserve"> of </w:t>
      </w:r>
      <w:r w:rsidRPr="00D4488C">
        <w:rPr>
          <w:rFonts w:cstheme="minorHAnsi"/>
        </w:rPr>
        <w:t>take up of streaming and other online services.</w:t>
      </w:r>
    </w:p>
    <w:p w14:paraId="62FFDCFD" w14:textId="77777777" w:rsidR="003716B1" w:rsidRPr="00D4488C" w:rsidRDefault="003716B1" w:rsidP="00E33CCD">
      <w:pPr>
        <w:pStyle w:val="ListParagraph"/>
        <w:numPr>
          <w:ilvl w:val="0"/>
          <w:numId w:val="19"/>
        </w:numPr>
        <w:suppressAutoHyphens w:val="0"/>
        <w:contextualSpacing w:val="0"/>
        <w:rPr>
          <w:rFonts w:cstheme="minorHAnsi"/>
        </w:rPr>
      </w:pPr>
      <w:r w:rsidRPr="00D4488C">
        <w:rPr>
          <w:rFonts w:cstheme="minorHAnsi"/>
        </w:rPr>
        <w:t xml:space="preserve">In June 2022, research found that 19 per cent of Australians did not watch any online services in </w:t>
      </w:r>
      <w:r w:rsidR="00A7152B" w:rsidRPr="00D4488C">
        <w:rPr>
          <w:rFonts w:cstheme="minorHAnsi"/>
        </w:rPr>
        <w:t xml:space="preserve">the </w:t>
      </w:r>
      <w:r w:rsidRPr="00D4488C">
        <w:rPr>
          <w:rFonts w:cstheme="minorHAnsi"/>
        </w:rPr>
        <w:t>previous 7 days, up from just over 12 per cent in the year prior.</w:t>
      </w:r>
      <w:r w:rsidRPr="00D4488C">
        <w:rPr>
          <w:rStyle w:val="FootnoteReference"/>
          <w:rFonts w:cstheme="minorHAnsi"/>
        </w:rPr>
        <w:footnoteReference w:id="108"/>
      </w:r>
    </w:p>
    <w:p w14:paraId="0CCDBB37" w14:textId="77777777" w:rsidR="003716B1" w:rsidRPr="00D4488C" w:rsidRDefault="003716B1" w:rsidP="00E33CCD">
      <w:pPr>
        <w:pStyle w:val="ListParagraph"/>
        <w:numPr>
          <w:ilvl w:val="0"/>
          <w:numId w:val="19"/>
        </w:numPr>
        <w:suppressAutoHyphens w:val="0"/>
        <w:contextualSpacing w:val="0"/>
        <w:rPr>
          <w:rFonts w:cstheme="minorHAnsi"/>
        </w:rPr>
      </w:pPr>
      <w:r w:rsidRPr="00D4488C">
        <w:rPr>
          <w:rFonts w:cstheme="minorHAnsi"/>
        </w:rPr>
        <w:t>Cost was the most common factor for consumers when determining whether to cancel an SVOD service.</w:t>
      </w:r>
      <w:r w:rsidRPr="00D4488C">
        <w:rPr>
          <w:rStyle w:val="FootnoteReference"/>
          <w:rFonts w:cstheme="minorHAnsi"/>
        </w:rPr>
        <w:footnoteReference w:id="109"/>
      </w:r>
    </w:p>
    <w:p w14:paraId="5DB8D53A" w14:textId="77777777" w:rsidR="00A7152B" w:rsidRPr="00186821" w:rsidRDefault="00A7152B" w:rsidP="00A7152B">
      <w:pPr>
        <w:keepNext/>
        <w:spacing w:after="0"/>
        <w:rPr>
          <w:u w:val="single"/>
        </w:rPr>
      </w:pPr>
      <w:r w:rsidRPr="00186821">
        <w:rPr>
          <w:u w:val="single"/>
        </w:rPr>
        <w:t>Service capabilities</w:t>
      </w:r>
    </w:p>
    <w:p w14:paraId="16D8F61A" w14:textId="5C5C84A0" w:rsidR="00A7152B" w:rsidRPr="00A214A2" w:rsidRDefault="00A7152B" w:rsidP="00A7152B">
      <w:pPr>
        <w:spacing w:after="0"/>
      </w:pPr>
      <w:r w:rsidRPr="00A214A2">
        <w:t xml:space="preserve">The value of sport lies in the moment that </w:t>
      </w:r>
      <w:r w:rsidR="001F2F00">
        <w:t xml:space="preserve">the </w:t>
      </w:r>
      <w:r w:rsidRPr="00A214A2">
        <w:t>competition occurs, and the events included on the anti</w:t>
      </w:r>
      <w:r w:rsidR="0032727B">
        <w:noBreakHyphen/>
      </w:r>
      <w:r w:rsidRPr="00A214A2">
        <w:t xml:space="preserve">siphoning list are typically viewed by millions of Australians simultaneously. </w:t>
      </w:r>
    </w:p>
    <w:p w14:paraId="1C6609BB" w14:textId="150E65B2" w:rsidR="00A7152B" w:rsidRPr="00A214A2" w:rsidRDefault="00A7152B" w:rsidP="00A7152B">
      <w:pPr>
        <w:spacing w:after="0"/>
      </w:pPr>
      <w:r w:rsidRPr="00A214A2">
        <w:t>In this regard, Kayo Sports recommends an internet connection of at least 7.5 Mbps to stream its service in full High Definition (HD 1080p), noting that an internet connect</w:t>
      </w:r>
      <w:r w:rsidR="001F2F00">
        <w:t>ion</w:t>
      </w:r>
      <w:r w:rsidRPr="00A214A2">
        <w:t xml:space="preserve"> of below 4 Mbps would only allow for Standard Definition streaming.</w:t>
      </w:r>
      <w:r w:rsidRPr="00A214A2">
        <w:rPr>
          <w:rStyle w:val="FootnoteReference"/>
        </w:rPr>
        <w:footnoteReference w:id="110"/>
      </w:r>
      <w:r w:rsidRPr="00A214A2">
        <w:t xml:space="preserve"> Similarly, for standard definition streaming, while 7plus and Stan recommend 3 Mbps.</w:t>
      </w:r>
      <w:r w:rsidRPr="00A214A2">
        <w:rPr>
          <w:rStyle w:val="FootnoteReference"/>
        </w:rPr>
        <w:footnoteReference w:id="111"/>
      </w:r>
      <w:r w:rsidRPr="00A214A2">
        <w:t xml:space="preserve"> The Australian Competition and Consumer Commission (ACCC) reports that a high definition Netflix stream requires around 2.2 Mbps.</w:t>
      </w:r>
      <w:r w:rsidRPr="00A214A2">
        <w:rPr>
          <w:rStyle w:val="FootnoteReference"/>
        </w:rPr>
        <w:footnoteReference w:id="112"/>
      </w:r>
      <w:r w:rsidRPr="00A214A2">
        <w:t xml:space="preserve"> While it is possible to watch these services with lower speeds, this would be unlikely to provide an equivalent quality to the High Definition sports coverage provided through free-to-air broadcasts.</w:t>
      </w:r>
    </w:p>
    <w:p w14:paraId="11900CF3" w14:textId="412F3009" w:rsidR="00A7152B" w:rsidRDefault="00A7152B" w:rsidP="00A7152B">
      <w:pPr>
        <w:spacing w:after="0"/>
      </w:pPr>
      <w:bookmarkStart w:id="140" w:name="_Hlk150873405"/>
      <w:r w:rsidRPr="00A214A2">
        <w:t>There have been instances in the past where online services have not been able to accommodate audience demand. Australian consumers experienced poor quality streams on Optus Sport of matches played as part of the 2018 FIFA World Cup. Optus eventually allowed SBS to simulcast the remaining matches of the tournament.</w:t>
      </w:r>
      <w:r w:rsidRPr="00A214A2">
        <w:rPr>
          <w:rStyle w:val="FootnoteReference"/>
        </w:rPr>
        <w:footnoteReference w:id="113"/>
      </w:r>
      <w:r w:rsidRPr="00A214A2">
        <w:t xml:space="preserve"> </w:t>
      </w:r>
      <w:bookmarkEnd w:id="140"/>
      <w:r>
        <w:t xml:space="preserve">However, Optus was subsequently able to provide </w:t>
      </w:r>
      <w:r w:rsidR="009B293C">
        <w:t xml:space="preserve">high quality </w:t>
      </w:r>
      <w:r>
        <w:t>coverage of the 2023 FIFA Women’s World Cup following significant investment in upgrading its content distribution infrastructure and scaling up capabilities in the lead up to the event.</w:t>
      </w:r>
      <w:r>
        <w:rPr>
          <w:rStyle w:val="FootnoteReference"/>
        </w:rPr>
        <w:footnoteReference w:id="114"/>
      </w:r>
      <w:r>
        <w:t xml:space="preserve"> </w:t>
      </w:r>
    </w:p>
    <w:p w14:paraId="64FF336F" w14:textId="69296832" w:rsidR="00BE6FD4" w:rsidRDefault="00A7152B" w:rsidP="00F85521">
      <w:pPr>
        <w:spacing w:after="0"/>
      </w:pPr>
      <w:r>
        <w:t>These type</w:t>
      </w:r>
      <w:r w:rsidR="00FF79BD">
        <w:t>s</w:t>
      </w:r>
      <w:r>
        <w:t xml:space="preserve"> of congestion issues could arise again if coverage of significant events were to be provided solely via an online platform, although this risk will moderate as the capacity of networks improves.</w:t>
      </w:r>
    </w:p>
    <w:p w14:paraId="064FB680" w14:textId="4A529BEA" w:rsidR="00AA1750" w:rsidRPr="00EA2FDD" w:rsidRDefault="00561835" w:rsidP="00EA2FDD">
      <w:pPr>
        <w:spacing w:after="0"/>
      </w:pPr>
      <w:r w:rsidRPr="00EA2FDD">
        <w:t>The free-to-view model is therefore likely to have a negative impact of some consumers, as Australians on lower incomes may get left behind if coverage of iconic sporting events were to migrate exclusively to online platforms.</w:t>
      </w:r>
    </w:p>
    <w:bookmarkEnd w:id="138"/>
    <w:bookmarkEnd w:id="139"/>
    <w:p w14:paraId="5D6A111A" w14:textId="2B2797F8" w:rsidR="00A7152B" w:rsidRPr="004E6209" w:rsidRDefault="00A7152B" w:rsidP="00186821">
      <w:pPr>
        <w:pStyle w:val="Introduction"/>
      </w:pPr>
      <w:r w:rsidRPr="004E6209">
        <w:t xml:space="preserve">Impact on government </w:t>
      </w:r>
    </w:p>
    <w:p w14:paraId="3046F660" w14:textId="2A17EBB6" w:rsidR="000F20AB" w:rsidRDefault="00A3356C" w:rsidP="004E3B57">
      <w:pPr>
        <w:tabs>
          <w:tab w:val="left" w:pos="7905"/>
        </w:tabs>
        <w:spacing w:before="120" w:after="120"/>
        <w:rPr>
          <w:rFonts w:cstheme="minorHAnsi"/>
          <w:lang w:val="en-US"/>
        </w:rPr>
      </w:pPr>
      <w:r w:rsidRPr="00912E07">
        <w:rPr>
          <w:rFonts w:cstheme="minorHAnsi"/>
          <w:lang w:val="en-US"/>
        </w:rPr>
        <w:t xml:space="preserve">This model is expected to have a moderate budgetary impact on the ACMA, </w:t>
      </w:r>
      <w:r w:rsidR="00892510">
        <w:rPr>
          <w:rFonts w:cstheme="minorHAnsi"/>
          <w:lang w:val="en-US"/>
        </w:rPr>
        <w:t>which</w:t>
      </w:r>
      <w:r w:rsidRPr="00912E07">
        <w:rPr>
          <w:rFonts w:cstheme="minorHAnsi"/>
          <w:lang w:val="en-US"/>
        </w:rPr>
        <w:t xml:space="preserve"> </w:t>
      </w:r>
      <w:r w:rsidR="000F20AB" w:rsidRPr="00912E07">
        <w:rPr>
          <w:rFonts w:cstheme="minorHAnsi"/>
          <w:lang w:val="en-US"/>
        </w:rPr>
        <w:t xml:space="preserve">would be required to oversee and administer a complex framework to give effect to the </w:t>
      </w:r>
      <w:r w:rsidR="009B081A" w:rsidRPr="00912E07">
        <w:rPr>
          <w:rFonts w:cstheme="minorHAnsi"/>
          <w:lang w:val="en-US"/>
        </w:rPr>
        <w:t>regulatory</w:t>
      </w:r>
      <w:r w:rsidR="000F20AB" w:rsidRPr="00912E07">
        <w:rPr>
          <w:rFonts w:cstheme="minorHAnsi"/>
          <w:lang w:val="en-US"/>
        </w:rPr>
        <w:t xml:space="preserve"> requirements</w:t>
      </w:r>
      <w:r w:rsidR="009B081A" w:rsidRPr="00912E07">
        <w:rPr>
          <w:rFonts w:cstheme="minorHAnsi"/>
          <w:lang w:val="en-US"/>
        </w:rPr>
        <w:t xml:space="preserve"> (free, live, in full, on a broadly available platform)</w:t>
      </w:r>
      <w:r w:rsidR="000F20AB" w:rsidRPr="00912E07">
        <w:rPr>
          <w:rFonts w:cstheme="minorHAnsi"/>
          <w:lang w:val="en-US"/>
        </w:rPr>
        <w:t xml:space="preserve">. </w:t>
      </w:r>
      <w:r w:rsidR="002D695C">
        <w:rPr>
          <w:rFonts w:cstheme="minorHAnsi"/>
          <w:lang w:val="en-US"/>
        </w:rPr>
        <w:t xml:space="preserve">To ensure </w:t>
      </w:r>
      <w:r w:rsidR="007E420C">
        <w:rPr>
          <w:rFonts w:cstheme="minorHAnsi"/>
          <w:lang w:val="en-US"/>
        </w:rPr>
        <w:t xml:space="preserve">parties with </w:t>
      </w:r>
      <w:r w:rsidR="00D226D5">
        <w:rPr>
          <w:rFonts w:cstheme="minorHAnsi"/>
          <w:lang w:val="en-US"/>
        </w:rPr>
        <w:t>the</w:t>
      </w:r>
      <w:r w:rsidR="007E420C">
        <w:rPr>
          <w:rFonts w:cstheme="minorHAnsi"/>
          <w:lang w:val="en-US"/>
        </w:rPr>
        <w:t xml:space="preserve"> rights to listed events are complying with these</w:t>
      </w:r>
      <w:r w:rsidR="002D695C">
        <w:rPr>
          <w:rFonts w:cstheme="minorHAnsi"/>
          <w:lang w:val="en-US"/>
        </w:rPr>
        <w:t xml:space="preserve"> </w:t>
      </w:r>
      <w:r w:rsidR="007E420C">
        <w:rPr>
          <w:rFonts w:cstheme="minorHAnsi"/>
          <w:lang w:val="en-US"/>
        </w:rPr>
        <w:t>requirements</w:t>
      </w:r>
      <w:r w:rsidR="002D695C">
        <w:rPr>
          <w:rFonts w:cstheme="minorHAnsi"/>
          <w:lang w:val="en-US"/>
        </w:rPr>
        <w:t xml:space="preserve">, </w:t>
      </w:r>
      <w:r w:rsidR="007E420C">
        <w:rPr>
          <w:rFonts w:cstheme="minorHAnsi"/>
          <w:lang w:val="en-US"/>
        </w:rPr>
        <w:t>the ACMA would need to increase its</w:t>
      </w:r>
      <w:r w:rsidR="002D695C">
        <w:rPr>
          <w:rFonts w:cstheme="minorHAnsi"/>
          <w:lang w:val="en-US"/>
        </w:rPr>
        <w:t xml:space="preserve"> monitoring </w:t>
      </w:r>
      <w:r w:rsidR="007E420C">
        <w:rPr>
          <w:rFonts w:cstheme="minorHAnsi"/>
          <w:lang w:val="en-US"/>
        </w:rPr>
        <w:t>functions</w:t>
      </w:r>
      <w:r w:rsidR="002D695C">
        <w:rPr>
          <w:rFonts w:cstheme="minorHAnsi"/>
          <w:lang w:val="en-US"/>
        </w:rPr>
        <w:t>. There may also be a need for additional reporting requirements</w:t>
      </w:r>
      <w:r w:rsidR="00993A0A">
        <w:rPr>
          <w:rFonts w:cstheme="minorHAnsi"/>
          <w:lang w:val="en-US"/>
        </w:rPr>
        <w:t xml:space="preserve"> for</w:t>
      </w:r>
      <w:r w:rsidR="002D695C">
        <w:rPr>
          <w:rFonts w:cstheme="minorHAnsi"/>
          <w:lang w:val="en-US"/>
        </w:rPr>
        <w:t xml:space="preserve"> </w:t>
      </w:r>
      <w:r w:rsidR="007E420C">
        <w:rPr>
          <w:rFonts w:cstheme="minorHAnsi"/>
          <w:lang w:val="en-US"/>
        </w:rPr>
        <w:t>rights owners which</w:t>
      </w:r>
      <w:r w:rsidR="002D695C">
        <w:rPr>
          <w:rFonts w:cstheme="minorHAnsi"/>
          <w:lang w:val="en-US"/>
        </w:rPr>
        <w:t xml:space="preserve"> the </w:t>
      </w:r>
      <w:r w:rsidR="007E420C">
        <w:rPr>
          <w:rFonts w:cstheme="minorHAnsi"/>
          <w:lang w:val="en-US"/>
        </w:rPr>
        <w:t>ACMA would have to enforce</w:t>
      </w:r>
      <w:r w:rsidR="00912E07">
        <w:rPr>
          <w:rFonts w:cstheme="minorHAnsi"/>
          <w:lang w:val="en-US"/>
        </w:rPr>
        <w:t>.</w:t>
      </w:r>
      <w:r w:rsidR="002D695C">
        <w:rPr>
          <w:rFonts w:cstheme="minorHAnsi"/>
          <w:lang w:val="en-US"/>
        </w:rPr>
        <w:t xml:space="preserve"> </w:t>
      </w:r>
      <w:r w:rsidR="002361D9">
        <w:rPr>
          <w:rFonts w:cstheme="minorHAnsi"/>
          <w:lang w:val="en-US"/>
        </w:rPr>
        <w:t>As</w:t>
      </w:r>
      <w:r w:rsidR="002D695C">
        <w:rPr>
          <w:rFonts w:cstheme="minorHAnsi"/>
          <w:lang w:val="en-US"/>
        </w:rPr>
        <w:t xml:space="preserve"> the </w:t>
      </w:r>
      <w:r w:rsidR="002361D9">
        <w:rPr>
          <w:rFonts w:cstheme="minorHAnsi"/>
          <w:lang w:val="en-US"/>
        </w:rPr>
        <w:t xml:space="preserve">quantum of requirements would increase under this model, so could the </w:t>
      </w:r>
      <w:r w:rsidR="002D695C">
        <w:rPr>
          <w:rFonts w:cstheme="minorHAnsi"/>
          <w:lang w:val="en-US"/>
        </w:rPr>
        <w:t xml:space="preserve">number of potential compliance issues. This could increase the time the ACMA spends on </w:t>
      </w:r>
      <w:r w:rsidR="002361D9">
        <w:rPr>
          <w:rFonts w:cstheme="minorHAnsi"/>
          <w:lang w:val="en-US"/>
        </w:rPr>
        <w:t xml:space="preserve">its </w:t>
      </w:r>
      <w:r w:rsidR="002D695C">
        <w:rPr>
          <w:rFonts w:cstheme="minorHAnsi"/>
          <w:lang w:val="en-US"/>
        </w:rPr>
        <w:t>enforcement</w:t>
      </w:r>
      <w:r w:rsidR="002361D9">
        <w:rPr>
          <w:rFonts w:cstheme="minorHAnsi"/>
          <w:lang w:val="en-US"/>
        </w:rPr>
        <w:t xml:space="preserve"> functions</w:t>
      </w:r>
      <w:r w:rsidR="002D695C">
        <w:rPr>
          <w:rFonts w:cstheme="minorHAnsi"/>
          <w:lang w:val="en-US"/>
        </w:rPr>
        <w:t>.</w:t>
      </w:r>
      <w:r w:rsidR="002361D9">
        <w:rPr>
          <w:rFonts w:cstheme="minorHAnsi"/>
          <w:lang w:val="en-US"/>
        </w:rPr>
        <w:t xml:space="preserve"> The ACMA would require increased resources to fulfil this function.</w:t>
      </w:r>
      <w:r w:rsidR="0032727B">
        <w:rPr>
          <w:rFonts w:cstheme="minorHAnsi"/>
          <w:lang w:val="en-US"/>
        </w:rPr>
        <w:t xml:space="preserve"> </w:t>
      </w:r>
    </w:p>
    <w:p w14:paraId="505C4C0F" w14:textId="77777777" w:rsidR="00A7152B" w:rsidRPr="009B3A80" w:rsidRDefault="00A7152B" w:rsidP="00186821">
      <w:pPr>
        <w:pStyle w:val="Introduction"/>
      </w:pPr>
      <w:r>
        <w:t>Overall assessment</w:t>
      </w:r>
      <w:r w:rsidRPr="009B3A80">
        <w:t xml:space="preserve"> </w:t>
      </w:r>
    </w:p>
    <w:p w14:paraId="2E7F6760" w14:textId="0ECF2F17" w:rsidR="00627C38" w:rsidRPr="00C159C2" w:rsidRDefault="00627C38" w:rsidP="00C159C2">
      <w:pPr>
        <w:tabs>
          <w:tab w:val="left" w:pos="7905"/>
        </w:tabs>
        <w:spacing w:before="120" w:after="120"/>
        <w:rPr>
          <w:rFonts w:cstheme="minorHAnsi"/>
          <w:lang w:val="en-US"/>
        </w:rPr>
      </w:pPr>
      <w:r w:rsidRPr="00C159C2">
        <w:rPr>
          <w:rFonts w:cstheme="minorHAnsi"/>
          <w:lang w:val="en-US"/>
        </w:rPr>
        <w:t>The free-to-view model would be a technology-neutral approach to regulating the coverage of nationally important and culturally significant sporting events. It would seek to ensure that all Australians are able to access free, live and in full coverage of these events where coverage is provided in Australia.</w:t>
      </w:r>
    </w:p>
    <w:p w14:paraId="5B625E8C" w14:textId="79B48266" w:rsidR="00A0212B" w:rsidRPr="00C159C2" w:rsidRDefault="00627C38" w:rsidP="00C159C2">
      <w:pPr>
        <w:tabs>
          <w:tab w:val="left" w:pos="7905"/>
        </w:tabs>
        <w:spacing w:before="120" w:after="120"/>
        <w:rPr>
          <w:rFonts w:cstheme="minorHAnsi"/>
          <w:lang w:val="en-US"/>
        </w:rPr>
      </w:pPr>
      <w:r w:rsidRPr="00C159C2">
        <w:rPr>
          <w:rFonts w:cstheme="minorHAnsi"/>
          <w:lang w:val="en-US"/>
        </w:rPr>
        <w:t>By targeting the coverage outcome, rather than the preceding acquisition of rights, this model would avoid a number of the acknowledged concerns with the scheme</w:t>
      </w:r>
      <w:r w:rsidR="00396FD9" w:rsidRPr="00C159C2">
        <w:rPr>
          <w:rFonts w:cstheme="minorHAnsi"/>
          <w:lang w:val="en-US"/>
        </w:rPr>
        <w:t xml:space="preserve">. </w:t>
      </w:r>
      <w:bookmarkStart w:id="141" w:name="_Hlk139987940"/>
      <w:r w:rsidRPr="00C159C2">
        <w:rPr>
          <w:rFonts w:cstheme="minorHAnsi"/>
          <w:lang w:val="en-US"/>
        </w:rPr>
        <w:t xml:space="preserve">Sports bodies would have greater freedom to negotiate with content services regarding their rights. </w:t>
      </w:r>
      <w:bookmarkEnd w:id="141"/>
      <w:r w:rsidRPr="00C159C2">
        <w:rPr>
          <w:rFonts w:cstheme="minorHAnsi"/>
          <w:lang w:val="en-US"/>
        </w:rPr>
        <w:t>Subscription television broadcasting licensees would not be restricted in terms of their acquisition</w:t>
      </w:r>
      <w:r w:rsidR="00A0212B" w:rsidRPr="00C159C2">
        <w:rPr>
          <w:rFonts w:cstheme="minorHAnsi"/>
          <w:lang w:val="en-US"/>
        </w:rPr>
        <w:t xml:space="preserve"> of rights</w:t>
      </w:r>
      <w:r w:rsidR="00A66892">
        <w:rPr>
          <w:rFonts w:cstheme="minorHAnsi"/>
          <w:lang w:val="en-US"/>
        </w:rPr>
        <w:t xml:space="preserve"> in the same way as they are under the current scheme. </w:t>
      </w:r>
      <w:r w:rsidR="00A0212B" w:rsidRPr="00C159C2">
        <w:rPr>
          <w:rFonts w:cstheme="minorHAnsi"/>
          <w:lang w:val="en-US"/>
        </w:rPr>
        <w:t xml:space="preserve"> </w:t>
      </w:r>
      <w:r w:rsidR="00DB33D1" w:rsidRPr="00C159C2">
        <w:rPr>
          <w:rFonts w:cstheme="minorHAnsi"/>
          <w:lang w:val="en-US"/>
        </w:rPr>
        <w:t>The free-to-view model would</w:t>
      </w:r>
      <w:r w:rsidR="00A0212B" w:rsidRPr="00C159C2">
        <w:rPr>
          <w:rFonts w:cstheme="minorHAnsi"/>
          <w:lang w:val="en-US"/>
        </w:rPr>
        <w:t xml:space="preserve"> </w:t>
      </w:r>
      <w:r w:rsidR="007F695A">
        <w:rPr>
          <w:rFonts w:cstheme="minorHAnsi"/>
          <w:lang w:val="en-US"/>
        </w:rPr>
        <w:t xml:space="preserve">also </w:t>
      </w:r>
      <w:r w:rsidR="007F695A">
        <w:t>draw into the scheme content service providers that are not currently subject to any regulatory obligations, such as Amazon Prime</w:t>
      </w:r>
      <w:r w:rsidR="003D1C05">
        <w:t xml:space="preserve"> Video</w:t>
      </w:r>
      <w:r w:rsidR="007F695A">
        <w:t xml:space="preserve">, Disney+ and YouTube (among others).  </w:t>
      </w:r>
    </w:p>
    <w:p w14:paraId="7F17155B" w14:textId="3AE3F0D1" w:rsidR="00C159C2" w:rsidRPr="00C159C2" w:rsidRDefault="00A0212B" w:rsidP="00C159C2">
      <w:pPr>
        <w:tabs>
          <w:tab w:val="left" w:pos="7905"/>
        </w:tabs>
        <w:spacing w:before="120" w:after="120"/>
        <w:rPr>
          <w:rFonts w:cstheme="minorHAnsi"/>
          <w:lang w:val="en-US"/>
        </w:rPr>
      </w:pPr>
      <w:r w:rsidRPr="00C159C2">
        <w:rPr>
          <w:rFonts w:cstheme="minorHAnsi"/>
          <w:lang w:val="en-US"/>
        </w:rPr>
        <w:t xml:space="preserve">However, the ability of this model to deliver on the overall objective of the scheme – free access to televised coverage of nationally important and culturally significant events – is technology-dependent, with implicit costs. Availability doesn’t equal access. Although 99 per cent of Australians can theoretically connect to high quality internet services, take-up of these services is inconsistent across the country. Without adequate internet, audiences would not be able to access coverage of sport via online services, even without an explicit charge for those services. Model 1 will also only work with Option 1 for the list (a streamlined list). </w:t>
      </w:r>
      <w:r w:rsidR="00C159C2" w:rsidRPr="00C159C2">
        <w:rPr>
          <w:rFonts w:cstheme="minorHAnsi"/>
          <w:lang w:val="en-US"/>
        </w:rPr>
        <w:t xml:space="preserve">As noted in chapter 3, this would see a reduction in the events on the list of around 80 per cent, compared with the current list. </w:t>
      </w:r>
    </w:p>
    <w:p w14:paraId="2B731377" w14:textId="4ECE4987" w:rsidR="00DA0DDE" w:rsidRPr="006E577B" w:rsidRDefault="00186821" w:rsidP="00186821">
      <w:pPr>
        <w:pStyle w:val="Heading3"/>
      </w:pPr>
      <w:bookmarkStart w:id="142" w:name="_Toc150883280"/>
      <w:bookmarkStart w:id="143" w:name="_Toc151053062"/>
      <w:bookmarkEnd w:id="134"/>
      <w:r>
        <w:t>Model</w:t>
      </w:r>
      <w:r w:rsidR="00DA0DDE" w:rsidRPr="006E577B">
        <w:t xml:space="preserve"> </w:t>
      </w:r>
      <w:r w:rsidR="00DA0DDE">
        <w:t>2</w:t>
      </w:r>
      <w:r w:rsidR="00DA0DDE" w:rsidRPr="006E577B">
        <w:t>: ‘</w:t>
      </w:r>
      <w:r>
        <w:t>b</w:t>
      </w:r>
      <w:r w:rsidR="00DA0DDE">
        <w:t>roadcasting safety net</w:t>
      </w:r>
      <w:r w:rsidR="00DA0DDE" w:rsidRPr="006E577B">
        <w:t>’</w:t>
      </w:r>
      <w:bookmarkEnd w:id="142"/>
      <w:bookmarkEnd w:id="143"/>
      <w:r w:rsidR="00DA0DDE" w:rsidRPr="006E577B">
        <w:t xml:space="preserve"> </w:t>
      </w:r>
    </w:p>
    <w:p w14:paraId="78BE8DAD" w14:textId="4E5C87FD" w:rsidR="00DA0DDE" w:rsidRPr="00CA5FD2" w:rsidRDefault="00DA0DDE" w:rsidP="00186821">
      <w:pPr>
        <w:pStyle w:val="Introduction"/>
      </w:pPr>
      <w:r w:rsidRPr="00CA5FD2">
        <w:t>Impact on industry</w:t>
      </w:r>
    </w:p>
    <w:p w14:paraId="414E10B2" w14:textId="369A4EBB" w:rsidR="00DA0DDE" w:rsidRPr="00D61250" w:rsidRDefault="00186821" w:rsidP="00D61250">
      <w:pPr>
        <w:spacing w:after="0"/>
        <w:rPr>
          <w:b/>
        </w:rPr>
      </w:pPr>
      <w:r w:rsidRPr="00D61250">
        <w:rPr>
          <w:b/>
        </w:rPr>
        <w:t>F</w:t>
      </w:r>
      <w:r w:rsidR="00DA0DDE" w:rsidRPr="00D61250">
        <w:rPr>
          <w:b/>
        </w:rPr>
        <w:t xml:space="preserve">ree-to-air </w:t>
      </w:r>
      <w:r w:rsidR="002E6998" w:rsidRPr="00D61250">
        <w:rPr>
          <w:b/>
        </w:rPr>
        <w:t>broadcasters</w:t>
      </w:r>
    </w:p>
    <w:p w14:paraId="714126B8" w14:textId="77777777" w:rsidR="00F639CE" w:rsidRDefault="00DA0DDE" w:rsidP="005538AC">
      <w:r>
        <w:t xml:space="preserve">The broadcasting safety net model would </w:t>
      </w:r>
      <w:r w:rsidR="00EC7FC7">
        <w:t>extend the commercial advantages afforded to free-to-air broadcasters under the current scheme</w:t>
      </w:r>
      <w:r w:rsidR="002E38E6">
        <w:t>,</w:t>
      </w:r>
      <w:r w:rsidR="002E38E6" w:rsidRPr="002E38E6">
        <w:t xml:space="preserve"> </w:t>
      </w:r>
      <w:r w:rsidR="002E38E6">
        <w:t xml:space="preserve">and is likely to advance their negotiating position with regard to sports rights compared with their competitors. </w:t>
      </w:r>
      <w:r w:rsidR="002E38E6" w:rsidRPr="007875B3">
        <w:t>This is a product of the requirement for a free-to-air broadcaster to have acquired a right to televise the event on a broadcasting service before another party can acquire a right to the event.</w:t>
      </w:r>
      <w:r w:rsidR="00EC7FC7" w:rsidRPr="00EC7FC7">
        <w:t xml:space="preserve"> </w:t>
      </w:r>
    </w:p>
    <w:p w14:paraId="361197AC" w14:textId="15309ADA" w:rsidR="00F639CE" w:rsidRPr="00C10DE5" w:rsidRDefault="00DA0DDE" w:rsidP="005538AC">
      <w:r>
        <w:t>Th</w:t>
      </w:r>
      <w:r w:rsidR="002E38E6">
        <w:t>e</w:t>
      </w:r>
      <w:r w:rsidR="000F20AB">
        <w:t>se</w:t>
      </w:r>
      <w:r w:rsidR="002E38E6">
        <w:t xml:space="preserve"> benefits </w:t>
      </w:r>
      <w:r w:rsidR="000F20AB">
        <w:t xml:space="preserve">are likely to primarily accrue to </w:t>
      </w:r>
      <w:r>
        <w:t>commercial free</w:t>
      </w:r>
      <w:r>
        <w:noBreakHyphen/>
        <w:t>to</w:t>
      </w:r>
      <w:r>
        <w:noBreakHyphen/>
        <w:t xml:space="preserve">air </w:t>
      </w:r>
      <w:r w:rsidR="00A7774B">
        <w:t xml:space="preserve">broadcasters, </w:t>
      </w:r>
      <w:r w:rsidR="00FF79BD">
        <w:t>as opposed to the national broadcasters</w:t>
      </w:r>
      <w:r w:rsidR="00A7774B">
        <w:t xml:space="preserve">, </w:t>
      </w:r>
      <w:r w:rsidR="000F20AB">
        <w:t xml:space="preserve">given the importance of the sports content genre to their businesses. </w:t>
      </w:r>
      <w:r w:rsidR="00EF4796" w:rsidRPr="00C10DE5">
        <w:t>Historically, commercial free-to-air broadcasters have expended more on major sports rights deals than their national counterparts. Between 2015 and 2022, commercial free-to-air broadcasters are estimated to have spent around $1.3 billion each on sports rights</w:t>
      </w:r>
      <w:r w:rsidR="00F639CE" w:rsidRPr="00C10DE5">
        <w:t xml:space="preserve"> </w:t>
      </w:r>
      <w:r w:rsidR="00EF4796" w:rsidRPr="00C10DE5">
        <w:t>compared to just under $</w:t>
      </w:r>
      <w:r w:rsidR="00E95D0F">
        <w:t>250</w:t>
      </w:r>
      <w:r w:rsidR="00E95D0F" w:rsidRPr="00C10DE5">
        <w:t xml:space="preserve"> </w:t>
      </w:r>
      <w:r w:rsidR="00EF4796" w:rsidRPr="00C10DE5">
        <w:t>million each for the national broadcasters.</w:t>
      </w:r>
      <w:r w:rsidR="00EF4796" w:rsidRPr="00C10DE5">
        <w:rPr>
          <w:rStyle w:val="FootnoteReference"/>
        </w:rPr>
        <w:footnoteReference w:id="115"/>
      </w:r>
      <w:r w:rsidR="00176417" w:rsidRPr="00C10DE5">
        <w:t xml:space="preserve"> </w:t>
      </w:r>
    </w:p>
    <w:p w14:paraId="20BCB133" w14:textId="04B156BF" w:rsidR="00F639CE" w:rsidRPr="00C10DE5" w:rsidRDefault="005538AC" w:rsidP="00F639CE">
      <w:r w:rsidRPr="00C10DE5">
        <w:t>In 2022, sport or sport-related programs accounted for 9 of the top 10 rating programs on free</w:t>
      </w:r>
      <w:r w:rsidRPr="00C10DE5">
        <w:noBreakHyphen/>
        <w:t>to</w:t>
      </w:r>
      <w:r w:rsidRPr="00C10DE5">
        <w:noBreakHyphen/>
        <w:t xml:space="preserve">air television, over half of the top 50 rated programs and a little under half of top 500 programs. </w:t>
      </w:r>
      <w:r w:rsidR="00F639CE" w:rsidRPr="00C10DE5">
        <w:t xml:space="preserve">This supports the argument made by the commercial free-to-air broadcasters that </w:t>
      </w:r>
      <w:r w:rsidR="00176417" w:rsidRPr="00C10DE5">
        <w:t>sport is critical for the sustainability of wholly advertiser funded services</w:t>
      </w:r>
      <w:r w:rsidR="00F639CE" w:rsidRPr="00C10DE5">
        <w:t xml:space="preserve">. Commercial free-to-air broadcasters have also noted that </w:t>
      </w:r>
      <w:r w:rsidR="00DD2996" w:rsidRPr="00C10DE5">
        <w:t xml:space="preserve">sport is important in helping to build and maintain an audience </w:t>
      </w:r>
      <w:r w:rsidR="00C9618A">
        <w:t>for</w:t>
      </w:r>
      <w:r w:rsidR="00C9618A" w:rsidRPr="00C10DE5">
        <w:t xml:space="preserve"> </w:t>
      </w:r>
      <w:r w:rsidR="00DD2996" w:rsidRPr="00C10DE5">
        <w:t>adjacent content</w:t>
      </w:r>
      <w:r w:rsidR="00F639CE" w:rsidRPr="00C10DE5">
        <w:t xml:space="preserve"> like news, entertainment and Australian drama.</w:t>
      </w:r>
      <w:r w:rsidR="00F639CE" w:rsidRPr="00C10DE5">
        <w:rPr>
          <w:rStyle w:val="FootnoteReference"/>
        </w:rPr>
        <w:footnoteReference w:id="116"/>
      </w:r>
      <w:r w:rsidR="00F639CE" w:rsidRPr="00C10DE5">
        <w:t xml:space="preserve"> </w:t>
      </w:r>
    </w:p>
    <w:p w14:paraId="2C298178" w14:textId="46154593" w:rsidR="00383C5D" w:rsidRPr="00C10DE5" w:rsidRDefault="00E95DB8" w:rsidP="00383C5D">
      <w:pPr>
        <w:spacing w:after="0"/>
      </w:pPr>
      <w:r w:rsidRPr="00C10DE5">
        <w:t xml:space="preserve">While the benefit to free-to-air broadcasters is not possible to quantify, it is anticipated to be </w:t>
      </w:r>
      <w:r w:rsidR="00F639CE" w:rsidRPr="00C10DE5">
        <w:t>material</w:t>
      </w:r>
      <w:r w:rsidR="00176417" w:rsidRPr="00C10DE5">
        <w:t xml:space="preserve">. </w:t>
      </w:r>
      <w:r w:rsidR="00383C5D" w:rsidRPr="00C10DE5">
        <w:t xml:space="preserve">Foxtel indicates that </w:t>
      </w:r>
      <w:r w:rsidR="00530694" w:rsidRPr="00C10DE5">
        <w:t>the broadcasting safety net</w:t>
      </w:r>
      <w:r w:rsidR="00383C5D" w:rsidRPr="00C10DE5">
        <w:t xml:space="preserve"> model would</w:t>
      </w:r>
      <w:r w:rsidR="00176A62" w:rsidRPr="00C10DE5">
        <w:t xml:space="preserve"> distort the playing field more than the </w:t>
      </w:r>
      <w:r w:rsidR="00F639CE" w:rsidRPr="00C10DE5">
        <w:t xml:space="preserve">current </w:t>
      </w:r>
      <w:r w:rsidR="00176A62" w:rsidRPr="00C10DE5">
        <w:t>scheme and provide free-to-air broadcasters with even greater freedom from competition</w:t>
      </w:r>
      <w:r w:rsidR="00F80C81" w:rsidRPr="00C10DE5">
        <w:t>.</w:t>
      </w:r>
      <w:r w:rsidR="00176A62" w:rsidRPr="00C10DE5">
        <w:rPr>
          <w:rStyle w:val="FootnoteReference"/>
        </w:rPr>
        <w:footnoteReference w:id="117"/>
      </w:r>
    </w:p>
    <w:p w14:paraId="26E53E19" w14:textId="584DB765" w:rsidR="00383C5D" w:rsidRPr="00C10DE5" w:rsidRDefault="00530694" w:rsidP="00530694">
      <w:pPr>
        <w:spacing w:after="0"/>
        <w:ind w:left="720"/>
      </w:pPr>
      <w:r w:rsidRPr="00C10DE5">
        <w:t>“</w:t>
      </w:r>
      <w:r w:rsidR="00383C5D" w:rsidRPr="00C10DE5">
        <w:t>It will also increase the FTAs' already substantial advantage in relation to the acquisition of other kinds of coverage rights, notably streaming rights. It is currently common for sporting bodies to bundle their broadcast rights and streaming rights together, often for both listed and unlisted events, to secure the highest cumulative price for those rights.</w:t>
      </w:r>
      <w:r w:rsidRPr="00C10DE5">
        <w:t>”</w:t>
      </w:r>
      <w:r w:rsidR="00176A62" w:rsidRPr="00C10DE5">
        <w:rPr>
          <w:rStyle w:val="FootnoteReference"/>
        </w:rPr>
        <w:footnoteReference w:id="118"/>
      </w:r>
    </w:p>
    <w:p w14:paraId="03959C9D" w14:textId="524DA65A" w:rsidR="00886451" w:rsidRPr="00C10DE5" w:rsidRDefault="00E95DB8" w:rsidP="00DA0DDE">
      <w:pPr>
        <w:spacing w:after="0"/>
      </w:pPr>
      <w:r w:rsidRPr="00C10DE5">
        <w:t>However, th</w:t>
      </w:r>
      <w:r w:rsidR="00F639CE" w:rsidRPr="00C10DE5">
        <w:t xml:space="preserve">is potential </w:t>
      </w:r>
      <w:r w:rsidRPr="00C10DE5">
        <w:t xml:space="preserve">competitive advantage </w:t>
      </w:r>
      <w:r w:rsidR="00A13370" w:rsidRPr="00C10DE5">
        <w:t>is mitigated by a number of factors</w:t>
      </w:r>
      <w:r w:rsidRPr="00C10DE5">
        <w:t xml:space="preserve">. </w:t>
      </w:r>
      <w:r w:rsidR="00A13370" w:rsidRPr="00C10DE5">
        <w:t xml:space="preserve">The model </w:t>
      </w:r>
      <w:r w:rsidR="00F639CE" w:rsidRPr="00C10DE5">
        <w:t>would</w:t>
      </w:r>
      <w:r w:rsidR="00A13370" w:rsidRPr="00C10DE5">
        <w:t xml:space="preserve"> not extend to </w:t>
      </w:r>
      <w:r w:rsidR="00A02D85" w:rsidRPr="00C10DE5">
        <w:t>BVOD services</w:t>
      </w:r>
      <w:r w:rsidR="00F639CE" w:rsidRPr="00C10DE5">
        <w:t xml:space="preserve"> </w:t>
      </w:r>
      <w:r w:rsidR="00993A0A">
        <w:t>in</w:t>
      </w:r>
      <w:r w:rsidR="00F639CE" w:rsidRPr="00C10DE5">
        <w:t xml:space="preserve"> that it wouldn’t require a free-to-air broadcaster to have acquired a right to provide coverage of a listed event on a content service (such as a BVOD) before another party can acquire a right. </w:t>
      </w:r>
      <w:r w:rsidR="00176A62" w:rsidRPr="00C10DE5">
        <w:t xml:space="preserve">Free TV </w:t>
      </w:r>
      <w:r w:rsidR="00F639CE" w:rsidRPr="00C10DE5">
        <w:t xml:space="preserve">has indicated that the </w:t>
      </w:r>
      <w:r w:rsidR="00176A62" w:rsidRPr="00C10DE5">
        <w:t xml:space="preserve">broadcast safety net </w:t>
      </w:r>
      <w:r w:rsidR="00F639CE" w:rsidRPr="00C10DE5">
        <w:t>model puts at risk the</w:t>
      </w:r>
      <w:r w:rsidR="00176A62" w:rsidRPr="00C10DE5">
        <w:t xml:space="preserve"> future sustainability of free local media, as these services rely on policy makers to create regulatory frameworks that support the gradual adoption of free local media services on their BVODs.</w:t>
      </w:r>
      <w:r w:rsidR="00176A62" w:rsidRPr="00C10DE5">
        <w:rPr>
          <w:rStyle w:val="FootnoteReference"/>
        </w:rPr>
        <w:footnoteReference w:id="119"/>
      </w:r>
      <w:r w:rsidR="00A02D85" w:rsidRPr="00C10DE5">
        <w:t xml:space="preserve"> Free TV’s cites data that indicates that BVOD revenues account</w:t>
      </w:r>
      <w:r w:rsidR="00886451" w:rsidRPr="00C10DE5">
        <w:t>ed</w:t>
      </w:r>
      <w:r w:rsidR="00A02D85" w:rsidRPr="00C10DE5">
        <w:t xml:space="preserve"> for around 10 per cent of total free-to-air service revenue in 2022, and projects</w:t>
      </w:r>
      <w:r w:rsidR="00F639CE" w:rsidRPr="00C10DE5">
        <w:t xml:space="preserve"> that</w:t>
      </w:r>
      <w:r w:rsidR="00A02D85" w:rsidRPr="00C10DE5">
        <w:t xml:space="preserve"> </w:t>
      </w:r>
      <w:r w:rsidR="00886451" w:rsidRPr="00C10DE5">
        <w:t xml:space="preserve">this medium </w:t>
      </w:r>
      <w:r w:rsidR="00F639CE" w:rsidRPr="00C10DE5">
        <w:t xml:space="preserve">will </w:t>
      </w:r>
      <w:r w:rsidR="00A02D85" w:rsidRPr="00C10DE5">
        <w:t xml:space="preserve">account for 25 per cent </w:t>
      </w:r>
      <w:r w:rsidR="00886451" w:rsidRPr="00C10DE5">
        <w:t xml:space="preserve">of revenue </w:t>
      </w:r>
      <w:r w:rsidR="00A02D85" w:rsidRPr="00C10DE5">
        <w:t>by 2027, and 50</w:t>
      </w:r>
      <w:r w:rsidR="00C82859" w:rsidRPr="00C10DE5">
        <w:t> </w:t>
      </w:r>
      <w:r w:rsidR="00A02D85" w:rsidRPr="00C10DE5">
        <w:t xml:space="preserve">per cent </w:t>
      </w:r>
      <w:r w:rsidR="00F639CE" w:rsidRPr="00C10DE5">
        <w:t>by</w:t>
      </w:r>
      <w:r w:rsidR="00A02D85" w:rsidRPr="00C10DE5">
        <w:t xml:space="preserve"> 2033.</w:t>
      </w:r>
      <w:r w:rsidR="006E320D" w:rsidRPr="00C10DE5">
        <w:rPr>
          <w:rStyle w:val="FootnoteReference"/>
        </w:rPr>
        <w:footnoteReference w:id="120"/>
      </w:r>
      <w:r w:rsidR="00A02D85" w:rsidRPr="00C10DE5">
        <w:t xml:space="preserve"> </w:t>
      </w:r>
    </w:p>
    <w:p w14:paraId="5FE8F5C3" w14:textId="2BD3340E" w:rsidR="00E95DB8" w:rsidRPr="0020775D" w:rsidRDefault="003715F7" w:rsidP="00D61250">
      <w:pPr>
        <w:spacing w:after="0"/>
      </w:pPr>
      <w:r w:rsidRPr="00C10DE5">
        <w:t xml:space="preserve">Additionally, the </w:t>
      </w:r>
      <w:r w:rsidR="00886451" w:rsidRPr="00C10DE5">
        <w:t xml:space="preserve">automatic </w:t>
      </w:r>
      <w:r w:rsidRPr="00C10DE5">
        <w:t>delisting period will be extended from 26 weeks to 12 months</w:t>
      </w:r>
      <w:r w:rsidR="00886451" w:rsidRPr="00C10DE5">
        <w:t xml:space="preserve"> under this option</w:t>
      </w:r>
      <w:r w:rsidRPr="00C10DE5">
        <w:t xml:space="preserve">. </w:t>
      </w:r>
      <w:r w:rsidR="00F639CE" w:rsidRPr="00C10DE5">
        <w:t xml:space="preserve">This would provide an opportunity for parties other than free-to-air broadcasters to acquire the rights to events on the list at an earlier point, compared with the current </w:t>
      </w:r>
      <w:r w:rsidR="0032727B">
        <w:t>26</w:t>
      </w:r>
      <w:r w:rsidR="0023099B">
        <w:t>-</w:t>
      </w:r>
      <w:r w:rsidR="0032727B">
        <w:t>week</w:t>
      </w:r>
      <w:r w:rsidR="00F639CE" w:rsidRPr="00C10DE5">
        <w:t xml:space="preserve"> delisting arrangements. This may also mitigate any potential competitive advantage conferred on free-to-air broadcasters under this option. </w:t>
      </w:r>
    </w:p>
    <w:p w14:paraId="3072C13A" w14:textId="223CA7BB" w:rsidR="00DA0DDE" w:rsidRPr="00D61250" w:rsidRDefault="00186821" w:rsidP="00D61250">
      <w:pPr>
        <w:spacing w:after="0"/>
        <w:rPr>
          <w:b/>
        </w:rPr>
      </w:pPr>
      <w:r w:rsidRPr="00D61250">
        <w:rPr>
          <w:b/>
        </w:rPr>
        <w:t>S</w:t>
      </w:r>
      <w:r w:rsidR="00DA0DDE" w:rsidRPr="00D61250">
        <w:rPr>
          <w:b/>
        </w:rPr>
        <w:t>ubscription television and streaming services</w:t>
      </w:r>
    </w:p>
    <w:p w14:paraId="3D6B89B7" w14:textId="5A64A29F" w:rsidR="00DA0DDE" w:rsidRPr="009457BF" w:rsidRDefault="00E51812" w:rsidP="00DA0DDE">
      <w:pPr>
        <w:spacing w:after="120"/>
      </w:pPr>
      <w:r>
        <w:t xml:space="preserve">This model would </w:t>
      </w:r>
      <w:r w:rsidR="000F20AB">
        <w:t xml:space="preserve">adversely impact </w:t>
      </w:r>
      <w:r>
        <w:t>s</w:t>
      </w:r>
      <w:r w:rsidR="00DA0DDE">
        <w:t xml:space="preserve">ubscription television </w:t>
      </w:r>
      <w:r w:rsidR="00226747">
        <w:t xml:space="preserve">broadcasting </w:t>
      </w:r>
      <w:r w:rsidR="00DA0DDE">
        <w:t>services</w:t>
      </w:r>
      <w:r w:rsidR="00CE7814">
        <w:t xml:space="preserve"> to the extent that they are also online providers</w:t>
      </w:r>
      <w:r w:rsidR="00DA0DDE">
        <w:t xml:space="preserve">. </w:t>
      </w:r>
      <w:r w:rsidR="003F3747">
        <w:t>The</w:t>
      </w:r>
      <w:r w:rsidR="00DA0DDE">
        <w:t xml:space="preserve"> </w:t>
      </w:r>
      <w:r w:rsidR="003F3747">
        <w:t>proposed acquisition restriction under this model would</w:t>
      </w:r>
      <w:r>
        <w:t xml:space="preserve"> increase the burden on these services by constraining their ability to acquire </w:t>
      </w:r>
      <w:r w:rsidR="000D78B1">
        <w:t xml:space="preserve">the online </w:t>
      </w:r>
      <w:r>
        <w:t>rights to listed events, and</w:t>
      </w:r>
      <w:r w:rsidR="00DA0DDE">
        <w:t xml:space="preserve"> </w:t>
      </w:r>
      <w:r w:rsidR="00AD07EE">
        <w:t xml:space="preserve">presumably impact their </w:t>
      </w:r>
      <w:r w:rsidR="00DA0DDE">
        <w:t>negotiating position</w:t>
      </w:r>
      <w:r w:rsidR="00DA0DDE" w:rsidRPr="009457BF">
        <w:t xml:space="preserve">. </w:t>
      </w:r>
      <w:r w:rsidR="00DA0DDE">
        <w:t xml:space="preserve"> </w:t>
      </w:r>
    </w:p>
    <w:p w14:paraId="7A2AC11B" w14:textId="77777777" w:rsidR="001B4211" w:rsidRDefault="000D78B1" w:rsidP="0075045C">
      <w:pPr>
        <w:spacing w:after="0"/>
      </w:pPr>
      <w:r>
        <w:t>‘Standalone’ o</w:t>
      </w:r>
      <w:r w:rsidR="00B437FF">
        <w:t xml:space="preserve">nline service providers </w:t>
      </w:r>
      <w:r>
        <w:t xml:space="preserve">(those not associated with or part of a broadcasting enterprise) </w:t>
      </w:r>
      <w:r w:rsidR="00B437FF">
        <w:t>would be negatively impacted by this model</w:t>
      </w:r>
      <w:r w:rsidR="00A3013A">
        <w:t xml:space="preserve"> as they</w:t>
      </w:r>
      <w:r w:rsidR="00F2642B">
        <w:t xml:space="preserve"> would be</w:t>
      </w:r>
      <w:r w:rsidR="00A3013A">
        <w:t xml:space="preserve"> </w:t>
      </w:r>
      <w:r w:rsidR="00F2642B">
        <w:t xml:space="preserve">drawn into the scheme and </w:t>
      </w:r>
      <w:r>
        <w:t xml:space="preserve">would </w:t>
      </w:r>
      <w:r w:rsidR="00F2642B">
        <w:t>be subject to acquisition restrictions</w:t>
      </w:r>
      <w:r w:rsidR="00DA0DDE">
        <w:t xml:space="preserve">. </w:t>
      </w:r>
      <w:r w:rsidR="002E38E6">
        <w:t xml:space="preserve">This </w:t>
      </w:r>
      <w:r>
        <w:t>may</w:t>
      </w:r>
      <w:r w:rsidR="002E38E6">
        <w:t xml:space="preserve"> </w:t>
      </w:r>
      <w:r w:rsidR="00F2642B">
        <w:t>constrain</w:t>
      </w:r>
      <w:r w:rsidR="002E38E6">
        <w:t xml:space="preserve"> their negotiating position</w:t>
      </w:r>
      <w:r>
        <w:t xml:space="preserve">, particularly </w:t>
      </w:r>
      <w:r w:rsidR="00B30A7F">
        <w:t xml:space="preserve">if </w:t>
      </w:r>
      <w:r>
        <w:t>media rights to particular events are sold as a ‘bundle’ (broadcasting and online rights sold together).</w:t>
      </w:r>
    </w:p>
    <w:p w14:paraId="013C5B6D" w14:textId="4AF51DF4" w:rsidR="001B4211" w:rsidRPr="00C10DE5" w:rsidRDefault="001B4211" w:rsidP="001B4211">
      <w:pPr>
        <w:autoSpaceDE w:val="0"/>
        <w:autoSpaceDN w:val="0"/>
        <w:adjustRightInd w:val="0"/>
        <w:snapToGrid w:val="0"/>
        <w:spacing w:after="0"/>
        <w:rPr>
          <w:rFonts w:eastAsia="Times New Roman" w:cstheme="minorHAnsi"/>
          <w:color w:val="000000"/>
        </w:rPr>
      </w:pPr>
      <w:r w:rsidRPr="00C10DE5">
        <w:rPr>
          <w:rFonts w:eastAsia="Times New Roman" w:cstheme="minorHAnsi"/>
          <w:color w:val="000000"/>
        </w:rPr>
        <w:t>In its 2009, the PC found that</w:t>
      </w:r>
      <w:r w:rsidRPr="00C10DE5">
        <w:rPr>
          <w:rFonts w:eastAsia="Times New Roman" w:cstheme="minorHAnsi"/>
          <w:color w:val="000000"/>
          <w:lang w:val="x-none"/>
        </w:rPr>
        <w:t xml:space="preserve"> the </w:t>
      </w:r>
      <w:r w:rsidRPr="00C10DE5">
        <w:rPr>
          <w:rFonts w:eastAsia="Times New Roman" w:cstheme="minorHAnsi"/>
          <w:color w:val="000000"/>
        </w:rPr>
        <w:t>scheme</w:t>
      </w:r>
      <w:r w:rsidRPr="00C10DE5">
        <w:rPr>
          <w:rFonts w:eastAsia="Times New Roman" w:cstheme="minorHAnsi"/>
          <w:color w:val="000000"/>
          <w:lang w:val="x-none"/>
        </w:rPr>
        <w:t xml:space="preserve"> imposes considerable anti-competitive</w:t>
      </w:r>
      <w:r w:rsidRPr="00C10DE5">
        <w:rPr>
          <w:rFonts w:eastAsia="Times New Roman" w:cstheme="minorHAnsi"/>
          <w:color w:val="000000"/>
        </w:rPr>
        <w:t xml:space="preserve"> </w:t>
      </w:r>
      <w:r w:rsidRPr="00C10DE5">
        <w:rPr>
          <w:rFonts w:eastAsia="Times New Roman" w:cstheme="minorHAnsi"/>
          <w:color w:val="000000"/>
          <w:lang w:val="x-none"/>
        </w:rPr>
        <w:t>distortions and additional burdens on subscription</w:t>
      </w:r>
      <w:r w:rsidRPr="00C10DE5">
        <w:rPr>
          <w:rFonts w:eastAsia="Times New Roman" w:cstheme="minorHAnsi"/>
          <w:color w:val="000000"/>
        </w:rPr>
        <w:t xml:space="preserve"> </w:t>
      </w:r>
      <w:r w:rsidRPr="00C10DE5">
        <w:rPr>
          <w:rFonts w:eastAsia="Times New Roman" w:cstheme="minorHAnsi"/>
          <w:color w:val="000000"/>
          <w:lang w:val="x-none"/>
        </w:rPr>
        <w:t>broadcasters in acquiring those rights.</w:t>
      </w:r>
      <w:r w:rsidRPr="00C10DE5">
        <w:rPr>
          <w:rFonts w:eastAsia="Times New Roman" w:cstheme="minorHAnsi"/>
          <w:color w:val="000000"/>
        </w:rPr>
        <w:t xml:space="preserve"> </w:t>
      </w:r>
      <w:r w:rsidR="00B94171" w:rsidRPr="00C10DE5">
        <w:rPr>
          <w:rFonts w:eastAsia="Times New Roman" w:cstheme="minorHAnsi"/>
          <w:color w:val="000000"/>
        </w:rPr>
        <w:t xml:space="preserve">While not attempting to quantify this impact, the </w:t>
      </w:r>
      <w:r w:rsidRPr="00C10DE5">
        <w:rPr>
          <w:rFonts w:eastAsia="Times New Roman" w:cstheme="minorHAnsi"/>
          <w:color w:val="000000"/>
        </w:rPr>
        <w:t>PC stated</w:t>
      </w:r>
      <w:r w:rsidR="00B94171" w:rsidRPr="00C10DE5">
        <w:rPr>
          <w:rFonts w:eastAsia="Times New Roman" w:cstheme="minorHAnsi"/>
          <w:color w:val="000000"/>
        </w:rPr>
        <w:t xml:space="preserve"> that:</w:t>
      </w:r>
    </w:p>
    <w:p w14:paraId="733D73CE" w14:textId="48CD758A" w:rsidR="00B94171" w:rsidRPr="00C10DE5" w:rsidRDefault="001B4211" w:rsidP="00B94171">
      <w:pPr>
        <w:autoSpaceDE w:val="0"/>
        <w:autoSpaceDN w:val="0"/>
        <w:adjustRightInd w:val="0"/>
        <w:snapToGrid w:val="0"/>
        <w:spacing w:after="0"/>
        <w:ind w:left="720"/>
        <w:rPr>
          <w:rFonts w:eastAsia="Times New Roman" w:cstheme="minorHAnsi"/>
          <w:color w:val="000000"/>
        </w:rPr>
      </w:pPr>
      <w:r w:rsidRPr="00C10DE5">
        <w:rPr>
          <w:rFonts w:eastAsia="Times New Roman" w:cstheme="minorHAnsi"/>
          <w:color w:val="000000"/>
        </w:rPr>
        <w:t>“</w:t>
      </w:r>
      <w:r w:rsidRPr="00C10DE5">
        <w:rPr>
          <w:rFonts w:eastAsia="Times New Roman" w:cstheme="minorHAnsi"/>
          <w:color w:val="000000"/>
          <w:lang w:val="x-none"/>
        </w:rPr>
        <w:t>The anti-siphoning provisions</w:t>
      </w:r>
      <w:r w:rsidRPr="00C10DE5">
        <w:rPr>
          <w:rFonts w:eastAsia="Times New Roman" w:cstheme="minorHAnsi"/>
          <w:color w:val="000000"/>
        </w:rPr>
        <w:t xml:space="preserve"> </w:t>
      </w:r>
      <w:r w:rsidRPr="00C10DE5">
        <w:rPr>
          <w:rFonts w:eastAsia="Times New Roman" w:cstheme="minorHAnsi"/>
          <w:color w:val="000000"/>
          <w:lang w:val="x-none"/>
        </w:rPr>
        <w:t>directly limit competition between subscription and free-to-air networks. While</w:t>
      </w:r>
      <w:r w:rsidRPr="00C10DE5">
        <w:rPr>
          <w:rFonts w:eastAsia="Times New Roman" w:cstheme="minorHAnsi"/>
          <w:color w:val="000000"/>
        </w:rPr>
        <w:t xml:space="preserve"> </w:t>
      </w:r>
      <w:r w:rsidRPr="00C10DE5">
        <w:rPr>
          <w:rFonts w:eastAsia="Times New Roman" w:cstheme="minorHAnsi"/>
          <w:color w:val="000000"/>
          <w:lang w:val="x-none"/>
        </w:rPr>
        <w:t>subscription television providers regularly gain access to listed events, the regime</w:t>
      </w:r>
      <w:r w:rsidRPr="00C10DE5">
        <w:rPr>
          <w:rFonts w:eastAsia="Times New Roman" w:cstheme="minorHAnsi"/>
          <w:color w:val="000000"/>
        </w:rPr>
        <w:t xml:space="preserve"> </w:t>
      </w:r>
      <w:r w:rsidRPr="00C10DE5">
        <w:rPr>
          <w:rFonts w:eastAsia="Times New Roman" w:cstheme="minorHAnsi"/>
          <w:color w:val="000000"/>
          <w:lang w:val="x-none"/>
        </w:rPr>
        <w:t>shifts the balance of negotiating power in favour of free-to-air networks, as</w:t>
      </w:r>
      <w:r w:rsidRPr="00C10DE5">
        <w:rPr>
          <w:rFonts w:eastAsia="Times New Roman" w:cstheme="minorHAnsi"/>
          <w:color w:val="000000"/>
        </w:rPr>
        <w:t xml:space="preserve"> </w:t>
      </w:r>
      <w:r w:rsidRPr="00C10DE5">
        <w:rPr>
          <w:rFonts w:eastAsia="Times New Roman" w:cstheme="minorHAnsi"/>
          <w:color w:val="000000"/>
          <w:lang w:val="x-none"/>
        </w:rPr>
        <w:t>subscription television broadcasters are unable to compete for exclusive broadcast</w:t>
      </w:r>
      <w:r w:rsidRPr="00C10DE5">
        <w:rPr>
          <w:rFonts w:eastAsia="Times New Roman" w:cstheme="minorHAnsi"/>
          <w:color w:val="000000"/>
        </w:rPr>
        <w:t xml:space="preserve"> </w:t>
      </w:r>
      <w:r w:rsidRPr="00C10DE5">
        <w:rPr>
          <w:rFonts w:eastAsia="Times New Roman" w:cstheme="minorHAnsi"/>
          <w:color w:val="000000"/>
          <w:lang w:val="x-none"/>
        </w:rPr>
        <w:t>rights for listed events.</w:t>
      </w:r>
      <w:r w:rsidR="00B94171" w:rsidRPr="00C10DE5">
        <w:rPr>
          <w:rFonts w:eastAsia="Times New Roman" w:cstheme="minorHAnsi"/>
          <w:color w:val="000000"/>
        </w:rPr>
        <w:t>”</w:t>
      </w:r>
      <w:r w:rsidRPr="00C10DE5">
        <w:rPr>
          <w:rStyle w:val="FootnoteReference"/>
          <w:rFonts w:eastAsia="Times New Roman" w:cstheme="minorHAnsi"/>
          <w:color w:val="000000"/>
          <w:lang w:val="x-none"/>
        </w:rPr>
        <w:footnoteReference w:id="121"/>
      </w:r>
      <w:r w:rsidRPr="00C10DE5">
        <w:rPr>
          <w:rFonts w:eastAsia="Times New Roman" w:cstheme="minorHAnsi"/>
          <w:color w:val="000000"/>
        </w:rPr>
        <w:t xml:space="preserve"> </w:t>
      </w:r>
    </w:p>
    <w:p w14:paraId="238AB3CE" w14:textId="3573A14B" w:rsidR="006836EB" w:rsidRPr="00C10DE5" w:rsidRDefault="005D2142" w:rsidP="006836EB">
      <w:pPr>
        <w:autoSpaceDE w:val="0"/>
        <w:autoSpaceDN w:val="0"/>
        <w:adjustRightInd w:val="0"/>
        <w:snapToGrid w:val="0"/>
        <w:spacing w:after="0"/>
        <w:rPr>
          <w:rFonts w:eastAsia="Times New Roman" w:cstheme="minorHAnsi"/>
          <w:color w:val="000000"/>
        </w:rPr>
      </w:pPr>
      <w:r w:rsidRPr="00C10DE5">
        <w:rPr>
          <w:rFonts w:eastAsia="Times New Roman" w:cstheme="minorHAnsi"/>
          <w:color w:val="000000"/>
        </w:rPr>
        <w:t xml:space="preserve">In criticising the scheme, the PC noted that sport is typically the most popular viewing option of those </w:t>
      </w:r>
      <w:r w:rsidR="00886451" w:rsidRPr="00C10DE5">
        <w:rPr>
          <w:rFonts w:eastAsia="Times New Roman" w:cstheme="minorHAnsi"/>
          <w:color w:val="000000"/>
        </w:rPr>
        <w:t>consumers that subscr</w:t>
      </w:r>
      <w:r w:rsidR="00026314">
        <w:rPr>
          <w:rFonts w:eastAsia="Times New Roman" w:cstheme="minorHAnsi"/>
          <w:color w:val="000000"/>
        </w:rPr>
        <w:t>ibe</w:t>
      </w:r>
      <w:r w:rsidR="00886451" w:rsidRPr="00C10DE5">
        <w:rPr>
          <w:rFonts w:eastAsia="Times New Roman" w:cstheme="minorHAnsi"/>
          <w:color w:val="000000"/>
        </w:rPr>
        <w:t xml:space="preserve"> to s</w:t>
      </w:r>
      <w:r w:rsidRPr="00C10DE5">
        <w:rPr>
          <w:rFonts w:eastAsia="Times New Roman" w:cstheme="minorHAnsi"/>
          <w:color w:val="000000"/>
        </w:rPr>
        <w:t>ubscription television, suggesting that it is those viewers particularly interested in watching sport that are most likely to subscribe.</w:t>
      </w:r>
      <w:r w:rsidRPr="00C10DE5">
        <w:rPr>
          <w:rStyle w:val="FootnoteReference"/>
          <w:rFonts w:eastAsia="Times New Roman" w:cstheme="minorHAnsi"/>
          <w:color w:val="000000"/>
        </w:rPr>
        <w:footnoteReference w:id="122"/>
      </w:r>
      <w:r w:rsidRPr="00C10DE5">
        <w:rPr>
          <w:rFonts w:eastAsia="Times New Roman" w:cstheme="minorHAnsi"/>
          <w:color w:val="000000"/>
        </w:rPr>
        <w:t xml:space="preserve"> </w:t>
      </w:r>
      <w:r w:rsidR="001B4211" w:rsidRPr="00C10DE5">
        <w:rPr>
          <w:rFonts w:eastAsia="Times New Roman" w:cstheme="minorHAnsi"/>
          <w:color w:val="000000"/>
        </w:rPr>
        <w:t xml:space="preserve">It is arguable that the scheme would </w:t>
      </w:r>
      <w:r w:rsidR="00B94171" w:rsidRPr="00C10DE5">
        <w:rPr>
          <w:rFonts w:eastAsia="Times New Roman" w:cstheme="minorHAnsi"/>
          <w:color w:val="000000"/>
        </w:rPr>
        <w:t xml:space="preserve">have a similar impact on online services if expanded to them. </w:t>
      </w:r>
      <w:r w:rsidR="009E47AF" w:rsidRPr="00C10DE5">
        <w:t xml:space="preserve">The impact of this </w:t>
      </w:r>
      <w:r w:rsidR="00886451" w:rsidRPr="00C10DE5">
        <w:t>effect is</w:t>
      </w:r>
      <w:r w:rsidR="009E47AF" w:rsidRPr="00C10DE5">
        <w:t xml:space="preserve"> difficult to quantify, </w:t>
      </w:r>
      <w:r w:rsidR="00A92576" w:rsidRPr="00C10DE5">
        <w:t xml:space="preserve">but </w:t>
      </w:r>
      <w:r w:rsidR="00886451" w:rsidRPr="00C10DE5">
        <w:t xml:space="preserve">it is </w:t>
      </w:r>
      <w:r w:rsidR="00A92576" w:rsidRPr="00C10DE5">
        <w:t xml:space="preserve">expected to be </w:t>
      </w:r>
      <w:r w:rsidR="00886451" w:rsidRPr="00C10DE5">
        <w:t>material</w:t>
      </w:r>
      <w:r w:rsidR="00A92576" w:rsidRPr="00C10DE5">
        <w:t xml:space="preserve">. However, it is anticipated to be moderated </w:t>
      </w:r>
      <w:r w:rsidR="00886451" w:rsidRPr="00C10DE5">
        <w:t xml:space="preserve">by the fact that the </w:t>
      </w:r>
      <w:r w:rsidR="009D65DB" w:rsidRPr="00C10DE5">
        <w:rPr>
          <w:color w:val="auto"/>
        </w:rPr>
        <w:t>market has adjusted to the existing scheme</w:t>
      </w:r>
      <w:r w:rsidR="00886451" w:rsidRPr="00C10DE5">
        <w:rPr>
          <w:color w:val="auto"/>
        </w:rPr>
        <w:t>, which has been in place now for close to close to 30 years</w:t>
      </w:r>
      <w:r w:rsidR="009D65DB" w:rsidRPr="00C10DE5">
        <w:rPr>
          <w:color w:val="auto"/>
        </w:rPr>
        <w:t xml:space="preserve">. </w:t>
      </w:r>
      <w:r w:rsidR="009D65DB" w:rsidRPr="00C10DE5">
        <w:t>R</w:t>
      </w:r>
      <w:r w:rsidR="000D78B1" w:rsidRPr="00C10DE5">
        <w:t>ights deals are typically negotiated and settled with all forms of media provider (free</w:t>
      </w:r>
      <w:r w:rsidR="009E47AF" w:rsidRPr="00C10DE5">
        <w:noBreakHyphen/>
      </w:r>
      <w:r w:rsidR="000D78B1" w:rsidRPr="00C10DE5">
        <w:t>to-air broadcasters, subscription broadcasters and online service providers). This has been the case with AFL, NRL and cricket over recent years</w:t>
      </w:r>
      <w:r w:rsidR="00F549DD" w:rsidRPr="00C10DE5">
        <w:t>.</w:t>
      </w:r>
      <w:r w:rsidR="00F549DD" w:rsidRPr="00C10DE5">
        <w:rPr>
          <w:rStyle w:val="FootnoteReference"/>
        </w:rPr>
        <w:footnoteReference w:id="123"/>
      </w:r>
      <w:r w:rsidR="00F549DD" w:rsidRPr="00C10DE5">
        <w:t xml:space="preserve"> </w:t>
      </w:r>
      <w:r w:rsidR="00B30A7F" w:rsidRPr="00C10DE5">
        <w:t xml:space="preserve">The potential impact of the revised acquisition rule may be more muted to the extent that similar rights negotiation arrangements are pursued in in future years. </w:t>
      </w:r>
      <w:r w:rsidR="006836EB" w:rsidRPr="00C10DE5">
        <w:t xml:space="preserve">It is also notable that </w:t>
      </w:r>
      <w:r w:rsidR="006836EB" w:rsidRPr="00C10DE5">
        <w:rPr>
          <w:rFonts w:eastAsia="Times New Roman" w:cstheme="minorHAnsi"/>
          <w:color w:val="000000"/>
        </w:rPr>
        <w:t xml:space="preserve">preventing paywalled services from acquiring the rights to nationally important and culturally significant events ahead of a free service (free-to-air broadcasters), but still providing a reasonable opportunity to acquire such rights, is the balance that the scheme is seeking to achieve.  </w:t>
      </w:r>
    </w:p>
    <w:p w14:paraId="55751A83" w14:textId="6E9DB73F" w:rsidR="0082235A" w:rsidRPr="00C10DE5" w:rsidRDefault="00A92576" w:rsidP="005D2142">
      <w:pPr>
        <w:spacing w:after="0"/>
      </w:pPr>
      <w:r w:rsidRPr="00C10DE5">
        <w:t>The extension of</w:t>
      </w:r>
      <w:r w:rsidR="005D2142" w:rsidRPr="00C10DE5">
        <w:t xml:space="preserve"> the automatic delisting period </w:t>
      </w:r>
      <w:r w:rsidR="00886451" w:rsidRPr="00C10DE5">
        <w:t>from 6 to</w:t>
      </w:r>
      <w:r w:rsidR="003F361D" w:rsidRPr="00C10DE5">
        <w:t xml:space="preserve"> </w:t>
      </w:r>
      <w:r w:rsidR="005D2142" w:rsidRPr="00C10DE5">
        <w:t>12 months</w:t>
      </w:r>
      <w:r w:rsidRPr="00C10DE5">
        <w:t xml:space="preserve"> </w:t>
      </w:r>
      <w:r w:rsidR="00886451" w:rsidRPr="00C10DE5">
        <w:t xml:space="preserve">may would also provide </w:t>
      </w:r>
      <w:r w:rsidR="00561835">
        <w:t>content service providers</w:t>
      </w:r>
      <w:r w:rsidR="00561835" w:rsidRPr="00C10DE5">
        <w:t xml:space="preserve"> </w:t>
      </w:r>
      <w:r w:rsidR="00886451" w:rsidRPr="00C10DE5">
        <w:t xml:space="preserve">other than free-to-air broadcasters – including subscription broadcasters – with an opportunity to acquire rights to events an earlier point. </w:t>
      </w:r>
      <w:r w:rsidRPr="00C10DE5">
        <w:t xml:space="preserve"> </w:t>
      </w:r>
      <w:r w:rsidR="00315380" w:rsidRPr="00C10DE5">
        <w:t>As noted in the Optus submission</w:t>
      </w:r>
      <w:r w:rsidR="00886451" w:rsidRPr="00C10DE5">
        <w:t xml:space="preserve"> – </w:t>
      </w:r>
      <w:r w:rsidR="00315380" w:rsidRPr="00C10DE5">
        <w:t>which advocated for an 18</w:t>
      </w:r>
      <w:r w:rsidR="00D17DF6">
        <w:noBreakHyphen/>
      </w:r>
      <w:r w:rsidR="00315380" w:rsidRPr="00C10DE5">
        <w:t>month delisting period</w:t>
      </w:r>
      <w:r w:rsidR="00886451" w:rsidRPr="00C10DE5">
        <w:t xml:space="preserve"> – an</w:t>
      </w:r>
      <w:r w:rsidRPr="00C10DE5">
        <w:t xml:space="preserve"> extended delisting period</w:t>
      </w:r>
      <w:r w:rsidR="00315380" w:rsidRPr="00C10DE5">
        <w:t xml:space="preserve"> </w:t>
      </w:r>
      <w:r w:rsidRPr="00C10DE5">
        <w:t>could help</w:t>
      </w:r>
      <w:r w:rsidR="00315380" w:rsidRPr="00C10DE5">
        <w:t xml:space="preserve"> provide</w:t>
      </w:r>
      <w:r w:rsidRPr="00C10DE5">
        <w:t xml:space="preserve"> additional time</w:t>
      </w:r>
      <w:r w:rsidR="00315380" w:rsidRPr="00C10DE5">
        <w:t xml:space="preserve"> for budgeting, planning, investment and preparation.</w:t>
      </w:r>
      <w:r w:rsidR="00315380" w:rsidRPr="00C10DE5">
        <w:rPr>
          <w:rStyle w:val="FootnoteReference"/>
        </w:rPr>
        <w:footnoteReference w:id="124"/>
      </w:r>
      <w:r w:rsidR="00315380" w:rsidRPr="00C10DE5">
        <w:t xml:space="preserve"> </w:t>
      </w:r>
    </w:p>
    <w:p w14:paraId="0CD3B921" w14:textId="7DBB0BA7" w:rsidR="00EF4796" w:rsidRDefault="00EF4796" w:rsidP="0075045C">
      <w:pPr>
        <w:spacing w:after="0"/>
      </w:pPr>
      <w:r w:rsidRPr="00C10DE5">
        <w:t xml:space="preserve">In terms of </w:t>
      </w:r>
      <w:r w:rsidR="006836EB" w:rsidRPr="00C10DE5">
        <w:t xml:space="preserve">the </w:t>
      </w:r>
      <w:r w:rsidRPr="00C10DE5">
        <w:t xml:space="preserve">costs for compliance </w:t>
      </w:r>
      <w:r w:rsidR="00886451" w:rsidRPr="00C10DE5">
        <w:t xml:space="preserve">with </w:t>
      </w:r>
      <w:r w:rsidRPr="00C10DE5">
        <w:t>the scheme</w:t>
      </w:r>
      <w:r w:rsidR="00886451" w:rsidRPr="00C10DE5">
        <w:t xml:space="preserve"> under this option</w:t>
      </w:r>
      <w:r w:rsidRPr="00C10DE5">
        <w:t>, the burden on both subscription television and streaming services is expected to be negligible. This is because the scheme does not include any</w:t>
      </w:r>
      <w:r w:rsidR="004F2917" w:rsidRPr="00C10DE5">
        <w:t xml:space="preserve"> regulatory</w:t>
      </w:r>
      <w:r w:rsidRPr="00C10DE5">
        <w:t xml:space="preserve"> compliance measures, but simply governs the </w:t>
      </w:r>
      <w:r w:rsidR="00886451" w:rsidRPr="00C10DE5">
        <w:t>sequence and timing of the acquisition of rights to events on the list.</w:t>
      </w:r>
      <w:r w:rsidRPr="00C10DE5">
        <w:t xml:space="preserve"> Businesses involved in these negotiations are expected to have legal functions that would ensure compliance with the scheme as a matter of usual practice.</w:t>
      </w:r>
      <w:r>
        <w:t xml:space="preserve"> </w:t>
      </w:r>
    </w:p>
    <w:p w14:paraId="4550B5E1" w14:textId="366CE5EE" w:rsidR="00DA0DDE" w:rsidRPr="00D61250" w:rsidRDefault="00186821" w:rsidP="00D61250">
      <w:pPr>
        <w:spacing w:after="0"/>
        <w:rPr>
          <w:b/>
        </w:rPr>
      </w:pPr>
      <w:r w:rsidRPr="00D61250">
        <w:rPr>
          <w:b/>
        </w:rPr>
        <w:t>S</w:t>
      </w:r>
      <w:r w:rsidR="00DA0DDE" w:rsidRPr="00D61250">
        <w:rPr>
          <w:b/>
        </w:rPr>
        <w:t xml:space="preserve">porting bodies </w:t>
      </w:r>
    </w:p>
    <w:p w14:paraId="0B360258" w14:textId="2D8CCC30" w:rsidR="00B30A7F" w:rsidRDefault="00DA0DDE" w:rsidP="009D17DD">
      <w:pPr>
        <w:spacing w:after="0"/>
        <w:rPr>
          <w:rFonts w:cstheme="minorHAnsi"/>
        </w:rPr>
      </w:pPr>
      <w:r>
        <w:t xml:space="preserve">Sporting bodies would </w:t>
      </w:r>
      <w:r w:rsidR="00B30A7F">
        <w:t xml:space="preserve">be </w:t>
      </w:r>
      <w:r w:rsidR="009D17DD">
        <w:t>negatively impacted</w:t>
      </w:r>
      <w:r>
        <w:t xml:space="preserve"> </w:t>
      </w:r>
      <w:r w:rsidR="00B30A7F">
        <w:t>by th</w:t>
      </w:r>
      <w:r>
        <w:t>is model (in comparison to the existing scheme)</w:t>
      </w:r>
      <w:r w:rsidR="00B30A7F">
        <w:t xml:space="preserve"> to the extent that it further con</w:t>
      </w:r>
      <w:r w:rsidR="00FE73D2">
        <w:t>s</w:t>
      </w:r>
      <w:r w:rsidR="00B30A7F">
        <w:t>t</w:t>
      </w:r>
      <w:r w:rsidR="00FE73D2">
        <w:t>r</w:t>
      </w:r>
      <w:r w:rsidR="00B30A7F">
        <w:t xml:space="preserve">ains their </w:t>
      </w:r>
      <w:r w:rsidR="00EC7FC7" w:rsidRPr="00347766">
        <w:rPr>
          <w:rFonts w:cstheme="minorHAnsi"/>
        </w:rPr>
        <w:t>ability to negotiate with content services regarding their rights.</w:t>
      </w:r>
      <w:r w:rsidR="00B30A7F">
        <w:rPr>
          <w:rFonts w:cstheme="minorHAnsi"/>
        </w:rPr>
        <w:t xml:space="preserve"> </w:t>
      </w:r>
    </w:p>
    <w:p w14:paraId="0292E890" w14:textId="77AE2CE8" w:rsidR="009B5B74" w:rsidRPr="00C10DE5" w:rsidRDefault="009B5B74" w:rsidP="009B5B74">
      <w:pPr>
        <w:autoSpaceDE w:val="0"/>
        <w:autoSpaceDN w:val="0"/>
        <w:adjustRightInd w:val="0"/>
        <w:snapToGrid w:val="0"/>
        <w:spacing w:after="0"/>
        <w:rPr>
          <w:rFonts w:eastAsia="Times New Roman" w:cstheme="minorHAnsi"/>
          <w:color w:val="000000"/>
          <w:lang w:val="x-none"/>
        </w:rPr>
      </w:pPr>
      <w:r w:rsidRPr="00C10DE5">
        <w:rPr>
          <w:rFonts w:eastAsia="Times New Roman" w:cstheme="minorHAnsi"/>
          <w:color w:val="000000"/>
          <w:lang w:val="x-none"/>
        </w:rPr>
        <w:t>The</w:t>
      </w:r>
      <w:r w:rsidRPr="00C10DE5">
        <w:rPr>
          <w:rFonts w:eastAsia="Times New Roman" w:cstheme="minorHAnsi"/>
          <w:color w:val="000000"/>
        </w:rPr>
        <w:t xml:space="preserve"> PC </w:t>
      </w:r>
      <w:r w:rsidR="0082235A" w:rsidRPr="00C10DE5">
        <w:rPr>
          <w:rFonts w:eastAsia="Times New Roman" w:cstheme="minorHAnsi"/>
          <w:color w:val="000000"/>
        </w:rPr>
        <w:t xml:space="preserve">noted that </w:t>
      </w:r>
      <w:r w:rsidR="0082235A" w:rsidRPr="00C10DE5">
        <w:rPr>
          <w:rFonts w:eastAsia="Times New Roman" w:cstheme="minorHAnsi"/>
          <w:color w:val="000000"/>
          <w:lang w:val="x-none"/>
        </w:rPr>
        <w:t>negotiations are more complex, drawn out and burdensome than if subscription</w:t>
      </w:r>
      <w:r w:rsidR="0082235A" w:rsidRPr="00C10DE5">
        <w:rPr>
          <w:rFonts w:eastAsia="Times New Roman" w:cstheme="minorHAnsi"/>
          <w:color w:val="000000"/>
        </w:rPr>
        <w:t xml:space="preserve"> </w:t>
      </w:r>
      <w:r w:rsidR="0082235A" w:rsidRPr="00C10DE5">
        <w:rPr>
          <w:rFonts w:eastAsia="Times New Roman" w:cstheme="minorHAnsi"/>
          <w:color w:val="000000"/>
          <w:lang w:val="x-none"/>
        </w:rPr>
        <w:t>broadcasters could negotiate directly with the underlying rights holder.</w:t>
      </w:r>
      <w:r w:rsidR="0082235A" w:rsidRPr="00C10DE5">
        <w:rPr>
          <w:rFonts w:eastAsia="Times New Roman" w:cstheme="minorHAnsi"/>
          <w:color w:val="000000"/>
        </w:rPr>
        <w:t xml:space="preserve"> It </w:t>
      </w:r>
      <w:r w:rsidRPr="00C10DE5">
        <w:rPr>
          <w:rFonts w:eastAsia="Times New Roman" w:cstheme="minorHAnsi"/>
          <w:color w:val="000000"/>
          <w:lang w:val="x-none"/>
        </w:rPr>
        <w:t>concluded that the anti-siphoning regime is likely to distort the relative prices of</w:t>
      </w:r>
      <w:r w:rsidRPr="00C10DE5">
        <w:rPr>
          <w:rFonts w:eastAsia="Times New Roman" w:cstheme="minorHAnsi"/>
          <w:color w:val="000000"/>
        </w:rPr>
        <w:t xml:space="preserve"> </w:t>
      </w:r>
      <w:r w:rsidRPr="00C10DE5">
        <w:rPr>
          <w:rFonts w:eastAsia="Times New Roman" w:cstheme="minorHAnsi"/>
          <w:color w:val="000000"/>
          <w:lang w:val="x-none"/>
        </w:rPr>
        <w:t>broadcast rights of listed events relative to non-listed events, potentially reducing</w:t>
      </w:r>
      <w:r w:rsidRPr="00C10DE5">
        <w:rPr>
          <w:rFonts w:eastAsia="Times New Roman" w:cstheme="minorHAnsi"/>
          <w:color w:val="000000"/>
        </w:rPr>
        <w:t xml:space="preserve"> </w:t>
      </w:r>
      <w:r w:rsidRPr="00C10DE5">
        <w:rPr>
          <w:rFonts w:eastAsia="Times New Roman" w:cstheme="minorHAnsi"/>
          <w:color w:val="000000"/>
          <w:lang w:val="x-none"/>
        </w:rPr>
        <w:t>the price received by sporting organisations for listed events</w:t>
      </w:r>
      <w:r w:rsidRPr="00C10DE5">
        <w:rPr>
          <w:rFonts w:eastAsia="Times New Roman" w:cstheme="minorHAnsi"/>
          <w:color w:val="000000"/>
        </w:rPr>
        <w:t>.</w:t>
      </w:r>
      <w:r w:rsidRPr="00C10DE5">
        <w:rPr>
          <w:rStyle w:val="FootnoteReference"/>
          <w:rFonts w:eastAsia="Times New Roman" w:cstheme="minorHAnsi"/>
          <w:color w:val="000000"/>
        </w:rPr>
        <w:footnoteReference w:id="125"/>
      </w:r>
      <w:r w:rsidRPr="00C10DE5">
        <w:rPr>
          <w:rFonts w:eastAsia="Times New Roman" w:cstheme="minorHAnsi"/>
          <w:color w:val="000000"/>
        </w:rPr>
        <w:t xml:space="preserve"> Restricting acquisition by additional parties is likely to exacerbate this effect.</w:t>
      </w:r>
    </w:p>
    <w:p w14:paraId="0991B7CF" w14:textId="70F08401" w:rsidR="002E38E6" w:rsidRDefault="00AD275F" w:rsidP="009D17DD">
      <w:pPr>
        <w:spacing w:after="0"/>
        <w:rPr>
          <w:rFonts w:cstheme="minorHAnsi"/>
        </w:rPr>
      </w:pPr>
      <w:r w:rsidRPr="00C10DE5">
        <w:rPr>
          <w:rFonts w:eastAsia="Times New Roman" w:cstheme="minorHAnsi"/>
          <w:color w:val="000000"/>
        </w:rPr>
        <w:t>However, as noted above, r</w:t>
      </w:r>
      <w:r w:rsidRPr="00C10DE5">
        <w:t xml:space="preserve">ights deals are typically negotiated and settled with all forms of media provider, so the potential impact of the revised acquisition rule may be more muted. Nevertheless, the impact is still anticipated to be </w:t>
      </w:r>
      <w:r w:rsidR="006836EB" w:rsidRPr="00C10DE5">
        <w:t>material</w:t>
      </w:r>
      <w:r w:rsidRPr="00C10DE5">
        <w:t>.</w:t>
      </w:r>
      <w:r w:rsidR="00894F1E">
        <w:t xml:space="preserve"> </w:t>
      </w:r>
      <w:r w:rsidR="00347766" w:rsidRPr="00347766">
        <w:rPr>
          <w:rFonts w:cstheme="minorHAnsi"/>
        </w:rPr>
        <w:t xml:space="preserve">As noted in </w:t>
      </w:r>
      <w:r w:rsidR="00347766" w:rsidRPr="00442D8D">
        <w:rPr>
          <w:rFonts w:cstheme="minorHAnsi"/>
        </w:rPr>
        <w:t xml:space="preserve">Table </w:t>
      </w:r>
      <w:r w:rsidR="00786567">
        <w:rPr>
          <w:rFonts w:cstheme="minorHAnsi"/>
        </w:rPr>
        <w:t>9</w:t>
      </w:r>
      <w:r w:rsidR="00A236ED" w:rsidRPr="00442D8D">
        <w:rPr>
          <w:rFonts w:cstheme="minorHAnsi"/>
        </w:rPr>
        <w:t xml:space="preserve">, </w:t>
      </w:r>
      <w:r w:rsidR="00E10650">
        <w:rPr>
          <w:rFonts w:cstheme="minorHAnsi"/>
        </w:rPr>
        <w:t xml:space="preserve">many </w:t>
      </w:r>
      <w:r w:rsidR="00A236ED" w:rsidRPr="00442D8D">
        <w:rPr>
          <w:rFonts w:cstheme="minorHAnsi"/>
        </w:rPr>
        <w:t>s</w:t>
      </w:r>
      <w:r w:rsidR="00347766" w:rsidRPr="00442D8D">
        <w:rPr>
          <w:rFonts w:cstheme="minorHAnsi"/>
        </w:rPr>
        <w:t>ports</w:t>
      </w:r>
      <w:r w:rsidR="00347766" w:rsidRPr="00347766">
        <w:rPr>
          <w:rFonts w:cstheme="minorHAnsi"/>
        </w:rPr>
        <w:t xml:space="preserve"> deals are often made years in advance. This means that sports rights owners are effectively required to make their rights available to free</w:t>
      </w:r>
      <w:r w:rsidR="00347766" w:rsidRPr="00347766">
        <w:rPr>
          <w:rFonts w:cstheme="minorHAnsi"/>
        </w:rPr>
        <w:noBreakHyphen/>
        <w:t>to-air broadcasters</w:t>
      </w:r>
      <w:r w:rsidR="00A236ED">
        <w:rPr>
          <w:rFonts w:cstheme="minorHAnsi"/>
        </w:rPr>
        <w:t>,</w:t>
      </w:r>
      <w:r w:rsidR="002E6998">
        <w:rPr>
          <w:rFonts w:cstheme="minorHAnsi"/>
        </w:rPr>
        <w:t xml:space="preserve"> or wait until events are delisted</w:t>
      </w:r>
      <w:r w:rsidR="00347766" w:rsidRPr="00347766">
        <w:rPr>
          <w:rFonts w:cstheme="minorHAnsi"/>
        </w:rPr>
        <w:t xml:space="preserve">. This may decrease the value of those rights for sporting bodies. </w:t>
      </w:r>
      <w:r w:rsidRPr="00C10DE5">
        <w:rPr>
          <w:rFonts w:cstheme="minorHAnsi"/>
        </w:rPr>
        <w:t xml:space="preserve">Extending the automatic delisting period </w:t>
      </w:r>
      <w:r w:rsidR="006836EB" w:rsidRPr="00C10DE5">
        <w:rPr>
          <w:rFonts w:cstheme="minorHAnsi"/>
        </w:rPr>
        <w:t xml:space="preserve">from 6 </w:t>
      </w:r>
      <w:r w:rsidRPr="00C10DE5">
        <w:rPr>
          <w:rFonts w:cstheme="minorHAnsi"/>
        </w:rPr>
        <w:t xml:space="preserve">to 12 months </w:t>
      </w:r>
      <w:r w:rsidR="006836EB" w:rsidRPr="00C10DE5">
        <w:rPr>
          <w:rFonts w:cstheme="minorHAnsi"/>
        </w:rPr>
        <w:t xml:space="preserve">may </w:t>
      </w:r>
      <w:r w:rsidRPr="00C10DE5">
        <w:rPr>
          <w:rFonts w:cstheme="minorHAnsi"/>
        </w:rPr>
        <w:t>mitigate this impact.</w:t>
      </w:r>
    </w:p>
    <w:p w14:paraId="31EF166A" w14:textId="56051FA9" w:rsidR="00A236ED" w:rsidRPr="00A55170" w:rsidRDefault="00A236ED" w:rsidP="00A236ED">
      <w:pPr>
        <w:pStyle w:val="Caption"/>
        <w:spacing w:before="120"/>
      </w:pPr>
      <w:bookmarkStart w:id="145" w:name="_Toc150883305"/>
      <w:bookmarkStart w:id="146" w:name="_Toc151053025"/>
      <w:r w:rsidRPr="00BE6FD4" w:rsidDel="00C82859">
        <w:t xml:space="preserve">Table </w:t>
      </w:r>
      <w:r w:rsidR="00786567">
        <w:t>9</w:t>
      </w:r>
      <w:r w:rsidRPr="00BE6FD4" w:rsidDel="00C82859">
        <w:t>: S</w:t>
      </w:r>
      <w:r w:rsidR="00647B32" w:rsidRPr="00BE6FD4" w:rsidDel="00C82859">
        <w:t>elected s</w:t>
      </w:r>
      <w:r w:rsidRPr="00BE6FD4" w:rsidDel="00C82859">
        <w:t>ports rights deals</w:t>
      </w:r>
      <w:bookmarkEnd w:id="145"/>
      <w:bookmarkEnd w:id="146"/>
    </w:p>
    <w:tbl>
      <w:tblPr>
        <w:tblStyle w:val="DefaultTable1"/>
        <w:tblpPr w:leftFromText="180" w:rightFromText="180" w:vertAnchor="text" w:tblpY="1"/>
        <w:tblOverlap w:val="never"/>
        <w:tblW w:w="5055" w:type="pct"/>
        <w:tblLook w:val="04A0" w:firstRow="1" w:lastRow="0" w:firstColumn="1" w:lastColumn="0" w:noHBand="0" w:noVBand="1"/>
      </w:tblPr>
      <w:tblGrid>
        <w:gridCol w:w="1419"/>
        <w:gridCol w:w="4251"/>
        <w:gridCol w:w="2127"/>
        <w:gridCol w:w="2176"/>
      </w:tblGrid>
      <w:tr w:rsidR="00A236ED" w:rsidRPr="00A55170" w:rsidDel="00C82859" w14:paraId="5BA40A47" w14:textId="6C413E15" w:rsidTr="0019554B">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1" w:type="pct"/>
            <w:tcBorders>
              <w:bottom w:val="single" w:sz="4" w:space="0" w:color="008089" w:themeColor="accent2"/>
            </w:tcBorders>
            <w:vAlign w:val="center"/>
          </w:tcPr>
          <w:p w14:paraId="3C3BA25F" w14:textId="77777777" w:rsidR="00A236ED" w:rsidRPr="00A55170" w:rsidRDefault="00A236ED" w:rsidP="0019554B">
            <w:pPr>
              <w:spacing w:before="40" w:after="40"/>
              <w:rPr>
                <w:sz w:val="20"/>
                <w:szCs w:val="20"/>
              </w:rPr>
            </w:pPr>
            <w:r w:rsidRPr="00A55170" w:rsidDel="00C82859">
              <w:rPr>
                <w:rFonts w:ascii="Calibri" w:eastAsia="Times New Roman" w:hAnsi="Calibri" w:cs="Calibri"/>
                <w:sz w:val="20"/>
                <w:szCs w:val="20"/>
                <w:lang w:eastAsia="en-AU"/>
              </w:rPr>
              <w:t>Sport</w:t>
            </w:r>
          </w:p>
        </w:tc>
        <w:tc>
          <w:tcPr>
            <w:tcW w:w="2131" w:type="pct"/>
            <w:tcBorders>
              <w:bottom w:val="single" w:sz="4" w:space="0" w:color="008089" w:themeColor="accent2"/>
            </w:tcBorders>
            <w:vAlign w:val="center"/>
          </w:tcPr>
          <w:p w14:paraId="56D0E363" w14:textId="77777777" w:rsidR="00A236ED" w:rsidRPr="00A55170" w:rsidRDefault="00A236ED" w:rsidP="0019554B">
            <w:pPr>
              <w:suppressAutoHyphens w:val="0"/>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sz w:val="20"/>
                <w:szCs w:val="20"/>
                <w:lang w:eastAsia="en-AU"/>
              </w:rPr>
              <w:t>Events in deal</w:t>
            </w:r>
          </w:p>
        </w:tc>
        <w:tc>
          <w:tcPr>
            <w:tcW w:w="1066" w:type="pct"/>
            <w:tcBorders>
              <w:bottom w:val="single" w:sz="4" w:space="0" w:color="008089" w:themeColor="accent2"/>
            </w:tcBorders>
            <w:vAlign w:val="center"/>
          </w:tcPr>
          <w:p w14:paraId="26B034BE" w14:textId="77777777" w:rsidR="00A236ED" w:rsidRPr="00A55170" w:rsidRDefault="00A236ED" w:rsidP="0019554B">
            <w:pPr>
              <w:suppressAutoHyphens w:val="0"/>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sz w:val="20"/>
                <w:szCs w:val="20"/>
                <w:lang w:eastAsia="en-AU"/>
              </w:rPr>
              <w:t>Rights Period</w:t>
            </w:r>
          </w:p>
        </w:tc>
        <w:tc>
          <w:tcPr>
            <w:tcW w:w="1091" w:type="pct"/>
            <w:tcBorders>
              <w:bottom w:val="single" w:sz="4" w:space="0" w:color="008089" w:themeColor="accent2"/>
            </w:tcBorders>
            <w:vAlign w:val="center"/>
          </w:tcPr>
          <w:p w14:paraId="50E42674" w14:textId="77777777" w:rsidR="00A236ED" w:rsidRPr="00A55170" w:rsidRDefault="00A236ED" w:rsidP="0019554B">
            <w:pPr>
              <w:suppressAutoHyphens w:val="0"/>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sz w:val="20"/>
                <w:szCs w:val="20"/>
                <w:lang w:eastAsia="en-AU"/>
              </w:rPr>
              <w:t>Deal announced</w:t>
            </w:r>
          </w:p>
        </w:tc>
      </w:tr>
      <w:tr w:rsidR="00A236ED" w:rsidRPr="0040388D" w:rsidDel="00C82859" w14:paraId="50C09200" w14:textId="0898A9A6" w:rsidTr="0019554B">
        <w:tc>
          <w:tcPr>
            <w:cnfStyle w:val="001000000000" w:firstRow="0" w:lastRow="0" w:firstColumn="1" w:lastColumn="0" w:oddVBand="0" w:evenVBand="0" w:oddHBand="0" w:evenHBand="0" w:firstRowFirstColumn="0" w:firstRowLastColumn="0" w:lastRowFirstColumn="0" w:lastRowLastColumn="0"/>
            <w:tcW w:w="711" w:type="pct"/>
            <w:vMerge w:val="restart"/>
            <w:shd w:val="clear" w:color="auto" w:fill="auto"/>
          </w:tcPr>
          <w:p w14:paraId="3F2B3357" w14:textId="77777777" w:rsidR="00A236ED" w:rsidRPr="00A55170" w:rsidRDefault="00A236ED" w:rsidP="0019554B">
            <w:pPr>
              <w:spacing w:before="40" w:after="40"/>
              <w:rPr>
                <w:sz w:val="20"/>
                <w:szCs w:val="20"/>
              </w:rPr>
            </w:pPr>
            <w:r w:rsidRPr="00A55170" w:rsidDel="00C82859">
              <w:rPr>
                <w:sz w:val="20"/>
                <w:szCs w:val="20"/>
              </w:rPr>
              <w:t>AFL</w:t>
            </w:r>
          </w:p>
        </w:tc>
        <w:tc>
          <w:tcPr>
            <w:tcW w:w="2131" w:type="pct"/>
            <w:shd w:val="clear" w:color="auto" w:fill="auto"/>
            <w:vAlign w:val="center"/>
          </w:tcPr>
          <w:p w14:paraId="775D5982"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AFL Premiership, AFLW Matches</w:t>
            </w:r>
          </w:p>
        </w:tc>
        <w:tc>
          <w:tcPr>
            <w:tcW w:w="1066" w:type="pct"/>
            <w:shd w:val="clear" w:color="auto" w:fill="auto"/>
            <w:vAlign w:val="center"/>
          </w:tcPr>
          <w:p w14:paraId="533FC650"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2025-2031</w:t>
            </w:r>
          </w:p>
        </w:tc>
        <w:tc>
          <w:tcPr>
            <w:tcW w:w="1091" w:type="pct"/>
            <w:shd w:val="clear" w:color="auto" w:fill="auto"/>
            <w:vAlign w:val="center"/>
          </w:tcPr>
          <w:p w14:paraId="50A7CF17"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6 September 2022</w:t>
            </w:r>
          </w:p>
        </w:tc>
      </w:tr>
      <w:tr w:rsidR="00A236ED" w:rsidRPr="0040388D" w:rsidDel="00C82859" w14:paraId="1F3A07D0" w14:textId="08A237B1" w:rsidTr="001955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vMerge/>
            <w:shd w:val="clear" w:color="auto" w:fill="auto"/>
          </w:tcPr>
          <w:p w14:paraId="06ADF261" w14:textId="77777777" w:rsidR="00A236ED" w:rsidRPr="00A55170" w:rsidRDefault="00A236ED" w:rsidP="0019554B">
            <w:pPr>
              <w:spacing w:before="40" w:after="40"/>
              <w:rPr>
                <w:sz w:val="20"/>
                <w:szCs w:val="20"/>
              </w:rPr>
            </w:pPr>
          </w:p>
        </w:tc>
        <w:tc>
          <w:tcPr>
            <w:tcW w:w="2131" w:type="pct"/>
            <w:shd w:val="clear" w:color="auto" w:fill="auto"/>
            <w:vAlign w:val="center"/>
          </w:tcPr>
          <w:p w14:paraId="5A3827B0" w14:textId="77777777" w:rsidR="00A236ED" w:rsidRPr="00A55170" w:rsidRDefault="00A236ED" w:rsidP="0019554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AFL Premiership, AFLW Matches</w:t>
            </w:r>
          </w:p>
        </w:tc>
        <w:tc>
          <w:tcPr>
            <w:tcW w:w="1066" w:type="pct"/>
            <w:shd w:val="clear" w:color="auto" w:fill="auto"/>
            <w:vAlign w:val="center"/>
          </w:tcPr>
          <w:p w14:paraId="37576A79" w14:textId="77777777" w:rsidR="00A236ED" w:rsidRPr="00A55170" w:rsidRDefault="00A236ED" w:rsidP="0019554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2023-2024</w:t>
            </w:r>
          </w:p>
        </w:tc>
        <w:tc>
          <w:tcPr>
            <w:tcW w:w="1091" w:type="pct"/>
            <w:shd w:val="clear" w:color="auto" w:fill="auto"/>
            <w:vAlign w:val="center"/>
          </w:tcPr>
          <w:p w14:paraId="2F9C6E23" w14:textId="77777777" w:rsidR="00A236ED" w:rsidRPr="00A55170" w:rsidRDefault="00A236ED" w:rsidP="0019554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12 June 2020</w:t>
            </w:r>
          </w:p>
        </w:tc>
      </w:tr>
      <w:tr w:rsidR="00A236ED" w:rsidRPr="0040388D" w:rsidDel="00C82859" w14:paraId="675C30E2" w14:textId="388A0661" w:rsidTr="0019554B">
        <w:tc>
          <w:tcPr>
            <w:cnfStyle w:val="001000000000" w:firstRow="0" w:lastRow="0" w:firstColumn="1" w:lastColumn="0" w:oddVBand="0" w:evenVBand="0" w:oddHBand="0" w:evenHBand="0" w:firstRowFirstColumn="0" w:firstRowLastColumn="0" w:lastRowFirstColumn="0" w:lastRowLastColumn="0"/>
            <w:tcW w:w="711" w:type="pct"/>
            <w:shd w:val="clear" w:color="auto" w:fill="auto"/>
            <w:vAlign w:val="center"/>
          </w:tcPr>
          <w:p w14:paraId="104A7AE6" w14:textId="77777777" w:rsidR="00A236ED" w:rsidRPr="00A55170" w:rsidRDefault="00A236ED" w:rsidP="0019554B">
            <w:pPr>
              <w:spacing w:before="40" w:after="40"/>
              <w:rPr>
                <w:sz w:val="20"/>
                <w:szCs w:val="20"/>
              </w:rPr>
            </w:pPr>
            <w:r w:rsidRPr="00A55170" w:rsidDel="00C82859">
              <w:rPr>
                <w:rFonts w:ascii="Calibri" w:eastAsia="Times New Roman" w:hAnsi="Calibri" w:cs="Calibri"/>
                <w:color w:val="000000"/>
                <w:sz w:val="20"/>
                <w:szCs w:val="20"/>
                <w:lang w:eastAsia="en-AU"/>
              </w:rPr>
              <w:t>NRL</w:t>
            </w:r>
          </w:p>
        </w:tc>
        <w:tc>
          <w:tcPr>
            <w:tcW w:w="2131" w:type="pct"/>
            <w:shd w:val="clear" w:color="auto" w:fill="auto"/>
            <w:vAlign w:val="center"/>
          </w:tcPr>
          <w:p w14:paraId="14599636"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NRL Premiership, NRL Women’s Premiership</w:t>
            </w:r>
          </w:p>
        </w:tc>
        <w:tc>
          <w:tcPr>
            <w:tcW w:w="1066" w:type="pct"/>
            <w:shd w:val="clear" w:color="auto" w:fill="auto"/>
            <w:vAlign w:val="center"/>
          </w:tcPr>
          <w:p w14:paraId="4BE44220"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2023-2027</w:t>
            </w:r>
          </w:p>
        </w:tc>
        <w:tc>
          <w:tcPr>
            <w:tcW w:w="1091" w:type="pct"/>
            <w:shd w:val="clear" w:color="auto" w:fill="auto"/>
            <w:vAlign w:val="center"/>
          </w:tcPr>
          <w:p w14:paraId="0EC99B6C"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20 December 2021</w:t>
            </w:r>
          </w:p>
        </w:tc>
      </w:tr>
      <w:tr w:rsidR="00A236ED" w:rsidRPr="0040388D" w:rsidDel="00C82859" w14:paraId="2589A266" w14:textId="3021C667" w:rsidTr="001955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vMerge w:val="restart"/>
            <w:shd w:val="clear" w:color="auto" w:fill="auto"/>
          </w:tcPr>
          <w:p w14:paraId="56CC4636" w14:textId="77777777" w:rsidR="00A236ED" w:rsidRPr="00A55170" w:rsidRDefault="00A236ED" w:rsidP="0019554B">
            <w:pPr>
              <w:spacing w:before="40" w:after="40"/>
              <w:rPr>
                <w:sz w:val="20"/>
                <w:szCs w:val="20"/>
              </w:rPr>
            </w:pPr>
            <w:r w:rsidRPr="00A55170" w:rsidDel="00C82859">
              <w:rPr>
                <w:rFonts w:ascii="Calibri" w:eastAsia="Times New Roman" w:hAnsi="Calibri" w:cs="Calibri"/>
                <w:color w:val="000000"/>
                <w:sz w:val="20"/>
                <w:szCs w:val="20"/>
                <w:lang w:eastAsia="en-AU"/>
              </w:rPr>
              <w:t>Cricket</w:t>
            </w:r>
          </w:p>
        </w:tc>
        <w:tc>
          <w:tcPr>
            <w:tcW w:w="2131" w:type="pct"/>
            <w:shd w:val="clear" w:color="auto" w:fill="auto"/>
            <w:vAlign w:val="center"/>
          </w:tcPr>
          <w:p w14:paraId="75AE65F9" w14:textId="293CDC84" w:rsidR="00A236ED" w:rsidRPr="00A55170" w:rsidRDefault="00A236ED" w:rsidP="0019554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Australian National Cricket Team/Australian Women National Cricket Team</w:t>
            </w:r>
          </w:p>
        </w:tc>
        <w:tc>
          <w:tcPr>
            <w:tcW w:w="1066" w:type="pct"/>
            <w:shd w:val="clear" w:color="auto" w:fill="auto"/>
            <w:vAlign w:val="center"/>
          </w:tcPr>
          <w:p w14:paraId="3E8AF1ED" w14:textId="52CA450A" w:rsidR="00A236ED" w:rsidRPr="00A55170" w:rsidRDefault="00715892" w:rsidP="0019554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202</w:t>
            </w:r>
            <w:r>
              <w:rPr>
                <w:rFonts w:ascii="Calibri" w:eastAsia="Times New Roman" w:hAnsi="Calibri" w:cs="Calibri"/>
                <w:color w:val="000000"/>
                <w:sz w:val="20"/>
                <w:szCs w:val="20"/>
                <w:lang w:eastAsia="en-AU"/>
              </w:rPr>
              <w:t>4</w:t>
            </w:r>
            <w:r w:rsidR="00A236ED" w:rsidRPr="00A55170" w:rsidDel="00C82859">
              <w:rPr>
                <w:rFonts w:ascii="Calibri" w:eastAsia="Times New Roman" w:hAnsi="Calibri" w:cs="Calibri"/>
                <w:color w:val="000000"/>
                <w:sz w:val="20"/>
                <w:szCs w:val="20"/>
                <w:lang w:eastAsia="en-AU"/>
              </w:rPr>
              <w:t>-2031</w:t>
            </w:r>
          </w:p>
        </w:tc>
        <w:tc>
          <w:tcPr>
            <w:tcW w:w="1091" w:type="pct"/>
            <w:shd w:val="clear" w:color="auto" w:fill="auto"/>
            <w:vAlign w:val="center"/>
          </w:tcPr>
          <w:p w14:paraId="736FDD4C" w14:textId="34C76800" w:rsidR="00A236ED" w:rsidRPr="00A55170" w:rsidRDefault="00AE0EFB" w:rsidP="0019554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Pr>
                <w:rFonts w:ascii="Calibri" w:eastAsia="Times New Roman" w:hAnsi="Calibri" w:cs="Calibri"/>
                <w:color w:val="000000"/>
                <w:sz w:val="20"/>
                <w:szCs w:val="20"/>
                <w:lang w:eastAsia="en-AU"/>
              </w:rPr>
              <w:t>3</w:t>
            </w:r>
            <w:r w:rsidR="00A236ED" w:rsidRPr="00A55170" w:rsidDel="00C82859">
              <w:rPr>
                <w:rFonts w:ascii="Calibri" w:eastAsia="Times New Roman" w:hAnsi="Calibri" w:cs="Calibri"/>
                <w:color w:val="000000"/>
                <w:sz w:val="20"/>
                <w:szCs w:val="20"/>
                <w:lang w:eastAsia="en-AU"/>
              </w:rPr>
              <w:t xml:space="preserve"> January 2023</w:t>
            </w:r>
          </w:p>
        </w:tc>
      </w:tr>
      <w:tr w:rsidR="00A236ED" w:rsidRPr="0040388D" w:rsidDel="00C82859" w14:paraId="2E935D93" w14:textId="41207EE5" w:rsidTr="0019554B">
        <w:tc>
          <w:tcPr>
            <w:cnfStyle w:val="001000000000" w:firstRow="0" w:lastRow="0" w:firstColumn="1" w:lastColumn="0" w:oddVBand="0" w:evenVBand="0" w:oddHBand="0" w:evenHBand="0" w:firstRowFirstColumn="0" w:firstRowLastColumn="0" w:lastRowFirstColumn="0" w:lastRowLastColumn="0"/>
            <w:tcW w:w="711" w:type="pct"/>
            <w:vMerge/>
            <w:shd w:val="clear" w:color="auto" w:fill="auto"/>
          </w:tcPr>
          <w:p w14:paraId="2C27EB36" w14:textId="77777777" w:rsidR="00A236ED" w:rsidRPr="00A55170" w:rsidRDefault="00A236ED" w:rsidP="0019554B">
            <w:pPr>
              <w:spacing w:before="40" w:after="40"/>
              <w:rPr>
                <w:sz w:val="20"/>
                <w:szCs w:val="20"/>
              </w:rPr>
            </w:pPr>
          </w:p>
        </w:tc>
        <w:tc>
          <w:tcPr>
            <w:tcW w:w="2131" w:type="pct"/>
            <w:shd w:val="clear" w:color="auto" w:fill="auto"/>
            <w:vAlign w:val="center"/>
          </w:tcPr>
          <w:p w14:paraId="12774D63" w14:textId="3CC2543A"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Australian National Cricket Team/Australian Women National Cricket Team</w:t>
            </w:r>
          </w:p>
        </w:tc>
        <w:tc>
          <w:tcPr>
            <w:tcW w:w="1066" w:type="pct"/>
            <w:shd w:val="clear" w:color="auto" w:fill="auto"/>
            <w:vAlign w:val="center"/>
          </w:tcPr>
          <w:p w14:paraId="05E08F7B"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2018-2024</w:t>
            </w:r>
          </w:p>
        </w:tc>
        <w:tc>
          <w:tcPr>
            <w:tcW w:w="1091" w:type="pct"/>
            <w:shd w:val="clear" w:color="auto" w:fill="auto"/>
            <w:vAlign w:val="center"/>
          </w:tcPr>
          <w:p w14:paraId="12ED2439"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13 April 2018</w:t>
            </w:r>
          </w:p>
        </w:tc>
      </w:tr>
      <w:tr w:rsidR="00A236ED" w:rsidRPr="0040388D" w:rsidDel="00C82859" w14:paraId="73C3484B" w14:textId="17FDBE21" w:rsidTr="001955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vMerge w:val="restart"/>
            <w:shd w:val="clear" w:color="auto" w:fill="auto"/>
          </w:tcPr>
          <w:p w14:paraId="66799316" w14:textId="77777777" w:rsidR="00A236ED" w:rsidRPr="00A55170" w:rsidRDefault="00A236ED" w:rsidP="0019554B">
            <w:pPr>
              <w:spacing w:before="40" w:after="40"/>
              <w:rPr>
                <w:sz w:val="20"/>
                <w:szCs w:val="20"/>
              </w:rPr>
            </w:pPr>
            <w:r w:rsidRPr="00A55170" w:rsidDel="00C82859">
              <w:rPr>
                <w:sz w:val="20"/>
                <w:szCs w:val="20"/>
              </w:rPr>
              <w:t>Tennis</w:t>
            </w:r>
          </w:p>
        </w:tc>
        <w:tc>
          <w:tcPr>
            <w:tcW w:w="2131" w:type="pct"/>
            <w:shd w:val="clear" w:color="auto" w:fill="auto"/>
            <w:vAlign w:val="center"/>
          </w:tcPr>
          <w:p w14:paraId="610CA628" w14:textId="77777777" w:rsidR="00A236ED" w:rsidRPr="00A55170" w:rsidRDefault="00A236ED" w:rsidP="0019554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Australian Open</w:t>
            </w:r>
          </w:p>
        </w:tc>
        <w:tc>
          <w:tcPr>
            <w:tcW w:w="1066" w:type="pct"/>
            <w:shd w:val="clear" w:color="auto" w:fill="auto"/>
            <w:vAlign w:val="center"/>
          </w:tcPr>
          <w:p w14:paraId="3D4F2D57" w14:textId="77777777" w:rsidR="00A236ED" w:rsidRPr="00A55170" w:rsidRDefault="00A236ED" w:rsidP="0019554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2025-2029</w:t>
            </w:r>
          </w:p>
        </w:tc>
        <w:tc>
          <w:tcPr>
            <w:tcW w:w="1091" w:type="pct"/>
            <w:shd w:val="clear" w:color="auto" w:fill="auto"/>
            <w:vAlign w:val="center"/>
          </w:tcPr>
          <w:p w14:paraId="218B3029" w14:textId="77777777" w:rsidR="00A236ED" w:rsidRPr="00A55170" w:rsidRDefault="00A236ED" w:rsidP="0019554B">
            <w:pPr>
              <w:spacing w:before="40" w:after="40"/>
              <w:cnfStyle w:val="000000010000" w:firstRow="0" w:lastRow="0" w:firstColumn="0" w:lastColumn="0" w:oddVBand="0" w:evenVBand="0" w:oddHBand="0" w:evenHBand="1"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11 November 2022</w:t>
            </w:r>
          </w:p>
        </w:tc>
      </w:tr>
      <w:tr w:rsidR="00A236ED" w:rsidRPr="00216AEA" w:rsidDel="00C82859" w14:paraId="7CC3C63F" w14:textId="260B2109" w:rsidTr="0019554B">
        <w:tc>
          <w:tcPr>
            <w:cnfStyle w:val="001000000000" w:firstRow="0" w:lastRow="0" w:firstColumn="1" w:lastColumn="0" w:oddVBand="0" w:evenVBand="0" w:oddHBand="0" w:evenHBand="0" w:firstRowFirstColumn="0" w:firstRowLastColumn="0" w:lastRowFirstColumn="0" w:lastRowLastColumn="0"/>
            <w:tcW w:w="711" w:type="pct"/>
            <w:vMerge/>
            <w:shd w:val="clear" w:color="auto" w:fill="auto"/>
          </w:tcPr>
          <w:p w14:paraId="25B95651" w14:textId="77777777" w:rsidR="00A236ED" w:rsidRPr="00A55170" w:rsidRDefault="00A236ED" w:rsidP="0019554B">
            <w:pPr>
              <w:spacing w:before="40" w:after="40"/>
              <w:rPr>
                <w:sz w:val="20"/>
                <w:szCs w:val="20"/>
              </w:rPr>
            </w:pPr>
          </w:p>
        </w:tc>
        <w:tc>
          <w:tcPr>
            <w:tcW w:w="2131" w:type="pct"/>
            <w:shd w:val="clear" w:color="auto" w:fill="auto"/>
            <w:vAlign w:val="center"/>
          </w:tcPr>
          <w:p w14:paraId="523118A6"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Australian Open</w:t>
            </w:r>
          </w:p>
        </w:tc>
        <w:tc>
          <w:tcPr>
            <w:tcW w:w="1066" w:type="pct"/>
            <w:shd w:val="clear" w:color="auto" w:fill="auto"/>
            <w:vAlign w:val="center"/>
          </w:tcPr>
          <w:p w14:paraId="408B6D20"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2020-2024</w:t>
            </w:r>
          </w:p>
        </w:tc>
        <w:tc>
          <w:tcPr>
            <w:tcW w:w="1091" w:type="pct"/>
            <w:shd w:val="clear" w:color="auto" w:fill="auto"/>
            <w:vAlign w:val="center"/>
          </w:tcPr>
          <w:p w14:paraId="3FE62FC7" w14:textId="77777777" w:rsidR="00A236ED" w:rsidRPr="00A55170" w:rsidRDefault="00A236ED" w:rsidP="0019554B">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5170" w:rsidDel="00C82859">
              <w:rPr>
                <w:rFonts w:ascii="Calibri" w:eastAsia="Times New Roman" w:hAnsi="Calibri" w:cs="Calibri"/>
                <w:color w:val="000000"/>
                <w:sz w:val="20"/>
                <w:szCs w:val="20"/>
                <w:lang w:eastAsia="en-AU"/>
              </w:rPr>
              <w:t>29 March 2018</w:t>
            </w:r>
          </w:p>
        </w:tc>
      </w:tr>
    </w:tbl>
    <w:p w14:paraId="515C47B4" w14:textId="3B04F00B" w:rsidR="00EF4796" w:rsidRPr="00A758C0" w:rsidRDefault="00EF4796" w:rsidP="00A758C0">
      <w:pPr>
        <w:spacing w:after="0"/>
        <w:rPr>
          <w:lang w:val="en-US"/>
        </w:rPr>
      </w:pPr>
      <w:r w:rsidRPr="00C10DE5">
        <w:rPr>
          <w:rFonts w:cstheme="minorHAnsi"/>
        </w:rPr>
        <w:t>As</w:t>
      </w:r>
      <w:r w:rsidRPr="00C10DE5">
        <w:rPr>
          <w:lang w:val="en-US"/>
        </w:rPr>
        <w:t xml:space="preserve"> with </w:t>
      </w:r>
      <w:r w:rsidR="006836EB" w:rsidRPr="00C10DE5">
        <w:rPr>
          <w:lang w:val="en-US"/>
        </w:rPr>
        <w:t>subscription broadcasters and streaming services, compliance costs for sporting bodies are expected to be negligible under this option</w:t>
      </w:r>
      <w:r w:rsidRPr="00C10DE5">
        <w:rPr>
          <w:lang w:val="en-US"/>
        </w:rPr>
        <w:t>.</w:t>
      </w:r>
    </w:p>
    <w:p w14:paraId="386B8261" w14:textId="44F9C90A" w:rsidR="00DA0DDE" w:rsidRPr="00483B39" w:rsidRDefault="00DA0DDE" w:rsidP="00186821">
      <w:pPr>
        <w:pStyle w:val="Introduction"/>
      </w:pPr>
      <w:r w:rsidRPr="00483B39">
        <w:t xml:space="preserve">Impact on </w:t>
      </w:r>
      <w:r w:rsidR="00D04990">
        <w:rPr>
          <w:lang w:val="en-AU"/>
        </w:rPr>
        <w:t xml:space="preserve">Australian </w:t>
      </w:r>
      <w:r w:rsidRPr="00483B39">
        <w:t xml:space="preserve">consumers </w:t>
      </w:r>
    </w:p>
    <w:p w14:paraId="5DB0A2BC" w14:textId="21D06E26" w:rsidR="0050254A" w:rsidRDefault="001B38A2" w:rsidP="0050254A">
      <w:pPr>
        <w:suppressAutoHyphens w:val="0"/>
        <w:spacing w:after="0"/>
      </w:pPr>
      <w:r>
        <w:t xml:space="preserve">The broadcasting safety net model is expected to </w:t>
      </w:r>
      <w:r w:rsidRPr="001D2DA7">
        <w:t xml:space="preserve">provide a high likelihood of live and free coverage </w:t>
      </w:r>
      <w:r>
        <w:t xml:space="preserve">of </w:t>
      </w:r>
      <w:r w:rsidRPr="001D2DA7">
        <w:t xml:space="preserve">listed events, </w:t>
      </w:r>
      <w:r>
        <w:t xml:space="preserve">and hence </w:t>
      </w:r>
      <w:r w:rsidR="00AB3FD3">
        <w:t xml:space="preserve">a </w:t>
      </w:r>
      <w:r>
        <w:t xml:space="preserve">benefit for consumers, </w:t>
      </w:r>
      <w:r w:rsidRPr="001D2DA7">
        <w:t xml:space="preserve">given the preferential treatment afforded to broadcasters through the scheme and the strong commercial incentives to fully utilise </w:t>
      </w:r>
      <w:r>
        <w:t xml:space="preserve">any rights acquired </w:t>
      </w:r>
      <w:r w:rsidRPr="001D2DA7">
        <w:t>to listed events.</w:t>
      </w:r>
    </w:p>
    <w:p w14:paraId="7A716A85" w14:textId="7BDD274E" w:rsidR="00B01865" w:rsidRDefault="0019554B" w:rsidP="0019554B">
      <w:pPr>
        <w:suppressAutoHyphens w:val="0"/>
        <w:spacing w:after="0"/>
      </w:pPr>
      <w:r w:rsidRPr="001D2DA7">
        <w:t>While this model would not provide the same level of surety of a free, live and in full</w:t>
      </w:r>
      <w:r>
        <w:t xml:space="preserve"> outcome</w:t>
      </w:r>
      <w:r w:rsidRPr="001D2DA7">
        <w:t xml:space="preserve"> as </w:t>
      </w:r>
      <w:r>
        <w:t>the free</w:t>
      </w:r>
      <w:r w:rsidR="0032727B">
        <w:noBreakHyphen/>
      </w:r>
      <w:r>
        <w:t>to</w:t>
      </w:r>
      <w:r w:rsidR="0032727B">
        <w:noBreakHyphen/>
      </w:r>
      <w:r>
        <w:t>view model (Model</w:t>
      </w:r>
      <w:r w:rsidRPr="001D2DA7">
        <w:t xml:space="preserve"> 1</w:t>
      </w:r>
      <w:r>
        <w:t>)</w:t>
      </w:r>
      <w:r w:rsidRPr="001D2DA7">
        <w:t>, it would potentially apply to a broader range of events (given the necessity for a relatively short list with Model 1).</w:t>
      </w:r>
      <w:r>
        <w:t xml:space="preserve"> This model </w:t>
      </w:r>
      <w:r w:rsidR="001B38A2">
        <w:t xml:space="preserve">doesn’t </w:t>
      </w:r>
      <w:r w:rsidR="00A236ED">
        <w:t xml:space="preserve">include coverage </w:t>
      </w:r>
      <w:r w:rsidR="001B38A2">
        <w:t xml:space="preserve">or availability </w:t>
      </w:r>
      <w:r w:rsidR="00A236ED">
        <w:t>obligations</w:t>
      </w:r>
      <w:r w:rsidR="001B38A2">
        <w:t xml:space="preserve">, </w:t>
      </w:r>
      <w:r w:rsidR="00554392">
        <w:t>as free</w:t>
      </w:r>
      <w:r w:rsidR="0032727B">
        <w:noBreakHyphen/>
      </w:r>
      <w:r w:rsidR="00554392">
        <w:t>to</w:t>
      </w:r>
      <w:r w:rsidR="0032727B">
        <w:noBreakHyphen/>
      </w:r>
      <w:r w:rsidR="00554392">
        <w:t xml:space="preserve">air </w:t>
      </w:r>
      <w:r w:rsidR="001B38A2">
        <w:t xml:space="preserve">broadcasting </w:t>
      </w:r>
      <w:r w:rsidR="00554392">
        <w:t>services are</w:t>
      </w:r>
      <w:r w:rsidR="001B38A2">
        <w:t>,</w:t>
      </w:r>
      <w:r w:rsidR="00554392">
        <w:t xml:space="preserve"> by definition</w:t>
      </w:r>
      <w:r w:rsidR="001B38A2">
        <w:t>,</w:t>
      </w:r>
      <w:r w:rsidR="00554392">
        <w:t xml:space="preserve"> ‘free’ and ‘broadly available’. </w:t>
      </w:r>
    </w:p>
    <w:p w14:paraId="00B0FAF4" w14:textId="1A096A6D" w:rsidR="0020775D" w:rsidRDefault="0020775D" w:rsidP="0019554B">
      <w:pPr>
        <w:suppressAutoHyphens w:val="0"/>
        <w:spacing w:after="0"/>
      </w:pPr>
      <w:r w:rsidRPr="00C10DE5">
        <w:t xml:space="preserve">The extension of the automatic delisting period </w:t>
      </w:r>
      <w:r w:rsidR="006836EB" w:rsidRPr="00C10DE5">
        <w:t xml:space="preserve">from 6 </w:t>
      </w:r>
      <w:r w:rsidR="0032727B">
        <w:t xml:space="preserve">to </w:t>
      </w:r>
      <w:r w:rsidRPr="00C10DE5">
        <w:t xml:space="preserve">12 months creates a risk that listed events </w:t>
      </w:r>
      <w:r w:rsidR="006836EB" w:rsidRPr="00C10DE5">
        <w:t>may</w:t>
      </w:r>
      <w:r w:rsidRPr="00C10DE5">
        <w:t xml:space="preserve"> be bought by </w:t>
      </w:r>
      <w:r w:rsidR="006836EB" w:rsidRPr="00C10DE5">
        <w:t xml:space="preserve">parties other than free-to-air broadcasters and provided </w:t>
      </w:r>
      <w:r w:rsidRPr="00C10DE5">
        <w:t>behind paywalls</w:t>
      </w:r>
      <w:r w:rsidR="006836EB" w:rsidRPr="00C10DE5">
        <w:t xml:space="preserve">. </w:t>
      </w:r>
      <w:r w:rsidR="0043133B" w:rsidRPr="00C10DE5">
        <w:t xml:space="preserve"> </w:t>
      </w:r>
      <w:r w:rsidR="006836EB" w:rsidRPr="00C10DE5">
        <w:t>However, as noted above, most sports rights deals are settled well in advance of 12 months from the commencement of the relevant events.</w:t>
      </w:r>
      <w:r w:rsidR="006836EB">
        <w:t xml:space="preserve">  </w:t>
      </w:r>
    </w:p>
    <w:p w14:paraId="5894B754" w14:textId="6C293600" w:rsidR="008E4854" w:rsidRPr="004E6209" w:rsidRDefault="008E4854" w:rsidP="00186821">
      <w:pPr>
        <w:pStyle w:val="Introduction"/>
      </w:pPr>
      <w:r w:rsidRPr="004E6209">
        <w:t xml:space="preserve">Impact on government </w:t>
      </w:r>
    </w:p>
    <w:p w14:paraId="300A3106" w14:textId="3E121B77" w:rsidR="001B38A2" w:rsidRDefault="001B38A2" w:rsidP="001B38A2">
      <w:pPr>
        <w:tabs>
          <w:tab w:val="left" w:pos="7905"/>
        </w:tabs>
        <w:spacing w:before="120" w:after="120"/>
        <w:rPr>
          <w:rFonts w:cstheme="minorHAnsi"/>
          <w:lang w:val="en-US"/>
        </w:rPr>
      </w:pPr>
      <w:r>
        <w:rPr>
          <w:rFonts w:cstheme="minorHAnsi"/>
          <w:lang w:val="en-US"/>
        </w:rPr>
        <w:t xml:space="preserve">The broadcasting safety net model is expected to have a minor budgetary impact on the ACMA, who would be required to oversee and administer a framework that effectively extends the current regulatory arrangements. However, this is not expected to be as complex and resource-intensive as the oversight of the free-to-view model (Model 1). </w:t>
      </w:r>
    </w:p>
    <w:p w14:paraId="056BDEC4" w14:textId="77777777" w:rsidR="008E4854" w:rsidRPr="008E4854" w:rsidRDefault="008E4854" w:rsidP="00186821">
      <w:pPr>
        <w:pStyle w:val="Introduction"/>
      </w:pPr>
      <w:r w:rsidRPr="008E4854">
        <w:t xml:space="preserve">Overall assessment </w:t>
      </w:r>
    </w:p>
    <w:p w14:paraId="6915BBC7" w14:textId="15CFC8C0" w:rsidR="00A66892" w:rsidRDefault="00583125" w:rsidP="00583125">
      <w:pPr>
        <w:spacing w:after="0"/>
      </w:pPr>
      <w:r>
        <w:t>The broadcasting safety net model adopts the basic architecture of the current scheme, but modifies and extends it to capture online and other services.</w:t>
      </w:r>
      <w:r w:rsidR="00BB57F3">
        <w:t xml:space="preserve"> </w:t>
      </w:r>
      <w:r w:rsidR="00A66892">
        <w:t>It would continue to prefer and prioritise free-to-air broadcasting services as the key means to promote the achievement of the scheme’s objective (free access to televised coverage of iconic sporting events), and provide all other parties with the opportunity to acquire rights once a right to televise a listed event is acquired by a free-to-air broadcaster.</w:t>
      </w:r>
    </w:p>
    <w:p w14:paraId="48A52580" w14:textId="01D19DD5" w:rsidR="00A66892" w:rsidRDefault="00A66892" w:rsidP="00583125">
      <w:pPr>
        <w:spacing w:after="0"/>
      </w:pPr>
      <w:r>
        <w:t xml:space="preserve">It would enhance the likelihood of these events being freely available to all Australians, and mitigate the risk of audiences being subject to additional costs to access this content. These potential costs would be both direct (subscription or other fees or charges imposed on end-users to access coverage), or implicit (associated with the cost of assessing content online). To this end, this model would provide significant benefits for Australian consumers. </w:t>
      </w:r>
    </w:p>
    <w:p w14:paraId="01B1E49E" w14:textId="5ED9DDA6" w:rsidR="00A66892" w:rsidRDefault="00A66892" w:rsidP="00A66892">
      <w:pPr>
        <w:spacing w:after="0"/>
      </w:pPr>
      <w:r>
        <w:t>This model would exacerbate a number of the acknowledged concerns and risks with the current scheme. It would broaden the effective restriction on sports bodies in terms of their ability to negotiate with content services regarding their rights. It would also draw into the scheme content service providers that are not currently subject to any restrictions in terms of rights acquisition. Services such Amazon Prime, Disney+ and YouTube (among others) would not be able to acquire a right to provide coverage of events on their services until a free</w:t>
      </w:r>
      <w:r>
        <w:noBreakHyphen/>
        <w:t>to</w:t>
      </w:r>
      <w:r>
        <w:noBreakHyphen/>
        <w:t>air broadcaster had acquired a right to televise the event</w:t>
      </w:r>
      <w:r w:rsidR="0032727B">
        <w:t>, or the event is automatically delisted</w:t>
      </w:r>
      <w:r w:rsidRPr="00C10DE5">
        <w:t xml:space="preserve">. </w:t>
      </w:r>
    </w:p>
    <w:p w14:paraId="716C538D" w14:textId="553C28E7" w:rsidR="00A66892" w:rsidRDefault="00A66892" w:rsidP="00A66892">
      <w:pPr>
        <w:spacing w:after="0"/>
      </w:pPr>
      <w:r>
        <w:t xml:space="preserve">However, this model would provide relatively unimpeded access to rights by content service providers once a right to televise an event has been acquired by a broadcaster, or it has been automatically delisted. </w:t>
      </w:r>
    </w:p>
    <w:p w14:paraId="15C5B87B" w14:textId="542DA82A" w:rsidR="00DD0B6B" w:rsidRDefault="00186821" w:rsidP="00186821">
      <w:pPr>
        <w:pStyle w:val="Heading3"/>
      </w:pPr>
      <w:bookmarkStart w:id="147" w:name="_Toc150883281"/>
      <w:bookmarkStart w:id="148" w:name="_Toc151053063"/>
      <w:r>
        <w:t xml:space="preserve">Model </w:t>
      </w:r>
      <w:r w:rsidR="00B26194" w:rsidRPr="009B3A80">
        <w:t>3: ‘</w:t>
      </w:r>
      <w:r>
        <w:t>f</w:t>
      </w:r>
      <w:r w:rsidR="00B26194" w:rsidRPr="009B3A80">
        <w:t>ree-to-air first’</w:t>
      </w:r>
      <w:bookmarkEnd w:id="147"/>
      <w:bookmarkEnd w:id="148"/>
      <w:r w:rsidR="00B26194" w:rsidRPr="009B3A80">
        <w:t xml:space="preserve"> </w:t>
      </w:r>
    </w:p>
    <w:p w14:paraId="255621A7" w14:textId="5D4313A2" w:rsidR="00575D58" w:rsidRPr="00CA5FD2" w:rsidRDefault="00B26194" w:rsidP="00186821">
      <w:pPr>
        <w:pStyle w:val="Introduction"/>
      </w:pPr>
      <w:r w:rsidRPr="009B3A80">
        <w:t>Impact on industry</w:t>
      </w:r>
    </w:p>
    <w:p w14:paraId="372CCDFE" w14:textId="77777777" w:rsidR="00D61250" w:rsidRDefault="00186821" w:rsidP="00575D58">
      <w:pPr>
        <w:spacing w:after="0"/>
        <w:rPr>
          <w:b/>
        </w:rPr>
      </w:pPr>
      <w:r w:rsidRPr="00D61250">
        <w:rPr>
          <w:b/>
        </w:rPr>
        <w:t>F</w:t>
      </w:r>
      <w:r w:rsidR="00575D58" w:rsidRPr="00D61250">
        <w:rPr>
          <w:b/>
        </w:rPr>
        <w:t xml:space="preserve">ree-to-air </w:t>
      </w:r>
      <w:r w:rsidR="00821C05" w:rsidRPr="00D61250">
        <w:rPr>
          <w:b/>
        </w:rPr>
        <w:t>broadcasters</w:t>
      </w:r>
    </w:p>
    <w:p w14:paraId="61CE4C32" w14:textId="28A4D5D1" w:rsidR="003F3747" w:rsidRPr="00D61250" w:rsidRDefault="00253E07" w:rsidP="00575D58">
      <w:pPr>
        <w:spacing w:after="0"/>
        <w:rPr>
          <w:b/>
        </w:rPr>
      </w:pPr>
      <w:r>
        <w:t xml:space="preserve">The free-to-air first model </w:t>
      </w:r>
      <w:r w:rsidR="00344E8E" w:rsidRPr="00E94FB2">
        <w:t>would significantly extend the commercial advantages afforded to free-to-air broadcasters</w:t>
      </w:r>
      <w:r w:rsidR="00344E8E">
        <w:t xml:space="preserve"> </w:t>
      </w:r>
      <w:r w:rsidR="00344E8E" w:rsidRPr="00E94FB2">
        <w:t xml:space="preserve">and </w:t>
      </w:r>
      <w:r w:rsidR="00F8769C">
        <w:t xml:space="preserve">materially </w:t>
      </w:r>
      <w:r w:rsidR="00344E8E" w:rsidRPr="00E94FB2">
        <w:t>advance their negotiating position with regard to sports rights compared with their competitors</w:t>
      </w:r>
      <w:r w:rsidR="00344E8E">
        <w:t>. This</w:t>
      </w:r>
      <w:r w:rsidR="00344E8E" w:rsidRPr="00E94FB2">
        <w:t xml:space="preserve"> is a product of the requirement for a free-to-air broadcaster</w:t>
      </w:r>
      <w:r w:rsidR="00026314">
        <w:t xml:space="preserve"> </w:t>
      </w:r>
      <w:r w:rsidR="00344E8E" w:rsidRPr="00E94FB2">
        <w:t xml:space="preserve">to have acquired a right to televise the event on a broadcasting service </w:t>
      </w:r>
      <w:r w:rsidR="00344E8E" w:rsidRPr="00344E8E">
        <w:rPr>
          <w:u w:val="single"/>
        </w:rPr>
        <w:t>and</w:t>
      </w:r>
      <w:r w:rsidR="00344E8E" w:rsidRPr="00E94FB2">
        <w:t xml:space="preserve"> a right to provide coverage of an event on a</w:t>
      </w:r>
      <w:r w:rsidR="00270C29">
        <w:t>n</w:t>
      </w:r>
      <w:r w:rsidR="00344E8E" w:rsidRPr="00E94FB2">
        <w:t xml:space="preserve"> </w:t>
      </w:r>
      <w:r w:rsidR="00344E8E">
        <w:t>online</w:t>
      </w:r>
      <w:r w:rsidR="00344E8E" w:rsidRPr="00E94FB2">
        <w:t xml:space="preserve"> service before another </w:t>
      </w:r>
      <w:r w:rsidR="00044459">
        <w:t>content service provider</w:t>
      </w:r>
      <w:r w:rsidR="00044459" w:rsidRPr="00E94FB2">
        <w:t xml:space="preserve"> </w:t>
      </w:r>
      <w:r w:rsidR="00344E8E">
        <w:t>could</w:t>
      </w:r>
      <w:r w:rsidR="00344E8E" w:rsidRPr="00E94FB2">
        <w:t xml:space="preserve"> acquire a right to the event.</w:t>
      </w:r>
      <w:r w:rsidR="003F3747">
        <w:t xml:space="preserve"> They would also be able to acquire broadcast rights or online rights without the acquisition restriction lifting. </w:t>
      </w:r>
    </w:p>
    <w:p w14:paraId="56DA1E7D" w14:textId="56AB7CF4" w:rsidR="0020775D" w:rsidRDefault="00575D58" w:rsidP="00575D58">
      <w:pPr>
        <w:spacing w:after="0"/>
      </w:pPr>
      <w:r>
        <w:t>The benefits would be particularly significant for commercial free</w:t>
      </w:r>
      <w:r>
        <w:noBreakHyphen/>
        <w:t>to</w:t>
      </w:r>
      <w:r>
        <w:noBreakHyphen/>
        <w:t>air broadcasters, for whom sporting rights are critical.</w:t>
      </w:r>
      <w:r w:rsidR="00026314">
        <w:t xml:space="preserve"> The n</w:t>
      </w:r>
      <w:r>
        <w:t>ational broadcasters w</w:t>
      </w:r>
      <w:r w:rsidR="00026314">
        <w:t>ould</w:t>
      </w:r>
      <w:r>
        <w:t xml:space="preserve"> also experience the benefits</w:t>
      </w:r>
      <w:r w:rsidR="00F8769C">
        <w:t xml:space="preserve">, although to a </w:t>
      </w:r>
      <w:r>
        <w:t xml:space="preserve">lesser extent, as they </w:t>
      </w:r>
      <w:r w:rsidR="00F8769C">
        <w:t xml:space="preserve">have not historically secured rights to major sporting events to the same extent as their commercial counterparts.  </w:t>
      </w:r>
      <w:r>
        <w:t xml:space="preserve"> </w:t>
      </w:r>
    </w:p>
    <w:p w14:paraId="69710860" w14:textId="7FA57FD5" w:rsidR="0002469C" w:rsidRDefault="0020775D" w:rsidP="00D61250">
      <w:pPr>
        <w:spacing w:after="0"/>
        <w:rPr>
          <w:b/>
        </w:rPr>
      </w:pPr>
      <w:r w:rsidRPr="00C10DE5">
        <w:t xml:space="preserve">Free TV </w:t>
      </w:r>
      <w:r w:rsidR="006836EB" w:rsidRPr="00C10DE5">
        <w:t xml:space="preserve">has argued </w:t>
      </w:r>
      <w:r w:rsidR="00B33698" w:rsidRPr="00C10DE5">
        <w:t xml:space="preserve">that extending the scheme to </w:t>
      </w:r>
      <w:r w:rsidR="006836EB" w:rsidRPr="00C10DE5">
        <w:t xml:space="preserve">the </w:t>
      </w:r>
      <w:r w:rsidR="00B33698" w:rsidRPr="00C10DE5">
        <w:t>online services</w:t>
      </w:r>
      <w:r w:rsidRPr="00C10DE5">
        <w:t xml:space="preserve"> </w:t>
      </w:r>
      <w:r w:rsidR="006836EB" w:rsidRPr="00C10DE5">
        <w:t xml:space="preserve">provide by free-to-air broadcasters </w:t>
      </w:r>
      <w:r w:rsidR="00B33698" w:rsidRPr="00C10DE5">
        <w:t xml:space="preserve">will help to secure </w:t>
      </w:r>
      <w:r w:rsidR="006836EB" w:rsidRPr="00C10DE5">
        <w:t>the</w:t>
      </w:r>
      <w:r w:rsidR="004E78AB" w:rsidRPr="00C10DE5">
        <w:t xml:space="preserve"> </w:t>
      </w:r>
      <w:r w:rsidR="00B33698" w:rsidRPr="00C10DE5">
        <w:t>sustainability</w:t>
      </w:r>
      <w:r w:rsidR="006836EB" w:rsidRPr="00C10DE5">
        <w:t xml:space="preserve"> of the sector</w:t>
      </w:r>
      <w:r w:rsidR="00B33698" w:rsidRPr="00C10DE5">
        <w:t>,</w:t>
      </w:r>
      <w:r w:rsidRPr="00C10DE5">
        <w:rPr>
          <w:rStyle w:val="FootnoteReference"/>
        </w:rPr>
        <w:footnoteReference w:id="126"/>
      </w:r>
      <w:r w:rsidRPr="00C10DE5">
        <w:t xml:space="preserve"> </w:t>
      </w:r>
      <w:r w:rsidR="00B33698" w:rsidRPr="00C10DE5">
        <w:t>noting that its</w:t>
      </w:r>
      <w:r w:rsidRPr="00C10DE5">
        <w:t xml:space="preserve"> BVOD revenues </w:t>
      </w:r>
      <w:r w:rsidR="00B33698" w:rsidRPr="00C10DE5">
        <w:t>are expected to increase from</w:t>
      </w:r>
      <w:r w:rsidRPr="00C10DE5">
        <w:t xml:space="preserve"> around 10 per cent in 2022</w:t>
      </w:r>
      <w:r w:rsidR="004E78AB" w:rsidRPr="00C10DE5">
        <w:t xml:space="preserve"> </w:t>
      </w:r>
      <w:r w:rsidRPr="00C10DE5">
        <w:t>and 50 per</w:t>
      </w:r>
      <w:r w:rsidR="000B0D60" w:rsidRPr="00C10DE5">
        <w:t> </w:t>
      </w:r>
      <w:r w:rsidRPr="00C10DE5">
        <w:t>cent in 2033.</w:t>
      </w:r>
      <w:r w:rsidRPr="00C10DE5">
        <w:rPr>
          <w:rStyle w:val="FootnoteReference"/>
        </w:rPr>
        <w:footnoteReference w:id="127"/>
      </w:r>
      <w:r w:rsidRPr="00C10DE5">
        <w:t xml:space="preserve"> </w:t>
      </w:r>
      <w:r w:rsidR="00B33698" w:rsidRPr="00C10DE5">
        <w:t xml:space="preserve">While the benefit to free-to-air broadcasters is not possible to quantify, it is anticipated to be more significant than the broadcasting safety net model. </w:t>
      </w:r>
      <w:r w:rsidR="000B0D60" w:rsidRPr="00C10DE5">
        <w:t>Free</w:t>
      </w:r>
      <w:r w:rsidR="00D84FCE">
        <w:noBreakHyphen/>
      </w:r>
      <w:r w:rsidR="000B0D60" w:rsidRPr="00C10DE5">
        <w:t>to</w:t>
      </w:r>
      <w:r w:rsidR="00D84FCE">
        <w:noBreakHyphen/>
      </w:r>
      <w:r w:rsidR="000B0D60" w:rsidRPr="00C10DE5">
        <w:t xml:space="preserve">air broadcasters would be </w:t>
      </w:r>
      <w:r w:rsidR="006836EB" w:rsidRPr="00C10DE5">
        <w:t>afforded s</w:t>
      </w:r>
      <w:r w:rsidR="000B0D60" w:rsidRPr="00C10DE5">
        <w:t xml:space="preserve">ignificant </w:t>
      </w:r>
      <w:r w:rsidR="000B0D60" w:rsidRPr="00C10DE5">
        <w:rPr>
          <w:rFonts w:eastAsia="Times New Roman" w:cstheme="minorHAnsi"/>
          <w:color w:val="000000"/>
          <w:lang w:val="x-none"/>
        </w:rPr>
        <w:t xml:space="preserve">power </w:t>
      </w:r>
      <w:r w:rsidR="003C1304" w:rsidRPr="00C10DE5">
        <w:rPr>
          <w:rFonts w:eastAsia="Times New Roman" w:cstheme="minorHAnsi"/>
          <w:color w:val="000000"/>
        </w:rPr>
        <w:t>during</w:t>
      </w:r>
      <w:r w:rsidR="000B0D60" w:rsidRPr="00C10DE5">
        <w:rPr>
          <w:rFonts w:eastAsia="Times New Roman" w:cstheme="minorHAnsi"/>
          <w:color w:val="000000"/>
        </w:rPr>
        <w:t xml:space="preserve"> the negotiating process</w:t>
      </w:r>
      <w:r w:rsidR="004E78AB" w:rsidRPr="00C10DE5">
        <w:rPr>
          <w:rFonts w:eastAsia="Times New Roman" w:cstheme="minorHAnsi"/>
          <w:color w:val="000000"/>
        </w:rPr>
        <w:t xml:space="preserve"> under this option. </w:t>
      </w:r>
    </w:p>
    <w:p w14:paraId="00C89B96" w14:textId="7A5351AB" w:rsidR="00D61250" w:rsidRDefault="00186821" w:rsidP="00D61250">
      <w:pPr>
        <w:spacing w:after="0"/>
        <w:rPr>
          <w:b/>
        </w:rPr>
      </w:pPr>
      <w:r w:rsidRPr="00D61250">
        <w:rPr>
          <w:b/>
        </w:rPr>
        <w:t>S</w:t>
      </w:r>
      <w:r w:rsidR="00575D58" w:rsidRPr="00D61250">
        <w:rPr>
          <w:b/>
        </w:rPr>
        <w:t>ubscription television and streaming services</w:t>
      </w:r>
    </w:p>
    <w:p w14:paraId="152A46E3" w14:textId="62B23F53" w:rsidR="0019554B" w:rsidRPr="00D61250" w:rsidRDefault="003F3747" w:rsidP="00D61250">
      <w:pPr>
        <w:spacing w:after="0"/>
        <w:rPr>
          <w:b/>
        </w:rPr>
      </w:pPr>
      <w:r>
        <w:t xml:space="preserve">This model would negatively </w:t>
      </w:r>
      <w:r w:rsidR="0019554B">
        <w:t>impact</w:t>
      </w:r>
      <w:r>
        <w:t xml:space="preserve"> subscription television </w:t>
      </w:r>
      <w:r w:rsidR="003D3E3C">
        <w:t xml:space="preserve">broadcasting </w:t>
      </w:r>
      <w:r>
        <w:t xml:space="preserve">services to the extent that they are also online providers. </w:t>
      </w:r>
      <w:r w:rsidR="0019554B">
        <w:t>‘Standalone’ online service providers (those not associated with or part of a broadcasting enterprise) would also be negatively impacted by this model as they would be drawn into the scheme and would be subject to acquisition restrictions.</w:t>
      </w:r>
    </w:p>
    <w:p w14:paraId="7CF6AF9C" w14:textId="3CC49185" w:rsidR="0002469C" w:rsidRDefault="0019554B" w:rsidP="0002469C">
      <w:pPr>
        <w:autoSpaceDE w:val="0"/>
        <w:autoSpaceDN w:val="0"/>
        <w:adjustRightInd w:val="0"/>
        <w:snapToGrid w:val="0"/>
        <w:spacing w:after="0"/>
      </w:pPr>
      <w:r>
        <w:t xml:space="preserve">For both sectors, the requirement for a free-to-air broadcasters to have acquired both a broadcasting right and an online right before they can acquire any form of right is expected to have a significant impact on their negotiating position. This marks a point of difference with the broadcasting safety net model. </w:t>
      </w:r>
      <w:r w:rsidR="0002469C" w:rsidRPr="00C10DE5">
        <w:rPr>
          <w:rFonts w:eastAsia="Times New Roman" w:cstheme="minorHAnsi"/>
          <w:color w:val="000000"/>
        </w:rPr>
        <w:t>As noted above, PC found that</w:t>
      </w:r>
      <w:r w:rsidR="0002469C" w:rsidRPr="00C10DE5">
        <w:rPr>
          <w:rFonts w:eastAsia="Times New Roman" w:cstheme="minorHAnsi"/>
          <w:color w:val="000000"/>
          <w:lang w:val="x-none"/>
        </w:rPr>
        <w:t xml:space="preserve"> the </w:t>
      </w:r>
      <w:r w:rsidR="0002469C" w:rsidRPr="00C10DE5">
        <w:rPr>
          <w:rFonts w:eastAsia="Times New Roman" w:cstheme="minorHAnsi"/>
          <w:color w:val="000000"/>
        </w:rPr>
        <w:t>scheme</w:t>
      </w:r>
      <w:r w:rsidR="0002469C" w:rsidRPr="00C10DE5">
        <w:rPr>
          <w:rFonts w:eastAsia="Times New Roman" w:cstheme="minorHAnsi"/>
          <w:color w:val="000000"/>
          <w:lang w:val="x-none"/>
        </w:rPr>
        <w:t xml:space="preserve"> imposes considerable anti-competitive</w:t>
      </w:r>
      <w:r w:rsidR="0002469C" w:rsidRPr="00C10DE5">
        <w:rPr>
          <w:rFonts w:eastAsia="Times New Roman" w:cstheme="minorHAnsi"/>
          <w:color w:val="000000"/>
        </w:rPr>
        <w:t xml:space="preserve"> </w:t>
      </w:r>
      <w:r w:rsidR="0002469C" w:rsidRPr="00C10DE5">
        <w:rPr>
          <w:rFonts w:eastAsia="Times New Roman" w:cstheme="minorHAnsi"/>
          <w:color w:val="000000"/>
          <w:lang w:val="x-none"/>
        </w:rPr>
        <w:t>distortions and additional burdens on subscription</w:t>
      </w:r>
      <w:r w:rsidR="0002469C" w:rsidRPr="00C10DE5">
        <w:rPr>
          <w:rFonts w:eastAsia="Times New Roman" w:cstheme="minorHAnsi"/>
          <w:color w:val="000000"/>
        </w:rPr>
        <w:t xml:space="preserve"> </w:t>
      </w:r>
      <w:r w:rsidR="0002469C" w:rsidRPr="00C10DE5">
        <w:rPr>
          <w:rFonts w:eastAsia="Times New Roman" w:cstheme="minorHAnsi"/>
          <w:color w:val="000000"/>
          <w:lang w:val="x-none"/>
        </w:rPr>
        <w:t>broadcasters in acquiring those rights.</w:t>
      </w:r>
      <w:r w:rsidR="0002469C" w:rsidRPr="00C10DE5">
        <w:rPr>
          <w:rFonts w:eastAsia="Times New Roman" w:cstheme="minorHAnsi"/>
          <w:color w:val="000000"/>
        </w:rPr>
        <w:t xml:space="preserve"> Th</w:t>
      </w:r>
      <w:r w:rsidR="004E78AB" w:rsidRPr="00C10DE5">
        <w:rPr>
          <w:rFonts w:eastAsia="Times New Roman" w:cstheme="minorHAnsi"/>
          <w:color w:val="000000"/>
        </w:rPr>
        <w:t>e</w:t>
      </w:r>
      <w:r w:rsidR="0002469C" w:rsidRPr="00C10DE5">
        <w:rPr>
          <w:rFonts w:eastAsia="Times New Roman" w:cstheme="minorHAnsi"/>
          <w:color w:val="000000"/>
        </w:rPr>
        <w:t xml:space="preserve"> limit to competition is difficult to quantify, but would be greater than the broadcasting safety net model</w:t>
      </w:r>
      <w:r w:rsidR="00044459">
        <w:rPr>
          <w:rFonts w:eastAsia="Times New Roman" w:cstheme="minorHAnsi"/>
          <w:color w:val="000000"/>
        </w:rPr>
        <w:t xml:space="preserve"> (Model 2)</w:t>
      </w:r>
      <w:r w:rsidR="0002469C" w:rsidRPr="00C10DE5">
        <w:rPr>
          <w:rFonts w:eastAsia="Times New Roman" w:cstheme="minorHAnsi"/>
          <w:color w:val="000000"/>
        </w:rPr>
        <w:t>.</w:t>
      </w:r>
    </w:p>
    <w:p w14:paraId="77346F8C" w14:textId="77777777" w:rsidR="00D61250" w:rsidRDefault="00186821" w:rsidP="00575D58">
      <w:pPr>
        <w:spacing w:after="0"/>
        <w:rPr>
          <w:b/>
        </w:rPr>
      </w:pPr>
      <w:r w:rsidRPr="00D61250">
        <w:rPr>
          <w:b/>
        </w:rPr>
        <w:t>S</w:t>
      </w:r>
      <w:r w:rsidR="00575D58" w:rsidRPr="00D61250">
        <w:rPr>
          <w:b/>
        </w:rPr>
        <w:t xml:space="preserve">porting bodies </w:t>
      </w:r>
    </w:p>
    <w:p w14:paraId="18439CAC" w14:textId="0B2600A6" w:rsidR="00575D58" w:rsidRDefault="00575D58" w:rsidP="00575D58">
      <w:pPr>
        <w:spacing w:after="0"/>
        <w:rPr>
          <w:rFonts w:cstheme="minorHAnsi"/>
        </w:rPr>
      </w:pPr>
      <w:r>
        <w:t xml:space="preserve">Sporting bodies would </w:t>
      </w:r>
      <w:r w:rsidR="00203619">
        <w:t xml:space="preserve">be </w:t>
      </w:r>
      <w:r>
        <w:t>negative</w:t>
      </w:r>
      <w:r w:rsidR="00203619">
        <w:t>ly</w:t>
      </w:r>
      <w:r>
        <w:t xml:space="preserve"> impact</w:t>
      </w:r>
      <w:r w:rsidR="00203619">
        <w:t>ed</w:t>
      </w:r>
      <w:r>
        <w:t xml:space="preserve"> </w:t>
      </w:r>
      <w:r w:rsidR="00203619">
        <w:t>by</w:t>
      </w:r>
      <w:r>
        <w:t xml:space="preserve"> this model (</w:t>
      </w:r>
      <w:r w:rsidR="00FD1EB8">
        <w:t xml:space="preserve">more so than </w:t>
      </w:r>
      <w:r w:rsidR="00D84FCE">
        <w:t>the broadcasting safety net model (</w:t>
      </w:r>
      <w:r w:rsidR="0019554B">
        <w:t>Model 2</w:t>
      </w:r>
      <w:r w:rsidR="00D84FCE">
        <w:t>)</w:t>
      </w:r>
      <w:r w:rsidR="0019554B" w:rsidRPr="00C10DE5">
        <w:t>).</w:t>
      </w:r>
      <w:r w:rsidR="0019554B">
        <w:t xml:space="preserve"> The free-to-air first model would </w:t>
      </w:r>
      <w:r>
        <w:t xml:space="preserve">broaden </w:t>
      </w:r>
      <w:r w:rsidRPr="00347766">
        <w:rPr>
          <w:rFonts w:cstheme="minorHAnsi"/>
        </w:rPr>
        <w:t xml:space="preserve">the effective restriction on sports bodies in terms of their ability to negotiate with </w:t>
      </w:r>
      <w:r w:rsidR="0019554B">
        <w:rPr>
          <w:rFonts w:cstheme="minorHAnsi"/>
        </w:rPr>
        <w:t xml:space="preserve">all </w:t>
      </w:r>
      <w:r w:rsidRPr="00347766">
        <w:rPr>
          <w:rFonts w:cstheme="minorHAnsi"/>
        </w:rPr>
        <w:t xml:space="preserve">content services </w:t>
      </w:r>
      <w:r w:rsidRPr="00442D8D">
        <w:rPr>
          <w:rFonts w:cstheme="minorHAnsi"/>
        </w:rPr>
        <w:t xml:space="preserve">regarding </w:t>
      </w:r>
      <w:r w:rsidR="0019554B" w:rsidRPr="00442D8D">
        <w:rPr>
          <w:rFonts w:cstheme="minorHAnsi"/>
        </w:rPr>
        <w:t xml:space="preserve">all forms of media rights. </w:t>
      </w:r>
      <w:r w:rsidRPr="00442D8D">
        <w:rPr>
          <w:rFonts w:cstheme="minorHAnsi"/>
        </w:rPr>
        <w:t xml:space="preserve">As noted in Table </w:t>
      </w:r>
      <w:r w:rsidR="00786567">
        <w:rPr>
          <w:rFonts w:cstheme="minorHAnsi"/>
        </w:rPr>
        <w:t>9</w:t>
      </w:r>
      <w:r w:rsidR="0019554B" w:rsidRPr="00442D8D">
        <w:rPr>
          <w:rFonts w:cstheme="minorHAnsi"/>
        </w:rPr>
        <w:t>, s</w:t>
      </w:r>
      <w:r w:rsidRPr="00442D8D">
        <w:rPr>
          <w:rFonts w:cstheme="minorHAnsi"/>
        </w:rPr>
        <w:t>ports</w:t>
      </w:r>
      <w:r w:rsidRPr="00347766">
        <w:rPr>
          <w:rFonts w:cstheme="minorHAnsi"/>
        </w:rPr>
        <w:t xml:space="preserve"> deals are often made years in advance. This means that sports rights owners are effectively required to make </w:t>
      </w:r>
      <w:r w:rsidR="0019554B">
        <w:rPr>
          <w:rFonts w:cstheme="minorHAnsi"/>
        </w:rPr>
        <w:t xml:space="preserve">all major media </w:t>
      </w:r>
      <w:r w:rsidRPr="00347766">
        <w:rPr>
          <w:rFonts w:cstheme="minorHAnsi"/>
        </w:rPr>
        <w:t>rights available to free</w:t>
      </w:r>
      <w:r w:rsidRPr="00347766">
        <w:rPr>
          <w:rFonts w:cstheme="minorHAnsi"/>
        </w:rPr>
        <w:noBreakHyphen/>
        <w:t>to-air broadcasters</w:t>
      </w:r>
      <w:r w:rsidR="0019554B">
        <w:rPr>
          <w:rFonts w:cstheme="minorHAnsi"/>
        </w:rPr>
        <w:t xml:space="preserve"> ahead of any other parties. </w:t>
      </w:r>
      <w:r w:rsidRPr="00347766">
        <w:rPr>
          <w:rFonts w:cstheme="minorHAnsi"/>
        </w:rPr>
        <w:t>This may</w:t>
      </w:r>
      <w:r w:rsidR="00FF160F">
        <w:rPr>
          <w:rFonts w:cstheme="minorHAnsi"/>
        </w:rPr>
        <w:t xml:space="preserve"> </w:t>
      </w:r>
      <w:r w:rsidR="0019554B">
        <w:rPr>
          <w:rFonts w:cstheme="minorHAnsi"/>
        </w:rPr>
        <w:t>erode the v</w:t>
      </w:r>
      <w:r w:rsidRPr="00347766">
        <w:rPr>
          <w:rFonts w:cstheme="minorHAnsi"/>
        </w:rPr>
        <w:t xml:space="preserve">alue of those </w:t>
      </w:r>
      <w:r w:rsidR="0019554B">
        <w:rPr>
          <w:rFonts w:cstheme="minorHAnsi"/>
        </w:rPr>
        <w:t xml:space="preserve">and result in protracted rights negotiations. </w:t>
      </w:r>
      <w:r w:rsidRPr="00347766">
        <w:rPr>
          <w:rFonts w:cstheme="minorHAnsi"/>
        </w:rPr>
        <w:t xml:space="preserve">  </w:t>
      </w:r>
    </w:p>
    <w:p w14:paraId="59AFE066" w14:textId="04247D96" w:rsidR="0002469C" w:rsidRPr="0082235A" w:rsidRDefault="0002469C" w:rsidP="0002469C">
      <w:pPr>
        <w:autoSpaceDE w:val="0"/>
        <w:autoSpaceDN w:val="0"/>
        <w:adjustRightInd w:val="0"/>
        <w:snapToGrid w:val="0"/>
        <w:spacing w:after="0"/>
        <w:rPr>
          <w:rFonts w:eastAsia="Times New Roman" w:cstheme="minorHAnsi"/>
          <w:color w:val="000000"/>
          <w:lang w:val="x-none"/>
        </w:rPr>
      </w:pPr>
      <w:r w:rsidRPr="00C10DE5">
        <w:rPr>
          <w:rFonts w:eastAsia="Times New Roman" w:cstheme="minorHAnsi"/>
          <w:color w:val="000000"/>
        </w:rPr>
        <w:t>As noted above, the PC raised concerns about the</w:t>
      </w:r>
      <w:r w:rsidRPr="00C10DE5">
        <w:rPr>
          <w:rFonts w:eastAsia="Times New Roman" w:cstheme="minorHAnsi"/>
          <w:color w:val="000000"/>
          <w:lang w:val="x-none"/>
        </w:rPr>
        <w:t xml:space="preserve"> </w:t>
      </w:r>
      <w:r w:rsidRPr="00C10DE5">
        <w:rPr>
          <w:rFonts w:eastAsia="Times New Roman" w:cstheme="minorHAnsi"/>
          <w:color w:val="000000"/>
        </w:rPr>
        <w:t>scheme</w:t>
      </w:r>
      <w:r w:rsidRPr="00C10DE5">
        <w:rPr>
          <w:rFonts w:eastAsia="Times New Roman" w:cstheme="minorHAnsi"/>
          <w:color w:val="000000"/>
          <w:lang w:val="x-none"/>
        </w:rPr>
        <w:t xml:space="preserve"> distort</w:t>
      </w:r>
      <w:r w:rsidR="003C1304" w:rsidRPr="00C10DE5">
        <w:rPr>
          <w:rFonts w:eastAsia="Times New Roman" w:cstheme="minorHAnsi"/>
          <w:color w:val="000000"/>
        </w:rPr>
        <w:t>ing</w:t>
      </w:r>
      <w:r w:rsidRPr="00C10DE5">
        <w:rPr>
          <w:rFonts w:eastAsia="Times New Roman" w:cstheme="minorHAnsi"/>
          <w:color w:val="000000"/>
          <w:lang w:val="x-none"/>
        </w:rPr>
        <w:t xml:space="preserve"> the relative prices of</w:t>
      </w:r>
      <w:r w:rsidRPr="00C10DE5">
        <w:rPr>
          <w:rFonts w:eastAsia="Times New Roman" w:cstheme="minorHAnsi"/>
          <w:color w:val="000000"/>
        </w:rPr>
        <w:t xml:space="preserve"> </w:t>
      </w:r>
      <w:r w:rsidRPr="00C10DE5">
        <w:rPr>
          <w:rFonts w:eastAsia="Times New Roman" w:cstheme="minorHAnsi"/>
          <w:color w:val="000000"/>
          <w:lang w:val="x-none"/>
        </w:rPr>
        <w:t>broadcast rights of listed events</w:t>
      </w:r>
      <w:r w:rsidRPr="00C10DE5">
        <w:rPr>
          <w:rFonts w:eastAsia="Times New Roman" w:cstheme="minorHAnsi"/>
          <w:color w:val="000000"/>
        </w:rPr>
        <w:t>.</w:t>
      </w:r>
      <w:r w:rsidRPr="00C10DE5">
        <w:rPr>
          <w:rStyle w:val="FootnoteReference"/>
          <w:rFonts w:eastAsia="Times New Roman" w:cstheme="minorHAnsi"/>
          <w:color w:val="000000"/>
        </w:rPr>
        <w:footnoteReference w:id="128"/>
      </w:r>
      <w:r w:rsidRPr="00C10DE5">
        <w:rPr>
          <w:rFonts w:eastAsia="Times New Roman" w:cstheme="minorHAnsi"/>
          <w:color w:val="000000"/>
        </w:rPr>
        <w:t xml:space="preserve"> </w:t>
      </w:r>
      <w:r w:rsidR="003C1304" w:rsidRPr="00C10DE5">
        <w:rPr>
          <w:rFonts w:eastAsia="Times New Roman" w:cstheme="minorHAnsi"/>
          <w:color w:val="000000"/>
        </w:rPr>
        <w:t xml:space="preserve">The bargaining power that free-to-air broadcasters </w:t>
      </w:r>
      <w:r w:rsidR="004E78AB" w:rsidRPr="00C10DE5">
        <w:rPr>
          <w:rFonts w:eastAsia="Times New Roman" w:cstheme="minorHAnsi"/>
          <w:color w:val="000000"/>
        </w:rPr>
        <w:t xml:space="preserve">are likely to have under this model would create the potential for a reduction in the </w:t>
      </w:r>
      <w:r w:rsidR="003C1304" w:rsidRPr="00C10DE5">
        <w:rPr>
          <w:rFonts w:eastAsia="Times New Roman" w:cstheme="minorHAnsi"/>
          <w:color w:val="000000"/>
        </w:rPr>
        <w:t xml:space="preserve">prices of online rights and </w:t>
      </w:r>
      <w:r w:rsidR="004E78AB" w:rsidRPr="00C10DE5">
        <w:rPr>
          <w:rFonts w:eastAsia="Times New Roman" w:cstheme="minorHAnsi"/>
          <w:color w:val="000000"/>
        </w:rPr>
        <w:t xml:space="preserve">a </w:t>
      </w:r>
      <w:r w:rsidR="003C1304" w:rsidRPr="00C10DE5">
        <w:rPr>
          <w:rFonts w:eastAsia="Times New Roman" w:cstheme="minorHAnsi"/>
          <w:color w:val="000000"/>
        </w:rPr>
        <w:t xml:space="preserve">lowering </w:t>
      </w:r>
      <w:r w:rsidR="004E78AB" w:rsidRPr="00C10DE5">
        <w:rPr>
          <w:rFonts w:eastAsia="Times New Roman" w:cstheme="minorHAnsi"/>
          <w:color w:val="000000"/>
        </w:rPr>
        <w:t xml:space="preserve">of </w:t>
      </w:r>
      <w:r w:rsidR="003C1304" w:rsidRPr="00C10DE5">
        <w:rPr>
          <w:rFonts w:eastAsia="Times New Roman" w:cstheme="minorHAnsi"/>
          <w:color w:val="000000"/>
        </w:rPr>
        <w:t>their cumulative value</w:t>
      </w:r>
      <w:r w:rsidRPr="00C10DE5">
        <w:rPr>
          <w:rFonts w:eastAsia="Times New Roman" w:cstheme="minorHAnsi"/>
          <w:color w:val="000000"/>
        </w:rPr>
        <w:t>.</w:t>
      </w:r>
      <w:r w:rsidR="003C1304" w:rsidRPr="00C10DE5">
        <w:rPr>
          <w:rFonts w:eastAsia="Times New Roman" w:cstheme="minorHAnsi"/>
          <w:color w:val="000000"/>
        </w:rPr>
        <w:t xml:space="preserve"> While difficult to quantify, the impact would be more significant that the broadcasting safety net model.</w:t>
      </w:r>
    </w:p>
    <w:p w14:paraId="74DE2668" w14:textId="1CB33B85" w:rsidR="00575D58" w:rsidRPr="00483B39" w:rsidRDefault="00575D58" w:rsidP="00186821">
      <w:pPr>
        <w:pStyle w:val="Introduction"/>
      </w:pPr>
      <w:r w:rsidRPr="00483B39">
        <w:t xml:space="preserve">Impact on Australian consumers </w:t>
      </w:r>
    </w:p>
    <w:p w14:paraId="0D19F370" w14:textId="77777777" w:rsidR="0019554B" w:rsidRDefault="0019554B" w:rsidP="0019554B">
      <w:pPr>
        <w:suppressAutoHyphens w:val="0"/>
        <w:spacing w:after="0"/>
      </w:pPr>
      <w:r w:rsidRPr="001D2DA7">
        <w:t xml:space="preserve">For consumers, the </w:t>
      </w:r>
      <w:r>
        <w:t xml:space="preserve">free-to-air first </w:t>
      </w:r>
      <w:r w:rsidRPr="001D2DA7">
        <w:t>model would provide a high likelihood of live and free coverage listed events</w:t>
      </w:r>
      <w:r>
        <w:t xml:space="preserve"> on both broadcasting services and online</w:t>
      </w:r>
      <w:r w:rsidRPr="001D2DA7">
        <w:t xml:space="preserve">, given the preferential treatment afforded to broadcasters through the scheme and the strong commercial incentives to fully utilise </w:t>
      </w:r>
      <w:r>
        <w:t xml:space="preserve">any rights acquired </w:t>
      </w:r>
      <w:r w:rsidRPr="001D2DA7">
        <w:t>to listed events.</w:t>
      </w:r>
    </w:p>
    <w:p w14:paraId="718780E7" w14:textId="5A7EF111" w:rsidR="0019554B" w:rsidRDefault="0019554B" w:rsidP="0019554B">
      <w:pPr>
        <w:suppressAutoHyphens w:val="0"/>
        <w:spacing w:after="0"/>
      </w:pPr>
      <w:r w:rsidRPr="001D2DA7">
        <w:t>While this model would not provide the same level of surety of a free, live and in full</w:t>
      </w:r>
      <w:r>
        <w:t xml:space="preserve"> outcome</w:t>
      </w:r>
      <w:r w:rsidRPr="001D2DA7">
        <w:t xml:space="preserve"> as</w:t>
      </w:r>
      <w:r>
        <w:t xml:space="preserve"> the free</w:t>
      </w:r>
      <w:r w:rsidR="00044459">
        <w:noBreakHyphen/>
      </w:r>
      <w:r>
        <w:t>to</w:t>
      </w:r>
      <w:r w:rsidR="00044459">
        <w:noBreakHyphen/>
      </w:r>
      <w:r>
        <w:t>view model (</w:t>
      </w:r>
      <w:r w:rsidRPr="001D2DA7">
        <w:t>Model 1</w:t>
      </w:r>
      <w:r>
        <w:t>)</w:t>
      </w:r>
      <w:r w:rsidRPr="001D2DA7">
        <w:t>, it would potentially apply to a broader range of events (given the necessity for a relatively short list with Model 1).</w:t>
      </w:r>
      <w:r>
        <w:t xml:space="preserve"> Compared with Model 2, the free</w:t>
      </w:r>
      <w:r>
        <w:noBreakHyphen/>
        <w:t>to</w:t>
      </w:r>
      <w:r>
        <w:noBreakHyphen/>
        <w:t>air first model</w:t>
      </w:r>
      <w:r w:rsidRPr="001D2DA7">
        <w:t xml:space="preserve"> would enhance the likelihood of the coverage of events being provided via the online services of free-to-air broadcasters</w:t>
      </w:r>
      <w:r>
        <w:t xml:space="preserve">. However, from a consumer perspective, this may involve additional ‘indirect’ or ‘implicit’ costs in terms of accessing content online. This model doesn’t include coverage or availability obligations, as free-to-air broadcasting services are, by definition, ‘free’ and ‘broadly available’. </w:t>
      </w:r>
    </w:p>
    <w:p w14:paraId="66E3F66D" w14:textId="52F310B0" w:rsidR="003C1304" w:rsidRPr="002F4624" w:rsidRDefault="003C1304" w:rsidP="0019554B">
      <w:pPr>
        <w:suppressAutoHyphens w:val="0"/>
        <w:spacing w:after="0"/>
      </w:pPr>
      <w:r w:rsidRPr="00C10DE5">
        <w:t>There is a risk under this model that events will not be shown at all if they are not picked up by a free</w:t>
      </w:r>
      <w:r w:rsidRPr="00C10DE5">
        <w:noBreakHyphen/>
        <w:t>to</w:t>
      </w:r>
      <w:r w:rsidRPr="00C10DE5">
        <w:noBreakHyphen/>
        <w:t xml:space="preserve">air broadcasters, as other </w:t>
      </w:r>
      <w:r w:rsidR="00044459">
        <w:t>content service providers</w:t>
      </w:r>
      <w:r w:rsidR="00044459" w:rsidRPr="00C10DE5">
        <w:t xml:space="preserve"> </w:t>
      </w:r>
      <w:r w:rsidRPr="00C10DE5">
        <w:t>would not have an opportunity to acquire them until delisting.</w:t>
      </w:r>
    </w:p>
    <w:p w14:paraId="261A859E" w14:textId="22FF155E" w:rsidR="00575D58" w:rsidRPr="004E6209" w:rsidRDefault="00575D58" w:rsidP="00186821">
      <w:pPr>
        <w:pStyle w:val="Introduction"/>
      </w:pPr>
      <w:r w:rsidRPr="004E6209">
        <w:t xml:space="preserve">Impact on government </w:t>
      </w:r>
    </w:p>
    <w:p w14:paraId="00314AE8" w14:textId="7A9E3404" w:rsidR="0019554B" w:rsidRDefault="0019554B" w:rsidP="0019554B">
      <w:pPr>
        <w:tabs>
          <w:tab w:val="left" w:pos="7905"/>
        </w:tabs>
        <w:spacing w:before="120" w:after="120"/>
        <w:rPr>
          <w:rFonts w:cstheme="minorHAnsi"/>
          <w:lang w:val="en-US"/>
        </w:rPr>
      </w:pPr>
      <w:r>
        <w:rPr>
          <w:rFonts w:cstheme="minorHAnsi"/>
          <w:lang w:val="en-US"/>
        </w:rPr>
        <w:t xml:space="preserve">The free-to-air first model is expected to have a minor budgetary impact on the ACMA, who would be required to oversee and administer a framework that effectively extends the current regulatory arrangements. However, this is not expected to be as complex and resource-intensive as the oversight of the free-to-view model (Model 1). </w:t>
      </w:r>
    </w:p>
    <w:p w14:paraId="5C630848" w14:textId="77777777" w:rsidR="00575D58" w:rsidRPr="008E4854" w:rsidRDefault="00575D58" w:rsidP="003375F9">
      <w:pPr>
        <w:pStyle w:val="Introduction"/>
        <w:keepNext/>
        <w:keepLines/>
      </w:pPr>
      <w:r w:rsidRPr="008E4854">
        <w:t xml:space="preserve">Overall assessment </w:t>
      </w:r>
    </w:p>
    <w:p w14:paraId="4F86C506" w14:textId="51D3FEE9" w:rsidR="00390ED0" w:rsidRDefault="00D84FCE" w:rsidP="003375F9">
      <w:pPr>
        <w:pStyle w:val="ListParagraph"/>
        <w:keepNext/>
        <w:keepLines/>
        <w:tabs>
          <w:tab w:val="left" w:pos="567"/>
        </w:tabs>
        <w:spacing w:after="0"/>
        <w:ind w:left="0"/>
        <w:contextualSpacing w:val="0"/>
      </w:pPr>
      <w:r>
        <w:t>The free-to-air first model</w:t>
      </w:r>
      <w:r w:rsidR="00390ED0" w:rsidRPr="00E94FB2">
        <w:t xml:space="preserve"> would impede access to both the broadcast and online rights to events by parties other than free-to-air broadcasters, and adversely impact sports bodies and a relatively broad set of media entities. </w:t>
      </w:r>
      <w:r w:rsidR="00390ED0">
        <w:t xml:space="preserve">It would also seek to treat the content services provided by free-to-air services (i.e. </w:t>
      </w:r>
      <w:r w:rsidR="002C042B">
        <w:t>B</w:t>
      </w:r>
      <w:r w:rsidR="00C83D42">
        <w:t>V</w:t>
      </w:r>
      <w:r w:rsidR="002C042B">
        <w:t>OD</w:t>
      </w:r>
      <w:r w:rsidR="00390ED0">
        <w:t xml:space="preserve"> services) differently to content services provided by other parties where there is no subscription or other explicit fee imposed –</w:t>
      </w:r>
      <w:r w:rsidR="00D11DAB">
        <w:t xml:space="preserve"> </w:t>
      </w:r>
      <w:r w:rsidR="00390ED0">
        <w:t>although to the consumer there is likely to be little practical difference.</w:t>
      </w:r>
    </w:p>
    <w:p w14:paraId="460B7734" w14:textId="40E8D743" w:rsidR="003D1180" w:rsidRDefault="003D1180" w:rsidP="003D1180">
      <w:pPr>
        <w:pStyle w:val="ListParagraph"/>
        <w:tabs>
          <w:tab w:val="left" w:pos="567"/>
        </w:tabs>
        <w:spacing w:after="0"/>
        <w:ind w:left="0"/>
        <w:contextualSpacing w:val="0"/>
      </w:pPr>
      <w:r>
        <w:t>The broadcasting safety net model adopts the basic architecture of the current scheme, but modifies and extends it to capture online and other services. It</w:t>
      </w:r>
      <w:r w:rsidRPr="00E94FB2">
        <w:t xml:space="preserve"> would provide free-to-air broadcasters with significant </w:t>
      </w:r>
      <w:r w:rsidRPr="00BD0C14">
        <w:t>commercial advantage and would place free-to-air broadcasters – rather than free-to-air broadcasting services – as the key mechanism to support the achievement of the scheme’s objective of free access to televised coverage</w:t>
      </w:r>
      <w:r>
        <w:t xml:space="preserve"> of </w:t>
      </w:r>
      <w:r w:rsidRPr="00E94FB2">
        <w:t>iconic events.</w:t>
      </w:r>
    </w:p>
    <w:p w14:paraId="623FAE81" w14:textId="14386190" w:rsidR="003D1180" w:rsidRDefault="003D1180" w:rsidP="003D1180">
      <w:pPr>
        <w:spacing w:after="0"/>
      </w:pPr>
      <w:r>
        <w:t xml:space="preserve">This is likely to deliver benefits to Australian consumers and </w:t>
      </w:r>
      <w:r w:rsidRPr="00C0783F">
        <w:t xml:space="preserve">mitigate the risk of audiences being subject to </w:t>
      </w:r>
      <w:r>
        <w:t xml:space="preserve">direct </w:t>
      </w:r>
      <w:r w:rsidRPr="00C0783F">
        <w:t>costs to access this content</w:t>
      </w:r>
      <w:r>
        <w:t xml:space="preserve"> </w:t>
      </w:r>
      <w:r w:rsidRPr="00C0783F">
        <w:t>(subscription or other fees or charges imposed on end-users to access coverage)</w:t>
      </w:r>
      <w:r>
        <w:t xml:space="preserve">. However, audiences may be subject to </w:t>
      </w:r>
      <w:r w:rsidRPr="00C0783F">
        <w:t xml:space="preserve">implicit </w:t>
      </w:r>
      <w:r>
        <w:t xml:space="preserve">costs </w:t>
      </w:r>
      <w:r w:rsidRPr="00C0783F">
        <w:t>(associated with the cost of assessing content online)</w:t>
      </w:r>
      <w:r>
        <w:t xml:space="preserve"> if broadcasters opted to provide exclusive coverage of listed events on their BVOD services.</w:t>
      </w:r>
    </w:p>
    <w:p w14:paraId="1B9B215E" w14:textId="2D6FED58" w:rsidR="00BE6FD4" w:rsidRDefault="003D1180" w:rsidP="00662DC6">
      <w:r>
        <w:t>T</w:t>
      </w:r>
      <w:r w:rsidRPr="00E94FB2">
        <w:t>his model would exacerbate a number of the acknowledged concerns and risks with the current scheme.</w:t>
      </w:r>
      <w:bookmarkStart w:id="149" w:name="_Hlk139901641"/>
      <w:r>
        <w:t xml:space="preserve"> </w:t>
      </w:r>
      <w:r w:rsidRPr="00E94FB2">
        <w:t xml:space="preserve">It would </w:t>
      </w:r>
      <w:r>
        <w:t>substantially broaden</w:t>
      </w:r>
      <w:r w:rsidRPr="00E94FB2">
        <w:t xml:space="preserve"> the </w:t>
      </w:r>
      <w:r>
        <w:t xml:space="preserve">effective restriction on </w:t>
      </w:r>
      <w:r w:rsidRPr="00E94FB2">
        <w:t xml:space="preserve">sports bodies </w:t>
      </w:r>
      <w:r>
        <w:t xml:space="preserve">in terms of </w:t>
      </w:r>
      <w:r w:rsidRPr="00E94FB2">
        <w:t xml:space="preserve">their </w:t>
      </w:r>
      <w:r>
        <w:t xml:space="preserve">ability to negotiate with content services regarding their rights. It </w:t>
      </w:r>
      <w:r w:rsidRPr="00E94FB2">
        <w:t>would significantly extend the commercial advantages afforded to free-to-air broadcasters</w:t>
      </w:r>
      <w:r>
        <w:t xml:space="preserve"> </w:t>
      </w:r>
      <w:r w:rsidRPr="00E94FB2">
        <w:t xml:space="preserve">– more so than </w:t>
      </w:r>
      <w:r w:rsidR="00D84FCE">
        <w:t>the broadcasting safety net (</w:t>
      </w:r>
      <w:r w:rsidRPr="00E94FB2">
        <w:t>Model 2</w:t>
      </w:r>
      <w:r w:rsidR="00D84FCE">
        <w:t>)</w:t>
      </w:r>
      <w:r w:rsidRPr="00E94FB2">
        <w:t xml:space="preserve"> – and advance their negotiating position with regard to sports rights compared with their competitors</w:t>
      </w:r>
      <w:r>
        <w:t xml:space="preserve">. </w:t>
      </w:r>
      <w:r w:rsidRPr="00E94FB2">
        <w:t>It would also draw i</w:t>
      </w:r>
      <w:r>
        <w:t>nto</w:t>
      </w:r>
      <w:r w:rsidRPr="00E94FB2">
        <w:t xml:space="preserve"> the scheme content service providers that are not currently subject to </w:t>
      </w:r>
      <w:r>
        <w:t>any r</w:t>
      </w:r>
      <w:r w:rsidRPr="00E94FB2">
        <w:t>estriction</w:t>
      </w:r>
      <w:r>
        <w:t>s</w:t>
      </w:r>
      <w:r w:rsidRPr="00E94FB2">
        <w:t xml:space="preserve"> in terms of rights acquisition</w:t>
      </w:r>
      <w:r w:rsidR="00BD0C14">
        <w:t xml:space="preserve"> such as </w:t>
      </w:r>
      <w:r w:rsidRPr="00E94FB2">
        <w:t>Amazon Prime</w:t>
      </w:r>
      <w:r w:rsidR="00870724">
        <w:t xml:space="preserve"> Video</w:t>
      </w:r>
      <w:r>
        <w:t xml:space="preserve">, </w:t>
      </w:r>
      <w:r w:rsidRPr="00E94FB2">
        <w:t>Disney</w:t>
      </w:r>
      <w:r>
        <w:t>+</w:t>
      </w:r>
      <w:r w:rsidRPr="00E94FB2">
        <w:t xml:space="preserve"> </w:t>
      </w:r>
      <w:r>
        <w:t xml:space="preserve">and YouTube </w:t>
      </w:r>
      <w:r w:rsidRPr="00E94FB2">
        <w:t>(among others)</w:t>
      </w:r>
      <w:r>
        <w:t xml:space="preserve">. </w:t>
      </w:r>
    </w:p>
    <w:p w14:paraId="317F83E6" w14:textId="0C126BC2" w:rsidR="00B26194" w:rsidRPr="000F5784" w:rsidRDefault="00186821" w:rsidP="000F5784">
      <w:pPr>
        <w:pStyle w:val="Heading3"/>
      </w:pPr>
      <w:bookmarkStart w:id="150" w:name="_Toc150883282"/>
      <w:bookmarkStart w:id="151" w:name="_Toc151053064"/>
      <w:bookmarkEnd w:id="149"/>
      <w:r>
        <w:t>Model 4</w:t>
      </w:r>
      <w:r w:rsidR="00B26194" w:rsidRPr="009B3A80">
        <w:t xml:space="preserve">: </w:t>
      </w:r>
      <w:r>
        <w:t>‘status quo’</w:t>
      </w:r>
      <w:bookmarkEnd w:id="150"/>
      <w:bookmarkEnd w:id="151"/>
      <w:r w:rsidR="00B26194" w:rsidRPr="009B3A80">
        <w:t xml:space="preserve"> </w:t>
      </w:r>
    </w:p>
    <w:p w14:paraId="12B81F1A" w14:textId="67FF31D8" w:rsidR="00390ED0" w:rsidRPr="00CA5FD2" w:rsidRDefault="00390ED0" w:rsidP="00186821">
      <w:pPr>
        <w:pStyle w:val="Introduction"/>
      </w:pPr>
      <w:r w:rsidRPr="009B3A80">
        <w:t>Impact on industry</w:t>
      </w:r>
    </w:p>
    <w:p w14:paraId="41DFD926" w14:textId="77777777" w:rsidR="00D61250" w:rsidRDefault="00FA1CBA" w:rsidP="00390ED0">
      <w:pPr>
        <w:spacing w:after="0"/>
        <w:rPr>
          <w:b/>
        </w:rPr>
      </w:pPr>
      <w:r w:rsidRPr="00D61250">
        <w:rPr>
          <w:b/>
        </w:rPr>
        <w:t>F</w:t>
      </w:r>
      <w:r w:rsidR="00390ED0" w:rsidRPr="00D61250">
        <w:rPr>
          <w:b/>
        </w:rPr>
        <w:t xml:space="preserve">ree-to-air </w:t>
      </w:r>
      <w:r w:rsidRPr="00D61250">
        <w:rPr>
          <w:b/>
        </w:rPr>
        <w:t xml:space="preserve">broadcasters </w:t>
      </w:r>
    </w:p>
    <w:p w14:paraId="5989D9C5" w14:textId="3EC5B5E5" w:rsidR="0011617C" w:rsidRPr="00D61250" w:rsidRDefault="0011617C" w:rsidP="00390ED0">
      <w:pPr>
        <w:spacing w:after="0"/>
        <w:rPr>
          <w:b/>
        </w:rPr>
      </w:pPr>
      <w:r>
        <w:t xml:space="preserve">Under this model, the anti-siphoning scheme would remain unchanged. The scheme would continue to provide a benefit to the free-to-air sector, although this benefit may be eroded over time if </w:t>
      </w:r>
      <w:r w:rsidR="00231303">
        <w:t xml:space="preserve">streaming </w:t>
      </w:r>
      <w:r w:rsidR="00C00B57">
        <w:t xml:space="preserve">or other online </w:t>
      </w:r>
      <w:r w:rsidR="00231303">
        <w:t xml:space="preserve">services </w:t>
      </w:r>
      <w:r>
        <w:t xml:space="preserve">seek to acquire additional rights to listed events. </w:t>
      </w:r>
    </w:p>
    <w:p w14:paraId="7BC57BFC" w14:textId="77777777" w:rsidR="00D61250" w:rsidRDefault="0011617C" w:rsidP="00D61250">
      <w:pPr>
        <w:spacing w:after="0"/>
        <w:rPr>
          <w:b/>
        </w:rPr>
      </w:pPr>
      <w:r w:rsidRPr="00D61250">
        <w:rPr>
          <w:b/>
        </w:rPr>
        <w:t>S</w:t>
      </w:r>
      <w:r w:rsidR="00390ED0" w:rsidRPr="00D61250">
        <w:rPr>
          <w:b/>
        </w:rPr>
        <w:t>ubscription television and streaming services</w:t>
      </w:r>
    </w:p>
    <w:p w14:paraId="7615942C" w14:textId="3EC7383E" w:rsidR="00390ED0" w:rsidRPr="00D61250" w:rsidRDefault="0011617C" w:rsidP="00D61250">
      <w:pPr>
        <w:spacing w:after="0"/>
        <w:rPr>
          <w:b/>
        </w:rPr>
      </w:pPr>
      <w:r>
        <w:t>Subscription television broadcasters would continue to be subject to the scheme. These adverse impacts (in terms of their ability to seek and secure the rights to listed events) may be magnified if their competitors (‘standalone’ online streaming services) are not subject to regulation</w:t>
      </w:r>
      <w:r w:rsidR="00C00B57">
        <w:t>,</w:t>
      </w:r>
      <w:r>
        <w:t xml:space="preserve"> and are free to acquire the rights to listed events ahead of them. In turn, these online streaming services would benefit from the status quo, as they would not be subject to any regulation under the scheme.  </w:t>
      </w:r>
    </w:p>
    <w:p w14:paraId="571BF653" w14:textId="2EE37108" w:rsidR="00D61250" w:rsidRDefault="00390ED0" w:rsidP="00390ED0">
      <w:pPr>
        <w:spacing w:after="0"/>
        <w:rPr>
          <w:b/>
        </w:rPr>
      </w:pPr>
      <w:r w:rsidRPr="00D61250">
        <w:rPr>
          <w:b/>
        </w:rPr>
        <w:t xml:space="preserve">Impact on sporting bodies </w:t>
      </w:r>
    </w:p>
    <w:p w14:paraId="64D639CD" w14:textId="2042D08B" w:rsidR="00390ED0" w:rsidRPr="00D61250" w:rsidRDefault="00390ED0" w:rsidP="00390ED0">
      <w:pPr>
        <w:spacing w:after="0"/>
        <w:rPr>
          <w:b/>
        </w:rPr>
      </w:pPr>
      <w:r>
        <w:t xml:space="preserve">Sporting bodies would </w:t>
      </w:r>
      <w:r w:rsidR="00FE5202">
        <w:t>continue to be able to sell their rights to free</w:t>
      </w:r>
      <w:r w:rsidR="00FE5202">
        <w:noBreakHyphen/>
        <w:t>to</w:t>
      </w:r>
      <w:r w:rsidR="00FE5202">
        <w:noBreakHyphen/>
        <w:t xml:space="preserve">air broadcasters and online services without restriction, </w:t>
      </w:r>
      <w:r w:rsidR="00C00B57">
        <w:t xml:space="preserve">with the only restriction being their ability to sell rights to </w:t>
      </w:r>
      <w:r w:rsidR="00FE5202">
        <w:t>subscription television broadcasting licensees</w:t>
      </w:r>
      <w:r w:rsidRPr="00347766">
        <w:rPr>
          <w:rFonts w:cstheme="minorHAnsi"/>
        </w:rPr>
        <w:t>.</w:t>
      </w:r>
      <w:r w:rsidR="00FE5202">
        <w:rPr>
          <w:rFonts w:cstheme="minorHAnsi"/>
        </w:rPr>
        <w:t xml:space="preserve"> T</w:t>
      </w:r>
      <w:r w:rsidR="00C00B57">
        <w:rPr>
          <w:rFonts w:cstheme="minorHAnsi"/>
        </w:rPr>
        <w:t xml:space="preserve">here would be little change from the current arrangement, which has been in place for </w:t>
      </w:r>
      <w:r w:rsidR="00CC0253">
        <w:rPr>
          <w:rFonts w:cstheme="minorHAnsi"/>
        </w:rPr>
        <w:t xml:space="preserve">around </w:t>
      </w:r>
      <w:r w:rsidR="00C00B57">
        <w:rPr>
          <w:rFonts w:cstheme="minorHAnsi"/>
        </w:rPr>
        <w:t xml:space="preserve">three decades.  </w:t>
      </w:r>
    </w:p>
    <w:p w14:paraId="502DB3B6" w14:textId="4D29D92A" w:rsidR="00390ED0" w:rsidRPr="00FA1CBA" w:rsidRDefault="00D04990" w:rsidP="00D04990">
      <w:pPr>
        <w:pStyle w:val="Introduction"/>
        <w:rPr>
          <w:color w:val="000000" w:themeColor="text1"/>
          <w:sz w:val="22"/>
        </w:rPr>
      </w:pPr>
      <w:r>
        <w:rPr>
          <w:lang w:val="en-AU"/>
        </w:rPr>
        <w:t xml:space="preserve">Impact on </w:t>
      </w:r>
      <w:r w:rsidR="00390ED0" w:rsidRPr="00D04990">
        <w:t xml:space="preserve">Australian consumers </w:t>
      </w:r>
    </w:p>
    <w:p w14:paraId="0454368C" w14:textId="08C6FD2B" w:rsidR="00390ED0" w:rsidRDefault="00C00B57" w:rsidP="00390ED0">
      <w:pPr>
        <w:spacing w:after="0"/>
      </w:pPr>
      <w:r>
        <w:t xml:space="preserve">The status quo would be expected to result in a detrimental impact on Australian consumers over time, to the extent that the rights to listed events migrate behind online paywalls (a trend seen in overseas markets over the past decade). </w:t>
      </w:r>
    </w:p>
    <w:p w14:paraId="0E9E2060" w14:textId="1F4C4CC5" w:rsidR="00390ED0" w:rsidRPr="003C37A2" w:rsidRDefault="00390ED0" w:rsidP="003C37A2">
      <w:pPr>
        <w:pStyle w:val="Introduction"/>
        <w:rPr>
          <w:lang w:val="en-AU"/>
        </w:rPr>
      </w:pPr>
      <w:r w:rsidRPr="003C37A2">
        <w:rPr>
          <w:lang w:val="en-AU"/>
        </w:rPr>
        <w:t xml:space="preserve">Impact on government </w:t>
      </w:r>
    </w:p>
    <w:p w14:paraId="5CD7AC6E" w14:textId="12E697F2" w:rsidR="00390ED0" w:rsidRDefault="00C00B57" w:rsidP="008E347C">
      <w:pPr>
        <w:tabs>
          <w:tab w:val="left" w:pos="7905"/>
        </w:tabs>
        <w:spacing w:before="120" w:after="120"/>
        <w:rPr>
          <w:rFonts w:cstheme="minorHAnsi"/>
        </w:rPr>
      </w:pPr>
      <w:r>
        <w:rPr>
          <w:rFonts w:cstheme="minorHAnsi"/>
        </w:rPr>
        <w:t xml:space="preserve">The </w:t>
      </w:r>
      <w:r w:rsidR="00390ED0" w:rsidRPr="008E4854">
        <w:rPr>
          <w:rFonts w:cstheme="minorHAnsi"/>
        </w:rPr>
        <w:t xml:space="preserve">ACMA </w:t>
      </w:r>
      <w:r w:rsidR="008E347C">
        <w:rPr>
          <w:rFonts w:cstheme="minorHAnsi"/>
        </w:rPr>
        <w:t xml:space="preserve">would continue to be responsible for </w:t>
      </w:r>
      <w:r>
        <w:rPr>
          <w:rFonts w:cstheme="minorHAnsi"/>
        </w:rPr>
        <w:t xml:space="preserve">the oversight and enforcement of the current scheme, with no material change in resource demands. </w:t>
      </w:r>
    </w:p>
    <w:p w14:paraId="12219F2E" w14:textId="77777777" w:rsidR="00390ED0" w:rsidRPr="003C37A2" w:rsidRDefault="00390ED0" w:rsidP="003C37A2">
      <w:pPr>
        <w:pStyle w:val="Introduction"/>
        <w:rPr>
          <w:lang w:val="en-AU"/>
        </w:rPr>
      </w:pPr>
      <w:r w:rsidRPr="003C37A2">
        <w:rPr>
          <w:lang w:val="en-AU"/>
        </w:rPr>
        <w:t xml:space="preserve">Overall assessment </w:t>
      </w:r>
    </w:p>
    <w:p w14:paraId="1C0D6327" w14:textId="0E81C4CF" w:rsidR="00377AE1" w:rsidRDefault="00377AE1" w:rsidP="00390ED0">
      <w:pPr>
        <w:pStyle w:val="ListParagraph"/>
        <w:tabs>
          <w:tab w:val="left" w:pos="567"/>
        </w:tabs>
        <w:spacing w:after="0"/>
        <w:ind w:left="0"/>
        <w:contextualSpacing w:val="0"/>
      </w:pPr>
      <w:r>
        <w:t xml:space="preserve">The status quo model would do nothing to address the regulatory gap identified in the review of the scheme undertaken in 2022 and 2023. The risk of the coverage of nationally important and culturally significant events migrating behind online paywalls would grow, to the </w:t>
      </w:r>
      <w:r w:rsidR="00BD0C14">
        <w:t>detriment</w:t>
      </w:r>
      <w:r>
        <w:t xml:space="preserve"> of Australian consumers. </w:t>
      </w:r>
    </w:p>
    <w:p w14:paraId="551BF32E" w14:textId="3C8C191A" w:rsidR="0009719A" w:rsidRPr="009B3A80" w:rsidRDefault="00C00B57" w:rsidP="0009719A">
      <w:pPr>
        <w:pStyle w:val="Heading2Numbered"/>
        <w:numPr>
          <w:ilvl w:val="0"/>
          <w:numId w:val="0"/>
        </w:numPr>
        <w:ind w:left="851" w:hanging="851"/>
        <w:rPr>
          <w:sz w:val="44"/>
        </w:rPr>
      </w:pPr>
      <w:bookmarkStart w:id="152" w:name="_Toc150883283"/>
      <w:bookmarkStart w:id="153" w:name="_Toc151053065"/>
      <w:r>
        <w:rPr>
          <w:sz w:val="44"/>
        </w:rPr>
        <w:t>The</w:t>
      </w:r>
      <w:r w:rsidR="0009719A" w:rsidRPr="009B3A80">
        <w:rPr>
          <w:sz w:val="44"/>
        </w:rPr>
        <w:t xml:space="preserve"> </w:t>
      </w:r>
      <w:r w:rsidR="00FA1CBA">
        <w:rPr>
          <w:sz w:val="44"/>
        </w:rPr>
        <w:t>l</w:t>
      </w:r>
      <w:r w:rsidR="0009719A" w:rsidRPr="009B3A80">
        <w:rPr>
          <w:sz w:val="44"/>
        </w:rPr>
        <w:t>ist</w:t>
      </w:r>
      <w:bookmarkEnd w:id="152"/>
      <w:bookmarkEnd w:id="153"/>
    </w:p>
    <w:p w14:paraId="6E164396" w14:textId="68D72F5B" w:rsidR="00915EDB" w:rsidRPr="00D3611E" w:rsidRDefault="00253E07" w:rsidP="00D3611E">
      <w:pPr>
        <w:pStyle w:val="Heading3"/>
      </w:pPr>
      <w:bookmarkStart w:id="154" w:name="_Toc150883284"/>
      <w:bookmarkStart w:id="155" w:name="_Toc151053066"/>
      <w:r w:rsidRPr="00D3611E">
        <w:t>Option 1: ‘</w:t>
      </w:r>
      <w:r w:rsidR="00C00B57" w:rsidRPr="00D3611E">
        <w:t>s</w:t>
      </w:r>
      <w:r w:rsidRPr="00D3611E">
        <w:t xml:space="preserve">treamlined </w:t>
      </w:r>
      <w:r w:rsidR="00C00B57" w:rsidRPr="00D3611E">
        <w:t>l</w:t>
      </w:r>
      <w:r w:rsidRPr="00D3611E">
        <w:t>ist’</w:t>
      </w:r>
      <w:bookmarkEnd w:id="154"/>
      <w:bookmarkEnd w:id="155"/>
    </w:p>
    <w:p w14:paraId="2BCB0ACC" w14:textId="371AEEEA" w:rsidR="001B5FFF" w:rsidRPr="0099187A" w:rsidRDefault="001B5FFF" w:rsidP="00D3611E">
      <w:pPr>
        <w:pStyle w:val="Introduction"/>
      </w:pPr>
      <w:bookmarkStart w:id="156" w:name="_Toc112235046"/>
      <w:bookmarkStart w:id="157" w:name="_Toc114487429"/>
      <w:r>
        <w:t>Impact on industry</w:t>
      </w:r>
    </w:p>
    <w:p w14:paraId="55C5D20E" w14:textId="77777777" w:rsidR="00D61250" w:rsidRDefault="00D3611E" w:rsidP="00D61250">
      <w:pPr>
        <w:spacing w:after="0"/>
        <w:rPr>
          <w:b/>
        </w:rPr>
      </w:pPr>
      <w:r w:rsidRPr="00D61250">
        <w:rPr>
          <w:b/>
        </w:rPr>
        <w:t>F</w:t>
      </w:r>
      <w:r w:rsidR="00646C4E" w:rsidRPr="00D61250">
        <w:rPr>
          <w:b/>
        </w:rPr>
        <w:t>ree-to-air broadcasters</w:t>
      </w:r>
    </w:p>
    <w:p w14:paraId="10D3A57A" w14:textId="1B0624FE" w:rsidR="00D04990" w:rsidRPr="00D61250" w:rsidRDefault="00377AE1" w:rsidP="00D61250">
      <w:pPr>
        <w:spacing w:after="0"/>
        <w:rPr>
          <w:b/>
        </w:rPr>
      </w:pPr>
      <w:r>
        <w:t xml:space="preserve">This </w:t>
      </w:r>
      <w:r w:rsidR="003A3DBD">
        <w:t xml:space="preserve">list option </w:t>
      </w:r>
      <w:r>
        <w:t xml:space="preserve">would see a reduction of around 80 </w:t>
      </w:r>
      <w:r w:rsidRPr="00056164">
        <w:t xml:space="preserve">per cent </w:t>
      </w:r>
      <w:r>
        <w:t xml:space="preserve">in the number of events </w:t>
      </w:r>
      <w:r w:rsidRPr="00AD45FC">
        <w:t>o</w:t>
      </w:r>
      <w:r>
        <w:t xml:space="preserve">n the list, from approximately </w:t>
      </w:r>
      <w:r w:rsidRPr="00AD45FC">
        <w:t>1,90</w:t>
      </w:r>
      <w:r>
        <w:t xml:space="preserve">0 events to approximately </w:t>
      </w:r>
      <w:r w:rsidRPr="00056164">
        <w:t>330 events</w:t>
      </w:r>
      <w:r>
        <w:t>.</w:t>
      </w:r>
      <w:r w:rsidR="00577AFD">
        <w:t xml:space="preserve"> </w:t>
      </w:r>
      <w:r w:rsidR="00D04990">
        <w:t>Close to half of this reduction in the estimated number of events on the list is attributable to the removal of the bulk of the Summer Olympic Games, the Winter Olympic Games and the Commonwealth Games.</w:t>
      </w:r>
    </w:p>
    <w:p w14:paraId="31E42D09" w14:textId="3E471E57" w:rsidR="00577AFD" w:rsidRDefault="00577AFD" w:rsidP="00646C4E">
      <w:pPr>
        <w:spacing w:after="0"/>
      </w:pPr>
      <w:r>
        <w:t>As such, this would detrimentally affect f</w:t>
      </w:r>
      <w:r w:rsidR="00CC7C03">
        <w:t>ree</w:t>
      </w:r>
      <w:r w:rsidR="00CC7C03">
        <w:noBreakHyphen/>
        <w:t>to</w:t>
      </w:r>
      <w:r w:rsidR="00CC7C03">
        <w:noBreakHyphen/>
        <w:t>air broadcasters</w:t>
      </w:r>
      <w:r>
        <w:t xml:space="preserve"> as they would no longer be afforded preferential treatment in the acquisition of the rights to approximately 1,600 events. If coupled with the free</w:t>
      </w:r>
      <w:r w:rsidR="00D84FCE">
        <w:noBreakHyphen/>
      </w:r>
      <w:r>
        <w:t>to-</w:t>
      </w:r>
      <w:r w:rsidR="00B96CA0">
        <w:t>view</w:t>
      </w:r>
      <w:r>
        <w:t xml:space="preserve"> model (as intended), the streamlined list would require free-to-air broadcasters to provide live, in full and free coverage of any events to which they acquired the rights. However, this is unlikely to have a material impact, as they provide coverage of this nature.   </w:t>
      </w:r>
    </w:p>
    <w:p w14:paraId="7619D4F0" w14:textId="77777777" w:rsidR="00D61250" w:rsidRDefault="00577AFD" w:rsidP="00D61250">
      <w:pPr>
        <w:spacing w:after="0"/>
        <w:rPr>
          <w:b/>
        </w:rPr>
      </w:pPr>
      <w:r w:rsidRPr="00D61250">
        <w:rPr>
          <w:b/>
        </w:rPr>
        <w:t>S</w:t>
      </w:r>
      <w:r w:rsidR="005B5B72" w:rsidRPr="00D61250">
        <w:rPr>
          <w:b/>
        </w:rPr>
        <w:t>ubscription television and streaming services</w:t>
      </w:r>
    </w:p>
    <w:p w14:paraId="3ED4F8D2" w14:textId="2727451E" w:rsidR="00577AFD" w:rsidRPr="00D61250" w:rsidRDefault="00646C4E" w:rsidP="00D61250">
      <w:pPr>
        <w:spacing w:after="0"/>
        <w:rPr>
          <w:b/>
        </w:rPr>
      </w:pPr>
      <w:r>
        <w:t xml:space="preserve">Subscription television services would </w:t>
      </w:r>
      <w:r w:rsidR="003C1304">
        <w:t xml:space="preserve">significantly </w:t>
      </w:r>
      <w:r>
        <w:t xml:space="preserve">benefit from the changes. </w:t>
      </w:r>
      <w:r w:rsidR="005B5B72">
        <w:t xml:space="preserve">This list would </w:t>
      </w:r>
      <w:r w:rsidR="00577AFD">
        <w:t xml:space="preserve">be </w:t>
      </w:r>
      <w:r w:rsidR="003C1304">
        <w:t>considerably</w:t>
      </w:r>
      <w:r w:rsidR="003C1304" w:rsidDel="003C1304">
        <w:t xml:space="preserve"> </w:t>
      </w:r>
      <w:r w:rsidR="00577AFD">
        <w:t xml:space="preserve">reduced and – coupled with the adoption of the free-to-view model – they would no longer be restricted in terms of the acquisition of listed events.  </w:t>
      </w:r>
    </w:p>
    <w:p w14:paraId="40184F01" w14:textId="54981439" w:rsidR="00041711" w:rsidRPr="009457BF" w:rsidRDefault="00577AFD" w:rsidP="002D68A8">
      <w:pPr>
        <w:spacing w:after="120"/>
      </w:pPr>
      <w:r>
        <w:t>Standalone o</w:t>
      </w:r>
      <w:r w:rsidR="0099187A">
        <w:t xml:space="preserve">nline streaming services </w:t>
      </w:r>
      <w:r w:rsidR="00BD0C14">
        <w:t xml:space="preserve">would </w:t>
      </w:r>
      <w:r w:rsidR="0099187A">
        <w:t>be brought into the scheme for the first time if they opted to acquire the rights to provide coverage of events on the streamlined list. However, this impact may be relatively modest</w:t>
      </w:r>
      <w:r>
        <w:t>,</w:t>
      </w:r>
      <w:r w:rsidR="0099187A">
        <w:t xml:space="preserve"> given the narrow range of events on the list.</w:t>
      </w:r>
      <w:r w:rsidR="009F5EC7">
        <w:t xml:space="preserve"> </w:t>
      </w:r>
    </w:p>
    <w:p w14:paraId="5C547F6E" w14:textId="77777777" w:rsidR="00D61250" w:rsidRDefault="00377AE1" w:rsidP="00CB0587">
      <w:pPr>
        <w:spacing w:after="0"/>
        <w:rPr>
          <w:b/>
        </w:rPr>
      </w:pPr>
      <w:r w:rsidRPr="00D61250">
        <w:rPr>
          <w:b/>
        </w:rPr>
        <w:t>S</w:t>
      </w:r>
      <w:r w:rsidR="002D68A8" w:rsidRPr="00D61250">
        <w:rPr>
          <w:b/>
        </w:rPr>
        <w:t>porting bodies</w:t>
      </w:r>
    </w:p>
    <w:p w14:paraId="29602074" w14:textId="7F6D5F2C" w:rsidR="0043784A" w:rsidRPr="00D61250" w:rsidRDefault="00577AFD" w:rsidP="00CB0587">
      <w:pPr>
        <w:spacing w:after="0"/>
        <w:rPr>
          <w:b/>
        </w:rPr>
      </w:pPr>
      <w:r>
        <w:t>The streamlined list would provide s</w:t>
      </w:r>
      <w:r w:rsidR="00646C4E">
        <w:t xml:space="preserve">porting bodies </w:t>
      </w:r>
      <w:r w:rsidR="003C1304">
        <w:t xml:space="preserve">with </w:t>
      </w:r>
      <w:r>
        <w:t xml:space="preserve">a greater opportunity to negotiate deals for rights without restriction under the scheme, given the significant reduction in the number of events included under this list option. </w:t>
      </w:r>
      <w:r w:rsidR="00041711" w:rsidRPr="00C10DE5">
        <w:t xml:space="preserve">There would be no limitations on the negotiation process for sporting competitions </w:t>
      </w:r>
      <w:r w:rsidR="004E78AB" w:rsidRPr="00C10DE5">
        <w:t xml:space="preserve">that are </w:t>
      </w:r>
      <w:r w:rsidR="00041711" w:rsidRPr="00C10DE5">
        <w:t xml:space="preserve">removed from the list. Where </w:t>
      </w:r>
      <w:r w:rsidR="00B96CA0" w:rsidRPr="00C10DE5">
        <w:t>competitions</w:t>
      </w:r>
      <w:r w:rsidR="00041711" w:rsidRPr="00C10DE5">
        <w:t xml:space="preserve"> remain </w:t>
      </w:r>
      <w:r w:rsidR="004E78AB" w:rsidRPr="00C10DE5">
        <w:t xml:space="preserve">on the list, </w:t>
      </w:r>
      <w:r w:rsidR="00041711" w:rsidRPr="00C10DE5">
        <w:t xml:space="preserve">but are reduced, </w:t>
      </w:r>
      <w:r w:rsidR="00B96CA0" w:rsidRPr="00C10DE5">
        <w:t>the possible parties that c</w:t>
      </w:r>
      <w:r w:rsidR="004E78AB" w:rsidRPr="00C10DE5">
        <w:t>ould</w:t>
      </w:r>
      <w:r w:rsidR="00B96CA0" w:rsidRPr="00C10DE5">
        <w:t xml:space="preserve"> acquire the right without restriction would be broadened.</w:t>
      </w:r>
    </w:p>
    <w:p w14:paraId="5EB90227" w14:textId="5951EDC1" w:rsidR="00CB0587" w:rsidRPr="00D04990" w:rsidRDefault="00D04990" w:rsidP="00403FEB">
      <w:pPr>
        <w:pStyle w:val="Introduction"/>
        <w:keepNext/>
        <w:keepLines/>
      </w:pPr>
      <w:r w:rsidRPr="00D04990">
        <w:t xml:space="preserve">Impact on </w:t>
      </w:r>
      <w:r w:rsidR="00CB0587" w:rsidRPr="00D04990">
        <w:t xml:space="preserve">consumers </w:t>
      </w:r>
    </w:p>
    <w:p w14:paraId="6C0C254F" w14:textId="77777777" w:rsidR="00377AE1" w:rsidRDefault="00377AE1" w:rsidP="00403FEB">
      <w:pPr>
        <w:keepNext/>
        <w:keepLines/>
        <w:spacing w:after="0"/>
      </w:pPr>
      <w:r>
        <w:t>For the relatively small number of events that would remain on the streamlined list, this option (in conjunction with the free-to-view model) would provide Australian audiences with a guarantee of live and in full coverage. Importantly, this guarantee would be in place regardless of whether the coverage was provided via a free-to-air broadcasting service, or via an online streaming service (or any other form of content service).</w:t>
      </w:r>
    </w:p>
    <w:p w14:paraId="290036AB" w14:textId="15815D16" w:rsidR="00377AE1" w:rsidRPr="001C4117" w:rsidRDefault="00377AE1" w:rsidP="00377AE1">
      <w:pPr>
        <w:spacing w:after="0"/>
      </w:pPr>
      <w:r>
        <w:t xml:space="preserve">However, there are differences between access and availability. The provision of coverage of events online does not, at present, mean that all Australians would necessarily have free access to this coverage. </w:t>
      </w:r>
      <w:r>
        <w:rPr>
          <w:color w:val="000000"/>
          <w:shd w:val="clear" w:color="auto" w:fill="FFFFFF"/>
        </w:rPr>
        <w:t xml:space="preserve">Variations in consumer take-up of broadband or mobile services, and the impact of factors such as indirect costs and service capabilities, mean that the objective of the scheme of </w:t>
      </w:r>
      <w:r w:rsidR="00DB11FA">
        <w:rPr>
          <w:color w:val="000000"/>
          <w:shd w:val="clear" w:color="auto" w:fill="FFFFFF"/>
        </w:rPr>
        <w:t xml:space="preserve">promoting </w:t>
      </w:r>
      <w:r>
        <w:rPr>
          <w:color w:val="000000"/>
          <w:shd w:val="clear" w:color="auto" w:fill="FFFFFF"/>
        </w:rPr>
        <w:t>free access to televised coverage of these events by all Australians may not be fully realised.</w:t>
      </w:r>
    </w:p>
    <w:p w14:paraId="083E186A" w14:textId="4C0EF137" w:rsidR="00377AE1" w:rsidRDefault="00377AE1" w:rsidP="00377AE1">
      <w:pPr>
        <w:spacing w:after="0"/>
      </w:pPr>
      <w:r>
        <w:t>The guarantee of live and in full coverage of these events is also likely to be little different to current consumer outcomes. While the current scheme (and the two alternative reform models proposed in this paper) do not contain mandatory coverage requirements, the high profile and iconic events proposed for inclusion on the streamlined list have historically received live and in full coverage via free-to-air television services. This is unlikely to change over the near- to medium-term, given this high profile and popularity of these events.</w:t>
      </w:r>
    </w:p>
    <w:p w14:paraId="513B4943" w14:textId="77777777" w:rsidR="00377AE1" w:rsidRDefault="00377AE1" w:rsidP="00377AE1">
      <w:pPr>
        <w:spacing w:after="0"/>
      </w:pPr>
      <w:r>
        <w:t>For the range of events effectively removed from the list under the streamlined list option – around 1,600 events – there is a risk that these events will not receive live, in full and free coverage. The anti</w:t>
      </w:r>
      <w:r>
        <w:noBreakHyphen/>
        <w:t>siphoning scheme would have no application to these events, and content service providers – including traditional subscription television broadcasting services and newer, subscription-based streaming services – could opt to provide coverage of these events on subscription-based platforms. They could also opt to provide partial coverage of these events.</w:t>
      </w:r>
    </w:p>
    <w:p w14:paraId="03BAB97A" w14:textId="3007593E" w:rsidR="00BE6FD4" w:rsidRDefault="00377AE1" w:rsidP="00377AE1">
      <w:pPr>
        <w:spacing w:after="0"/>
      </w:pPr>
      <w:r>
        <w:t xml:space="preserve">This outcome is by no means certain. Content service providers (including broadcasters) may continue to seek to acquire rights </w:t>
      </w:r>
      <w:r w:rsidR="00044459">
        <w:t xml:space="preserve">of events removed from removed from the list </w:t>
      </w:r>
      <w:r>
        <w:t xml:space="preserve">and provide coverage of these events live and in full and on ‘free’ platforms. However, under the streamlined list option, there is an increased risk of these events being siphoned to paywalled services. Whether this is an acceptable risk ultimately depends on the importance of providing free access to coverage of these approximately </w:t>
      </w:r>
      <w:r w:rsidRPr="00AD45FC">
        <w:t>1,</w:t>
      </w:r>
      <w:r>
        <w:t>600 events.</w:t>
      </w:r>
    </w:p>
    <w:p w14:paraId="53B9A88B" w14:textId="67B737C4" w:rsidR="00F70A32" w:rsidRPr="00CC3F17" w:rsidRDefault="00F70A32" w:rsidP="00D04990">
      <w:pPr>
        <w:pStyle w:val="Introduction"/>
        <w:rPr>
          <w:b/>
        </w:rPr>
      </w:pPr>
      <w:r w:rsidRPr="00F70A32">
        <w:t>Impact</w:t>
      </w:r>
      <w:r w:rsidR="00341688">
        <w:rPr>
          <w:lang w:val="en-AU"/>
        </w:rPr>
        <w:t xml:space="preserve"> </w:t>
      </w:r>
      <w:r w:rsidRPr="00F70A32">
        <w:t xml:space="preserve">on </w:t>
      </w:r>
      <w:r w:rsidR="00134C2F" w:rsidRPr="00F70A32">
        <w:t>government</w:t>
      </w:r>
    </w:p>
    <w:p w14:paraId="7FF825E9" w14:textId="287EC5AB" w:rsidR="00350FBE" w:rsidRDefault="00350FBE" w:rsidP="00350FBE">
      <w:pPr>
        <w:tabs>
          <w:tab w:val="left" w:pos="7905"/>
        </w:tabs>
        <w:spacing w:before="120" w:after="120"/>
        <w:rPr>
          <w:rFonts w:cstheme="minorHAnsi"/>
          <w:lang w:val="en-US"/>
        </w:rPr>
      </w:pPr>
      <w:r>
        <w:rPr>
          <w:rFonts w:cstheme="minorHAnsi"/>
        </w:rPr>
        <w:t xml:space="preserve">Assuming the streamlined list is implemented in conjunction with the free-to-view model (Model 1), this </w:t>
      </w:r>
      <w:r>
        <w:rPr>
          <w:rFonts w:cstheme="minorHAnsi"/>
          <w:lang w:val="en-US"/>
        </w:rPr>
        <w:t>is expected to have a moderate budgetary impact on the ACMA, who would be required to oversee and administer a complex framework to give effect to the coverage and availability requirements.</w:t>
      </w:r>
    </w:p>
    <w:p w14:paraId="7FB98C92" w14:textId="3D7C5419" w:rsidR="00F82BAA" w:rsidRPr="00B6200D" w:rsidRDefault="00F82BAA" w:rsidP="00D04990">
      <w:pPr>
        <w:pStyle w:val="Introduction"/>
      </w:pPr>
      <w:r>
        <w:t>Overall assessment</w:t>
      </w:r>
    </w:p>
    <w:bookmarkEnd w:id="156"/>
    <w:bookmarkEnd w:id="157"/>
    <w:p w14:paraId="603F9965" w14:textId="79E7AA60" w:rsidR="003A3DBD" w:rsidRDefault="003A3DBD" w:rsidP="002E6998">
      <w:pPr>
        <w:pStyle w:val="ListParagraph"/>
        <w:tabs>
          <w:tab w:val="left" w:pos="567"/>
        </w:tabs>
        <w:spacing w:after="0"/>
        <w:ind w:left="0"/>
        <w:contextualSpacing w:val="0"/>
      </w:pPr>
      <w:r w:rsidRPr="00A65AF9">
        <w:t>Th</w:t>
      </w:r>
      <w:r>
        <w:t xml:space="preserve">e streamlined list would significantly pare back the reach and scope of the anti-siphoning scheme. It is also the only list option of those considered in this IA that is </w:t>
      </w:r>
      <w:r w:rsidR="0095132D">
        <w:t xml:space="preserve">likely to be </w:t>
      </w:r>
      <w:r w:rsidR="0099187A">
        <w:t xml:space="preserve">compatible with the free-to-view model. </w:t>
      </w:r>
      <w:r w:rsidR="00950897">
        <w:t>The reduction in events would benefit subscription television broadcasting licensees</w:t>
      </w:r>
      <w:r>
        <w:t xml:space="preserve"> and would be detrimental to</w:t>
      </w:r>
      <w:r w:rsidR="000C24D5">
        <w:t xml:space="preserve"> free</w:t>
      </w:r>
      <w:r w:rsidR="000C24D5">
        <w:noBreakHyphen/>
        <w:t>to</w:t>
      </w:r>
      <w:r w:rsidR="000C24D5">
        <w:noBreakHyphen/>
        <w:t>air broadcasters</w:t>
      </w:r>
      <w:r>
        <w:t>. However, key impacts associated with this list option (when coupled with the free-to-view model)</w:t>
      </w:r>
      <w:r w:rsidR="005F0892">
        <w:t xml:space="preserve"> also arise </w:t>
      </w:r>
      <w:r>
        <w:t xml:space="preserve">for consumers. </w:t>
      </w:r>
    </w:p>
    <w:p w14:paraId="365EBE6E" w14:textId="207AB8B6" w:rsidR="003A3DBD" w:rsidRDefault="003A3DBD" w:rsidP="003A3DBD">
      <w:pPr>
        <w:pStyle w:val="ListParagraph"/>
        <w:tabs>
          <w:tab w:val="left" w:pos="567"/>
        </w:tabs>
        <w:spacing w:after="0"/>
        <w:ind w:left="0"/>
        <w:contextualSpacing w:val="0"/>
      </w:pPr>
      <w:r>
        <w:t>For the approximately 330 events that remain on the list, the outcome for consumers is likely to be little different from current arrangements, given the high profile of these particular events. However, for the range of events effectively removed from the list under the streamlined list option – around 1,600 events – there is a risk that these events will not receive live, in full and free coverage. The anti</w:t>
      </w:r>
      <w:r>
        <w:noBreakHyphen/>
        <w:t>siphoning scheme would have no application to these events, and content service providers – including traditional subscription television broadcasting services and newer, subscription-based streaming services – could opt to provide coverage of these events on subscription-based platforms. They could also opt to provide partial coverage of these events.</w:t>
      </w:r>
    </w:p>
    <w:p w14:paraId="370E2EB1" w14:textId="30E4F832" w:rsidR="0009719A" w:rsidRPr="009B3A80" w:rsidRDefault="0009719A" w:rsidP="009C7379">
      <w:pPr>
        <w:pStyle w:val="Heading3"/>
      </w:pPr>
      <w:bookmarkStart w:id="158" w:name="_Toc150883285"/>
      <w:bookmarkStart w:id="159" w:name="_Toc151053067"/>
      <w:r w:rsidRPr="009B3A80">
        <w:t>Option 2: ‘</w:t>
      </w:r>
      <w:r w:rsidR="003A3DBD">
        <w:t>m</w:t>
      </w:r>
      <w:r w:rsidRPr="009B3A80">
        <w:t xml:space="preserve">odernised </w:t>
      </w:r>
      <w:r w:rsidR="00341688">
        <w:t>l</w:t>
      </w:r>
      <w:r w:rsidRPr="009B3A80">
        <w:t>ist’</w:t>
      </w:r>
      <w:bookmarkEnd w:id="158"/>
      <w:bookmarkEnd w:id="159"/>
    </w:p>
    <w:p w14:paraId="5F9D2FC5" w14:textId="27C81A1A" w:rsidR="00FE2BBA" w:rsidRPr="009B3A80" w:rsidRDefault="00FE2BBA" w:rsidP="009C7379">
      <w:pPr>
        <w:pStyle w:val="Introduction"/>
      </w:pPr>
      <w:r>
        <w:t>Impact</w:t>
      </w:r>
      <w:r>
        <w:rPr>
          <w:lang w:val="en-AU"/>
        </w:rPr>
        <w:t xml:space="preserve"> </w:t>
      </w:r>
      <w:r>
        <w:t>on industry</w:t>
      </w:r>
    </w:p>
    <w:p w14:paraId="63F229A1" w14:textId="63233AFA" w:rsidR="00B43D82" w:rsidRPr="00D61250" w:rsidRDefault="009C7379" w:rsidP="00D61250">
      <w:pPr>
        <w:spacing w:after="0"/>
        <w:rPr>
          <w:b/>
        </w:rPr>
      </w:pPr>
      <w:r w:rsidRPr="00D61250">
        <w:rPr>
          <w:b/>
        </w:rPr>
        <w:t>F</w:t>
      </w:r>
      <w:r w:rsidR="00E17281" w:rsidRPr="00D61250">
        <w:rPr>
          <w:b/>
        </w:rPr>
        <w:t>ree-to-air broadcasters</w:t>
      </w:r>
    </w:p>
    <w:p w14:paraId="74124AC9" w14:textId="47802ED1" w:rsidR="00337BB1" w:rsidRDefault="00337BB1" w:rsidP="00341688">
      <w:r>
        <w:t xml:space="preserve">By increasing the number of events regulated under the scheme by approximately 30 per cent (from around 1,900 events to around 2,500 events), the modernised list would </w:t>
      </w:r>
      <w:r w:rsidR="00421C5B">
        <w:t xml:space="preserve">afford free-to-air broadcasters preferential treatment in terms of the </w:t>
      </w:r>
      <w:r w:rsidR="00146439">
        <w:t xml:space="preserve">acquisition of rights to these events (assuming that the modernised list is coupled with either Models 2, 3 or 4). The should </w:t>
      </w:r>
      <w:r>
        <w:t>provide f</w:t>
      </w:r>
      <w:r w:rsidR="009C214B">
        <w:t>ree-to-air broadcasters</w:t>
      </w:r>
      <w:r>
        <w:t xml:space="preserve"> with a </w:t>
      </w:r>
      <w:r w:rsidR="00D229F6" w:rsidRPr="004661AA">
        <w:t xml:space="preserve">moderate </w:t>
      </w:r>
      <w:r w:rsidRPr="004661AA">
        <w:t>benefit</w:t>
      </w:r>
      <w:r w:rsidR="00D229F6" w:rsidRPr="004661AA">
        <w:t xml:space="preserve">, noting that more than 500 of these </w:t>
      </w:r>
      <w:r w:rsidR="00D84FCE">
        <w:t xml:space="preserve">additional </w:t>
      </w:r>
      <w:r w:rsidR="00D229F6" w:rsidRPr="004661AA">
        <w:t>events are part of the Summer Paralympics</w:t>
      </w:r>
      <w:r w:rsidRPr="004661AA">
        <w:t>.</w:t>
      </w:r>
      <w:r>
        <w:t xml:space="preserve"> </w:t>
      </w:r>
    </w:p>
    <w:p w14:paraId="5520448D" w14:textId="3A07692E" w:rsidR="00871503" w:rsidRPr="00D61250" w:rsidRDefault="009C7379" w:rsidP="00D61250">
      <w:pPr>
        <w:spacing w:after="0"/>
        <w:rPr>
          <w:b/>
        </w:rPr>
      </w:pPr>
      <w:r w:rsidRPr="00D61250">
        <w:rPr>
          <w:b/>
        </w:rPr>
        <w:t>S</w:t>
      </w:r>
      <w:r w:rsidR="00871503" w:rsidRPr="00D61250">
        <w:rPr>
          <w:b/>
        </w:rPr>
        <w:t xml:space="preserve">ubscription television and </w:t>
      </w:r>
      <w:r w:rsidR="00B1528D" w:rsidRPr="00D61250">
        <w:rPr>
          <w:b/>
        </w:rPr>
        <w:t>s</w:t>
      </w:r>
      <w:r w:rsidR="00871503" w:rsidRPr="00D61250">
        <w:rPr>
          <w:b/>
        </w:rPr>
        <w:t>treaming services</w:t>
      </w:r>
    </w:p>
    <w:p w14:paraId="7EA3D3E3" w14:textId="6C24335C" w:rsidR="00B43D82" w:rsidRDefault="00146439" w:rsidP="00341688">
      <w:r>
        <w:t xml:space="preserve">By expanding the list – compared with the current </w:t>
      </w:r>
      <w:r w:rsidR="00D84FCE">
        <w:t>list</w:t>
      </w:r>
      <w:r w:rsidR="00D84FCE" w:rsidRPr="004661AA">
        <w:t xml:space="preserve"> </w:t>
      </w:r>
      <w:r>
        <w:t>– s</w:t>
      </w:r>
      <w:r w:rsidR="00B43D82">
        <w:t>ubscription television broadcasting licensees would face additional restrictions on their ability to purchase and monetise the additional events proposed to be included on the modernised list (until the events are delisted).</w:t>
      </w:r>
      <w:r w:rsidR="00D229F6">
        <w:t xml:space="preserve"> </w:t>
      </w:r>
      <w:r w:rsidR="00D229F6" w:rsidRPr="004661AA">
        <w:t xml:space="preserve">However, the impact </w:t>
      </w:r>
      <w:r w:rsidR="004E78AB" w:rsidRPr="004661AA">
        <w:t>would</w:t>
      </w:r>
      <w:r w:rsidR="00D229F6" w:rsidRPr="004661AA">
        <w:t xml:space="preserve"> vary</w:t>
      </w:r>
      <w:r w:rsidR="004E78AB" w:rsidRPr="004661AA">
        <w:t>,</w:t>
      </w:r>
      <w:r w:rsidR="00D229F6" w:rsidRPr="004661AA">
        <w:t xml:space="preserve"> given that the rights for these events are secured </w:t>
      </w:r>
      <w:r w:rsidR="004E78AB" w:rsidRPr="004661AA">
        <w:t xml:space="preserve">for the medium term (for example, the </w:t>
      </w:r>
      <w:r w:rsidR="00D229F6" w:rsidRPr="004661AA">
        <w:t xml:space="preserve">AFLW rights </w:t>
      </w:r>
      <w:r w:rsidR="004E78AB" w:rsidRPr="004661AA">
        <w:t>are settled through until</w:t>
      </w:r>
      <w:r w:rsidR="00D229F6" w:rsidRPr="004661AA">
        <w:t xml:space="preserve"> 2031</w:t>
      </w:r>
      <w:r w:rsidR="004E78AB" w:rsidRPr="004661AA">
        <w:t>)</w:t>
      </w:r>
      <w:r w:rsidR="00D229F6" w:rsidRPr="004661AA">
        <w:t>.</w:t>
      </w:r>
      <w:r w:rsidR="00D229F6">
        <w:t xml:space="preserve"> </w:t>
      </w:r>
    </w:p>
    <w:p w14:paraId="797F6BEC" w14:textId="77777777" w:rsidR="00146439" w:rsidRDefault="00146439" w:rsidP="00341688">
      <w:r>
        <w:t xml:space="preserve">Under Models 2 and 3, </w:t>
      </w:r>
      <w:r w:rsidR="00B43D82">
        <w:t>streaming and other content services would be brought into the scheme for the first time</w:t>
      </w:r>
      <w:r>
        <w:t xml:space="preserve">. These entities would face the same restrictions on the acquisition of right to listed event as subscription broadcasters under this scenario. In other words, they would lose the opportunity to secure the rights to event that were (in terms of their own operations) previously unrestricted. </w:t>
      </w:r>
    </w:p>
    <w:p w14:paraId="65842464" w14:textId="34CEBA1F" w:rsidR="00E17281" w:rsidRPr="00D61250" w:rsidRDefault="009C7379" w:rsidP="00D61250">
      <w:pPr>
        <w:spacing w:after="0"/>
        <w:rPr>
          <w:b/>
        </w:rPr>
      </w:pPr>
      <w:r w:rsidRPr="00D61250">
        <w:rPr>
          <w:b/>
        </w:rPr>
        <w:t>S</w:t>
      </w:r>
      <w:r w:rsidR="00E17281" w:rsidRPr="00D61250">
        <w:rPr>
          <w:b/>
        </w:rPr>
        <w:t>porting bodies</w:t>
      </w:r>
    </w:p>
    <w:p w14:paraId="4AAFBC24" w14:textId="25EEA3B5" w:rsidR="00146439" w:rsidRDefault="004B1AC2" w:rsidP="00341688">
      <w:r>
        <w:t xml:space="preserve">The additions to the list </w:t>
      </w:r>
      <w:r w:rsidR="00146439">
        <w:t xml:space="preserve">under this option would negatively affect the relevant sporting bodies, as they would be restricted in terms of the allocation of the rights to these additional events. </w:t>
      </w:r>
      <w:r w:rsidR="00FE2BBA">
        <w:t>These bodies w</w:t>
      </w:r>
      <w:r w:rsidR="00146439">
        <w:t xml:space="preserve">ould effectively be required to allocate rights to free-to-air broadcasters before allocating rights to other parties. </w:t>
      </w:r>
      <w:r w:rsidR="00D229F6" w:rsidRPr="004661AA">
        <w:t>However, as noted above, rights deals are typically negotiated and settled with all forms of media provider.</w:t>
      </w:r>
      <w:r w:rsidR="00D229F6">
        <w:t xml:space="preserve"> </w:t>
      </w:r>
    </w:p>
    <w:p w14:paraId="386A4136" w14:textId="429E194F" w:rsidR="00E17281" w:rsidRPr="00483B39" w:rsidRDefault="00E17281" w:rsidP="00341688">
      <w:pPr>
        <w:pStyle w:val="Introduction"/>
        <w:spacing w:before="160" w:after="80"/>
      </w:pPr>
      <w:r w:rsidRPr="00483B39">
        <w:t xml:space="preserve">Impact on Australian consumers </w:t>
      </w:r>
    </w:p>
    <w:p w14:paraId="5F548F21" w14:textId="52BDCA08" w:rsidR="00E17281" w:rsidRDefault="00C03A85" w:rsidP="00341688">
      <w:r>
        <w:t>T</w:t>
      </w:r>
      <w:r w:rsidRPr="00354F65">
        <w:t>he modernised list would constitute an increase of around 30 per cent compared with the current list, from approximately 1,9</w:t>
      </w:r>
      <w:r w:rsidR="00F0610F">
        <w:t>0</w:t>
      </w:r>
      <w:r w:rsidRPr="00354F65">
        <w:t>0 events to approximately 2,500 events.</w:t>
      </w:r>
      <w:r w:rsidRPr="00354F65">
        <w:rPr>
          <w:rStyle w:val="FootnoteReference"/>
        </w:rPr>
        <w:t xml:space="preserve"> </w:t>
      </w:r>
      <w:r w:rsidR="00E17281" w:rsidRPr="00A8114F">
        <w:t xml:space="preserve">This </w:t>
      </w:r>
      <w:r w:rsidR="00187204">
        <w:t>increase</w:t>
      </w:r>
      <w:r w:rsidR="00E17281">
        <w:t xml:space="preserve"> in events </w:t>
      </w:r>
      <w:r w:rsidR="003113A4">
        <w:t>in</w:t>
      </w:r>
      <w:r w:rsidR="00E17281">
        <w:t xml:space="preserve"> the </w:t>
      </w:r>
      <w:r w:rsidR="00187204">
        <w:t>modernised</w:t>
      </w:r>
      <w:r w:rsidR="00E17281">
        <w:t xml:space="preserve"> list</w:t>
      </w:r>
      <w:r w:rsidR="00E17281" w:rsidRPr="00A8114F">
        <w:t xml:space="preserve"> </w:t>
      </w:r>
      <w:r w:rsidR="00E17281">
        <w:t xml:space="preserve">could </w:t>
      </w:r>
      <w:r w:rsidR="00FE1302">
        <w:t>help support</w:t>
      </w:r>
      <w:r w:rsidR="00E17281">
        <w:t xml:space="preserve"> the ability of Australians to view </w:t>
      </w:r>
      <w:r w:rsidR="00FE1302">
        <w:t xml:space="preserve">those </w:t>
      </w:r>
      <w:r w:rsidR="00E17281">
        <w:t>sporting</w:t>
      </w:r>
      <w:r w:rsidR="00FE1302">
        <w:t xml:space="preserve"> events (by restricting the ability of parties other than free</w:t>
      </w:r>
      <w:r w:rsidR="00FE1302">
        <w:noBreakHyphen/>
        <w:t>to</w:t>
      </w:r>
      <w:r w:rsidR="00FE1302">
        <w:noBreakHyphen/>
        <w:t>air broadcasters to buy those events)</w:t>
      </w:r>
      <w:r w:rsidR="00E17281">
        <w:t xml:space="preserve">. Without being listed, any party would be able to acquire the rights </w:t>
      </w:r>
      <w:r w:rsidR="00495D7F">
        <w:t>to</w:t>
      </w:r>
      <w:r w:rsidR="00E17281">
        <w:t xml:space="preserve"> an event at any time and place them behind a paywall. </w:t>
      </w:r>
    </w:p>
    <w:p w14:paraId="0AB4AF09" w14:textId="7D0EE68A" w:rsidR="001B0967" w:rsidRPr="004661AA" w:rsidRDefault="001B0967" w:rsidP="001B0967">
      <w:pPr>
        <w:rPr>
          <w:color w:val="auto"/>
        </w:rPr>
      </w:pPr>
      <w:r w:rsidRPr="004661AA">
        <w:t xml:space="preserve">Currently, the entire men’s AFL and NRL </w:t>
      </w:r>
      <w:r w:rsidR="004E78AB" w:rsidRPr="004661AA">
        <w:t>P</w:t>
      </w:r>
      <w:r w:rsidRPr="004661AA">
        <w:t xml:space="preserve">remierships are included on the list, but there are no </w:t>
      </w:r>
      <w:r w:rsidRPr="004661AA">
        <w:rPr>
          <w:color w:val="auto"/>
        </w:rPr>
        <w:t>AFLW Premiership or NRLW matches included on the list. Similarly, the rugby State of Origin is on the list, but its women’s counterpart is not. This does not reflect the growing role of women’s sport in Australian society.</w:t>
      </w:r>
    </w:p>
    <w:p w14:paraId="618D5B13" w14:textId="711D6BEF" w:rsidR="001B0967" w:rsidRDefault="001B0967" w:rsidP="001B0967">
      <w:bookmarkStart w:id="160" w:name="_Hlk149156906"/>
      <w:bookmarkStart w:id="161" w:name="_Hlk150764569"/>
      <w:r w:rsidRPr="004661AA">
        <w:t xml:space="preserve">Being on the list supports free availability of the listed Australian sports. </w:t>
      </w:r>
      <w:bookmarkEnd w:id="160"/>
      <w:r w:rsidRPr="004661AA">
        <w:t>This is particularly significant for women and girls given the ‘you can’t be what you can’t see’ effect. Research commissioned by Fox Sports in 2022 found that two</w:t>
      </w:r>
      <w:r w:rsidRPr="004661AA">
        <w:noBreakHyphen/>
        <w:t>in</w:t>
      </w:r>
      <w:r w:rsidRPr="004661AA">
        <w:noBreakHyphen/>
        <w:t>five adult viewers of women’s sport say they have been inspired or considered playing the sport themselves after watching on television.</w:t>
      </w:r>
      <w:r w:rsidRPr="004661AA">
        <w:rPr>
          <w:rStyle w:val="FootnoteReference"/>
        </w:rPr>
        <w:footnoteReference w:id="129"/>
      </w:r>
      <w:r w:rsidRPr="004661AA">
        <w:t xml:space="preserve"> </w:t>
      </w:r>
    </w:p>
    <w:bookmarkEnd w:id="161"/>
    <w:p w14:paraId="48F490CC" w14:textId="0D5544EF" w:rsidR="00C03A85" w:rsidRDefault="00C03A85" w:rsidP="00341688">
      <w:r>
        <w:t xml:space="preserve">While it is not </w:t>
      </w:r>
      <w:r w:rsidR="003113A4">
        <w:t>guaranteed</w:t>
      </w:r>
      <w:r>
        <w:t xml:space="preserve"> that free-to-air broadcasters would seek to acquire the relevant rights to these additional events, recent rights deals suggest that these broadcasters have a strong interest in providing coverage of these events.</w:t>
      </w:r>
    </w:p>
    <w:p w14:paraId="6963BCFF" w14:textId="77777777" w:rsidR="00C03A85" w:rsidRPr="00984E60" w:rsidRDefault="00C03A85" w:rsidP="00341688">
      <w:pPr>
        <w:pStyle w:val="ListParagraph"/>
        <w:numPr>
          <w:ilvl w:val="0"/>
          <w:numId w:val="23"/>
        </w:numPr>
        <w:suppressAutoHyphens w:val="0"/>
        <w:contextualSpacing w:val="0"/>
      </w:pPr>
      <w:r>
        <w:t xml:space="preserve">The 2024 Paris </w:t>
      </w:r>
      <w:r w:rsidRPr="00984E60">
        <w:t>Paralympic Games</w:t>
      </w:r>
      <w:r>
        <w:t xml:space="preserve"> are to be televised by</w:t>
      </w:r>
      <w:r w:rsidRPr="00984E60">
        <w:t xml:space="preserve"> </w:t>
      </w:r>
      <w:r>
        <w:t xml:space="preserve">Nine Entertainment </w:t>
      </w:r>
      <w:r w:rsidRPr="00984E60">
        <w:t>across the Nine Network, 9Now and Stan.</w:t>
      </w:r>
      <w:r w:rsidRPr="00984E60">
        <w:rPr>
          <w:rStyle w:val="FootnoteReference"/>
        </w:rPr>
        <w:footnoteReference w:id="130"/>
      </w:r>
    </w:p>
    <w:p w14:paraId="32566924" w14:textId="50F61E35" w:rsidR="00C03A85" w:rsidRPr="00984E60" w:rsidRDefault="00C03A85" w:rsidP="00341688">
      <w:pPr>
        <w:pStyle w:val="ListParagraph"/>
        <w:numPr>
          <w:ilvl w:val="0"/>
          <w:numId w:val="23"/>
        </w:numPr>
        <w:suppressAutoHyphens w:val="0"/>
        <w:contextualSpacing w:val="0"/>
      </w:pPr>
      <w:r>
        <w:t xml:space="preserve">At least 30 </w:t>
      </w:r>
      <w:r w:rsidR="0025598E">
        <w:t xml:space="preserve">AFLW </w:t>
      </w:r>
      <w:r w:rsidRPr="00984E60">
        <w:t>Premiership</w:t>
      </w:r>
      <w:r>
        <w:t xml:space="preserve"> home-and-away matches, the finals series and the Grand Final will be televised on the Seven Network and 7plus under the recently agreed 2025-31 rights agreement.</w:t>
      </w:r>
      <w:r>
        <w:rPr>
          <w:rStyle w:val="FootnoteReference"/>
        </w:rPr>
        <w:footnoteReference w:id="131"/>
      </w:r>
    </w:p>
    <w:p w14:paraId="380C5023" w14:textId="32D7F0BF" w:rsidR="00C03A85" w:rsidRDefault="00C03A85" w:rsidP="00341688">
      <w:pPr>
        <w:pStyle w:val="ListParagraph"/>
        <w:numPr>
          <w:ilvl w:val="0"/>
          <w:numId w:val="23"/>
        </w:numPr>
        <w:suppressAutoHyphens w:val="0"/>
        <w:contextualSpacing w:val="0"/>
      </w:pPr>
      <w:r>
        <w:t xml:space="preserve">For the 2023 </w:t>
      </w:r>
      <w:r w:rsidR="00D72D36">
        <w:t xml:space="preserve">and 2024 </w:t>
      </w:r>
      <w:r>
        <w:t>season</w:t>
      </w:r>
      <w:r w:rsidR="00D72D36">
        <w:t>s</w:t>
      </w:r>
      <w:r>
        <w:t xml:space="preserve">, all matches in </w:t>
      </w:r>
      <w:r w:rsidR="0025598E">
        <w:t>NRLW</w:t>
      </w:r>
      <w:r w:rsidRPr="001A4E3C">
        <w:t xml:space="preserve"> Premiership</w:t>
      </w:r>
      <w:r>
        <w:t xml:space="preserve"> and the </w:t>
      </w:r>
      <w:r w:rsidRPr="001A4E3C">
        <w:t>NRL</w:t>
      </w:r>
      <w:r w:rsidR="0025598E">
        <w:t>W</w:t>
      </w:r>
      <w:r w:rsidRPr="001A4E3C">
        <w:t xml:space="preserve"> State of Origin</w:t>
      </w:r>
      <w:r>
        <w:t xml:space="preserve"> are being broadcast live on the Nine Network and 9Now.</w:t>
      </w:r>
      <w:r>
        <w:rPr>
          <w:rStyle w:val="FootnoteReference"/>
        </w:rPr>
        <w:footnoteReference w:id="132"/>
      </w:r>
    </w:p>
    <w:p w14:paraId="213B8B7B" w14:textId="01E27186" w:rsidR="00D72D36" w:rsidRDefault="00D72D36" w:rsidP="00341688">
      <w:pPr>
        <w:pStyle w:val="ListParagraph"/>
        <w:numPr>
          <w:ilvl w:val="0"/>
          <w:numId w:val="23"/>
        </w:numPr>
        <w:suppressAutoHyphens w:val="0"/>
        <w:contextualSpacing w:val="0"/>
      </w:pPr>
      <w:r w:rsidRPr="001A4E3C">
        <w:t>NRL</w:t>
      </w:r>
      <w:r>
        <w:t>W</w:t>
      </w:r>
      <w:r w:rsidRPr="001A4E3C">
        <w:t xml:space="preserve"> State of Origin</w:t>
      </w:r>
      <w:r>
        <w:t xml:space="preserve"> series will </w:t>
      </w:r>
      <w:r w:rsidRPr="00D72D36">
        <w:t xml:space="preserve">on the </w:t>
      </w:r>
      <w:r>
        <w:t xml:space="preserve">Nine </w:t>
      </w:r>
      <w:r w:rsidRPr="00D72D36">
        <w:t>Network until 2027</w:t>
      </w:r>
      <w:r>
        <w:rPr>
          <w:rStyle w:val="FootnoteReference"/>
        </w:rPr>
        <w:footnoteReference w:id="133"/>
      </w:r>
    </w:p>
    <w:p w14:paraId="74C47461" w14:textId="204C9DA7" w:rsidR="00D7404B" w:rsidRDefault="00734A0E" w:rsidP="00D7404B">
      <w:r>
        <w:t xml:space="preserve">Each </w:t>
      </w:r>
      <w:r w:rsidR="003113A4">
        <w:t xml:space="preserve">of the </w:t>
      </w:r>
      <w:r>
        <w:t>proposed additio</w:t>
      </w:r>
      <w:r w:rsidR="003113A4">
        <w:t>ns to the list</w:t>
      </w:r>
      <w:r>
        <w:t xml:space="preserve"> is considered below.</w:t>
      </w:r>
    </w:p>
    <w:tbl>
      <w:tblPr>
        <w:tblStyle w:val="TableGrid"/>
        <w:tblW w:w="0" w:type="auto"/>
        <w:tblLook w:val="04A0" w:firstRow="1" w:lastRow="0" w:firstColumn="1" w:lastColumn="0" w:noHBand="0" w:noVBand="1"/>
      </w:tblPr>
      <w:tblGrid>
        <w:gridCol w:w="2122"/>
        <w:gridCol w:w="7732"/>
      </w:tblGrid>
      <w:tr w:rsidR="00C03A85" w14:paraId="324E8C9A" w14:textId="77777777" w:rsidTr="00B844DC">
        <w:tc>
          <w:tcPr>
            <w:tcW w:w="2122" w:type="dxa"/>
            <w:shd w:val="clear" w:color="auto" w:fill="D7E5FA" w:themeFill="text2" w:themeFillTint="1A"/>
          </w:tcPr>
          <w:p w14:paraId="0A06CBB4" w14:textId="04BF15D2" w:rsidR="00C03A85" w:rsidRPr="00B844DC" w:rsidRDefault="00C03A85" w:rsidP="00341688">
            <w:pPr>
              <w:spacing w:before="120" w:after="120"/>
              <w:rPr>
                <w:b/>
              </w:rPr>
            </w:pPr>
            <w:r w:rsidRPr="00B844DC">
              <w:rPr>
                <w:b/>
              </w:rPr>
              <w:t xml:space="preserve">Proposed </w:t>
            </w:r>
            <w:r w:rsidR="00341688">
              <w:rPr>
                <w:b/>
              </w:rPr>
              <w:t>a</w:t>
            </w:r>
            <w:r w:rsidRPr="00B844DC">
              <w:rPr>
                <w:b/>
              </w:rPr>
              <w:t>ddition</w:t>
            </w:r>
          </w:p>
        </w:tc>
        <w:tc>
          <w:tcPr>
            <w:tcW w:w="7732" w:type="dxa"/>
          </w:tcPr>
          <w:p w14:paraId="41C15E61" w14:textId="5E05C158" w:rsidR="00C03A85" w:rsidRDefault="00C03A85" w:rsidP="00341688">
            <w:pPr>
              <w:spacing w:before="120" w:after="120"/>
            </w:pPr>
            <w:r w:rsidRPr="00B60128">
              <w:rPr>
                <w:rFonts w:cstheme="minorHAnsi"/>
              </w:rPr>
              <w:t>All events held as part of the Summer Paralympic Games</w:t>
            </w:r>
          </w:p>
        </w:tc>
      </w:tr>
    </w:tbl>
    <w:p w14:paraId="2B847E51" w14:textId="77777777" w:rsidR="00C03A85" w:rsidRDefault="00C03A85" w:rsidP="00341688">
      <w:r>
        <w:t>Over the past two decades the Paralympics have grown significantly in terms of events and media coverage.</w:t>
      </w:r>
    </w:p>
    <w:p w14:paraId="14EEAB37" w14:textId="41D07E00" w:rsidR="00C03A85" w:rsidRDefault="00C03A85" w:rsidP="00341688">
      <w:pPr>
        <w:pStyle w:val="ListParagraph"/>
        <w:numPr>
          <w:ilvl w:val="0"/>
          <w:numId w:val="26"/>
        </w:numPr>
        <w:suppressAutoHyphens w:val="0"/>
        <w:contextualSpacing w:val="0"/>
      </w:pPr>
      <w:bookmarkStart w:id="162" w:name="_Hlk150860912"/>
      <w:r>
        <w:t xml:space="preserve">In 2021, the Australian audiences for the </w:t>
      </w:r>
      <w:r w:rsidR="00E67901">
        <w:t xml:space="preserve">2020 </w:t>
      </w:r>
      <w:r w:rsidRPr="00AB786E">
        <w:t>Tokyo Summer Paralympics</w:t>
      </w:r>
      <w:r>
        <w:t xml:space="preserve"> were significant</w:t>
      </w:r>
      <w:r w:rsidR="005F0892">
        <w:t>.</w:t>
      </w:r>
      <w:r w:rsidR="00E67901">
        <w:rPr>
          <w:rStyle w:val="FootnoteReference"/>
        </w:rPr>
        <w:footnoteReference w:id="134"/>
      </w:r>
      <w:r w:rsidR="005F0892">
        <w:t xml:space="preserve"> </w:t>
      </w:r>
      <w:r>
        <w:t xml:space="preserve">The Opening Ceremony attracted an average national audience of </w:t>
      </w:r>
      <w:r w:rsidR="00987657" w:rsidRPr="004661AA">
        <w:t>667,000, across the Seven N</w:t>
      </w:r>
      <w:r w:rsidR="00141AB3" w:rsidRPr="004661AA">
        <w:t>etwork</w:t>
      </w:r>
      <w:r w:rsidR="005F0892">
        <w:t>.</w:t>
      </w:r>
      <w:r w:rsidR="00141AB3" w:rsidRPr="004661AA">
        <w:rPr>
          <w:rStyle w:val="FootnoteReference"/>
        </w:rPr>
        <w:footnoteReference w:id="135"/>
      </w:r>
      <w:r w:rsidR="00141AB3">
        <w:t xml:space="preserve"> </w:t>
      </w:r>
    </w:p>
    <w:p w14:paraId="232B22E4" w14:textId="5D676DC5" w:rsidR="00C03A85" w:rsidRPr="00912FC1" w:rsidRDefault="00C03A85" w:rsidP="00341688">
      <w:pPr>
        <w:pStyle w:val="ListParagraph"/>
        <w:numPr>
          <w:ilvl w:val="0"/>
          <w:numId w:val="26"/>
        </w:numPr>
        <w:suppressAutoHyphens w:val="0"/>
        <w:contextualSpacing w:val="0"/>
      </w:pPr>
      <w:r w:rsidRPr="004661AA">
        <w:t xml:space="preserve">The </w:t>
      </w:r>
      <w:r w:rsidR="00A51535" w:rsidRPr="004661AA">
        <w:t>five-city average</w:t>
      </w:r>
      <w:r w:rsidRPr="004661AA">
        <w:t xml:space="preserve"> primetime free-to-air audience for the Tokyo Summer Paralympics was </w:t>
      </w:r>
      <w:r w:rsidR="000C4B43">
        <w:t xml:space="preserve">242,000 </w:t>
      </w:r>
      <w:r w:rsidR="00141AB3" w:rsidRPr="004E78AB">
        <w:rPr>
          <w:rStyle w:val="FootnoteReference"/>
        </w:rPr>
        <w:footnoteReference w:id="136"/>
      </w:r>
      <w:r w:rsidRPr="004E78AB">
        <w:t>, with a daily average reach of more than two million and nearly one million utilising Seven’s streaming platform 7plus.</w:t>
      </w:r>
      <w:r w:rsidRPr="004E78AB">
        <w:rPr>
          <w:rStyle w:val="FootnoteReference"/>
        </w:rPr>
        <w:footnoteReference w:id="137"/>
      </w:r>
    </w:p>
    <w:bookmarkEnd w:id="162"/>
    <w:p w14:paraId="48E64A5D" w14:textId="752A3D84" w:rsidR="00C03A85" w:rsidRDefault="003113A4" w:rsidP="00341688">
      <w:r>
        <w:t>The benefits of including the Pa</w:t>
      </w:r>
      <w:r w:rsidR="00B675FE">
        <w:t>r</w:t>
      </w:r>
      <w:r>
        <w:t xml:space="preserve">alympics go beyond direct audience numbers. </w:t>
      </w:r>
      <w:r w:rsidR="00734A0E">
        <w:t>Paralympics Australia notes that:</w:t>
      </w:r>
    </w:p>
    <w:p w14:paraId="45BF9AD7" w14:textId="77777777" w:rsidR="00C03A85" w:rsidRPr="00DA6BCC" w:rsidRDefault="00C03A85" w:rsidP="00C03A85">
      <w:pPr>
        <w:pStyle w:val="Quote"/>
        <w:rPr>
          <w:rFonts w:cstheme="minorHAnsi"/>
        </w:rPr>
      </w:pPr>
      <w:bookmarkStart w:id="163" w:name="_Hlk149594742"/>
      <w:r w:rsidRPr="00E23238">
        <w:t>68 percent of all Australians watched some part of the Tokyo Paralympics</w:t>
      </w:r>
      <w:bookmarkEnd w:id="163"/>
      <w:r w:rsidRPr="00E23238">
        <w:br/>
        <w:t>58 percent said the Australian athletes made them feel proud to be Australian</w:t>
      </w:r>
      <w:r w:rsidRPr="00E23238">
        <w:br/>
        <w:t>96 percent said they felt inspired by the athletes</w:t>
      </w:r>
      <w:r w:rsidRPr="00E23238">
        <w:br/>
        <w:t>91 percent described them as wonderful role models</w:t>
      </w:r>
      <w:r w:rsidRPr="00E23238">
        <w:br/>
        <w:t>82 percent said the Paralympics change negative perceptions of people with a disability</w:t>
      </w:r>
      <w:r>
        <w:t>.</w:t>
      </w:r>
      <w:r w:rsidRPr="0052021E">
        <w:rPr>
          <w:vertAlign w:val="superscript"/>
        </w:rPr>
        <w:footnoteReference w:id="138"/>
      </w:r>
    </w:p>
    <w:p w14:paraId="5D996600" w14:textId="44CBF0B0" w:rsidR="00B844DC" w:rsidRPr="00734A0E" w:rsidRDefault="003113A4" w:rsidP="00341688">
      <w:r>
        <w:t>This is likely to be particularly relevant in the lead up to the 2032 Summer Paralympics in</w:t>
      </w:r>
      <w:r w:rsidRPr="00B844DC">
        <w:t xml:space="preserve"> </w:t>
      </w:r>
      <w:r>
        <w:t xml:space="preserve">Brisbane. </w:t>
      </w:r>
      <w:r w:rsidR="00B844DC">
        <w:br/>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2"/>
        <w:gridCol w:w="7732"/>
      </w:tblGrid>
      <w:tr w:rsidR="00B844DC" w14:paraId="1DACD0C0" w14:textId="77777777" w:rsidTr="00B844DC">
        <w:tc>
          <w:tcPr>
            <w:tcW w:w="2122" w:type="dxa"/>
            <w:tcBorders>
              <w:top w:val="single" w:sz="4" w:space="0" w:color="auto"/>
              <w:bottom w:val="nil"/>
              <w:right w:val="single" w:sz="4" w:space="0" w:color="auto"/>
            </w:tcBorders>
            <w:shd w:val="clear" w:color="auto" w:fill="D7E5FA" w:themeFill="text2" w:themeFillTint="1A"/>
          </w:tcPr>
          <w:p w14:paraId="678BCFA9" w14:textId="6C97C6D6" w:rsidR="00B844DC" w:rsidRPr="00B844DC" w:rsidRDefault="00B844DC" w:rsidP="00B30FF5">
            <w:pPr>
              <w:keepNext/>
              <w:keepLines/>
              <w:spacing w:before="120" w:after="120"/>
              <w:rPr>
                <w:b/>
              </w:rPr>
            </w:pPr>
            <w:r w:rsidRPr="00B844DC">
              <w:rPr>
                <w:b/>
              </w:rPr>
              <w:t xml:space="preserve">Proposed </w:t>
            </w:r>
            <w:r w:rsidR="003113A4">
              <w:rPr>
                <w:b/>
              </w:rPr>
              <w:t>a</w:t>
            </w:r>
            <w:r w:rsidRPr="00B844DC">
              <w:rPr>
                <w:b/>
              </w:rPr>
              <w:t>dditions</w:t>
            </w:r>
          </w:p>
        </w:tc>
        <w:tc>
          <w:tcPr>
            <w:tcW w:w="7732" w:type="dxa"/>
            <w:tcBorders>
              <w:top w:val="single" w:sz="4" w:space="0" w:color="auto"/>
              <w:left w:val="single" w:sz="4" w:space="0" w:color="auto"/>
              <w:bottom w:val="nil"/>
            </w:tcBorders>
          </w:tcPr>
          <w:p w14:paraId="79AA8492" w14:textId="1D3D9F3C" w:rsidR="00B844DC" w:rsidRDefault="00B844DC" w:rsidP="00B30FF5">
            <w:pPr>
              <w:keepNext/>
              <w:keepLines/>
              <w:spacing w:before="120" w:after="120"/>
            </w:pPr>
            <w:r w:rsidRPr="00B60128">
              <w:rPr>
                <w:rFonts w:cstheme="minorHAnsi"/>
              </w:rPr>
              <w:t xml:space="preserve">The finals series matches of the </w:t>
            </w:r>
            <w:r w:rsidR="0025598E">
              <w:rPr>
                <w:rFonts w:cstheme="minorHAnsi"/>
              </w:rPr>
              <w:t xml:space="preserve">AFLW </w:t>
            </w:r>
            <w:r w:rsidRPr="00B60128">
              <w:rPr>
                <w:rFonts w:cstheme="minorHAnsi"/>
              </w:rPr>
              <w:t>Premiership</w:t>
            </w:r>
          </w:p>
        </w:tc>
      </w:tr>
      <w:tr w:rsidR="00B844DC" w14:paraId="6D40C161" w14:textId="77777777" w:rsidTr="00B844DC">
        <w:tc>
          <w:tcPr>
            <w:tcW w:w="2122" w:type="dxa"/>
            <w:tcBorders>
              <w:top w:val="nil"/>
              <w:bottom w:val="nil"/>
              <w:right w:val="single" w:sz="4" w:space="0" w:color="auto"/>
            </w:tcBorders>
            <w:shd w:val="clear" w:color="auto" w:fill="D7E5FA" w:themeFill="text2" w:themeFillTint="1A"/>
          </w:tcPr>
          <w:p w14:paraId="1D87B6AF" w14:textId="77777777" w:rsidR="00B844DC" w:rsidRDefault="00B844DC" w:rsidP="00B30FF5">
            <w:pPr>
              <w:keepNext/>
              <w:keepLines/>
              <w:spacing w:before="120" w:after="120"/>
            </w:pPr>
          </w:p>
        </w:tc>
        <w:tc>
          <w:tcPr>
            <w:tcW w:w="7732" w:type="dxa"/>
            <w:tcBorders>
              <w:top w:val="nil"/>
              <w:left w:val="single" w:sz="4" w:space="0" w:color="auto"/>
              <w:bottom w:val="nil"/>
            </w:tcBorders>
          </w:tcPr>
          <w:p w14:paraId="7A781EC1" w14:textId="601281FC" w:rsidR="00B844DC" w:rsidRPr="00B60128" w:rsidRDefault="00B844DC" w:rsidP="00B30FF5">
            <w:pPr>
              <w:keepNext/>
              <w:keepLines/>
              <w:spacing w:before="120" w:after="120"/>
              <w:rPr>
                <w:rFonts w:cstheme="minorHAnsi"/>
              </w:rPr>
            </w:pPr>
            <w:r w:rsidRPr="00B60128">
              <w:rPr>
                <w:rFonts w:cstheme="minorHAnsi"/>
              </w:rPr>
              <w:t xml:space="preserve">The finals series matches of the </w:t>
            </w:r>
            <w:r w:rsidR="0025598E">
              <w:rPr>
                <w:rFonts w:cstheme="minorHAnsi"/>
              </w:rPr>
              <w:t>NRLW</w:t>
            </w:r>
            <w:r w:rsidRPr="00B60128">
              <w:rPr>
                <w:rFonts w:cstheme="minorHAnsi"/>
              </w:rPr>
              <w:t xml:space="preserve"> Premiership</w:t>
            </w:r>
          </w:p>
        </w:tc>
      </w:tr>
      <w:tr w:rsidR="00B844DC" w14:paraId="0380B2F3" w14:textId="77777777" w:rsidTr="00B844DC">
        <w:tc>
          <w:tcPr>
            <w:tcW w:w="2122" w:type="dxa"/>
            <w:tcBorders>
              <w:top w:val="nil"/>
              <w:bottom w:val="single" w:sz="4" w:space="0" w:color="auto"/>
              <w:right w:val="single" w:sz="4" w:space="0" w:color="auto"/>
            </w:tcBorders>
            <w:shd w:val="clear" w:color="auto" w:fill="D7E5FA" w:themeFill="text2" w:themeFillTint="1A"/>
          </w:tcPr>
          <w:p w14:paraId="13CA4B3C" w14:textId="77777777" w:rsidR="00B844DC" w:rsidRDefault="00B844DC" w:rsidP="00B30FF5">
            <w:pPr>
              <w:keepNext/>
              <w:keepLines/>
              <w:spacing w:before="120" w:after="120"/>
            </w:pPr>
          </w:p>
        </w:tc>
        <w:tc>
          <w:tcPr>
            <w:tcW w:w="7732" w:type="dxa"/>
            <w:tcBorders>
              <w:top w:val="nil"/>
              <w:left w:val="single" w:sz="4" w:space="0" w:color="auto"/>
              <w:bottom w:val="single" w:sz="4" w:space="0" w:color="auto"/>
            </w:tcBorders>
          </w:tcPr>
          <w:p w14:paraId="52B4F751" w14:textId="56B937D3" w:rsidR="00B844DC" w:rsidRPr="00B60128" w:rsidRDefault="00B844DC" w:rsidP="00B30FF5">
            <w:pPr>
              <w:keepNext/>
              <w:keepLines/>
              <w:spacing w:before="120" w:after="120"/>
              <w:rPr>
                <w:rFonts w:cstheme="minorHAnsi"/>
              </w:rPr>
            </w:pPr>
            <w:r w:rsidRPr="00B60128">
              <w:rPr>
                <w:rFonts w:cstheme="minorHAnsi"/>
              </w:rPr>
              <w:t xml:space="preserve">The </w:t>
            </w:r>
            <w:r w:rsidR="0025598E">
              <w:rPr>
                <w:rFonts w:cstheme="minorHAnsi"/>
              </w:rPr>
              <w:t>NRLW</w:t>
            </w:r>
            <w:r w:rsidRPr="00B60128">
              <w:rPr>
                <w:rFonts w:cstheme="minorHAnsi"/>
              </w:rPr>
              <w:t xml:space="preserve"> State of Origin Series</w:t>
            </w:r>
          </w:p>
        </w:tc>
      </w:tr>
    </w:tbl>
    <w:p w14:paraId="6BBF8928" w14:textId="6BB0409C" w:rsidR="00717C71" w:rsidRPr="00C56D6A" w:rsidRDefault="00FB7AFB" w:rsidP="00B30FF5">
      <w:pPr>
        <w:keepNext/>
        <w:keepLines/>
        <w:rPr>
          <w:color w:val="auto"/>
        </w:rPr>
      </w:pPr>
      <w:r w:rsidRPr="00C56D6A">
        <w:rPr>
          <w:color w:val="auto"/>
        </w:rPr>
        <w:t>The</w:t>
      </w:r>
      <w:r w:rsidR="00717C71" w:rsidRPr="00C56D6A">
        <w:rPr>
          <w:color w:val="auto"/>
        </w:rPr>
        <w:t xml:space="preserve"> </w:t>
      </w:r>
      <w:r w:rsidRPr="00C56D6A">
        <w:rPr>
          <w:color w:val="auto"/>
        </w:rPr>
        <w:t xml:space="preserve">participation of women in the </w:t>
      </w:r>
      <w:r w:rsidR="00717C71" w:rsidRPr="00C56D6A">
        <w:rPr>
          <w:color w:val="auto"/>
        </w:rPr>
        <w:t>AFL and NRL</w:t>
      </w:r>
      <w:r w:rsidRPr="00C56D6A">
        <w:rPr>
          <w:color w:val="auto"/>
        </w:rPr>
        <w:t xml:space="preserve"> is high</w:t>
      </w:r>
      <w:r w:rsidR="00717C71" w:rsidRPr="00C56D6A">
        <w:rPr>
          <w:color w:val="auto"/>
        </w:rPr>
        <w:t>.</w:t>
      </w:r>
    </w:p>
    <w:p w14:paraId="2DFDAD42" w14:textId="77777777" w:rsidR="00717C71" w:rsidRPr="00C56D6A" w:rsidRDefault="00717C71" w:rsidP="00717C71">
      <w:pPr>
        <w:numPr>
          <w:ilvl w:val="0"/>
          <w:numId w:val="17"/>
        </w:numPr>
      </w:pPr>
      <w:r w:rsidRPr="00C56D6A">
        <w:t>The AFL reported in 2022 that nearly 600,000 women and girls participate in the AFL and there are more than 2,500 community football teams around the country, compared to around 600 in 2015.</w:t>
      </w:r>
      <w:r w:rsidRPr="00C56D6A">
        <w:rPr>
          <w:rStyle w:val="FootnoteReference"/>
        </w:rPr>
        <w:footnoteReference w:id="139"/>
      </w:r>
      <w:r w:rsidRPr="00C56D6A">
        <w:t xml:space="preserve"> </w:t>
      </w:r>
    </w:p>
    <w:p w14:paraId="77EC7BD7" w14:textId="1E277D46" w:rsidR="00717C71" w:rsidRPr="00C56D6A" w:rsidRDefault="00717C71" w:rsidP="00717C71">
      <w:pPr>
        <w:numPr>
          <w:ilvl w:val="0"/>
          <w:numId w:val="17"/>
        </w:numPr>
      </w:pPr>
      <w:r w:rsidRPr="00C56D6A">
        <w:t>In early 2023, the NRL announced that female participation was up 22 per cent from the same time in 2022, with an estimated 33,000 women and girl players.</w:t>
      </w:r>
      <w:r w:rsidRPr="00C56D6A">
        <w:rPr>
          <w:rStyle w:val="FootnoteReference"/>
        </w:rPr>
        <w:footnoteReference w:id="140"/>
      </w:r>
      <w:r w:rsidRPr="00C56D6A">
        <w:t xml:space="preserve"> </w:t>
      </w:r>
    </w:p>
    <w:p w14:paraId="031A684F" w14:textId="77777777" w:rsidR="00C03A85" w:rsidRDefault="00C03A85" w:rsidP="00341688">
      <w:r>
        <w:t>The AFL and NRL introduced women’s leagues in 2017 and 2018 respectively. This was concurrent with, or after, the last major changes to the list were made in 2017, and these competitions have grown significantly since their inception.</w:t>
      </w:r>
    </w:p>
    <w:p w14:paraId="272059AB" w14:textId="227CFE34" w:rsidR="00C03A85" w:rsidRPr="004353EF" w:rsidRDefault="00C03A85" w:rsidP="00341688">
      <w:pPr>
        <w:pStyle w:val="ListParagraph"/>
        <w:numPr>
          <w:ilvl w:val="0"/>
          <w:numId w:val="25"/>
        </w:numPr>
        <w:suppressAutoHyphens w:val="0"/>
        <w:ind w:left="357" w:hanging="357"/>
        <w:contextualSpacing w:val="0"/>
      </w:pPr>
      <w:bookmarkStart w:id="164" w:name="_Hlk150861265"/>
      <w:r w:rsidRPr="004353EF">
        <w:t xml:space="preserve">The 2022 AFLW grand final was viewed by </w:t>
      </w:r>
      <w:r w:rsidR="00F0302D">
        <w:t>213,000 (5 city metro</w:t>
      </w:r>
      <w:r w:rsidR="005C6CDE">
        <w:t xml:space="preserve"> average</w:t>
      </w:r>
      <w:r w:rsidR="00F0302D">
        <w:t>) and 288,000 (5 city metro</w:t>
      </w:r>
      <w:r w:rsidR="005C6CDE">
        <w:t xml:space="preserve"> average</w:t>
      </w:r>
      <w:r w:rsidR="00F0302D">
        <w:t>) in 2021.</w:t>
      </w:r>
      <w:r w:rsidR="005C6CDE">
        <w:rPr>
          <w:rStyle w:val="FootnoteReference"/>
        </w:rPr>
        <w:footnoteReference w:id="141"/>
      </w:r>
      <w:r w:rsidR="00F0302D">
        <w:t xml:space="preserve"> The</w:t>
      </w:r>
      <w:r w:rsidRPr="004353EF">
        <w:t xml:space="preserve"> </w:t>
      </w:r>
      <w:r>
        <w:t xml:space="preserve">2022 </w:t>
      </w:r>
      <w:r w:rsidRPr="004353EF">
        <w:t xml:space="preserve">AFLW finals series was watched by </w:t>
      </w:r>
      <w:r w:rsidR="005C6CDE">
        <w:t xml:space="preserve">a 5 city metro average of </w:t>
      </w:r>
      <w:r w:rsidR="000C4B43">
        <w:t>82</w:t>
      </w:r>
      <w:r w:rsidR="00F0302D">
        <w:t xml:space="preserve">,000 and by </w:t>
      </w:r>
      <w:r w:rsidR="000C4B43">
        <w:t>90</w:t>
      </w:r>
      <w:r w:rsidR="00F0302D">
        <w:t>,000 in 2021</w:t>
      </w:r>
      <w:r w:rsidR="005F0892">
        <w:t>.</w:t>
      </w:r>
      <w:r w:rsidRPr="004353EF">
        <w:rPr>
          <w:rStyle w:val="FootnoteReference"/>
        </w:rPr>
        <w:footnoteReference w:id="142"/>
      </w:r>
      <w:r w:rsidR="005F0892">
        <w:t xml:space="preserve"> </w:t>
      </w:r>
      <w:r w:rsidR="00DF11C2">
        <w:t>These figures show a small decline in average viewing figures between the 2021 and 202</w:t>
      </w:r>
      <w:r w:rsidR="000C4B43">
        <w:t>2 seasons</w:t>
      </w:r>
      <w:r w:rsidR="00DF11C2">
        <w:t xml:space="preserve">. However, this does not take into account </w:t>
      </w:r>
      <w:r w:rsidR="003A3C70">
        <w:t xml:space="preserve">the fact </w:t>
      </w:r>
      <w:r w:rsidR="00DF11C2">
        <w:t>that two AFLW seasons were played in 2022. The later saw an increase in the number of clubs from 14 to 18, and an increase in the number of matches played</w:t>
      </w:r>
      <w:r w:rsidR="00E46275">
        <w:t>.</w:t>
      </w:r>
      <w:r w:rsidR="00E46275">
        <w:rPr>
          <w:rStyle w:val="FootnoteReference"/>
        </w:rPr>
        <w:footnoteReference w:id="143"/>
      </w:r>
      <w:r w:rsidR="005F0892">
        <w:t xml:space="preserve"> </w:t>
      </w:r>
      <w:r w:rsidR="003A3C70">
        <w:t>I</w:t>
      </w:r>
      <w:r w:rsidR="00DF11C2">
        <w:t xml:space="preserve">t is clear that </w:t>
      </w:r>
      <w:r w:rsidR="00AB6065">
        <w:t>the AFLW</w:t>
      </w:r>
      <w:r w:rsidR="00DF11C2">
        <w:t xml:space="preserve"> is</w:t>
      </w:r>
      <w:r w:rsidR="00AB6065">
        <w:t xml:space="preserve"> attracting</w:t>
      </w:r>
      <w:r w:rsidR="00DF11C2">
        <w:t xml:space="preserve"> an increase in the number of </w:t>
      </w:r>
      <w:r w:rsidR="00DF11C2" w:rsidRPr="00074B1E">
        <w:t xml:space="preserve">viewers overall. </w:t>
      </w:r>
      <w:r w:rsidR="000C4B43">
        <w:rPr>
          <w:rFonts w:ascii="Calibri" w:eastAsia="Times New Roman" w:hAnsi="Calibri" w:cs="Calibri"/>
          <w:color w:val="000000"/>
          <w:szCs w:val="24"/>
        </w:rPr>
        <w:t>T</w:t>
      </w:r>
      <w:r w:rsidR="00DF11C2">
        <w:rPr>
          <w:rFonts w:ascii="Calibri" w:eastAsia="Times New Roman" w:hAnsi="Calibri" w:cs="Calibri"/>
          <w:color w:val="000000"/>
          <w:szCs w:val="24"/>
        </w:rPr>
        <w:t>he</w:t>
      </w:r>
      <w:r w:rsidR="00087994">
        <w:rPr>
          <w:rFonts w:ascii="Calibri" w:eastAsia="Times New Roman" w:hAnsi="Calibri" w:cs="Calibri"/>
          <w:color w:val="000000"/>
          <w:szCs w:val="24"/>
        </w:rPr>
        <w:t xml:space="preserve"> second</w:t>
      </w:r>
      <w:r w:rsidR="00DF11C2">
        <w:rPr>
          <w:rFonts w:ascii="Calibri" w:eastAsia="Times New Roman" w:hAnsi="Calibri" w:cs="Calibri"/>
          <w:color w:val="000000"/>
          <w:szCs w:val="24"/>
        </w:rPr>
        <w:t xml:space="preserve"> </w:t>
      </w:r>
      <w:r w:rsidR="00DF11C2" w:rsidRPr="00074B1E">
        <w:rPr>
          <w:rFonts w:ascii="Calibri" w:eastAsia="Times New Roman" w:hAnsi="Calibri" w:cs="Calibri"/>
          <w:color w:val="000000"/>
          <w:szCs w:val="24"/>
          <w:lang w:val="x-none"/>
        </w:rPr>
        <w:t xml:space="preserve">2022 AFLW finals series </w:t>
      </w:r>
      <w:r w:rsidR="000C4B43">
        <w:rPr>
          <w:rFonts w:ascii="Calibri" w:eastAsia="Times New Roman" w:hAnsi="Calibri" w:cs="Calibri"/>
          <w:color w:val="000000"/>
          <w:szCs w:val="24"/>
          <w:lang w:val="en-US"/>
        </w:rPr>
        <w:t>garnered a total gross audience of</w:t>
      </w:r>
      <w:r w:rsidR="00DF11C2" w:rsidRPr="00074B1E">
        <w:rPr>
          <w:rFonts w:ascii="Calibri" w:eastAsia="Times New Roman" w:hAnsi="Calibri" w:cs="Calibri"/>
          <w:color w:val="000000"/>
          <w:szCs w:val="24"/>
          <w:lang w:val="x-none"/>
        </w:rPr>
        <w:t xml:space="preserve"> </w:t>
      </w:r>
      <w:r w:rsidR="00087994" w:rsidRPr="00B30FF5">
        <w:rPr>
          <w:rFonts w:ascii="Calibri" w:eastAsia="Times New Roman" w:hAnsi="Calibri" w:cs="Calibri"/>
          <w:color w:val="000000"/>
          <w:szCs w:val="24"/>
        </w:rPr>
        <w:t>463,000</w:t>
      </w:r>
      <w:r w:rsidR="00DF11C2" w:rsidRPr="00B30FF5">
        <w:rPr>
          <w:rFonts w:ascii="Calibri" w:eastAsia="Times New Roman" w:hAnsi="Calibri" w:cs="Calibri"/>
          <w:color w:val="000000"/>
          <w:szCs w:val="24"/>
        </w:rPr>
        <w:t xml:space="preserve"> </w:t>
      </w:r>
      <w:r w:rsidR="00DF11C2" w:rsidRPr="00074B1E">
        <w:rPr>
          <w:rFonts w:ascii="Calibri" w:eastAsia="Times New Roman" w:hAnsi="Calibri" w:cs="Calibri"/>
          <w:color w:val="000000"/>
          <w:szCs w:val="24"/>
          <w:lang w:val="x-none"/>
        </w:rPr>
        <w:t xml:space="preserve">viewers (up from </w:t>
      </w:r>
      <w:r w:rsidR="00087994" w:rsidRPr="00B30FF5">
        <w:rPr>
          <w:rFonts w:ascii="Calibri" w:eastAsia="Times New Roman" w:hAnsi="Calibri" w:cs="Calibri"/>
          <w:color w:val="000000"/>
          <w:szCs w:val="24"/>
        </w:rPr>
        <w:t>374,000</w:t>
      </w:r>
      <w:r w:rsidR="00DF11C2" w:rsidRPr="00074B1E">
        <w:rPr>
          <w:rFonts w:ascii="Calibri" w:eastAsia="Times New Roman" w:hAnsi="Calibri" w:cs="Calibri"/>
          <w:color w:val="000000"/>
          <w:szCs w:val="24"/>
          <w:lang w:val="x-none"/>
        </w:rPr>
        <w:t xml:space="preserve"> in</w:t>
      </w:r>
      <w:r w:rsidR="00DF11C2">
        <w:rPr>
          <w:rFonts w:ascii="Calibri" w:eastAsia="Times New Roman" w:hAnsi="Calibri" w:cs="Calibri"/>
          <w:color w:val="000000"/>
          <w:szCs w:val="24"/>
          <w:lang w:val="x-none"/>
        </w:rPr>
        <w:t xml:space="preserve"> 2021</w:t>
      </w:r>
      <w:bookmarkStart w:id="165" w:name="_Hlk141045503"/>
      <w:r w:rsidR="00DF11C2">
        <w:rPr>
          <w:rFonts w:ascii="Calibri" w:eastAsia="Times New Roman" w:hAnsi="Calibri" w:cs="Calibri"/>
          <w:color w:val="000000"/>
          <w:szCs w:val="24"/>
          <w:lang w:val="x-none"/>
        </w:rPr>
        <w:t>)</w:t>
      </w:r>
      <w:r w:rsidR="00F67191">
        <w:rPr>
          <w:rFonts w:ascii="Calibri" w:eastAsia="Times New Roman" w:hAnsi="Calibri" w:cs="Calibri"/>
          <w:color w:val="000000"/>
          <w:szCs w:val="24"/>
          <w:lang w:val="en-US"/>
        </w:rPr>
        <w:t>.</w:t>
      </w:r>
      <w:r w:rsidR="00087994">
        <w:rPr>
          <w:rStyle w:val="FootnoteReference"/>
          <w:rFonts w:ascii="Calibri" w:eastAsia="Times New Roman" w:hAnsi="Calibri" w:cs="Calibri"/>
          <w:color w:val="000000"/>
          <w:szCs w:val="24"/>
          <w:lang w:val="x-none"/>
        </w:rPr>
        <w:footnoteReference w:id="144"/>
      </w:r>
    </w:p>
    <w:p w14:paraId="5B460D0E" w14:textId="0099699E" w:rsidR="005E4E40" w:rsidRDefault="005E4E40" w:rsidP="00341688">
      <w:pPr>
        <w:pStyle w:val="ListParagraph"/>
        <w:numPr>
          <w:ilvl w:val="0"/>
          <w:numId w:val="24"/>
        </w:numPr>
        <w:suppressAutoHyphens w:val="0"/>
        <w:contextualSpacing w:val="0"/>
      </w:pPr>
      <w:bookmarkStart w:id="166" w:name="_Hlk150760553"/>
      <w:bookmarkEnd w:id="165"/>
      <w:r>
        <w:t xml:space="preserve">The </w:t>
      </w:r>
      <w:r w:rsidR="00D75A88">
        <w:t>2023 NRLW grand final was watched by 422,000 viewers (5 city metro average)</w:t>
      </w:r>
      <w:r w:rsidR="00DF5C39">
        <w:t>, an increase of over 25</w:t>
      </w:r>
      <w:r w:rsidR="008D6D52">
        <w:t>0 percent</w:t>
      </w:r>
      <w:r w:rsidR="00DF5C39">
        <w:t xml:space="preserve"> on the previous </w:t>
      </w:r>
      <w:r w:rsidR="00E46275">
        <w:t>year’s</w:t>
      </w:r>
      <w:r w:rsidR="00DF5C39">
        <w:t xml:space="preserve"> Grand </w:t>
      </w:r>
      <w:r w:rsidR="00E46275">
        <w:t>F</w:t>
      </w:r>
      <w:r w:rsidR="00DF5C39">
        <w:t>inal viewership</w:t>
      </w:r>
      <w:r w:rsidR="00E46275">
        <w:t xml:space="preserve"> of </w:t>
      </w:r>
      <w:r w:rsidR="00DF5C39">
        <w:t>117,000 (</w:t>
      </w:r>
      <w:r w:rsidR="00E46275">
        <w:t>5 city metro average)</w:t>
      </w:r>
      <w:r w:rsidR="00D75A88">
        <w:t xml:space="preserve">. </w:t>
      </w:r>
      <w:r w:rsidR="00507933">
        <w:t xml:space="preserve">The </w:t>
      </w:r>
      <w:r w:rsidR="00387289">
        <w:t xml:space="preserve">NRLW </w:t>
      </w:r>
      <w:r w:rsidR="00507933">
        <w:t xml:space="preserve">finals series </w:t>
      </w:r>
      <w:r w:rsidR="0078308F">
        <w:t>had a total gross audience of</w:t>
      </w:r>
      <w:r w:rsidR="00507933">
        <w:t xml:space="preserve"> 226,000 viewers</w:t>
      </w:r>
      <w:r w:rsidR="00E46275">
        <w:t xml:space="preserve"> in 2023</w:t>
      </w:r>
      <w:r w:rsidR="005F0892">
        <w:t>,</w:t>
      </w:r>
      <w:r w:rsidR="008D6D52">
        <w:rPr>
          <w:rStyle w:val="FootnoteReference"/>
        </w:rPr>
        <w:footnoteReference w:id="145"/>
      </w:r>
      <w:r w:rsidR="00880B84">
        <w:t xml:space="preserve"> a</w:t>
      </w:r>
      <w:r w:rsidR="00940F2C">
        <w:t xml:space="preserve"> 7</w:t>
      </w:r>
      <w:r w:rsidR="008D6D52">
        <w:t>0 per</w:t>
      </w:r>
      <w:r w:rsidR="009B005E">
        <w:t xml:space="preserve"> </w:t>
      </w:r>
      <w:r w:rsidR="008D6D52">
        <w:t>cent</w:t>
      </w:r>
      <w:r w:rsidR="00880B84">
        <w:t xml:space="preserve"> increase on the previous </w:t>
      </w:r>
      <w:r w:rsidR="003019FA">
        <w:t>year’s</w:t>
      </w:r>
      <w:r w:rsidR="00880B84">
        <w:t xml:space="preserve"> finals series viewership </w:t>
      </w:r>
      <w:r w:rsidR="00940F2C">
        <w:t>(</w:t>
      </w:r>
      <w:r w:rsidR="00880B84">
        <w:t>153</w:t>
      </w:r>
      <w:r w:rsidR="00940F2C">
        <w:t>,000 – 5 city metro average</w:t>
      </w:r>
      <w:r w:rsidR="00E46275">
        <w:t>, 2022</w:t>
      </w:r>
      <w:r w:rsidR="00940F2C">
        <w:t>)</w:t>
      </w:r>
      <w:r w:rsidR="00F67191">
        <w:t>.</w:t>
      </w:r>
      <w:r w:rsidR="00940F2C">
        <w:rPr>
          <w:rStyle w:val="FootnoteReference"/>
        </w:rPr>
        <w:footnoteReference w:id="146"/>
      </w:r>
      <w:r w:rsidR="003019FA">
        <w:t xml:space="preserve"> </w:t>
      </w:r>
      <w:r w:rsidR="008020B8">
        <w:t>This demonstrates how quickly the NRLW is growing.</w:t>
      </w:r>
    </w:p>
    <w:bookmarkEnd w:id="166"/>
    <w:p w14:paraId="425C5348" w14:textId="76E9A040" w:rsidR="00B844DC" w:rsidRPr="004353EF" w:rsidRDefault="00B844DC" w:rsidP="00341688">
      <w:pPr>
        <w:pStyle w:val="ListParagraph"/>
        <w:numPr>
          <w:ilvl w:val="0"/>
          <w:numId w:val="24"/>
        </w:numPr>
        <w:suppressAutoHyphens w:val="0"/>
        <w:contextualSpacing w:val="0"/>
      </w:pPr>
      <w:r>
        <w:t xml:space="preserve">The </w:t>
      </w:r>
      <w:r w:rsidR="0025598E">
        <w:t xml:space="preserve">NRLW </w:t>
      </w:r>
      <w:r>
        <w:t xml:space="preserve">State of Origin attracted an </w:t>
      </w:r>
      <w:r w:rsidR="005C3DCF">
        <w:t xml:space="preserve">average (5 city metro) </w:t>
      </w:r>
      <w:r>
        <w:t xml:space="preserve">audience of </w:t>
      </w:r>
      <w:r w:rsidRPr="00B844DC">
        <w:t>255,000</w:t>
      </w:r>
      <w:r>
        <w:t xml:space="preserve"> in 2022</w:t>
      </w:r>
      <w:r w:rsidR="005F0892">
        <w:t>.</w:t>
      </w:r>
      <w:r w:rsidR="005C3DCF">
        <w:rPr>
          <w:rStyle w:val="FootnoteReference"/>
        </w:rPr>
        <w:footnoteReference w:id="147"/>
      </w:r>
      <w:r w:rsidR="00024E77">
        <w:t xml:space="preserve"> </w:t>
      </w:r>
      <w:r w:rsidR="00D84FCE">
        <w:t>Media reports indicate the audience numbers for</w:t>
      </w:r>
      <w:r w:rsidR="00024E77">
        <w:t xml:space="preserve"> 2023 </w:t>
      </w:r>
      <w:r w:rsidR="00D84FCE">
        <w:t>have</w:t>
      </w:r>
      <w:r w:rsidR="00024E77">
        <w:t xml:space="preserve"> increased.</w:t>
      </w:r>
      <w:r w:rsidR="00024E77">
        <w:rPr>
          <w:rStyle w:val="FootnoteReference"/>
        </w:rPr>
        <w:footnoteReference w:id="148"/>
      </w:r>
    </w:p>
    <w:bookmarkEnd w:id="164"/>
    <w:p w14:paraId="5B5486DF" w14:textId="6B09ED9F" w:rsidR="00717C71" w:rsidRDefault="00B844DC" w:rsidP="00341688">
      <w:r>
        <w:t xml:space="preserve">This demonstrates that Australians are tuning into women’s sports. </w:t>
      </w:r>
      <w:r w:rsidR="004B57F0">
        <w:t>While</w:t>
      </w:r>
      <w:r>
        <w:t xml:space="preserve"> these numbers are not </w:t>
      </w:r>
      <w:r w:rsidR="00341688">
        <w:t>y</w:t>
      </w:r>
      <w:r>
        <w:t>et exceedingly high</w:t>
      </w:r>
      <w:r w:rsidR="004B57F0">
        <w:t>,</w:t>
      </w:r>
      <w:r>
        <w:t xml:space="preserve"> </w:t>
      </w:r>
      <w:r w:rsidR="004B57F0">
        <w:t>this</w:t>
      </w:r>
      <w:r w:rsidR="00ED587E">
        <w:t xml:space="preserve"> reflects </w:t>
      </w:r>
      <w:r w:rsidR="00341688">
        <w:t xml:space="preserve">the fact </w:t>
      </w:r>
      <w:r w:rsidR="00ED587E">
        <w:t xml:space="preserve">that these competitions are relatively nascent compared to their male counterparts. However, there has been a significant </w:t>
      </w:r>
      <w:r w:rsidR="00341688">
        <w:t xml:space="preserve">growth in these competitions over the </w:t>
      </w:r>
      <w:r w:rsidR="00ED587E">
        <w:t>past few years.</w:t>
      </w:r>
      <w:r w:rsidR="00FB7AFB">
        <w:t xml:space="preserve"> </w:t>
      </w:r>
      <w:r w:rsidR="00FB7AFB" w:rsidRPr="00C56D6A">
        <w:t xml:space="preserve">These </w:t>
      </w:r>
      <w:r w:rsidR="004E78AB" w:rsidRPr="00C56D6A">
        <w:t xml:space="preserve">proposed </w:t>
      </w:r>
      <w:r w:rsidR="00FB7AFB" w:rsidRPr="00C56D6A">
        <w:t>listing</w:t>
      </w:r>
      <w:r w:rsidR="004E78AB" w:rsidRPr="00C56D6A">
        <w:t>s seek to</w:t>
      </w:r>
      <w:r w:rsidR="00FB7AFB" w:rsidRPr="00C56D6A">
        <w:t xml:space="preserve"> balance the benefits to Australians of promoting the free </w:t>
      </w:r>
      <w:r w:rsidR="004E78AB" w:rsidRPr="00C56D6A">
        <w:t>access to televised coverage of</w:t>
      </w:r>
      <w:r w:rsidR="00FB7AFB" w:rsidRPr="00C56D6A">
        <w:t xml:space="preserve"> AFL</w:t>
      </w:r>
      <w:r w:rsidR="004E78AB" w:rsidRPr="00C56D6A">
        <w:t>W</w:t>
      </w:r>
      <w:r w:rsidR="00FB7AFB" w:rsidRPr="00C56D6A">
        <w:t xml:space="preserve"> and NRL</w:t>
      </w:r>
      <w:r w:rsidR="004E78AB" w:rsidRPr="00C56D6A">
        <w:t>W matches</w:t>
      </w:r>
      <w:r w:rsidR="00FB7AFB" w:rsidRPr="00C56D6A">
        <w:t xml:space="preserve">, against the burdens that sporting bodies </w:t>
      </w:r>
      <w:r w:rsidR="00176417" w:rsidRPr="00C56D6A">
        <w:t>may encounter (discussed in List 3 below).</w:t>
      </w:r>
      <w:r w:rsidR="00FB7AFB">
        <w:t xml:space="preserve"> </w:t>
      </w:r>
    </w:p>
    <w:p w14:paraId="2EEEF8A6" w14:textId="4AF24F0E" w:rsidR="00081C9D" w:rsidRPr="00C60755" w:rsidRDefault="00081C9D" w:rsidP="00341688">
      <w:pPr>
        <w:rPr>
          <w:rFonts w:cstheme="minorHAnsi"/>
        </w:rPr>
      </w:pPr>
    </w:p>
    <w:tbl>
      <w:tblPr>
        <w:tblStyle w:val="TableGrid"/>
        <w:tblW w:w="0" w:type="auto"/>
        <w:tblLook w:val="04A0" w:firstRow="1" w:lastRow="0" w:firstColumn="1" w:lastColumn="0" w:noHBand="0" w:noVBand="1"/>
      </w:tblPr>
      <w:tblGrid>
        <w:gridCol w:w="2122"/>
        <w:gridCol w:w="7732"/>
      </w:tblGrid>
      <w:tr w:rsidR="00ED587E" w14:paraId="30DEF899" w14:textId="77777777" w:rsidTr="00D46233">
        <w:tc>
          <w:tcPr>
            <w:tcW w:w="2122" w:type="dxa"/>
            <w:shd w:val="clear" w:color="auto" w:fill="D7E5FA" w:themeFill="text2" w:themeFillTint="1A"/>
          </w:tcPr>
          <w:p w14:paraId="7BBF799D" w14:textId="53065DA9" w:rsidR="00ED587E" w:rsidRPr="00B844DC" w:rsidRDefault="00ED587E" w:rsidP="00341688">
            <w:pPr>
              <w:spacing w:before="120" w:after="120"/>
              <w:rPr>
                <w:b/>
              </w:rPr>
            </w:pPr>
            <w:r w:rsidRPr="00B844DC">
              <w:rPr>
                <w:b/>
              </w:rPr>
              <w:t xml:space="preserve">Proposed </w:t>
            </w:r>
            <w:r w:rsidR="008C2701">
              <w:rPr>
                <w:b/>
              </w:rPr>
              <w:t>Change</w:t>
            </w:r>
          </w:p>
        </w:tc>
        <w:tc>
          <w:tcPr>
            <w:tcW w:w="7732" w:type="dxa"/>
          </w:tcPr>
          <w:p w14:paraId="7BA981A1" w14:textId="1AE621BD" w:rsidR="00ED587E" w:rsidRDefault="008C2701" w:rsidP="00341688">
            <w:pPr>
              <w:spacing w:before="120" w:after="120"/>
            </w:pPr>
            <w:r>
              <w:rPr>
                <w:rFonts w:cstheme="minorHAnsi"/>
              </w:rPr>
              <w:t xml:space="preserve">All Ashes </w:t>
            </w:r>
            <w:r w:rsidR="00B675FE">
              <w:rPr>
                <w:rFonts w:cstheme="minorHAnsi"/>
              </w:rPr>
              <w:t>series matches</w:t>
            </w:r>
            <w:r>
              <w:rPr>
                <w:rFonts w:cstheme="minorHAnsi"/>
              </w:rPr>
              <w:t xml:space="preserve"> played in the United Kingdom (</w:t>
            </w:r>
            <w:r w:rsidR="00DF65EC">
              <w:rPr>
                <w:rFonts w:cstheme="minorHAnsi"/>
              </w:rPr>
              <w:t xml:space="preserve">currently </w:t>
            </w:r>
            <w:r w:rsidR="00AF27E2">
              <w:rPr>
                <w:rFonts w:cstheme="minorHAnsi"/>
              </w:rPr>
              <w:t>only Ashes test matches are included</w:t>
            </w:r>
            <w:r>
              <w:rPr>
                <w:rFonts w:cstheme="minorHAnsi"/>
              </w:rPr>
              <w:t>)</w:t>
            </w:r>
            <w:r w:rsidR="00DF65EC">
              <w:rPr>
                <w:rFonts w:cstheme="minorHAnsi"/>
              </w:rPr>
              <w:t xml:space="preserve"> </w:t>
            </w:r>
          </w:p>
        </w:tc>
      </w:tr>
    </w:tbl>
    <w:p w14:paraId="5DAAFA3A" w14:textId="57174CDF" w:rsidR="005B08A0" w:rsidRDefault="00ED587E" w:rsidP="00341688">
      <w:pPr>
        <w:keepNext/>
        <w:keepLines/>
      </w:pPr>
      <w:r>
        <w:t xml:space="preserve">This current list </w:t>
      </w:r>
      <w:r w:rsidR="003A3C70">
        <w:t>includes</w:t>
      </w:r>
      <w:r>
        <w:t xml:space="preserve"> </w:t>
      </w:r>
      <w:r w:rsidR="00B675FE">
        <w:t xml:space="preserve">any </w:t>
      </w:r>
      <w:r>
        <w:t xml:space="preserve">test matches played </w:t>
      </w:r>
      <w:r w:rsidR="00DF65EC">
        <w:t>by the senior Australian representative team and the English senior representative team)</w:t>
      </w:r>
      <w:r w:rsidR="00AF27E2">
        <w:t xml:space="preserve"> played in the UK listed</w:t>
      </w:r>
      <w:r w:rsidR="00DF65EC">
        <w:t>.</w:t>
      </w:r>
      <w:r w:rsidR="005F0892">
        <w:t xml:space="preserve"> </w:t>
      </w:r>
      <w:r>
        <w:t>Th</w:t>
      </w:r>
      <w:r w:rsidR="00DF65EC">
        <w:t>is</w:t>
      </w:r>
      <w:r>
        <w:t xml:space="preserve"> </w:t>
      </w:r>
      <w:r w:rsidR="00DF65EC">
        <w:t xml:space="preserve">includes the </w:t>
      </w:r>
      <w:r>
        <w:t xml:space="preserve">entire men’s Ashes, but </w:t>
      </w:r>
      <w:r w:rsidR="00341688">
        <w:t xml:space="preserve">does </w:t>
      </w:r>
      <w:r>
        <w:t xml:space="preserve">not </w:t>
      </w:r>
      <w:r w:rsidR="008C2701">
        <w:t xml:space="preserve">cover </w:t>
      </w:r>
      <w:r>
        <w:t>the women’s</w:t>
      </w:r>
      <w:r w:rsidR="008C2701">
        <w:t xml:space="preserve"> </w:t>
      </w:r>
      <w:r w:rsidR="00DF65EC" w:rsidRPr="00B60128">
        <w:rPr>
          <w:rFonts w:cstheme="minorHAnsi"/>
        </w:rPr>
        <w:t xml:space="preserve">‘one day’ and T20 </w:t>
      </w:r>
      <w:r w:rsidR="00DF65EC">
        <w:rPr>
          <w:rFonts w:cstheme="minorHAnsi"/>
        </w:rPr>
        <w:t>matches</w:t>
      </w:r>
      <w:r w:rsidR="00AF27E2">
        <w:rPr>
          <w:rFonts w:cstheme="minorHAnsi"/>
        </w:rPr>
        <w:t xml:space="preserve"> played as part of the Ashes</w:t>
      </w:r>
      <w:r>
        <w:t>.</w:t>
      </w:r>
      <w:r w:rsidR="00341688">
        <w:t xml:space="preserve"> </w:t>
      </w:r>
      <w:r>
        <w:t xml:space="preserve">The ‘modernised list’ </w:t>
      </w:r>
      <w:r w:rsidR="00341688">
        <w:t xml:space="preserve">would </w:t>
      </w:r>
      <w:r>
        <w:t xml:space="preserve">include </w:t>
      </w:r>
      <w:r w:rsidR="00AF27E2">
        <w:t>all Ashes matches played in the UK.</w:t>
      </w:r>
      <w:r w:rsidR="008C2701">
        <w:t xml:space="preserve"> </w:t>
      </w:r>
      <w:r>
        <w:t xml:space="preserve"> </w:t>
      </w:r>
    </w:p>
    <w:p w14:paraId="67B4FDF7" w14:textId="63B87D1F" w:rsidR="00002A58" w:rsidRPr="00341688" w:rsidRDefault="00ED587E" w:rsidP="00341688">
      <w:pPr>
        <w:keepNext/>
        <w:keepLines/>
      </w:pPr>
      <w:r>
        <w:t xml:space="preserve">The amendment would </w:t>
      </w:r>
      <w:r w:rsidR="008C2701">
        <w:t>ensure</w:t>
      </w:r>
      <w:r>
        <w:t xml:space="preserve"> </w:t>
      </w:r>
      <w:r w:rsidR="008C2701">
        <w:t>that both</w:t>
      </w:r>
      <w:r>
        <w:t xml:space="preserve"> the complete men’s and women’s Ashes</w:t>
      </w:r>
      <w:r w:rsidR="008C2701">
        <w:t xml:space="preserve"> </w:t>
      </w:r>
      <w:r w:rsidR="00B675FE">
        <w:t xml:space="preserve">series </w:t>
      </w:r>
      <w:r w:rsidR="008C2701">
        <w:t>are on the list</w:t>
      </w:r>
      <w:r>
        <w:t>.</w:t>
      </w:r>
      <w:r w:rsidR="00341688">
        <w:t xml:space="preserve"> </w:t>
      </w:r>
      <w:r w:rsidR="008C2701" w:rsidRPr="61A519A0">
        <w:t xml:space="preserve">This </w:t>
      </w:r>
      <w:r w:rsidR="00341688">
        <w:t>would provide for a more consistent and equitable listing of Ashes matches involving the senior Australian representative sides.</w:t>
      </w:r>
    </w:p>
    <w:p w14:paraId="3382E51E" w14:textId="1E43AEFC" w:rsidR="00E17281" w:rsidRPr="00CC3F17" w:rsidRDefault="00E17281" w:rsidP="009C7379">
      <w:pPr>
        <w:pStyle w:val="Introduction"/>
        <w:rPr>
          <w:b/>
        </w:rPr>
      </w:pPr>
      <w:r w:rsidRPr="00F70A32">
        <w:t xml:space="preserve">Impact on </w:t>
      </w:r>
      <w:r w:rsidR="003C37A2">
        <w:rPr>
          <w:lang w:val="en-AU"/>
        </w:rPr>
        <w:t>g</w:t>
      </w:r>
      <w:r w:rsidRPr="00F70A32">
        <w:t>overnment</w:t>
      </w:r>
    </w:p>
    <w:p w14:paraId="1C016426" w14:textId="2EFCA7E5" w:rsidR="000A6B6A" w:rsidRDefault="00341688" w:rsidP="000A6B6A">
      <w:pPr>
        <w:tabs>
          <w:tab w:val="left" w:pos="7905"/>
        </w:tabs>
        <w:spacing w:before="120" w:after="120"/>
        <w:rPr>
          <w:rFonts w:cstheme="minorHAnsi"/>
          <w:lang w:val="en-US"/>
        </w:rPr>
      </w:pPr>
      <w:r>
        <w:rPr>
          <w:rFonts w:cstheme="minorHAnsi"/>
        </w:rPr>
        <w:t>Assuming the modernised list is implemented in conjunction with either the broadcasting safety net or free</w:t>
      </w:r>
      <w:r w:rsidR="00D84FCE">
        <w:rPr>
          <w:rFonts w:cstheme="minorHAnsi"/>
        </w:rPr>
        <w:noBreakHyphen/>
      </w:r>
      <w:r>
        <w:rPr>
          <w:rFonts w:cstheme="minorHAnsi"/>
        </w:rPr>
        <w:t>to-air first models (Models 2 and 3 respectively), th</w:t>
      </w:r>
      <w:r w:rsidR="00FB23F4">
        <w:rPr>
          <w:rFonts w:cstheme="minorHAnsi"/>
        </w:rPr>
        <w:t xml:space="preserve">is </w:t>
      </w:r>
      <w:r>
        <w:rPr>
          <w:rFonts w:cstheme="minorHAnsi"/>
        </w:rPr>
        <w:t xml:space="preserve">is </w:t>
      </w:r>
      <w:r>
        <w:rPr>
          <w:rFonts w:cstheme="minorHAnsi"/>
          <w:lang w:val="en-US"/>
        </w:rPr>
        <w:t xml:space="preserve">expected to have a </w:t>
      </w:r>
      <w:r w:rsidR="000A6B6A">
        <w:rPr>
          <w:rFonts w:cstheme="minorHAnsi"/>
          <w:lang w:val="en-US"/>
        </w:rPr>
        <w:t xml:space="preserve">minor budgetary impact on the ACMA, who would be required to oversee and administer a framework that effectively extends the current regulatory arrangements. </w:t>
      </w:r>
    </w:p>
    <w:p w14:paraId="71FB593D" w14:textId="77777777" w:rsidR="00E17281" w:rsidRPr="00B6200D" w:rsidRDefault="00E17281" w:rsidP="009C7379">
      <w:pPr>
        <w:pStyle w:val="Introduction"/>
      </w:pPr>
      <w:r>
        <w:t>Overall assessment</w:t>
      </w:r>
    </w:p>
    <w:p w14:paraId="4F157915" w14:textId="338BEA71" w:rsidR="000A6B6A" w:rsidRDefault="007A4F57" w:rsidP="00734E84">
      <w:r>
        <w:t xml:space="preserve">The modernised list would involve an increase in the scope and application of the scheme compared with the current list, although this is relatively modest in terms of the competitions involved (given that the bulk of this increase is attributable to the addition of the </w:t>
      </w:r>
      <w:r w:rsidR="007E7C89">
        <w:t xml:space="preserve">Summer </w:t>
      </w:r>
      <w:r>
        <w:t xml:space="preserve">Paralympic Games, which take place every four years). </w:t>
      </w:r>
    </w:p>
    <w:p w14:paraId="202381AC" w14:textId="7CF84835" w:rsidR="000A6B6A" w:rsidRDefault="000A6B6A" w:rsidP="000A6B6A">
      <w:r>
        <w:t>As with each of the list options, this proposal take</w:t>
      </w:r>
      <w:r w:rsidR="005F0892">
        <w:t>s</w:t>
      </w:r>
      <w:r>
        <w:t xml:space="preserve"> a</w:t>
      </w:r>
      <w:r w:rsidR="00622463">
        <w:t>n</w:t>
      </w:r>
      <w:r>
        <w:t xml:space="preserve"> inclusive approach to international matches that involve a senior Australian representative team, and include standalone fixtures and world cup matches that involve a men’s or women’s senior representative side.</w:t>
      </w:r>
      <w:r w:rsidR="00D84FCE">
        <w:t xml:space="preserve"> </w:t>
      </w:r>
    </w:p>
    <w:p w14:paraId="63975AFD" w14:textId="30F9D200" w:rsidR="000A6B6A" w:rsidRDefault="000A6B6A" w:rsidP="000A6B6A">
      <w:r>
        <w:t xml:space="preserve">It would also include a limited number of AFL and NRL matches, and minor adjustments in terms of cricket and rugby union. </w:t>
      </w:r>
    </w:p>
    <w:p w14:paraId="6AF433A6" w14:textId="6EEA1272" w:rsidR="000A6B6A" w:rsidRDefault="000A6B6A" w:rsidP="000A6B6A">
      <w:pPr>
        <w:spacing w:after="0"/>
      </w:pPr>
      <w:r>
        <w:t xml:space="preserve">From an industry perspective, this option would continue to limit the ability of sports bodies to negotiate openly with respect to their rights, and modestly increase this level of restriction. This would be beneficial to free-to-air broadcasters, and detrimental to subscription television broadcasting licensees and online streaming services (although the overall increase in restrictions would be relatively modest). </w:t>
      </w:r>
    </w:p>
    <w:p w14:paraId="2A590F00" w14:textId="3F8F7008" w:rsidR="000A6B6A" w:rsidRDefault="000A6B6A" w:rsidP="000A6B6A">
      <w:pPr>
        <w:spacing w:after="0"/>
      </w:pPr>
      <w:r>
        <w:t>For consumers, this list option would increase the likelihood of free access to televised coverage of these additional events for Australian audiences and, commensurately, would mitigate the risk of these events being placed behind a paywall.</w:t>
      </w:r>
    </w:p>
    <w:p w14:paraId="34592698" w14:textId="70BA4371" w:rsidR="0009719A" w:rsidRPr="009B3A80" w:rsidRDefault="0009719A" w:rsidP="00F32805">
      <w:pPr>
        <w:pStyle w:val="Heading3"/>
      </w:pPr>
      <w:bookmarkStart w:id="167" w:name="_Toc150883286"/>
      <w:bookmarkStart w:id="168" w:name="_Toc151053068"/>
      <w:r w:rsidRPr="009B3A80">
        <w:t>Option 3: ‘</w:t>
      </w:r>
      <w:r w:rsidR="000A6B6A">
        <w:t>e</w:t>
      </w:r>
      <w:r w:rsidRPr="009B3A80">
        <w:t>xpanded List’</w:t>
      </w:r>
      <w:bookmarkEnd w:id="167"/>
      <w:bookmarkEnd w:id="168"/>
    </w:p>
    <w:p w14:paraId="6CDB1352" w14:textId="1B004B6E" w:rsidR="000A6B6A" w:rsidRPr="00D61250" w:rsidRDefault="00F32805" w:rsidP="00D61250">
      <w:pPr>
        <w:pStyle w:val="Introduction"/>
      </w:pPr>
      <w:r w:rsidRPr="00D61250">
        <w:t>I</w:t>
      </w:r>
      <w:r w:rsidR="00B80B0E" w:rsidRPr="00D61250">
        <w:t>mpact on</w:t>
      </w:r>
      <w:r w:rsidR="000A6B6A" w:rsidRPr="00D61250">
        <w:t xml:space="preserve"> industry </w:t>
      </w:r>
    </w:p>
    <w:p w14:paraId="0EA6F893" w14:textId="77777777" w:rsidR="00D61250" w:rsidRDefault="000A6B6A" w:rsidP="007A4F57">
      <w:pPr>
        <w:spacing w:after="0"/>
        <w:rPr>
          <w:b/>
        </w:rPr>
      </w:pPr>
      <w:r w:rsidRPr="00D61250">
        <w:rPr>
          <w:b/>
        </w:rPr>
        <w:t>F</w:t>
      </w:r>
      <w:r w:rsidR="007A4F57" w:rsidRPr="00D61250">
        <w:rPr>
          <w:b/>
        </w:rPr>
        <w:t>ree-to-air broadcasters</w:t>
      </w:r>
    </w:p>
    <w:p w14:paraId="35811394" w14:textId="631634B6" w:rsidR="00495D7F" w:rsidRPr="00D61250" w:rsidRDefault="00D91323" w:rsidP="007A4F57">
      <w:pPr>
        <w:spacing w:after="0"/>
        <w:rPr>
          <w:b/>
        </w:rPr>
      </w:pPr>
      <w:r w:rsidRPr="00746A52">
        <w:t xml:space="preserve">The </w:t>
      </w:r>
      <w:r>
        <w:t>expanded</w:t>
      </w:r>
      <w:r w:rsidRPr="00746A52">
        <w:t xml:space="preserve"> list would </w:t>
      </w:r>
      <w:r>
        <w:t>significantly</w:t>
      </w:r>
      <w:r w:rsidRPr="00746A52">
        <w:t xml:space="preserve"> increase </w:t>
      </w:r>
      <w:r>
        <w:t xml:space="preserve">the scope of the anti-siphoning scheme, increasing the number listed events by close to </w:t>
      </w:r>
      <w:r w:rsidRPr="00056164">
        <w:t>50 per cent</w:t>
      </w:r>
      <w:r>
        <w:t xml:space="preserve"> compared with the current list, although the bulk of this increase is attributable to the inclusion of the Paralympic Games and the AFL and NRL Women’s Premiership competitions.</w:t>
      </w:r>
      <w:r w:rsidR="00495D7F">
        <w:t xml:space="preserve"> This would provide free-to-air broadcasters with a significant commercial advantage as it would advance their negotiating position with regard to the relevant rights (assuming that the modernised list is coupled with either Models 2, 3 or 4). </w:t>
      </w:r>
    </w:p>
    <w:p w14:paraId="42C4D408" w14:textId="77777777" w:rsidR="00D61250" w:rsidRDefault="000A6B6A" w:rsidP="00D61250">
      <w:pPr>
        <w:spacing w:after="0"/>
        <w:rPr>
          <w:b/>
        </w:rPr>
      </w:pPr>
      <w:r w:rsidRPr="00D61250">
        <w:rPr>
          <w:b/>
        </w:rPr>
        <w:t>S</w:t>
      </w:r>
      <w:r w:rsidR="007A4F57" w:rsidRPr="00D61250">
        <w:rPr>
          <w:b/>
        </w:rPr>
        <w:t>ubscription television and streaming services</w:t>
      </w:r>
    </w:p>
    <w:p w14:paraId="6368BF8E" w14:textId="62BB33F3" w:rsidR="00495D7F" w:rsidRPr="00D61250" w:rsidRDefault="00495D7F" w:rsidP="00D61250">
      <w:pPr>
        <w:spacing w:after="0"/>
        <w:rPr>
          <w:b/>
        </w:rPr>
      </w:pPr>
      <w:r>
        <w:t>By substantially expanding the list – compared with the current instrument – subscription television broadcasting licensees would face additional restrictions on their ability to purchase and monetise the additional events proposed to be included on the modernised list (until the events are delisted).</w:t>
      </w:r>
    </w:p>
    <w:p w14:paraId="4489A52B" w14:textId="4AEE3047" w:rsidR="00495D7F" w:rsidRDefault="00495D7F" w:rsidP="00495D7F">
      <w:r>
        <w:t xml:space="preserve">Under Models 2 and 3, streaming and other content services would be brought into the scheme for the first time. These entities would face the same restrictions on the acquisition of right to listed event as subscription </w:t>
      </w:r>
      <w:r w:rsidR="003C7CCD">
        <w:t>television</w:t>
      </w:r>
      <w:r>
        <w:t xml:space="preserve"> broadcasters under this scenario. In other words, they would lose the opportunity to secure the rights to event that were (in terms of their own operations) previously unrestricted. </w:t>
      </w:r>
    </w:p>
    <w:p w14:paraId="06A60185" w14:textId="77777777" w:rsidR="00D61250" w:rsidRDefault="000A6B6A" w:rsidP="00FE2BBA">
      <w:pPr>
        <w:spacing w:after="0"/>
        <w:rPr>
          <w:b/>
        </w:rPr>
      </w:pPr>
      <w:r w:rsidRPr="00D61250">
        <w:rPr>
          <w:b/>
        </w:rPr>
        <w:t>S</w:t>
      </w:r>
      <w:r w:rsidR="007A4F57" w:rsidRPr="00D61250">
        <w:rPr>
          <w:b/>
        </w:rPr>
        <w:t>porting bodies</w:t>
      </w:r>
    </w:p>
    <w:p w14:paraId="40CF30A2" w14:textId="24BBC06C" w:rsidR="00495D7F" w:rsidRPr="00D61250" w:rsidRDefault="00495D7F" w:rsidP="00FE2BBA">
      <w:pPr>
        <w:spacing w:after="0"/>
        <w:rPr>
          <w:b/>
        </w:rPr>
      </w:pPr>
      <w:r>
        <w:t xml:space="preserve">The expanded list option would continue to limit the ability of sports bodies to negotiate openly with respect to their rights, and to a greater degree than the other list options. </w:t>
      </w:r>
      <w:r w:rsidR="00FE2BBA">
        <w:t>The additions to the list w</w:t>
      </w:r>
      <w:r>
        <w:t>ould i</w:t>
      </w:r>
      <w:r w:rsidR="00FE2BBA">
        <w:t xml:space="preserve">mpact the negotiation process for </w:t>
      </w:r>
      <w:r>
        <w:t xml:space="preserve">the </w:t>
      </w:r>
      <w:r w:rsidR="00FE2BBA">
        <w:t>sporting bodies offering t</w:t>
      </w:r>
      <w:r>
        <w:t>he rights to t</w:t>
      </w:r>
      <w:r w:rsidR="00FE2BBA">
        <w:t>hose events</w:t>
      </w:r>
      <w:r>
        <w:t>, with t</w:t>
      </w:r>
      <w:r w:rsidR="00FE2BBA">
        <w:t xml:space="preserve">hese bodies </w:t>
      </w:r>
      <w:r>
        <w:t xml:space="preserve">having fewer parties to engage with for the acquisition of rights without regulatory restriction. </w:t>
      </w:r>
      <w:r w:rsidR="003A3C70">
        <w:t>This may hinder the ability of sports bodies to</w:t>
      </w:r>
      <w:r w:rsidR="0016470C">
        <w:t xml:space="preserve"> maximise their rights and invest back in their sport</w:t>
      </w:r>
      <w:r w:rsidR="003A3C70">
        <w:t>, particularly given the breadth of listings proposed under this list option</w:t>
      </w:r>
      <w:r w:rsidR="0016470C">
        <w:t xml:space="preserve">.  </w:t>
      </w:r>
    </w:p>
    <w:p w14:paraId="4A816666" w14:textId="0568A7F6" w:rsidR="007A4F57" w:rsidRPr="00D61250" w:rsidRDefault="007A4F57" w:rsidP="00D61250">
      <w:pPr>
        <w:pStyle w:val="Introduction"/>
      </w:pPr>
      <w:r w:rsidRPr="00D61250">
        <w:t xml:space="preserve">Impact on Australian consumers </w:t>
      </w:r>
    </w:p>
    <w:p w14:paraId="461AD32E" w14:textId="13A03756" w:rsidR="007A4F57" w:rsidRDefault="00D91323" w:rsidP="007A4F57">
      <w:pPr>
        <w:spacing w:after="0"/>
      </w:pPr>
      <w:r>
        <w:t>The</w:t>
      </w:r>
      <w:r w:rsidR="007A4F57" w:rsidRPr="00A8114F">
        <w:t xml:space="preserve"> </w:t>
      </w:r>
      <w:r w:rsidR="00495D7F">
        <w:t xml:space="preserve">significant </w:t>
      </w:r>
      <w:r w:rsidR="007A4F57">
        <w:t xml:space="preserve">increase in events </w:t>
      </w:r>
      <w:r w:rsidR="00495D7F">
        <w:t>in</w:t>
      </w:r>
      <w:r w:rsidR="007A4F57">
        <w:t xml:space="preserve"> the </w:t>
      </w:r>
      <w:r>
        <w:t>expanded</w:t>
      </w:r>
      <w:r w:rsidR="007A4F57">
        <w:t xml:space="preserve"> list</w:t>
      </w:r>
      <w:r w:rsidR="007A4F57" w:rsidRPr="00A8114F">
        <w:t xml:space="preserve"> </w:t>
      </w:r>
      <w:r w:rsidR="007A4F57">
        <w:t>could help support the ability of Australians to view those sporting events</w:t>
      </w:r>
      <w:r w:rsidR="00495D7F">
        <w:t xml:space="preserve"> for free</w:t>
      </w:r>
      <w:r w:rsidR="007A4F57">
        <w:t xml:space="preserve"> (b</w:t>
      </w:r>
      <w:r w:rsidR="00495D7F">
        <w:t>y</w:t>
      </w:r>
      <w:r w:rsidR="007A4F57">
        <w:t xml:space="preserve"> restricting the ability of parties other than free</w:t>
      </w:r>
      <w:r w:rsidR="007A4F57">
        <w:noBreakHyphen/>
        <w:t>to</w:t>
      </w:r>
      <w:r w:rsidR="007A4F57">
        <w:noBreakHyphen/>
        <w:t xml:space="preserve">air broadcasters to </w:t>
      </w:r>
      <w:r w:rsidR="00495D7F">
        <w:t>acquire the rights to</w:t>
      </w:r>
      <w:r w:rsidR="007A4F57">
        <w:t xml:space="preserve"> those events). Without being listed, any party would be able to acquire the rights </w:t>
      </w:r>
      <w:r w:rsidR="005F0892">
        <w:t>to</w:t>
      </w:r>
      <w:r w:rsidR="007A4F57">
        <w:t xml:space="preserve"> an event at any time and place them behind a paywall. </w:t>
      </w:r>
    </w:p>
    <w:p w14:paraId="570F6674" w14:textId="2623A21A" w:rsidR="00495D7F" w:rsidRDefault="00D91323" w:rsidP="00495D7F">
      <w:r>
        <w:t xml:space="preserve">This would be done with the aim of increasing the likelihood of free access to televised coverage of these events for Australian audiences and, commensurately, seek to mitigate the </w:t>
      </w:r>
      <w:r w:rsidR="005F0892">
        <w:t xml:space="preserve">risk </w:t>
      </w:r>
      <w:r>
        <w:t>of these events being placed behind a paywall. However, this outcome would be dependent on free-to-air broadcasters opting to acquire the relevant rights to these events.</w:t>
      </w:r>
      <w:r w:rsidR="00102B8C">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2"/>
        <w:gridCol w:w="7732"/>
      </w:tblGrid>
      <w:tr w:rsidR="00D91323" w14:paraId="2CF0765F" w14:textId="77777777" w:rsidTr="00D91323">
        <w:tc>
          <w:tcPr>
            <w:tcW w:w="2122" w:type="dxa"/>
            <w:shd w:val="clear" w:color="auto" w:fill="D7E5FA" w:themeFill="text2" w:themeFillTint="1A"/>
          </w:tcPr>
          <w:p w14:paraId="651EF566" w14:textId="19697BCB" w:rsidR="00D91323" w:rsidRPr="00B844DC" w:rsidRDefault="00D91323" w:rsidP="00495D7F">
            <w:pPr>
              <w:spacing w:before="120" w:after="120"/>
              <w:rPr>
                <w:b/>
              </w:rPr>
            </w:pPr>
            <w:r w:rsidRPr="00B844DC">
              <w:rPr>
                <w:b/>
              </w:rPr>
              <w:t xml:space="preserve">Proposed </w:t>
            </w:r>
            <w:r w:rsidR="00495D7F">
              <w:rPr>
                <w:b/>
              </w:rPr>
              <w:t>a</w:t>
            </w:r>
            <w:r>
              <w:rPr>
                <w:b/>
              </w:rPr>
              <w:t>dditions</w:t>
            </w:r>
          </w:p>
        </w:tc>
        <w:tc>
          <w:tcPr>
            <w:tcW w:w="7732" w:type="dxa"/>
          </w:tcPr>
          <w:p w14:paraId="6FB925EA" w14:textId="3ED9A3AF" w:rsidR="00D91323" w:rsidRPr="00D91323" w:rsidRDefault="00D91323" w:rsidP="00495D7F">
            <w:pPr>
              <w:spacing w:before="120" w:after="120"/>
            </w:pPr>
            <w:r w:rsidRPr="00D91323">
              <w:rPr>
                <w:rFonts w:cstheme="minorHAnsi"/>
              </w:rPr>
              <w:t>All events held as part of the Summer Paralympic Games</w:t>
            </w:r>
          </w:p>
        </w:tc>
      </w:tr>
      <w:tr w:rsidR="00D91323" w14:paraId="0207F872" w14:textId="77777777" w:rsidTr="00D91323">
        <w:tc>
          <w:tcPr>
            <w:tcW w:w="2122" w:type="dxa"/>
            <w:shd w:val="clear" w:color="auto" w:fill="D7E5FA" w:themeFill="text2" w:themeFillTint="1A"/>
          </w:tcPr>
          <w:p w14:paraId="6DA4185A" w14:textId="77777777" w:rsidR="00D91323" w:rsidRPr="00B844DC" w:rsidRDefault="00D91323" w:rsidP="00495D7F">
            <w:pPr>
              <w:spacing w:before="120" w:after="120"/>
              <w:rPr>
                <w:b/>
              </w:rPr>
            </w:pPr>
          </w:p>
        </w:tc>
        <w:tc>
          <w:tcPr>
            <w:tcW w:w="7732" w:type="dxa"/>
          </w:tcPr>
          <w:p w14:paraId="4B471BF2" w14:textId="76EDDEF3" w:rsidR="00D91323" w:rsidRPr="00D91323" w:rsidRDefault="00495D7F" w:rsidP="00495D7F">
            <w:pPr>
              <w:spacing w:before="120" w:after="120"/>
              <w:rPr>
                <w:rFonts w:cstheme="minorHAnsi"/>
              </w:rPr>
            </w:pPr>
            <w:r>
              <w:rPr>
                <w:rFonts w:cstheme="minorHAnsi"/>
              </w:rPr>
              <w:t>T</w:t>
            </w:r>
            <w:r w:rsidR="00D91323" w:rsidRPr="00D91323">
              <w:rPr>
                <w:rFonts w:cstheme="minorHAnsi"/>
              </w:rPr>
              <w:t xml:space="preserve">he </w:t>
            </w:r>
            <w:r w:rsidR="0025598E">
              <w:rPr>
                <w:rFonts w:cstheme="minorHAnsi"/>
              </w:rPr>
              <w:t>NRLW</w:t>
            </w:r>
            <w:r w:rsidR="00D91323" w:rsidRPr="00D91323">
              <w:rPr>
                <w:rFonts w:cstheme="minorHAnsi"/>
              </w:rPr>
              <w:t xml:space="preserve"> State of Origin Series</w:t>
            </w:r>
          </w:p>
        </w:tc>
      </w:tr>
      <w:tr w:rsidR="00D91323" w14:paraId="6052EA50" w14:textId="77777777" w:rsidTr="00D91323">
        <w:tc>
          <w:tcPr>
            <w:tcW w:w="2122" w:type="dxa"/>
            <w:shd w:val="clear" w:color="auto" w:fill="D7E5FA" w:themeFill="text2" w:themeFillTint="1A"/>
          </w:tcPr>
          <w:p w14:paraId="66F4BB42" w14:textId="77777777" w:rsidR="00D91323" w:rsidRPr="00B844DC" w:rsidRDefault="00D91323" w:rsidP="00495D7F">
            <w:pPr>
              <w:spacing w:before="120" w:after="120"/>
              <w:rPr>
                <w:b/>
              </w:rPr>
            </w:pPr>
          </w:p>
        </w:tc>
        <w:tc>
          <w:tcPr>
            <w:tcW w:w="7732" w:type="dxa"/>
          </w:tcPr>
          <w:p w14:paraId="55C0CBAF" w14:textId="16E51367" w:rsidR="00D91323" w:rsidRPr="00D91323" w:rsidRDefault="00D91323" w:rsidP="00495D7F">
            <w:pPr>
              <w:spacing w:before="120" w:after="120"/>
              <w:rPr>
                <w:rFonts w:cstheme="minorHAnsi"/>
              </w:rPr>
            </w:pPr>
            <w:r w:rsidRPr="00D91323">
              <w:rPr>
                <w:rFonts w:cstheme="minorHAnsi"/>
              </w:rPr>
              <w:t xml:space="preserve">All women’s ‘Ashes’ played in the United Kingdom </w:t>
            </w:r>
            <w:r w:rsidRPr="00D91323">
              <w:rPr>
                <w:rFonts w:cstheme="minorHAnsi"/>
              </w:rPr>
              <w:br/>
              <w:t>(currently ‘one day’ and T20 ‘Ashes’ matches are not on the list)</w:t>
            </w:r>
          </w:p>
        </w:tc>
      </w:tr>
    </w:tbl>
    <w:p w14:paraId="67E109C4" w14:textId="6FCAD7FD" w:rsidR="000A6B6A" w:rsidRDefault="000A6B6A" w:rsidP="00974AE7">
      <w:r>
        <w:t>The</w:t>
      </w:r>
      <w:r w:rsidR="00974AE7">
        <w:t>se proposed additions mirror those advanced in the modernised list</w:t>
      </w:r>
      <w:r w:rsidR="00836EAB">
        <w:t>. P</w:t>
      </w:r>
      <w:r w:rsidR="00974AE7">
        <w:t xml:space="preserve">lease refer to </w:t>
      </w:r>
      <w:r w:rsidR="00836EAB">
        <w:t xml:space="preserve">that </w:t>
      </w:r>
      <w:r w:rsidR="00974AE7">
        <w:t>section for an assessment of the p</w:t>
      </w:r>
      <w:r>
        <w:t>otential consumer impacts</w:t>
      </w:r>
      <w:r w:rsidR="00974AE7">
        <w:t xml:space="preserve">. </w:t>
      </w:r>
      <w:r>
        <w:t xml:space="preserve">  </w:t>
      </w:r>
    </w:p>
    <w:tbl>
      <w:tblPr>
        <w:tblStyle w:val="TableGrid"/>
        <w:tblW w:w="0" w:type="auto"/>
        <w:tblBorders>
          <w:insideH w:val="none" w:sz="0" w:space="0" w:color="auto"/>
        </w:tblBorders>
        <w:tblLook w:val="04A0" w:firstRow="1" w:lastRow="0" w:firstColumn="1" w:lastColumn="0" w:noHBand="0" w:noVBand="1"/>
      </w:tblPr>
      <w:tblGrid>
        <w:gridCol w:w="2122"/>
        <w:gridCol w:w="7732"/>
      </w:tblGrid>
      <w:tr w:rsidR="000378B2" w14:paraId="18E2C1E7" w14:textId="77777777" w:rsidTr="00A64BB9">
        <w:tc>
          <w:tcPr>
            <w:tcW w:w="2122" w:type="dxa"/>
            <w:tcBorders>
              <w:right w:val="nil"/>
            </w:tcBorders>
            <w:shd w:val="clear" w:color="auto" w:fill="D7E5FA" w:themeFill="text2" w:themeFillTint="1A"/>
          </w:tcPr>
          <w:p w14:paraId="1497FC3E" w14:textId="3DC74676" w:rsidR="000378B2" w:rsidRPr="00B844DC" w:rsidRDefault="000378B2" w:rsidP="00B32656">
            <w:pPr>
              <w:keepNext/>
              <w:keepLines/>
              <w:spacing w:before="120" w:after="120"/>
              <w:rPr>
                <w:b/>
              </w:rPr>
            </w:pPr>
            <w:r w:rsidRPr="00B844DC">
              <w:rPr>
                <w:b/>
              </w:rPr>
              <w:t xml:space="preserve">Proposed </w:t>
            </w:r>
            <w:r w:rsidR="00974AE7">
              <w:rPr>
                <w:b/>
              </w:rPr>
              <w:t>a</w:t>
            </w:r>
            <w:r w:rsidRPr="00B844DC">
              <w:rPr>
                <w:b/>
              </w:rPr>
              <w:t>dditions</w:t>
            </w:r>
          </w:p>
        </w:tc>
        <w:tc>
          <w:tcPr>
            <w:tcW w:w="7732" w:type="dxa"/>
            <w:tcBorders>
              <w:top w:val="single" w:sz="4" w:space="0" w:color="auto"/>
              <w:left w:val="nil"/>
              <w:bottom w:val="nil"/>
              <w:right w:val="single" w:sz="4" w:space="0" w:color="auto"/>
            </w:tcBorders>
          </w:tcPr>
          <w:p w14:paraId="25B481C2" w14:textId="706F9C53" w:rsidR="000378B2" w:rsidRDefault="000378B2" w:rsidP="00B32656">
            <w:pPr>
              <w:keepNext/>
              <w:keepLines/>
              <w:spacing w:before="120" w:after="120"/>
            </w:pPr>
            <w:r w:rsidRPr="00B60128">
              <w:rPr>
                <w:rFonts w:cstheme="minorHAnsi"/>
              </w:rPr>
              <w:t xml:space="preserve">The </w:t>
            </w:r>
            <w:r w:rsidR="00A64BB9">
              <w:rPr>
                <w:rFonts w:cstheme="minorHAnsi"/>
              </w:rPr>
              <w:t>entire</w:t>
            </w:r>
            <w:r w:rsidRPr="00B60128">
              <w:rPr>
                <w:rFonts w:cstheme="minorHAnsi"/>
              </w:rPr>
              <w:t xml:space="preserve"> </w:t>
            </w:r>
            <w:r w:rsidR="0025598E">
              <w:rPr>
                <w:rFonts w:cstheme="minorHAnsi"/>
              </w:rPr>
              <w:t>AFLW</w:t>
            </w:r>
            <w:r w:rsidRPr="00B60128">
              <w:rPr>
                <w:rFonts w:cstheme="minorHAnsi"/>
              </w:rPr>
              <w:t xml:space="preserve"> Premiership</w:t>
            </w:r>
          </w:p>
        </w:tc>
      </w:tr>
      <w:tr w:rsidR="000378B2" w:rsidRPr="00B60128" w14:paraId="73226E1B" w14:textId="77777777" w:rsidTr="00A64BB9">
        <w:tc>
          <w:tcPr>
            <w:tcW w:w="2122" w:type="dxa"/>
            <w:tcBorders>
              <w:right w:val="nil"/>
            </w:tcBorders>
            <w:shd w:val="clear" w:color="auto" w:fill="D7E5FA" w:themeFill="text2" w:themeFillTint="1A"/>
          </w:tcPr>
          <w:p w14:paraId="4E3566E6" w14:textId="77777777" w:rsidR="000378B2" w:rsidRDefault="000378B2" w:rsidP="00B32656">
            <w:pPr>
              <w:keepNext/>
              <w:keepLines/>
              <w:spacing w:before="120" w:after="120"/>
            </w:pPr>
          </w:p>
        </w:tc>
        <w:tc>
          <w:tcPr>
            <w:tcW w:w="7732" w:type="dxa"/>
            <w:tcBorders>
              <w:top w:val="nil"/>
              <w:left w:val="nil"/>
              <w:bottom w:val="single" w:sz="4" w:space="0" w:color="auto"/>
              <w:right w:val="single" w:sz="4" w:space="0" w:color="auto"/>
            </w:tcBorders>
          </w:tcPr>
          <w:p w14:paraId="71B9774B" w14:textId="04CD1E62" w:rsidR="000378B2" w:rsidRPr="00B60128" w:rsidRDefault="000378B2" w:rsidP="00B32656">
            <w:pPr>
              <w:keepNext/>
              <w:keepLines/>
              <w:spacing w:before="120" w:after="120"/>
              <w:rPr>
                <w:rFonts w:cstheme="minorHAnsi"/>
              </w:rPr>
            </w:pPr>
            <w:r w:rsidRPr="00B60128">
              <w:rPr>
                <w:rFonts w:cstheme="minorHAnsi"/>
              </w:rPr>
              <w:t xml:space="preserve">The </w:t>
            </w:r>
            <w:r w:rsidR="00A64BB9">
              <w:rPr>
                <w:rFonts w:cstheme="minorHAnsi"/>
              </w:rPr>
              <w:t>entire</w:t>
            </w:r>
            <w:r w:rsidRPr="00B60128">
              <w:rPr>
                <w:rFonts w:cstheme="minorHAnsi"/>
              </w:rPr>
              <w:t xml:space="preserve"> </w:t>
            </w:r>
            <w:r w:rsidR="0025598E">
              <w:rPr>
                <w:rFonts w:cstheme="minorHAnsi"/>
              </w:rPr>
              <w:t>NRLW</w:t>
            </w:r>
            <w:r w:rsidRPr="00B60128">
              <w:rPr>
                <w:rFonts w:cstheme="minorHAnsi"/>
              </w:rPr>
              <w:t xml:space="preserve"> Premiership</w:t>
            </w:r>
          </w:p>
        </w:tc>
      </w:tr>
    </w:tbl>
    <w:p w14:paraId="49E8C474" w14:textId="1628871E" w:rsidR="00174D07" w:rsidRDefault="000378B2" w:rsidP="00B32656">
      <w:pPr>
        <w:keepNext/>
        <w:keepLines/>
        <w:suppressAutoHyphens w:val="0"/>
      </w:pPr>
      <w:r w:rsidRPr="003375F9">
        <w:t>Listing the</w:t>
      </w:r>
      <w:r w:rsidR="00974AE7" w:rsidRPr="003375F9">
        <w:t xml:space="preserve"> </w:t>
      </w:r>
      <w:r w:rsidR="0025598E">
        <w:t>AFLW</w:t>
      </w:r>
      <w:r w:rsidR="00E77B06">
        <w:t xml:space="preserve"> Premiership </w:t>
      </w:r>
      <w:r w:rsidR="00974AE7">
        <w:t xml:space="preserve">and </w:t>
      </w:r>
      <w:r w:rsidR="00E77B06">
        <w:t>the</w:t>
      </w:r>
      <w:r w:rsidR="00974AE7" w:rsidDel="00E77B06">
        <w:t xml:space="preserve"> </w:t>
      </w:r>
      <w:r w:rsidR="0025598E">
        <w:t>NRLW</w:t>
      </w:r>
      <w:r w:rsidR="00E77B06">
        <w:t xml:space="preserve"> Premiership</w:t>
      </w:r>
      <w:r w:rsidR="00974AE7" w:rsidRPr="003375F9">
        <w:t xml:space="preserve"> competitions in their entirety may lead to an outcome where the coverage of these matches is provided to Australian audiences for free. </w:t>
      </w:r>
    </w:p>
    <w:p w14:paraId="74B0F6F4" w14:textId="53CCF8D3" w:rsidR="00F81E74" w:rsidRPr="004661AA" w:rsidRDefault="00F81E74" w:rsidP="002E1D0D">
      <w:pPr>
        <w:pStyle w:val="ListParagraph"/>
        <w:numPr>
          <w:ilvl w:val="0"/>
          <w:numId w:val="62"/>
        </w:numPr>
        <w:suppressAutoHyphens w:val="0"/>
      </w:pPr>
      <w:bookmarkStart w:id="169" w:name="_Hlk150763383"/>
      <w:r w:rsidRPr="004661AA">
        <w:t>The 2023 NRLW Premiership season had an average audience of 63,000</w:t>
      </w:r>
      <w:r w:rsidRPr="004661AA">
        <w:rPr>
          <w:rStyle w:val="FootnoteReference"/>
        </w:rPr>
        <w:footnoteReference w:id="149"/>
      </w:r>
      <w:r w:rsidRPr="004661AA">
        <w:t xml:space="preserve"> and an average viewership of 72,000 in 2022</w:t>
      </w:r>
      <w:r w:rsidR="00836EAB">
        <w:t>.</w:t>
      </w:r>
      <w:r w:rsidRPr="004661AA">
        <w:rPr>
          <w:rStyle w:val="FootnoteReference"/>
        </w:rPr>
        <w:footnoteReference w:id="150"/>
      </w:r>
    </w:p>
    <w:p w14:paraId="78EB98FC" w14:textId="2BF91478" w:rsidR="00675065" w:rsidRPr="004661AA" w:rsidRDefault="00F81E74" w:rsidP="004F2917">
      <w:pPr>
        <w:pStyle w:val="ListParagraph"/>
        <w:numPr>
          <w:ilvl w:val="0"/>
          <w:numId w:val="62"/>
        </w:numPr>
        <w:suppressAutoHyphens w:val="0"/>
      </w:pPr>
      <w:r w:rsidRPr="004661AA">
        <w:t xml:space="preserve">The </w:t>
      </w:r>
      <w:r w:rsidR="00675065" w:rsidRPr="004661AA">
        <w:t>2022 AFLW Premiership</w:t>
      </w:r>
      <w:r w:rsidR="00AB5AE9" w:rsidRPr="004661AA">
        <w:t xml:space="preserve"> season</w:t>
      </w:r>
      <w:r w:rsidR="00675065" w:rsidRPr="004661AA">
        <w:t xml:space="preserve"> had an average viewership of 56,</w:t>
      </w:r>
      <w:r w:rsidR="00675065" w:rsidRPr="000C4B43">
        <w:t>000</w:t>
      </w:r>
      <w:r w:rsidR="00B26F91" w:rsidRPr="000C4B43">
        <w:t xml:space="preserve"> </w:t>
      </w:r>
      <w:r w:rsidR="000C4B43" w:rsidRPr="000C4B43">
        <w:t xml:space="preserve">(Saturday afternoon games) </w:t>
      </w:r>
      <w:r w:rsidR="00675065" w:rsidRPr="004661AA">
        <w:t xml:space="preserve">and an average </w:t>
      </w:r>
      <w:r w:rsidR="00AB5AE9" w:rsidRPr="004661AA">
        <w:t xml:space="preserve">viewership </w:t>
      </w:r>
      <w:r w:rsidR="00675065" w:rsidRPr="004661AA">
        <w:t>of 82,</w:t>
      </w:r>
      <w:r w:rsidR="00675065" w:rsidRPr="000C4B43">
        <w:t xml:space="preserve">000 </w:t>
      </w:r>
      <w:r w:rsidR="000C4B43" w:rsidRPr="000C4B43">
        <w:t>(Sunday afternoon games)</w:t>
      </w:r>
      <w:r w:rsidR="00D63C1E">
        <w:t xml:space="preserve"> </w:t>
      </w:r>
      <w:r w:rsidR="00675065" w:rsidRPr="000C4B43">
        <w:t>in</w:t>
      </w:r>
      <w:r w:rsidR="00675065" w:rsidRPr="004661AA">
        <w:t xml:space="preserve"> 2021</w:t>
      </w:r>
      <w:r w:rsidR="00836EAB">
        <w:t>.</w:t>
      </w:r>
      <w:r w:rsidR="00675065" w:rsidRPr="004661AA">
        <w:rPr>
          <w:rStyle w:val="FootnoteReference"/>
        </w:rPr>
        <w:footnoteReference w:id="151"/>
      </w:r>
    </w:p>
    <w:bookmarkEnd w:id="169"/>
    <w:p w14:paraId="44753A3D" w14:textId="0172C46E" w:rsidR="000E609E" w:rsidRDefault="00E77B06" w:rsidP="00FB23F4">
      <w:pPr>
        <w:suppressAutoHyphens w:val="0"/>
      </w:pPr>
      <w:r w:rsidRPr="003375F9">
        <w:t xml:space="preserve">Although coverage of these relatively </w:t>
      </w:r>
      <w:r w:rsidR="00352D79">
        <w:t xml:space="preserve">new </w:t>
      </w:r>
      <w:r w:rsidRPr="003375F9">
        <w:t xml:space="preserve">competitions on free-to-air television has historically been modest, recent rights agreements have </w:t>
      </w:r>
      <w:r w:rsidR="00810EB8">
        <w:t>enhanced</w:t>
      </w:r>
      <w:r w:rsidRPr="003375F9">
        <w:t xml:space="preserve"> the level of coverage. The 2025 to 203</w:t>
      </w:r>
      <w:r w:rsidR="005F0892">
        <w:t>1</w:t>
      </w:r>
      <w:r w:rsidRPr="003375F9">
        <w:t xml:space="preserve"> AFL media rights deal includes at least 30 AFLW home and away games, AFLW finals and the AFLW Grand Final on Seven and 7</w:t>
      </w:r>
      <w:r w:rsidR="005F0892">
        <w:t>plus</w:t>
      </w:r>
      <w:r w:rsidRPr="003375F9">
        <w:t>.</w:t>
      </w:r>
      <w:r w:rsidRPr="003375F9">
        <w:rPr>
          <w:rStyle w:val="FootnoteReference"/>
        </w:rPr>
        <w:footnoteReference w:id="152"/>
      </w:r>
      <w:r w:rsidRPr="003375F9">
        <w:t xml:space="preserve"> Likewise, Nine has indicated that its 2023 to 2027 </w:t>
      </w:r>
      <w:r w:rsidR="00352D79">
        <w:t xml:space="preserve">NRL </w:t>
      </w:r>
      <w:r w:rsidRPr="003375F9">
        <w:t>media rights deal would expand its broadcast coverage</w:t>
      </w:r>
      <w:r w:rsidRPr="003375F9">
        <w:rPr>
          <w:rStyle w:val="FootnoteReference"/>
        </w:rPr>
        <w:footnoteReference w:id="153"/>
      </w:r>
      <w:r w:rsidRPr="003375F9">
        <w:t xml:space="preserve"> and committed to broadcast every NRLW game live and free in 2023</w:t>
      </w:r>
      <w:r w:rsidR="00D63C1E">
        <w:t xml:space="preserve"> and 2024</w:t>
      </w:r>
      <w:r w:rsidRPr="003375F9">
        <w:t>.</w:t>
      </w:r>
      <w:r w:rsidRPr="003375F9">
        <w:rPr>
          <w:rStyle w:val="FootnoteReference"/>
        </w:rPr>
        <w:footnoteReference w:id="154"/>
      </w:r>
      <w:r w:rsidR="008715A1">
        <w:t xml:space="preserve"> </w:t>
      </w:r>
    </w:p>
    <w:tbl>
      <w:tblPr>
        <w:tblStyle w:val="TableGrid"/>
        <w:tblW w:w="0" w:type="auto"/>
        <w:tblBorders>
          <w:insideH w:val="none" w:sz="0" w:space="0" w:color="auto"/>
        </w:tblBorders>
        <w:tblLook w:val="04A0" w:firstRow="1" w:lastRow="0" w:firstColumn="1" w:lastColumn="0" w:noHBand="0" w:noVBand="1"/>
      </w:tblPr>
      <w:tblGrid>
        <w:gridCol w:w="2122"/>
        <w:gridCol w:w="7732"/>
      </w:tblGrid>
      <w:tr w:rsidR="000E609E" w14:paraId="6190CEE6" w14:textId="77777777" w:rsidTr="00FC670C">
        <w:tc>
          <w:tcPr>
            <w:tcW w:w="2122" w:type="dxa"/>
            <w:tcBorders>
              <w:right w:val="nil"/>
            </w:tcBorders>
            <w:shd w:val="clear" w:color="auto" w:fill="D7E5FA" w:themeFill="text2" w:themeFillTint="1A"/>
          </w:tcPr>
          <w:p w14:paraId="3856D1EB" w14:textId="77777777" w:rsidR="000E609E" w:rsidRPr="00B844DC" w:rsidRDefault="000E609E" w:rsidP="00FC670C">
            <w:pPr>
              <w:spacing w:before="120" w:after="120"/>
              <w:rPr>
                <w:b/>
              </w:rPr>
            </w:pPr>
            <w:r w:rsidRPr="00B844DC">
              <w:rPr>
                <w:b/>
              </w:rPr>
              <w:t xml:space="preserve">Proposed </w:t>
            </w:r>
            <w:r>
              <w:rPr>
                <w:b/>
              </w:rPr>
              <w:t>a</w:t>
            </w:r>
            <w:r w:rsidRPr="00B844DC">
              <w:rPr>
                <w:b/>
              </w:rPr>
              <w:t>dditions</w:t>
            </w:r>
          </w:p>
        </w:tc>
        <w:tc>
          <w:tcPr>
            <w:tcW w:w="7732" w:type="dxa"/>
            <w:tcBorders>
              <w:top w:val="single" w:sz="4" w:space="0" w:color="auto"/>
              <w:left w:val="nil"/>
              <w:bottom w:val="nil"/>
              <w:right w:val="single" w:sz="4" w:space="0" w:color="auto"/>
            </w:tcBorders>
          </w:tcPr>
          <w:p w14:paraId="75BFFE6F" w14:textId="4DACE6CE" w:rsidR="000E609E" w:rsidRDefault="000E609E" w:rsidP="00FC670C">
            <w:pPr>
              <w:spacing w:before="120" w:after="120"/>
            </w:pPr>
            <w:r>
              <w:rPr>
                <w:rFonts w:cstheme="minorHAnsi"/>
              </w:rPr>
              <w:t>The entire FIFA World Cup</w:t>
            </w:r>
          </w:p>
        </w:tc>
      </w:tr>
      <w:tr w:rsidR="000E609E" w:rsidRPr="00B60128" w14:paraId="754382C7" w14:textId="77777777" w:rsidTr="00FC670C">
        <w:tc>
          <w:tcPr>
            <w:tcW w:w="2122" w:type="dxa"/>
            <w:tcBorders>
              <w:right w:val="nil"/>
            </w:tcBorders>
            <w:shd w:val="clear" w:color="auto" w:fill="D7E5FA" w:themeFill="text2" w:themeFillTint="1A"/>
          </w:tcPr>
          <w:p w14:paraId="0B5E4106" w14:textId="77777777" w:rsidR="000E609E" w:rsidRDefault="000E609E" w:rsidP="00FC670C">
            <w:pPr>
              <w:spacing w:before="120" w:after="120"/>
            </w:pPr>
          </w:p>
        </w:tc>
        <w:tc>
          <w:tcPr>
            <w:tcW w:w="7732" w:type="dxa"/>
            <w:tcBorders>
              <w:top w:val="nil"/>
              <w:left w:val="nil"/>
              <w:bottom w:val="single" w:sz="4" w:space="0" w:color="auto"/>
              <w:right w:val="single" w:sz="4" w:space="0" w:color="auto"/>
            </w:tcBorders>
          </w:tcPr>
          <w:p w14:paraId="39F13322" w14:textId="6B80D2BE" w:rsidR="000E609E" w:rsidRPr="00B60128" w:rsidRDefault="000E609E" w:rsidP="00FC670C">
            <w:pPr>
              <w:spacing w:before="120" w:after="120"/>
              <w:rPr>
                <w:rFonts w:cstheme="minorHAnsi"/>
              </w:rPr>
            </w:pPr>
            <w:r w:rsidRPr="00B60128">
              <w:rPr>
                <w:rFonts w:cstheme="minorHAnsi"/>
              </w:rPr>
              <w:t xml:space="preserve">The </w:t>
            </w:r>
            <w:r>
              <w:rPr>
                <w:rFonts w:cstheme="minorHAnsi"/>
              </w:rPr>
              <w:t>entire</w:t>
            </w:r>
            <w:r w:rsidRPr="00B60128">
              <w:rPr>
                <w:rFonts w:cstheme="minorHAnsi"/>
              </w:rPr>
              <w:t xml:space="preserve"> </w:t>
            </w:r>
            <w:r>
              <w:rPr>
                <w:rFonts w:cstheme="minorHAnsi"/>
              </w:rPr>
              <w:t>FIFA Women’s World Cup</w:t>
            </w:r>
          </w:p>
        </w:tc>
      </w:tr>
    </w:tbl>
    <w:p w14:paraId="27AC426F" w14:textId="4428B4B7" w:rsidR="005F0E4A" w:rsidRDefault="005F0E4A" w:rsidP="00FB23F4">
      <w:pPr>
        <w:suppressAutoHyphens w:val="0"/>
      </w:pPr>
      <w:r w:rsidRPr="003375F9">
        <w:t xml:space="preserve">Listing </w:t>
      </w:r>
      <w:r w:rsidRPr="004661AA">
        <w:t xml:space="preserve">the </w:t>
      </w:r>
      <w:r>
        <w:t xml:space="preserve">FIFA men’s and women’s tournaments </w:t>
      </w:r>
      <w:r w:rsidRPr="004661AA">
        <w:t xml:space="preserve">in their entirety may lead to an outcome where the coverage of these matches is provided to Australian audiences for free. </w:t>
      </w:r>
      <w:r w:rsidR="000E609E">
        <w:t xml:space="preserve">These </w:t>
      </w:r>
      <w:r>
        <w:t>tournaments</w:t>
      </w:r>
      <w:r w:rsidR="000E609E">
        <w:t xml:space="preserve"> have consistently drawn high ratings. </w:t>
      </w:r>
    </w:p>
    <w:p w14:paraId="65F7B777" w14:textId="2673CC68" w:rsidR="000E609E" w:rsidRDefault="005F0E4A" w:rsidP="005F0E4A">
      <w:pPr>
        <w:pStyle w:val="ListParagraph"/>
        <w:numPr>
          <w:ilvl w:val="0"/>
          <w:numId w:val="77"/>
        </w:numPr>
        <w:suppressAutoHyphens w:val="0"/>
      </w:pPr>
      <w:bookmarkStart w:id="171" w:name="_Hlk150877514"/>
      <w:bookmarkStart w:id="172" w:name="_Hlk150877101"/>
      <w:r>
        <w:t>T</w:t>
      </w:r>
      <w:r w:rsidR="000E609E">
        <w:t>he</w:t>
      </w:r>
      <w:r>
        <w:t xml:space="preserve"> 2022</w:t>
      </w:r>
      <w:r w:rsidR="000E609E">
        <w:t xml:space="preserve"> men’s </w:t>
      </w:r>
      <w:r>
        <w:t>tournament</w:t>
      </w:r>
      <w:r w:rsidR="00F1630D">
        <w:t xml:space="preserve"> (held in Qatar)</w:t>
      </w:r>
      <w:r w:rsidR="009244FF">
        <w:t xml:space="preserve"> had an average audience of</w:t>
      </w:r>
      <w:r w:rsidR="000E609E">
        <w:t xml:space="preserve"> </w:t>
      </w:r>
      <w:r w:rsidR="009244FF" w:rsidRPr="000E609E">
        <w:t>733,000</w:t>
      </w:r>
      <w:r w:rsidR="00F1630D">
        <w:t xml:space="preserve"> for matches involving Australia, while the grand final attracted </w:t>
      </w:r>
      <w:r w:rsidR="00F1630D" w:rsidRPr="00D36D4B">
        <w:t>447,000</w:t>
      </w:r>
      <w:r w:rsidR="00F1630D">
        <w:t xml:space="preserve"> viewers</w:t>
      </w:r>
      <w:r w:rsidR="009244FF">
        <w:t>. This was down from</w:t>
      </w:r>
      <w:r w:rsidR="00F1630D">
        <w:t xml:space="preserve"> the </w:t>
      </w:r>
      <w:r w:rsidR="009244FF">
        <w:t xml:space="preserve">2018 </w:t>
      </w:r>
      <w:r w:rsidR="00F1630D">
        <w:t xml:space="preserve">tournament (held </w:t>
      </w:r>
      <w:r w:rsidR="009244FF">
        <w:t xml:space="preserve">in </w:t>
      </w:r>
      <w:r w:rsidR="00F1630D">
        <w:t>Russia),</w:t>
      </w:r>
      <w:r w:rsidR="009244FF">
        <w:t xml:space="preserve"> </w:t>
      </w:r>
      <w:r w:rsidR="005F0892">
        <w:t xml:space="preserve">where </w:t>
      </w:r>
      <w:r w:rsidR="000E609E" w:rsidRPr="000E609E">
        <w:t>1,391,000</w:t>
      </w:r>
      <w:r w:rsidR="000E609E">
        <w:t xml:space="preserve"> </w:t>
      </w:r>
      <w:r w:rsidR="00F1630D">
        <w:t xml:space="preserve">viewers tuned into </w:t>
      </w:r>
      <w:r w:rsidR="009244FF">
        <w:t xml:space="preserve">matches involving Australia and </w:t>
      </w:r>
      <w:r w:rsidR="00F1630D">
        <w:rPr>
          <w:bCs/>
        </w:rPr>
        <w:t xml:space="preserve">538,000 </w:t>
      </w:r>
      <w:r w:rsidR="00F1630D">
        <w:t>to</w:t>
      </w:r>
      <w:r w:rsidR="009244FF">
        <w:t xml:space="preserve"> the grand final.</w:t>
      </w:r>
    </w:p>
    <w:p w14:paraId="57B9A57C" w14:textId="22F042EC" w:rsidR="003F0778" w:rsidRDefault="005F0E4A" w:rsidP="005F0E4A">
      <w:pPr>
        <w:pStyle w:val="ListParagraph"/>
        <w:numPr>
          <w:ilvl w:val="0"/>
          <w:numId w:val="77"/>
        </w:numPr>
        <w:suppressAutoHyphens w:val="0"/>
      </w:pPr>
      <w:bookmarkStart w:id="173" w:name="_Hlk150877615"/>
      <w:bookmarkEnd w:id="171"/>
      <w:r>
        <w:t xml:space="preserve">The </w:t>
      </w:r>
      <w:r w:rsidR="009244FF">
        <w:t xml:space="preserve">2019 </w:t>
      </w:r>
      <w:r>
        <w:t xml:space="preserve">women’s </w:t>
      </w:r>
      <w:r w:rsidR="00F1630D">
        <w:t xml:space="preserve">tournament </w:t>
      </w:r>
      <w:r w:rsidR="009244FF">
        <w:t xml:space="preserve">held in France had an </w:t>
      </w:r>
      <w:r w:rsidR="009244FF" w:rsidRPr="009244FF">
        <w:t xml:space="preserve">average audience of </w:t>
      </w:r>
      <w:r w:rsidRPr="009244FF">
        <w:rPr>
          <w:bCs/>
          <w:lang w:eastAsia="en-AU"/>
        </w:rPr>
        <w:t>193,000</w:t>
      </w:r>
      <w:r w:rsidR="009244FF" w:rsidRPr="009244FF">
        <w:rPr>
          <w:bCs/>
          <w:lang w:eastAsia="en-AU"/>
        </w:rPr>
        <w:t xml:space="preserve"> </w:t>
      </w:r>
      <w:r w:rsidR="009244FF" w:rsidRPr="009244FF">
        <w:t>for matches involving Australia</w:t>
      </w:r>
      <w:r w:rsidR="00F1630D">
        <w:t>,</w:t>
      </w:r>
      <w:r w:rsidR="009244FF" w:rsidRPr="009244FF">
        <w:t xml:space="preserve"> </w:t>
      </w:r>
      <w:r w:rsidR="00612F36">
        <w:t xml:space="preserve">while </w:t>
      </w:r>
      <w:r w:rsidR="009244FF" w:rsidRPr="009244FF">
        <w:t xml:space="preserve">58,000 viewers </w:t>
      </w:r>
      <w:r w:rsidR="00F1630D">
        <w:t>watched</w:t>
      </w:r>
      <w:r w:rsidR="009244FF" w:rsidRPr="009244FF">
        <w:t xml:space="preserve"> the grand final. </w:t>
      </w:r>
      <w:bookmarkEnd w:id="173"/>
    </w:p>
    <w:p w14:paraId="2ED6C6CD" w14:textId="7F94BB5B" w:rsidR="005F0E4A" w:rsidRDefault="00D30873" w:rsidP="003F0778">
      <w:pPr>
        <w:suppressAutoHyphens w:val="0"/>
      </w:pPr>
      <w:r w:rsidRPr="009244FF">
        <w:t xml:space="preserve">The 2023 tournament held in Australia was one of the </w:t>
      </w:r>
      <w:r w:rsidRPr="008715A1">
        <w:t>highest rating events on television.</w:t>
      </w:r>
      <w:r>
        <w:t xml:space="preserve"> The</w:t>
      </w:r>
      <w:r w:rsidR="009244FF" w:rsidRPr="00C10DE5">
        <w:t xml:space="preserve"> Seven Network indicated that an average of 6.24 million viewers tuned in watch the semi-final between Australia and England for the 2023 FIFA Women’s World Cup</w:t>
      </w:r>
      <w:r w:rsidR="008715A1">
        <w:t xml:space="preserve">, </w:t>
      </w:r>
      <w:r w:rsidR="003F0778">
        <w:t>adding that the tournament was viewed by</w:t>
      </w:r>
      <w:r w:rsidR="008715A1">
        <w:t xml:space="preserve"> 14.76 million</w:t>
      </w:r>
      <w:r w:rsidR="003F0778">
        <w:t xml:space="preserve"> on television</w:t>
      </w:r>
      <w:r w:rsidR="008C2F63">
        <w:t>.</w:t>
      </w:r>
      <w:r w:rsidR="009244FF">
        <w:rPr>
          <w:rStyle w:val="FootnoteReference"/>
        </w:rPr>
        <w:footnoteReference w:id="155"/>
      </w:r>
      <w:r w:rsidR="009244FF">
        <w:t xml:space="preserve"> </w:t>
      </w:r>
    </w:p>
    <w:bookmarkEnd w:id="172"/>
    <w:p w14:paraId="2D9EEBC8" w14:textId="6C5F93D6" w:rsidR="000E609E" w:rsidRDefault="008C2F63" w:rsidP="00FB23F4">
      <w:pPr>
        <w:suppressAutoHyphens w:val="0"/>
      </w:pPr>
      <w:r w:rsidRPr="00B32656">
        <w:t>SBS has secured the rights to the 2026 men’s tournament</w:t>
      </w:r>
      <w:r w:rsidRPr="00B32656">
        <w:rPr>
          <w:color w:val="auto"/>
        </w:rPr>
        <w:t>.</w:t>
      </w:r>
      <w:r w:rsidRPr="00B32656">
        <w:rPr>
          <w:rStyle w:val="FootnoteReference"/>
          <w:color w:val="auto"/>
        </w:rPr>
        <w:footnoteReference w:id="156"/>
      </w:r>
      <w:r w:rsidRPr="00B32656">
        <w:rPr>
          <w:color w:val="auto"/>
        </w:rPr>
        <w:t xml:space="preserve"> It</w:t>
      </w:r>
      <w:r w:rsidR="008715A1">
        <w:t xml:space="preserve"> previously held the rights of the 2022 tournament. It is not clear who will host the women’s tournament in 2027, but </w:t>
      </w:r>
      <w:r w:rsidR="008715A1" w:rsidRPr="008715A1">
        <w:t>Optus Sport</w:t>
      </w:r>
      <w:r w:rsidR="008715A1">
        <w:t xml:space="preserve"> held the rights to 2023 tournament and made</w:t>
      </w:r>
      <w:r w:rsidR="008715A1">
        <w:rPr>
          <w:rStyle w:val="FootnoteReference"/>
        </w:rPr>
        <w:footnoteReference w:id="157"/>
      </w:r>
      <w:r w:rsidR="008715A1">
        <w:t xml:space="preserve"> 15 matches were made available on the Seven Network.</w:t>
      </w:r>
      <w:r w:rsidR="008715A1">
        <w:rPr>
          <w:rStyle w:val="FootnoteReference"/>
        </w:rPr>
        <w:footnoteReference w:id="158"/>
      </w:r>
      <w:r w:rsidR="008715A1">
        <w:t xml:space="preserve">  </w:t>
      </w:r>
    </w:p>
    <w:p w14:paraId="1F1A2445" w14:textId="77A6C92E" w:rsidR="00FC670C" w:rsidRDefault="00FC670C" w:rsidP="00FB23F4">
      <w:pPr>
        <w:suppressAutoHyphens w:val="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2"/>
        <w:gridCol w:w="7732"/>
      </w:tblGrid>
      <w:tr w:rsidR="00A3388D" w:rsidRPr="00D91323" w14:paraId="39636BE1" w14:textId="77777777" w:rsidTr="006D117F">
        <w:tc>
          <w:tcPr>
            <w:tcW w:w="2122" w:type="dxa"/>
            <w:shd w:val="clear" w:color="auto" w:fill="D7E5FA" w:themeFill="text2" w:themeFillTint="1A"/>
          </w:tcPr>
          <w:p w14:paraId="1F36381A" w14:textId="77777777" w:rsidR="00A3388D" w:rsidRPr="00B844DC" w:rsidRDefault="00A3388D" w:rsidP="00FB23F4">
            <w:pPr>
              <w:spacing w:before="120" w:after="120"/>
              <w:rPr>
                <w:b/>
              </w:rPr>
            </w:pPr>
            <w:bookmarkStart w:id="174" w:name="_Hlk147916246"/>
            <w:r w:rsidRPr="00B844DC">
              <w:rPr>
                <w:b/>
              </w:rPr>
              <w:t xml:space="preserve">Proposed </w:t>
            </w:r>
            <w:r>
              <w:rPr>
                <w:b/>
              </w:rPr>
              <w:t>Additions</w:t>
            </w:r>
          </w:p>
        </w:tc>
        <w:tc>
          <w:tcPr>
            <w:tcW w:w="7732" w:type="dxa"/>
          </w:tcPr>
          <w:p w14:paraId="7E12FC3B" w14:textId="25193DA2" w:rsidR="00A3388D" w:rsidRPr="00D91323" w:rsidRDefault="00465A00" w:rsidP="00FB23F4">
            <w:pPr>
              <w:spacing w:before="120" w:after="120"/>
            </w:pPr>
            <w:r w:rsidRPr="00B60128">
              <w:rPr>
                <w:rFonts w:cstheme="minorHAnsi"/>
              </w:rPr>
              <w:t>Each match in each tie of the International Tennis Federation Davis Cup World</w:t>
            </w:r>
            <w:r w:rsidR="000E609E" w:rsidRPr="00B60128">
              <w:rPr>
                <w:rFonts w:cstheme="minorHAnsi"/>
              </w:rPr>
              <w:t xml:space="preserve"> Group tennis tournament that involves an Australian representative team (currently the match must be played in Australia)</w:t>
            </w:r>
          </w:p>
        </w:tc>
      </w:tr>
      <w:bookmarkEnd w:id="174"/>
      <w:tr w:rsidR="00A3388D" w:rsidRPr="00D91323" w14:paraId="5A7C070F" w14:textId="77777777" w:rsidTr="006D117F">
        <w:tc>
          <w:tcPr>
            <w:tcW w:w="2122" w:type="dxa"/>
            <w:shd w:val="clear" w:color="auto" w:fill="D7E5FA" w:themeFill="text2" w:themeFillTint="1A"/>
          </w:tcPr>
          <w:p w14:paraId="61D81690" w14:textId="77777777" w:rsidR="00A3388D" w:rsidRPr="00B844DC" w:rsidRDefault="00A3388D" w:rsidP="00FB23F4">
            <w:pPr>
              <w:spacing w:before="120" w:after="120"/>
              <w:rPr>
                <w:b/>
              </w:rPr>
            </w:pPr>
          </w:p>
        </w:tc>
        <w:tc>
          <w:tcPr>
            <w:tcW w:w="7732" w:type="dxa"/>
          </w:tcPr>
          <w:p w14:paraId="533F1D07" w14:textId="6AF812E0" w:rsidR="00A3388D" w:rsidRDefault="00A3388D" w:rsidP="00FB23F4">
            <w:pPr>
              <w:spacing w:before="120" w:after="120"/>
              <w:rPr>
                <w:rFonts w:cstheme="minorHAnsi"/>
              </w:rPr>
            </w:pPr>
            <w:r w:rsidRPr="00B60128">
              <w:rPr>
                <w:rFonts w:cstheme="minorHAnsi"/>
              </w:rPr>
              <w:t>Each match in each tie and the final of the International Tennis Federation Billie Jean Cup tennis tournament that involves an Australian representative team</w:t>
            </w:r>
            <w:r w:rsidRPr="00D91323">
              <w:rPr>
                <w:rFonts w:cstheme="minorHAnsi"/>
              </w:rPr>
              <w:br/>
            </w:r>
            <w:r w:rsidRPr="00B60128">
              <w:rPr>
                <w:rFonts w:cstheme="minorHAnsi"/>
              </w:rPr>
              <w:t>All international Netball matches that involve the senior Australian women’s representative team that are played in Australia</w:t>
            </w:r>
          </w:p>
          <w:p w14:paraId="39E67DFC" w14:textId="42FBFA11" w:rsidR="00A3388D" w:rsidRPr="00D91323" w:rsidRDefault="00982570" w:rsidP="00FB23F4">
            <w:pPr>
              <w:spacing w:before="120" w:after="120"/>
              <w:rPr>
                <w:rFonts w:cstheme="minorHAnsi"/>
              </w:rPr>
            </w:pPr>
            <w:r w:rsidRPr="003375F9">
              <w:rPr>
                <w:rFonts w:cstheme="minorHAnsi"/>
              </w:rPr>
              <w:t>Each match of the Super Rugby Pacific and Super W finals series that involves at least one Australian team</w:t>
            </w:r>
            <w:r w:rsidR="004B57F0" w:rsidRPr="003375F9">
              <w:rPr>
                <w:rFonts w:cstheme="minorHAnsi"/>
              </w:rPr>
              <w:t>.</w:t>
            </w:r>
          </w:p>
        </w:tc>
      </w:tr>
    </w:tbl>
    <w:p w14:paraId="717527F3" w14:textId="3455AFAB" w:rsidR="00974AE7" w:rsidRDefault="00974AE7" w:rsidP="002A35EC">
      <w:pPr>
        <w:suppressAutoHyphens w:val="0"/>
        <w:spacing w:before="0" w:after="0" w:line="259" w:lineRule="auto"/>
        <w:rPr>
          <w:rFonts w:cstheme="minorHAnsi"/>
          <w:highlight w:val="yellow"/>
        </w:rPr>
      </w:pPr>
    </w:p>
    <w:p w14:paraId="4A797CD6" w14:textId="2D80BC01" w:rsidR="00E77B06" w:rsidRPr="003375F9" w:rsidRDefault="003946D8" w:rsidP="003375F9">
      <w:pPr>
        <w:suppressAutoHyphens w:val="0"/>
        <w:rPr>
          <w:rFonts w:cstheme="minorHAnsi"/>
        </w:rPr>
      </w:pPr>
      <w:r>
        <w:rPr>
          <w:rFonts w:cstheme="minorHAnsi"/>
        </w:rPr>
        <w:t>T</w:t>
      </w:r>
      <w:r w:rsidR="00E77B06" w:rsidRPr="003375F9">
        <w:rPr>
          <w:rFonts w:cstheme="minorHAnsi"/>
        </w:rPr>
        <w:t>he listing of these events may enhance the likelihood of them receiving coverage o</w:t>
      </w:r>
      <w:r>
        <w:rPr>
          <w:rFonts w:cstheme="minorHAnsi"/>
        </w:rPr>
        <w:t>n</w:t>
      </w:r>
      <w:r w:rsidR="00E77B06" w:rsidRPr="003375F9">
        <w:rPr>
          <w:rFonts w:cstheme="minorHAnsi"/>
        </w:rPr>
        <w:t xml:space="preserve"> free-to-air television</w:t>
      </w:r>
      <w:r>
        <w:rPr>
          <w:rFonts w:cstheme="minorHAnsi"/>
        </w:rPr>
        <w:t>. However</w:t>
      </w:r>
      <w:r w:rsidR="00E77B06">
        <w:rPr>
          <w:rFonts w:cstheme="minorHAnsi"/>
        </w:rPr>
        <w:t xml:space="preserve">, </w:t>
      </w:r>
      <w:r w:rsidR="00E77B06" w:rsidRPr="003375F9">
        <w:rPr>
          <w:rFonts w:cstheme="minorHAnsi"/>
        </w:rPr>
        <w:t xml:space="preserve">this will depend on the willingness of free-to-air broadcasters to acquire the rights and provide any such coverage. </w:t>
      </w:r>
      <w:r>
        <w:rPr>
          <w:rFonts w:cstheme="minorHAnsi"/>
        </w:rPr>
        <w:t xml:space="preserve">Broadcasters would consider a range of factors when making these decisions, including audience numbers. </w:t>
      </w:r>
      <w:r w:rsidR="00E77B06" w:rsidRPr="003375F9">
        <w:rPr>
          <w:rFonts w:cstheme="minorHAnsi"/>
        </w:rPr>
        <w:t xml:space="preserve">Historically, the audience numbers for these events have relatively modest. </w:t>
      </w:r>
    </w:p>
    <w:p w14:paraId="0E6E8CAC" w14:textId="5480DB14" w:rsidR="00430C3E" w:rsidRPr="007C0791" w:rsidRDefault="00602257" w:rsidP="004A1B7A">
      <w:pPr>
        <w:suppressAutoHyphens w:val="0"/>
        <w:rPr>
          <w:rFonts w:eastAsia="Times New Roman" w:cstheme="minorHAnsi"/>
          <w:color w:val="000000"/>
        </w:rPr>
      </w:pPr>
      <w:bookmarkStart w:id="175" w:name="_Hlk150861511"/>
      <w:r w:rsidRPr="003375F9">
        <w:rPr>
          <w:rFonts w:eastAsia="Times New Roman" w:cstheme="minorHAnsi"/>
          <w:color w:val="000000"/>
        </w:rPr>
        <w:t>T</w:t>
      </w:r>
      <w:r w:rsidR="00430C3E" w:rsidRPr="003375F9">
        <w:rPr>
          <w:rFonts w:eastAsia="Times New Roman" w:cstheme="minorHAnsi"/>
          <w:color w:val="000000"/>
        </w:rPr>
        <w:t xml:space="preserve">he highest </w:t>
      </w:r>
      <w:r w:rsidR="00E77B06" w:rsidRPr="003375F9">
        <w:rPr>
          <w:rFonts w:eastAsia="Times New Roman" w:cstheme="minorHAnsi"/>
          <w:color w:val="000000"/>
        </w:rPr>
        <w:t xml:space="preserve">average audience figures for </w:t>
      </w:r>
      <w:r w:rsidR="00430C3E" w:rsidRPr="003375F9">
        <w:rPr>
          <w:rFonts w:eastAsia="Times New Roman" w:cstheme="minorHAnsi"/>
          <w:color w:val="000000"/>
        </w:rPr>
        <w:t>matches involving Australia in the 2021 Billie Jean King Cup was 21,000</w:t>
      </w:r>
      <w:r w:rsidR="00D55B9E">
        <w:rPr>
          <w:rFonts w:eastAsia="Times New Roman" w:cstheme="minorHAnsi"/>
          <w:color w:val="000000"/>
        </w:rPr>
        <w:t>.</w:t>
      </w:r>
      <w:r w:rsidR="00BC1C82">
        <w:rPr>
          <w:rStyle w:val="FootnoteReference"/>
          <w:rFonts w:eastAsia="Times New Roman" w:cstheme="minorHAnsi"/>
          <w:color w:val="000000"/>
        </w:rPr>
        <w:footnoteReference w:id="159"/>
      </w:r>
      <w:r w:rsidR="00D55B9E">
        <w:rPr>
          <w:rFonts w:eastAsia="Times New Roman" w:cstheme="minorHAnsi"/>
          <w:color w:val="000000"/>
        </w:rPr>
        <w:t xml:space="preserve"> </w:t>
      </w:r>
      <w:r w:rsidR="00430C3E" w:rsidRPr="007C0791">
        <w:rPr>
          <w:rFonts w:eastAsia="Times New Roman" w:cstheme="minorHAnsi"/>
          <w:color w:val="000000"/>
        </w:rPr>
        <w:t>The Super Rugby Pacific and Super W have</w:t>
      </w:r>
      <w:r w:rsidR="00430C3E" w:rsidRPr="007C0791">
        <w:rPr>
          <w:rFonts w:cstheme="minorHAnsi"/>
        </w:rPr>
        <w:t xml:space="preserve"> seldom been on free</w:t>
      </w:r>
      <w:r w:rsidR="00430C3E" w:rsidRPr="007C0791">
        <w:rPr>
          <w:rFonts w:cstheme="minorHAnsi"/>
        </w:rPr>
        <w:noBreakHyphen/>
        <w:t>to</w:t>
      </w:r>
      <w:r w:rsidR="00430C3E" w:rsidRPr="007C0791">
        <w:rPr>
          <w:rFonts w:cstheme="minorHAnsi"/>
        </w:rPr>
        <w:noBreakHyphen/>
        <w:t>air television in recent years, and when they have</w:t>
      </w:r>
      <w:r w:rsidRPr="007C0791">
        <w:rPr>
          <w:rFonts w:cstheme="minorHAnsi"/>
        </w:rPr>
        <w:t>,</w:t>
      </w:r>
      <w:r w:rsidR="00430C3E" w:rsidRPr="007C0791">
        <w:rPr>
          <w:rFonts w:cstheme="minorHAnsi"/>
        </w:rPr>
        <w:t xml:space="preserve"> their ratings </w:t>
      </w:r>
      <w:r w:rsidRPr="007C0791">
        <w:rPr>
          <w:rFonts w:cstheme="minorHAnsi"/>
        </w:rPr>
        <w:t xml:space="preserve">have been low. </w:t>
      </w:r>
      <w:r w:rsidR="002A35EC" w:rsidRPr="007C0791">
        <w:rPr>
          <w:rFonts w:cstheme="minorHAnsi"/>
        </w:rPr>
        <w:t>For example,</w:t>
      </w:r>
      <w:r w:rsidR="00430C3E" w:rsidRPr="007C0791">
        <w:rPr>
          <w:rFonts w:cstheme="minorHAnsi"/>
        </w:rPr>
        <w:t xml:space="preserve"> Super W had </w:t>
      </w:r>
      <w:r w:rsidR="002A35EC" w:rsidRPr="007C0791">
        <w:rPr>
          <w:rFonts w:cstheme="minorHAnsi"/>
        </w:rPr>
        <w:t xml:space="preserve">an </w:t>
      </w:r>
      <w:r w:rsidR="00430C3E" w:rsidRPr="007C0791">
        <w:rPr>
          <w:rFonts w:cstheme="minorHAnsi"/>
        </w:rPr>
        <w:t xml:space="preserve">average </w:t>
      </w:r>
      <w:r w:rsidRPr="007C0791">
        <w:rPr>
          <w:rFonts w:cstheme="minorHAnsi"/>
        </w:rPr>
        <w:t xml:space="preserve">audience of </w:t>
      </w:r>
      <w:r w:rsidR="00430C3E" w:rsidRPr="007C0791">
        <w:rPr>
          <w:rFonts w:cstheme="minorHAnsi"/>
        </w:rPr>
        <w:t xml:space="preserve">16,000 </w:t>
      </w:r>
      <w:r w:rsidR="002A35EC" w:rsidRPr="007C0791">
        <w:rPr>
          <w:rFonts w:cstheme="minorHAnsi"/>
        </w:rPr>
        <w:t>per match</w:t>
      </w:r>
      <w:r w:rsidR="00002A58" w:rsidRPr="007C0791">
        <w:rPr>
          <w:rFonts w:cstheme="minorHAnsi"/>
        </w:rPr>
        <w:t xml:space="preserve"> </w:t>
      </w:r>
      <w:r w:rsidR="00430C3E" w:rsidRPr="007C0791">
        <w:rPr>
          <w:rFonts w:cstheme="minorHAnsi"/>
        </w:rPr>
        <w:t>in 2022</w:t>
      </w:r>
      <w:r w:rsidR="00F67191">
        <w:rPr>
          <w:rFonts w:cstheme="minorHAnsi"/>
        </w:rPr>
        <w:t>.</w:t>
      </w:r>
      <w:r w:rsidR="00BC1C82">
        <w:rPr>
          <w:rStyle w:val="FootnoteReference"/>
          <w:rFonts w:cstheme="minorHAnsi"/>
        </w:rPr>
        <w:footnoteReference w:id="160"/>
      </w:r>
      <w:r w:rsidR="00430C3E" w:rsidRPr="007C0791">
        <w:rPr>
          <w:rFonts w:eastAsia="Times New Roman" w:cstheme="minorHAnsi"/>
          <w:color w:val="000000"/>
        </w:rPr>
        <w:t xml:space="preserve"> </w:t>
      </w:r>
      <w:r w:rsidR="003F0778">
        <w:rPr>
          <w:rFonts w:eastAsia="Times New Roman" w:cstheme="minorHAnsi"/>
          <w:color w:val="000000"/>
        </w:rPr>
        <w:t xml:space="preserve"> </w:t>
      </w:r>
    </w:p>
    <w:bookmarkEnd w:id="175"/>
    <w:p w14:paraId="1DCA8C0A" w14:textId="6F7C17F5" w:rsidR="00430C3E" w:rsidRDefault="00430C3E" w:rsidP="003375F9">
      <w:pPr>
        <w:suppressAutoHyphens w:val="0"/>
        <w:rPr>
          <w:rFonts w:cstheme="minorHAnsi"/>
        </w:rPr>
      </w:pPr>
      <w:r w:rsidRPr="003375F9">
        <w:rPr>
          <w:rFonts w:eastAsia="Times New Roman" w:cstheme="minorHAnsi"/>
          <w:color w:val="000000"/>
        </w:rPr>
        <w:t>If these events are listed and free-to</w:t>
      </w:r>
      <w:r w:rsidRPr="003375F9">
        <w:rPr>
          <w:rFonts w:eastAsia="Times New Roman" w:cstheme="minorHAnsi"/>
          <w:color w:val="000000"/>
        </w:rPr>
        <w:noBreakHyphen/>
        <w:t>air broadcasters do not buy their rights, all other parties will be prevented from buying the rights to these events until they are delisted</w:t>
      </w:r>
      <w:r w:rsidR="002A35EC" w:rsidRPr="003375F9">
        <w:rPr>
          <w:rFonts w:eastAsia="Times New Roman" w:cstheme="minorHAnsi"/>
          <w:color w:val="000000"/>
        </w:rPr>
        <w:t xml:space="preserve">, which may have </w:t>
      </w:r>
      <w:r w:rsidR="00602257" w:rsidRPr="003375F9">
        <w:rPr>
          <w:rFonts w:eastAsia="Times New Roman" w:cstheme="minorHAnsi"/>
          <w:color w:val="000000"/>
        </w:rPr>
        <w:t xml:space="preserve">a </w:t>
      </w:r>
      <w:r w:rsidR="002A35EC" w:rsidRPr="003375F9">
        <w:rPr>
          <w:rFonts w:eastAsia="Times New Roman" w:cstheme="minorHAnsi"/>
          <w:color w:val="000000"/>
        </w:rPr>
        <w:t>negative impac</w:t>
      </w:r>
      <w:r w:rsidR="00602257" w:rsidRPr="003375F9">
        <w:rPr>
          <w:rFonts w:eastAsia="Times New Roman" w:cstheme="minorHAnsi"/>
          <w:color w:val="000000"/>
        </w:rPr>
        <w:t>t</w:t>
      </w:r>
      <w:r w:rsidR="002A35EC" w:rsidRPr="003375F9" w:rsidDel="00602257">
        <w:rPr>
          <w:rFonts w:eastAsia="Times New Roman" w:cstheme="minorHAnsi"/>
          <w:color w:val="000000"/>
        </w:rPr>
        <w:t xml:space="preserve"> </w:t>
      </w:r>
      <w:r w:rsidR="00602257">
        <w:rPr>
          <w:rFonts w:eastAsia="Times New Roman" w:cstheme="minorHAnsi"/>
          <w:color w:val="000000"/>
        </w:rPr>
        <w:t>for</w:t>
      </w:r>
      <w:r w:rsidR="002A35EC" w:rsidRPr="003375F9">
        <w:rPr>
          <w:rFonts w:eastAsia="Times New Roman" w:cstheme="minorHAnsi"/>
          <w:color w:val="000000"/>
        </w:rPr>
        <w:t xml:space="preserve"> consumers that do wish to watch them</w:t>
      </w:r>
      <w:r w:rsidR="00602257" w:rsidRPr="003375F9">
        <w:rPr>
          <w:rFonts w:eastAsia="Times New Roman" w:cstheme="minorHAnsi"/>
          <w:color w:val="000000"/>
        </w:rPr>
        <w:t xml:space="preserve">. </w:t>
      </w:r>
    </w:p>
    <w:p w14:paraId="7EE3C01D" w14:textId="07336A85" w:rsidR="007A4F57" w:rsidRPr="00D61250" w:rsidRDefault="007A4F57" w:rsidP="00D61250">
      <w:pPr>
        <w:pStyle w:val="Introduction"/>
      </w:pPr>
      <w:r w:rsidRPr="00D61250">
        <w:t xml:space="preserve">Impact on </w:t>
      </w:r>
      <w:r w:rsidR="003C37A2" w:rsidRPr="00D61250">
        <w:t>g</w:t>
      </w:r>
      <w:r w:rsidRPr="00D61250">
        <w:t>overnment</w:t>
      </w:r>
    </w:p>
    <w:p w14:paraId="7C221349" w14:textId="1BD60C94" w:rsidR="00FB23F4" w:rsidRDefault="00FB23F4" w:rsidP="00FB23F4">
      <w:pPr>
        <w:tabs>
          <w:tab w:val="left" w:pos="7905"/>
        </w:tabs>
        <w:spacing w:before="120" w:after="120"/>
        <w:rPr>
          <w:rFonts w:cstheme="minorHAnsi"/>
          <w:lang w:val="en-US"/>
        </w:rPr>
      </w:pPr>
      <w:r>
        <w:rPr>
          <w:rFonts w:cstheme="minorHAnsi"/>
        </w:rPr>
        <w:t>Assuming the expanded list is implemented in conjunction with either the broadcasting safety net or free</w:t>
      </w:r>
      <w:r w:rsidR="00D84FCE">
        <w:rPr>
          <w:rFonts w:cstheme="minorHAnsi"/>
        </w:rPr>
        <w:noBreakHyphen/>
      </w:r>
      <w:r>
        <w:rPr>
          <w:rFonts w:cstheme="minorHAnsi"/>
        </w:rPr>
        <w:t>to</w:t>
      </w:r>
      <w:r w:rsidR="00D84FCE">
        <w:rPr>
          <w:rFonts w:cstheme="minorHAnsi"/>
        </w:rPr>
        <w:noBreakHyphen/>
      </w:r>
      <w:r>
        <w:rPr>
          <w:rFonts w:cstheme="minorHAnsi"/>
        </w:rPr>
        <w:t xml:space="preserve">air first models (Models 2 and 3 respectively), this is </w:t>
      </w:r>
      <w:r>
        <w:rPr>
          <w:rFonts w:cstheme="minorHAnsi"/>
          <w:lang w:val="en-US"/>
        </w:rPr>
        <w:t xml:space="preserve">expected to have a minor budgetary impact on the ACMA, who would be required to oversee and administer a framework that effectively extends the current regulatory arrangements. </w:t>
      </w:r>
    </w:p>
    <w:p w14:paraId="075490CA" w14:textId="77777777" w:rsidR="007A4F57" w:rsidRPr="00D61250" w:rsidRDefault="007A4F57" w:rsidP="00D61250">
      <w:pPr>
        <w:pStyle w:val="Introduction"/>
      </w:pPr>
      <w:r w:rsidRPr="00D61250">
        <w:t>Overall assessment</w:t>
      </w:r>
    </w:p>
    <w:p w14:paraId="256E1CDC" w14:textId="2D01AB81" w:rsidR="00FB23F4" w:rsidRDefault="00FB23F4" w:rsidP="00FB23F4">
      <w:pPr>
        <w:spacing w:after="0"/>
      </w:pPr>
      <w:bookmarkStart w:id="176" w:name="_Hlk148029493"/>
      <w:bookmarkStart w:id="177" w:name="_Toc140842954"/>
      <w:r w:rsidRPr="00746A52">
        <w:t xml:space="preserve">The </w:t>
      </w:r>
      <w:r>
        <w:t>expanded</w:t>
      </w:r>
      <w:r w:rsidRPr="00746A52">
        <w:t xml:space="preserve"> list would </w:t>
      </w:r>
      <w:r>
        <w:t>significantly</w:t>
      </w:r>
      <w:r w:rsidRPr="00746A52">
        <w:t xml:space="preserve"> increase </w:t>
      </w:r>
      <w:r>
        <w:t xml:space="preserve">the scope of the anti-siphoning scheme. As noted above, this would see an increase in the number of events of the list of close to </w:t>
      </w:r>
      <w:r w:rsidRPr="00056164">
        <w:t>50 per cent</w:t>
      </w:r>
      <w:r>
        <w:t xml:space="preserve"> compared with the current list, although the bulk of this increase is attributable to the inclusion of the Paralympic Games and the AFL and NRL Women’s Premiership competitions.</w:t>
      </w:r>
    </w:p>
    <w:bookmarkEnd w:id="176"/>
    <w:p w14:paraId="2E01754E" w14:textId="00F5E034" w:rsidR="00FB23F4" w:rsidRDefault="00FB23F4" w:rsidP="00A33F1F">
      <w:pPr>
        <w:spacing w:before="240"/>
      </w:pPr>
      <w:r>
        <w:t>This would be done with the aim of increasing the likelihood of free access to televised coverage of these events for Australian audiences and, commensurately, seek to mitigate the of these events being placed behind a paywall. However, this outcome is would be dependent on free-to-air broadcasters opting to acquire the relevant rights to these events under either the broadcasting safety net or free-to-air first models for the scheme (Models 2 and 3 respectively</w:t>
      </w:r>
      <w:r w:rsidR="00A33F1F">
        <w:t xml:space="preserve">). </w:t>
      </w:r>
    </w:p>
    <w:p w14:paraId="08FE01D0" w14:textId="77777777" w:rsidR="00FB23F4" w:rsidRDefault="00FB23F4" w:rsidP="00FB23F4">
      <w:pPr>
        <w:spacing w:after="0"/>
      </w:pPr>
      <w:r>
        <w:t>There is a risk that free-to-air broadcasters may not seek to do so, resulting in little net benefit for audiences compared with current listing arrangements if coverage is ultimately provided on subscription-based platforms (i.e. the rights to these additional events continue to be acquired by entities other than free-to-air broadcasters). Previous rights deals suggest this has been the case for some events included on the expanded list.</w:t>
      </w:r>
    </w:p>
    <w:p w14:paraId="13983F30" w14:textId="7DAD5930" w:rsidR="00FB23F4" w:rsidRDefault="00FB23F4" w:rsidP="00FB23F4">
      <w:pPr>
        <w:spacing w:after="0"/>
      </w:pPr>
      <w:r>
        <w:t>If the rights to these additional events are not acquired by free</w:t>
      </w:r>
      <w:r>
        <w:noBreakHyphen/>
        <w:t>to</w:t>
      </w:r>
      <w:r>
        <w:noBreakHyphen/>
        <w:t xml:space="preserve">air broadcasters, all other parties would be prohibited from acquiring any rights until the event is delisted (26 weeks </w:t>
      </w:r>
      <w:r w:rsidR="001821BC">
        <w:t>or</w:t>
      </w:r>
      <w:r w:rsidR="00D84FCE">
        <w:t xml:space="preserve"> 12 months </w:t>
      </w:r>
      <w:r>
        <w:t>prior to commencement</w:t>
      </w:r>
      <w:r w:rsidR="001821BC">
        <w:t>, depending on the model adopted</w:t>
      </w:r>
      <w:r>
        <w:t>). If this were to disincentivise entities other than free-to-air broadcasters from seeking to take up those rights, then there may be an erosion in overall benefits for audiences (i.e. if there were to be reduced or no coverage of the additional events).</w:t>
      </w:r>
    </w:p>
    <w:p w14:paraId="52BCD7DF" w14:textId="77777777" w:rsidR="00FB23F4" w:rsidRDefault="00FB23F4" w:rsidP="00FB23F4">
      <w:pPr>
        <w:spacing w:after="0"/>
      </w:pPr>
      <w:r>
        <w:t xml:space="preserve">From an industry perspective, </w:t>
      </w:r>
      <w:bookmarkStart w:id="178" w:name="_Hlk148029863"/>
      <w:r>
        <w:t xml:space="preserve">the expanded list option would continue to limit the ability of sports bodies to negotiate openly with respect to their rights, and to a greater degree than the other list options. </w:t>
      </w:r>
      <w:bookmarkEnd w:id="178"/>
      <w:r>
        <w:t>Free-to-air broadcasters would benefit from the expanded list as it would maintain and, in some respects, advance their negotiating position with regard to sporting rights.</w:t>
      </w:r>
    </w:p>
    <w:p w14:paraId="31B27222" w14:textId="77777777" w:rsidR="00FB23F4" w:rsidRDefault="00FB23F4" w:rsidP="00FB23F4">
      <w:pPr>
        <w:spacing w:after="0"/>
      </w:pPr>
      <w:r>
        <w:t>Conversely, subscription television broadcasting licensees would face restrictions on their ability to purchase and monetise the additional events proposed to be included on the expanded list (until the events are delisted).</w:t>
      </w:r>
    </w:p>
    <w:p w14:paraId="25D16050" w14:textId="77777777" w:rsidR="00FB23F4" w:rsidRDefault="00FB23F4" w:rsidP="00FB23F4">
      <w:pPr>
        <w:spacing w:after="0"/>
      </w:pPr>
      <w:r>
        <w:t>Online streaming services and other content services would be brought into the scheme for the first time if they opted to acquire the rights to provide coverage of events on the expanded list. The number of events they would lose the opportunity to obtain without restriction under the expanded list would be greater than the streamlined and modernised list options.</w:t>
      </w:r>
    </w:p>
    <w:bookmarkEnd w:id="177"/>
    <w:p w14:paraId="45F92B92" w14:textId="6F886A76" w:rsidR="00FB23F4" w:rsidRDefault="00FB23F4" w:rsidP="00FB23F4">
      <w:r>
        <w:t xml:space="preserve">As with the other list options, this proposal would </w:t>
      </w:r>
      <w:r w:rsidR="00702271">
        <w:t>take</w:t>
      </w:r>
      <w:r>
        <w:t xml:space="preserve"> </w:t>
      </w:r>
      <w:r w:rsidR="00622463">
        <w:t xml:space="preserve">an </w:t>
      </w:r>
      <w:r>
        <w:t>inclusive approach to international matches that involve a senior Australian representative team, including standalone fixtures and world cup matches that involve a men’s or women’s senior representative side.</w:t>
      </w:r>
    </w:p>
    <w:p w14:paraId="71C85D80" w14:textId="052E1F1F" w:rsidR="0009719A" w:rsidRPr="009B3A80" w:rsidRDefault="0009719A" w:rsidP="003C37A2">
      <w:pPr>
        <w:pStyle w:val="Heading3"/>
      </w:pPr>
      <w:bookmarkStart w:id="179" w:name="_Toc150883287"/>
      <w:bookmarkStart w:id="180" w:name="_Toc151053069"/>
      <w:r w:rsidRPr="009B3A80">
        <w:t xml:space="preserve">Option 4: </w:t>
      </w:r>
      <w:r w:rsidR="00FB23F4">
        <w:t>‘status quo’</w:t>
      </w:r>
      <w:bookmarkEnd w:id="179"/>
      <w:bookmarkEnd w:id="180"/>
    </w:p>
    <w:p w14:paraId="71174B8A" w14:textId="77777777" w:rsidR="00B43F16" w:rsidRDefault="00915EDB" w:rsidP="00C60755">
      <w:r w:rsidRPr="00915EDB">
        <w:t xml:space="preserve">Maintaining the current list would </w:t>
      </w:r>
      <w:r w:rsidR="00B43F16">
        <w:t xml:space="preserve">effectively </w:t>
      </w:r>
      <w:r w:rsidRPr="00915EDB">
        <w:t xml:space="preserve">involve no change to the </w:t>
      </w:r>
      <w:r w:rsidRPr="00B43F16">
        <w:rPr>
          <w:i/>
        </w:rPr>
        <w:t>Broadcasting Services (Events) Notice 2023</w:t>
      </w:r>
      <w:r w:rsidRPr="00915EDB">
        <w:t xml:space="preserve">, which covers </w:t>
      </w:r>
      <w:r w:rsidR="00F0610F">
        <w:t>approximately</w:t>
      </w:r>
      <w:r w:rsidRPr="00915EDB">
        <w:t xml:space="preserve"> </w:t>
      </w:r>
      <w:r>
        <w:t>1,9</w:t>
      </w:r>
      <w:r w:rsidR="00F0610F">
        <w:t>0</w:t>
      </w:r>
      <w:r>
        <w:t>0</w:t>
      </w:r>
      <w:r w:rsidRPr="00915EDB">
        <w:t xml:space="preserve"> events. As such, the impact of the rule on </w:t>
      </w:r>
      <w:r>
        <w:t>industry</w:t>
      </w:r>
      <w:r w:rsidRPr="00915EDB">
        <w:t>, consumer</w:t>
      </w:r>
      <w:r>
        <w:t>s</w:t>
      </w:r>
      <w:r w:rsidRPr="00915EDB">
        <w:t xml:space="preserve"> </w:t>
      </w:r>
      <w:r w:rsidR="00B43F16">
        <w:t xml:space="preserve">and government is likely to be maintained, pending decisions regarding the reform of the scheme itself. </w:t>
      </w:r>
    </w:p>
    <w:p w14:paraId="58F11AEA" w14:textId="32090D04" w:rsidR="00C60755" w:rsidRPr="00D61250" w:rsidRDefault="00C60755" w:rsidP="00D61250">
      <w:pPr>
        <w:pStyle w:val="Introduction"/>
      </w:pPr>
      <w:r w:rsidRPr="00D61250">
        <w:t>Impact on industry</w:t>
      </w:r>
    </w:p>
    <w:p w14:paraId="53560917" w14:textId="4D547E16" w:rsidR="00B43F16" w:rsidRPr="00B43F16" w:rsidRDefault="00B43F16" w:rsidP="00C60755">
      <w:pPr>
        <w:spacing w:after="0"/>
        <w:rPr>
          <w:b/>
        </w:rPr>
      </w:pPr>
      <w:r w:rsidRPr="00B43F16">
        <w:rPr>
          <w:b/>
        </w:rPr>
        <w:t xml:space="preserve">Free-to-air broadcasters </w:t>
      </w:r>
    </w:p>
    <w:p w14:paraId="0BD3B86A" w14:textId="5FEE63E8" w:rsidR="00B43F16" w:rsidRDefault="00C60755" w:rsidP="00C60755">
      <w:pPr>
        <w:spacing w:after="0"/>
      </w:pPr>
      <w:r>
        <w:t xml:space="preserve">Free-to-air broadcasters would continue to benefit from the current </w:t>
      </w:r>
      <w:r w:rsidR="00B43F16">
        <w:t>scheme</w:t>
      </w:r>
      <w:r>
        <w:t xml:space="preserve">, more so if </w:t>
      </w:r>
      <w:r w:rsidR="00B43F16">
        <w:t>Model 3 and (to a lesser extent) Model 2 were implemented. This option for the list is unlikely to be workable for the free</w:t>
      </w:r>
      <w:r w:rsidR="00D84FCE">
        <w:noBreakHyphen/>
      </w:r>
      <w:r w:rsidR="00B43F16">
        <w:t>to</w:t>
      </w:r>
      <w:r w:rsidR="00D84FCE">
        <w:noBreakHyphen/>
      </w:r>
      <w:r w:rsidR="00B43F16">
        <w:t xml:space="preserve">view model for reform of the scheme (Model 1), for the reasons noted </w:t>
      </w:r>
      <w:r w:rsidR="00E31EE2">
        <w:t>above</w:t>
      </w:r>
      <w:r w:rsidR="00B43F16">
        <w:t xml:space="preserve">, and isn’t considered further for this reason. The status quo option for the scheme (Model 4) would mean the scheme would continue to have the same impact as it currently does, applying to the same events.   </w:t>
      </w:r>
    </w:p>
    <w:p w14:paraId="7CCEBBAE" w14:textId="5F9C5773" w:rsidR="00D61250" w:rsidRPr="00B43F16" w:rsidRDefault="00B43F16" w:rsidP="00C60755">
      <w:pPr>
        <w:spacing w:after="0"/>
      </w:pPr>
      <w:r>
        <w:rPr>
          <w:b/>
        </w:rPr>
        <w:t>S</w:t>
      </w:r>
      <w:r w:rsidR="00C60755" w:rsidRPr="00D61250">
        <w:rPr>
          <w:b/>
        </w:rPr>
        <w:t>ubscription television and streaming services</w:t>
      </w:r>
    </w:p>
    <w:p w14:paraId="186E084A" w14:textId="7520814A" w:rsidR="00B43F16" w:rsidRDefault="00C60755" w:rsidP="00C60755">
      <w:pPr>
        <w:spacing w:after="0"/>
      </w:pPr>
      <w:r>
        <w:t xml:space="preserve">Subscription television broadcasting licensees would </w:t>
      </w:r>
      <w:r w:rsidR="005635E8">
        <w:t>continue to face</w:t>
      </w:r>
      <w:r>
        <w:t xml:space="preserve"> restrictions on their ability to </w:t>
      </w:r>
      <w:r w:rsidR="00B43F16">
        <w:t xml:space="preserve">acquire the rights to events on the list, albeit the same set of events as currently included in the </w:t>
      </w:r>
      <w:r w:rsidR="00B43F16" w:rsidRPr="00B43F16">
        <w:rPr>
          <w:i/>
        </w:rPr>
        <w:t>Broadcasting Services (Events) Notice 2023</w:t>
      </w:r>
      <w:r w:rsidR="00B43F16">
        <w:t xml:space="preserve">. The adverse impact on subscription broadcasters would be amplified if the broadcasting safety net model (Model 2) and (to a greater extent) the free-to-air first model (Model 3) were adopted. This option for the list is unlikely to be workable for the free-to-view model for reform of the scheme (Model 1), for the reasons noted </w:t>
      </w:r>
      <w:r w:rsidR="00E31EE2">
        <w:t>above</w:t>
      </w:r>
      <w:r w:rsidR="00B43F16">
        <w:t xml:space="preserve">, and isn’t considered further for this reason.  </w:t>
      </w:r>
    </w:p>
    <w:p w14:paraId="54C3B19D" w14:textId="0EBCD2E7" w:rsidR="00C60755" w:rsidRDefault="00B43F16" w:rsidP="00C60755">
      <w:pPr>
        <w:spacing w:after="0"/>
      </w:pPr>
      <w:r>
        <w:t>The impact of this list option for online streaming services will also depend on the model for reform. Under the status quo model (Model 4), the anti-siphoning scheme would continue to not apply to these services, and hence the</w:t>
      </w:r>
      <w:r w:rsidR="00270C29">
        <w:t xml:space="preserve">re would be no particular impact. Models 1, 2 and 3 would each draw in online streaming services, although Model 1 isn’t compatible with this list option and isn’t considered further. Model 2 (broadcasting safety net) and Model 3 (free-to-air first) would have a more significant detrimental impact on online streaming services.  </w:t>
      </w:r>
    </w:p>
    <w:p w14:paraId="41F31D7E" w14:textId="7117127F" w:rsidR="00D61250" w:rsidRDefault="00B43F16" w:rsidP="00C60755">
      <w:pPr>
        <w:spacing w:after="0"/>
        <w:rPr>
          <w:b/>
        </w:rPr>
      </w:pPr>
      <w:r>
        <w:rPr>
          <w:b/>
        </w:rPr>
        <w:t>S</w:t>
      </w:r>
      <w:r w:rsidR="00C60755" w:rsidRPr="00D61250">
        <w:rPr>
          <w:b/>
        </w:rPr>
        <w:t>porting bodies</w:t>
      </w:r>
    </w:p>
    <w:p w14:paraId="3A245481" w14:textId="2B1ECF83" w:rsidR="00270C29" w:rsidRDefault="00270C29" w:rsidP="00C60755">
      <w:pPr>
        <w:spacing w:after="0"/>
      </w:pPr>
      <w:r>
        <w:t xml:space="preserve">Sports bodies would continue to face restrictions in terms of the sequence of acquisition of their rights under Models 2, 3 and 4. Model </w:t>
      </w:r>
      <w:r w:rsidR="00B748C1">
        <w:t>3</w:t>
      </w:r>
      <w:r>
        <w:t xml:space="preserve"> would have the greatest adverse impact on sports bodies as </w:t>
      </w:r>
      <w:r w:rsidR="00B6771A">
        <w:t xml:space="preserve">it </w:t>
      </w:r>
      <w:r>
        <w:t>would require a free</w:t>
      </w:r>
      <w:r w:rsidR="00B748C1">
        <w:noBreakHyphen/>
      </w:r>
      <w:r>
        <w:t>to</w:t>
      </w:r>
      <w:r w:rsidR="00B748C1">
        <w:noBreakHyphen/>
      </w:r>
      <w:r>
        <w:t xml:space="preserve">air broadcaster to have acquired both a right to televise a listed event on a broadcasting service and an online right to the event before a right could be acquired by any other party. Model 1 is not relevant to this consideration as it is likely to be incompatible with this list option. </w:t>
      </w:r>
    </w:p>
    <w:p w14:paraId="526938D6" w14:textId="7F918BAD" w:rsidR="00C60755" w:rsidRPr="00D61250" w:rsidRDefault="00C60755" w:rsidP="00D61250">
      <w:pPr>
        <w:pStyle w:val="Introduction"/>
      </w:pPr>
      <w:r w:rsidRPr="00D61250">
        <w:t xml:space="preserve">Impact on Australian consumers </w:t>
      </w:r>
    </w:p>
    <w:p w14:paraId="65D92E9F" w14:textId="77777777" w:rsidR="004F4511" w:rsidRDefault="004F4511" w:rsidP="00C60755">
      <w:r>
        <w:t>Under the status quo list option, t</w:t>
      </w:r>
      <w:r w:rsidR="00FB54F0">
        <w:t>he imbalances in the current list identified through the review of the scheme</w:t>
      </w:r>
      <w:r w:rsidR="00445BCA">
        <w:t xml:space="preserve"> – </w:t>
      </w:r>
      <w:r w:rsidR="00FB54F0">
        <w:t>particularly in relation to women’s and Para-sports – would be maintained.</w:t>
      </w:r>
      <w:r>
        <w:t xml:space="preserve"> The scheme would continue to regulate sports that are predominantly played by men and athletes without a disability. Australian consumers may have more limited opportunities to view additional women’s and Para-sports for free under this list option, depending on the choices make by sports bodies and media entities in terms of the acquisition of rights and coverage of relevant events. </w:t>
      </w:r>
    </w:p>
    <w:p w14:paraId="285B5EDA" w14:textId="6E96B9E3" w:rsidR="00592A91" w:rsidRPr="00D61250" w:rsidRDefault="00592A91" w:rsidP="00D61250">
      <w:pPr>
        <w:pStyle w:val="Introduction"/>
      </w:pPr>
      <w:r w:rsidRPr="00D61250">
        <w:t xml:space="preserve">Impact on </w:t>
      </w:r>
      <w:r w:rsidR="003C37A2" w:rsidRPr="00D61250">
        <w:t>g</w:t>
      </w:r>
      <w:r w:rsidRPr="00D61250">
        <w:t>overnment</w:t>
      </w:r>
    </w:p>
    <w:p w14:paraId="2430DFEB" w14:textId="2D6A336C" w:rsidR="00FB54F0" w:rsidRDefault="00FB54F0" w:rsidP="00592A91">
      <w:pPr>
        <w:tabs>
          <w:tab w:val="left" w:pos="7905"/>
        </w:tabs>
        <w:spacing w:before="120" w:after="120"/>
        <w:rPr>
          <w:rFonts w:cstheme="minorHAnsi"/>
        </w:rPr>
      </w:pPr>
      <w:r>
        <w:rPr>
          <w:rFonts w:cstheme="minorHAnsi"/>
        </w:rPr>
        <w:t xml:space="preserve">The </w:t>
      </w:r>
      <w:r w:rsidR="00592A91" w:rsidRPr="008E4854">
        <w:rPr>
          <w:rFonts w:cstheme="minorHAnsi"/>
        </w:rPr>
        <w:t xml:space="preserve">ACMA </w:t>
      </w:r>
      <w:r>
        <w:rPr>
          <w:rFonts w:cstheme="minorHAnsi"/>
        </w:rPr>
        <w:t xml:space="preserve">would continue to have responsibility for oversight and administration of the scheme. Under this list option, the scope of that work would remain unchanged (pending decisions regarding the model for reform).  </w:t>
      </w:r>
    </w:p>
    <w:p w14:paraId="7D79237D" w14:textId="77777777" w:rsidR="00592A91" w:rsidRPr="00B6200D" w:rsidRDefault="00592A91" w:rsidP="003C37A2">
      <w:pPr>
        <w:pStyle w:val="Introduction"/>
      </w:pPr>
      <w:r>
        <w:t>Overall assessment</w:t>
      </w:r>
    </w:p>
    <w:p w14:paraId="49E13944" w14:textId="00605BEA" w:rsidR="00653B91" w:rsidRDefault="00653B91" w:rsidP="00653B91">
      <w:r>
        <w:t>T</w:t>
      </w:r>
      <w:r w:rsidRPr="00354F65">
        <w:t xml:space="preserve">he </w:t>
      </w:r>
      <w:r>
        <w:t xml:space="preserve">status quo list would maintain the current scope of the </w:t>
      </w:r>
      <w:r w:rsidRPr="00B43F16">
        <w:rPr>
          <w:i/>
        </w:rPr>
        <w:t>Broadcasting Services (Events) Notice 2023</w:t>
      </w:r>
      <w:r>
        <w:t xml:space="preserve">. The imbalances in the current list identified through the review of the scheme – particularly in relation to women’s and Para-sports – would be maintained. More broadly, the impact of this list option on consumers will depend on the model for reform of the scheme. </w:t>
      </w:r>
    </w:p>
    <w:p w14:paraId="3D35BFCD" w14:textId="24223FBF" w:rsidR="00FF6CDB" w:rsidRDefault="00C724C1" w:rsidP="00653B91">
      <w:pPr>
        <w:pStyle w:val="Heading1Numbered"/>
        <w:spacing w:before="360"/>
      </w:pPr>
      <w:bookmarkStart w:id="181" w:name="_Toc150883288"/>
      <w:bookmarkStart w:id="182" w:name="_Toc151053070"/>
      <w:r>
        <w:t>C</w:t>
      </w:r>
      <w:r w:rsidR="00D0790D" w:rsidRPr="009B3A80">
        <w:t>onsultation</w:t>
      </w:r>
      <w:bookmarkEnd w:id="181"/>
      <w:bookmarkEnd w:id="182"/>
      <w:r w:rsidR="00FF6CDB" w:rsidRPr="009B3A80">
        <w:t xml:space="preserve"> </w:t>
      </w:r>
    </w:p>
    <w:p w14:paraId="515FF9C9" w14:textId="77777777" w:rsidR="004F4511" w:rsidRDefault="00B14A7F" w:rsidP="00914F67">
      <w:r>
        <w:t>The</w:t>
      </w:r>
      <w:r w:rsidR="00B76E4D">
        <w:t xml:space="preserve"> Government has undertaken a review of the anti-siphoning scheme and anti-siphoning list</w:t>
      </w:r>
      <w:r w:rsidR="004F4511">
        <w:t>,</w:t>
      </w:r>
      <w:r w:rsidR="00B76E4D">
        <w:t xml:space="preserve"> in line with its 2022 election commitment. This review has consisted of two phases of consultation</w:t>
      </w:r>
      <w:r w:rsidR="004F4511">
        <w:t xml:space="preserve">, as outlined below. </w:t>
      </w:r>
    </w:p>
    <w:p w14:paraId="78FD031E" w14:textId="703C5F0B" w:rsidR="00527BDC" w:rsidRDefault="00527BDC" w:rsidP="00527BDC">
      <w:pPr>
        <w:pStyle w:val="Heading2"/>
      </w:pPr>
      <w:bookmarkStart w:id="183" w:name="_Toc150883289"/>
      <w:bookmarkStart w:id="184" w:name="_Toc151053071"/>
      <w:r>
        <w:t>Public consultation</w:t>
      </w:r>
      <w:bookmarkEnd w:id="183"/>
      <w:bookmarkEnd w:id="184"/>
    </w:p>
    <w:p w14:paraId="571709CD" w14:textId="723AEBE1" w:rsidR="00527BDC" w:rsidRDefault="00C1402A" w:rsidP="00914F67">
      <w:r>
        <w:t xml:space="preserve">The first </w:t>
      </w:r>
      <w:r w:rsidR="00C678FD">
        <w:t>phase</w:t>
      </w:r>
      <w:r>
        <w:t xml:space="preserve"> of </w:t>
      </w:r>
      <w:r w:rsidR="00B6771A">
        <w:t>public consultation</w:t>
      </w:r>
      <w:r>
        <w:t xml:space="preserve"> </w:t>
      </w:r>
      <w:r w:rsidR="004F4511">
        <w:t xml:space="preserve">occurred in the fourth quarter of 2022 </w:t>
      </w:r>
      <w:r w:rsidR="00B6771A">
        <w:t>with</w:t>
      </w:r>
      <w:r w:rsidR="004F4511">
        <w:t xml:space="preserve"> the</w:t>
      </w:r>
      <w:r>
        <w:t xml:space="preserve"> release </w:t>
      </w:r>
      <w:r w:rsidR="004F4511">
        <w:t>of a</w:t>
      </w:r>
      <w:r>
        <w:t xml:space="preserve"> p</w:t>
      </w:r>
      <w:r w:rsidR="00152266">
        <w:t xml:space="preserve">ublic consultation </w:t>
      </w:r>
      <w:r w:rsidR="004F4511">
        <w:t xml:space="preserve">paper: </w:t>
      </w:r>
      <w:r w:rsidR="00152266" w:rsidRPr="00B8348E">
        <w:t>Review of the anti-siphoning scheme - consultation paper</w:t>
      </w:r>
      <w:r>
        <w:t>.</w:t>
      </w:r>
      <w:r w:rsidR="00CB5B08">
        <w:rPr>
          <w:rStyle w:val="FootnoteReference"/>
        </w:rPr>
        <w:footnoteReference w:id="161"/>
      </w:r>
      <w:r>
        <w:t xml:space="preserve"> The consultation paper sought views on:</w:t>
      </w:r>
    </w:p>
    <w:p w14:paraId="48DEE5D3" w14:textId="592236C9" w:rsidR="00C1402A" w:rsidRDefault="00C1402A" w:rsidP="00E33CCD">
      <w:pPr>
        <w:pStyle w:val="ListParagraph"/>
        <w:numPr>
          <w:ilvl w:val="0"/>
          <w:numId w:val="21"/>
        </w:numPr>
        <w:contextualSpacing w:val="0"/>
      </w:pPr>
      <w:r>
        <w:t>the policy objective of providing free access to televised coverage of important events and the mechanism to achieve it (currently the scheme and the list);</w:t>
      </w:r>
    </w:p>
    <w:p w14:paraId="363A09D9" w14:textId="084C48F7" w:rsidR="00C1402A" w:rsidRDefault="00C1402A" w:rsidP="00E33CCD">
      <w:pPr>
        <w:pStyle w:val="ListParagraph"/>
        <w:numPr>
          <w:ilvl w:val="0"/>
          <w:numId w:val="21"/>
        </w:numPr>
        <w:contextualSpacing w:val="0"/>
      </w:pPr>
      <w:r>
        <w:t>the potential application of the scheme to new media, such as streaming services;</w:t>
      </w:r>
    </w:p>
    <w:p w14:paraId="7197EECA" w14:textId="17C43409" w:rsidR="00C1402A" w:rsidRDefault="00C1402A" w:rsidP="00E33CCD">
      <w:pPr>
        <w:pStyle w:val="ListParagraph"/>
        <w:numPr>
          <w:ilvl w:val="0"/>
          <w:numId w:val="21"/>
        </w:numPr>
        <w:contextualSpacing w:val="0"/>
      </w:pPr>
      <w:r>
        <w:t>the use and disposal of rights to televise events on the list, including transparency and information disclosure; and</w:t>
      </w:r>
    </w:p>
    <w:p w14:paraId="5D0D04F9" w14:textId="7FB569E0" w:rsidR="00C1402A" w:rsidRDefault="00C1402A" w:rsidP="00E33CCD">
      <w:pPr>
        <w:pStyle w:val="ListParagraph"/>
        <w:numPr>
          <w:ilvl w:val="0"/>
          <w:numId w:val="21"/>
        </w:numPr>
        <w:contextualSpacing w:val="0"/>
      </w:pPr>
      <w:r>
        <w:t xml:space="preserve">the composition of the list </w:t>
      </w:r>
      <w:r>
        <w:rPr>
          <w:rFonts w:cstheme="minorHAnsi"/>
        </w:rPr>
        <w:t>—</w:t>
      </w:r>
      <w:r>
        <w:t xml:space="preserve"> sports and events that should be included on the list and arrangements to remove events from the list</w:t>
      </w:r>
      <w:r w:rsidR="006A4D9B">
        <w:t>.</w:t>
      </w:r>
    </w:p>
    <w:p w14:paraId="6DABB201" w14:textId="016718A1" w:rsidR="006A4D9B" w:rsidRDefault="006A4D9B" w:rsidP="006A4D9B">
      <w:r>
        <w:t xml:space="preserve">Twenty-five submission were received during this first tranche </w:t>
      </w:r>
      <w:r w:rsidR="004F4511">
        <w:t xml:space="preserve">of </w:t>
      </w:r>
      <w:r>
        <w:t xml:space="preserve">consultation. </w:t>
      </w:r>
      <w:r w:rsidR="00B6771A">
        <w:t>Th</w:t>
      </w:r>
      <w:r>
        <w:t xml:space="preserve">ree stakeholder roundtables </w:t>
      </w:r>
      <w:r w:rsidR="003A3C70">
        <w:t>were also convened</w:t>
      </w:r>
      <w:r>
        <w:t xml:space="preserve"> in November 2022 with: free-to-air broadcasters; subscription television broadcasters and streaming services; and with sporting organisations.  </w:t>
      </w:r>
    </w:p>
    <w:p w14:paraId="600424D9" w14:textId="2DD1C2F7" w:rsidR="006A4D9B" w:rsidRDefault="006A4D9B" w:rsidP="003553E4">
      <w:r>
        <w:t>Submissions to th</w:t>
      </w:r>
      <w:r w:rsidR="004F4511">
        <w:t>is</w:t>
      </w:r>
      <w:r>
        <w:t xml:space="preserve"> consultation paper, and views expressed at the roundtables</w:t>
      </w:r>
      <w:r w:rsidR="004F4511">
        <w:t>,</w:t>
      </w:r>
      <w:r>
        <w:t xml:space="preserve"> informed the development of </w:t>
      </w:r>
      <w:r w:rsidR="004F4511">
        <w:t xml:space="preserve">a set of specific proposals for reform of the scheme and list. These proposals were included in </w:t>
      </w:r>
      <w:r>
        <w:t xml:space="preserve">the </w:t>
      </w:r>
      <w:r w:rsidRPr="00B8348E">
        <w:t xml:space="preserve">Review of the anti-siphoning scheme – </w:t>
      </w:r>
      <w:r w:rsidR="004F4511" w:rsidRPr="00B8348E">
        <w:t>p</w:t>
      </w:r>
      <w:r w:rsidRPr="00B8348E">
        <w:t>roposals paper</w:t>
      </w:r>
      <w:r w:rsidR="00B8348E">
        <w:rPr>
          <w:rStyle w:val="FootnoteReference"/>
          <w:color w:val="0046FF" w:themeColor="hyperlink"/>
          <w:u w:val="single"/>
        </w:rPr>
        <w:footnoteReference w:id="162"/>
      </w:r>
      <w:r w:rsidR="004F4511">
        <w:t>, which was</w:t>
      </w:r>
      <w:r>
        <w:t xml:space="preserve"> released for public consultation between 19 August 2023 and 17 September 2023. </w:t>
      </w:r>
    </w:p>
    <w:p w14:paraId="7EF14AC6" w14:textId="623B4641" w:rsidR="00224F15" w:rsidRDefault="006A4D9B" w:rsidP="006A4D9B">
      <w:r>
        <w:t xml:space="preserve">The proposals paper outlined </w:t>
      </w:r>
      <w:r w:rsidR="004F4511">
        <w:t>a number of</w:t>
      </w:r>
      <w:r>
        <w:t xml:space="preserve"> preliminary findings of the </w:t>
      </w:r>
      <w:r w:rsidR="00224F15">
        <w:t>review to date:</w:t>
      </w:r>
    </w:p>
    <w:p w14:paraId="1A244133" w14:textId="7D1F1739" w:rsidR="006A4D9B" w:rsidRDefault="00224F15" w:rsidP="00E33CCD">
      <w:pPr>
        <w:pStyle w:val="ListParagraph"/>
        <w:numPr>
          <w:ilvl w:val="0"/>
          <w:numId w:val="22"/>
        </w:numPr>
        <w:contextualSpacing w:val="0"/>
      </w:pPr>
      <w:r>
        <w:t>the core objective of the anti-siphoning scheme remains relevant;</w:t>
      </w:r>
    </w:p>
    <w:p w14:paraId="2CCAD0DB" w14:textId="3BA27806" w:rsidR="00224F15" w:rsidRDefault="00224F15" w:rsidP="00E33CCD">
      <w:pPr>
        <w:pStyle w:val="ListParagraph"/>
        <w:numPr>
          <w:ilvl w:val="0"/>
          <w:numId w:val="22"/>
        </w:numPr>
        <w:contextualSpacing w:val="0"/>
      </w:pPr>
      <w:r>
        <w:t>the scheme has an on-going role but needs to be broadened to incorporate online services; and</w:t>
      </w:r>
    </w:p>
    <w:p w14:paraId="62E35D7D" w14:textId="1B8B62A7" w:rsidR="00224F15" w:rsidRDefault="00224F15" w:rsidP="00E33CCD">
      <w:pPr>
        <w:pStyle w:val="ListParagraph"/>
        <w:numPr>
          <w:ilvl w:val="0"/>
          <w:numId w:val="22"/>
        </w:numPr>
        <w:contextualSpacing w:val="0"/>
      </w:pPr>
      <w:r>
        <w:t>the composition of the anti-siphoning list needs to be reconsidered.</w:t>
      </w:r>
    </w:p>
    <w:p w14:paraId="35D6B2A4" w14:textId="6B28799B" w:rsidR="00C112F5" w:rsidRPr="004661AA" w:rsidRDefault="00224F15" w:rsidP="00224F15">
      <w:r w:rsidRPr="004661AA">
        <w:t xml:space="preserve">The proposals paper </w:t>
      </w:r>
      <w:r w:rsidR="004F4511" w:rsidRPr="004661AA">
        <w:t xml:space="preserve">also </w:t>
      </w:r>
      <w:r w:rsidRPr="004661AA">
        <w:t xml:space="preserve">outlined three models </w:t>
      </w:r>
      <w:r w:rsidR="004F4511" w:rsidRPr="004661AA">
        <w:t>for</w:t>
      </w:r>
      <w:r w:rsidRPr="004661AA">
        <w:t xml:space="preserve"> reform the scheme</w:t>
      </w:r>
      <w:r w:rsidR="004F4511" w:rsidRPr="004661AA">
        <w:t xml:space="preserve"> and three options for reform of the list. </w:t>
      </w:r>
      <w:r w:rsidR="0074583C" w:rsidRPr="004661AA">
        <w:t xml:space="preserve">The free-to-view model (Model 1) and streamlined list (List 1) </w:t>
      </w:r>
      <w:r w:rsidR="00BF0F11" w:rsidRPr="004661AA">
        <w:t>were closely aligned with the</w:t>
      </w:r>
      <w:r w:rsidR="00524724" w:rsidRPr="004661AA">
        <w:t xml:space="preserve"> </w:t>
      </w:r>
      <w:r w:rsidR="0074583C" w:rsidRPr="004661AA">
        <w:t xml:space="preserve">views </w:t>
      </w:r>
      <w:r w:rsidR="00524724" w:rsidRPr="004661AA">
        <w:t xml:space="preserve">and concerns </w:t>
      </w:r>
      <w:r w:rsidR="0074583C" w:rsidRPr="004661AA">
        <w:t xml:space="preserve">of </w:t>
      </w:r>
      <w:r w:rsidR="00524724" w:rsidRPr="004661AA">
        <w:t>subscription television broadcasting services, streaming services and sporting bodies</w:t>
      </w:r>
      <w:r w:rsidR="0074583C" w:rsidRPr="004661AA">
        <w:t>. The free</w:t>
      </w:r>
      <w:r w:rsidR="00524724" w:rsidRPr="004661AA">
        <w:noBreakHyphen/>
      </w:r>
      <w:r w:rsidR="0074583C" w:rsidRPr="004661AA">
        <w:t>to</w:t>
      </w:r>
      <w:r w:rsidR="00524724" w:rsidRPr="004661AA">
        <w:noBreakHyphen/>
      </w:r>
      <w:r w:rsidR="0074583C" w:rsidRPr="004661AA">
        <w:t xml:space="preserve">air first model (Model 3) </w:t>
      </w:r>
      <w:r w:rsidR="00524724" w:rsidRPr="004661AA">
        <w:t>and the expanded list</w:t>
      </w:r>
      <w:r w:rsidR="0074583C" w:rsidRPr="004661AA">
        <w:t xml:space="preserve"> </w:t>
      </w:r>
      <w:r w:rsidR="00574341" w:rsidRPr="004661AA">
        <w:t xml:space="preserve">(List 3) </w:t>
      </w:r>
      <w:r w:rsidR="00524724" w:rsidRPr="004661AA">
        <w:t xml:space="preserve">endeavoured to address the views and concerns of </w:t>
      </w:r>
      <w:r w:rsidR="0074583C" w:rsidRPr="004661AA">
        <w:t xml:space="preserve">free-to-air broadcasters. </w:t>
      </w:r>
    </w:p>
    <w:p w14:paraId="5782AC58" w14:textId="0ACE1418" w:rsidR="0048110E" w:rsidRPr="004661AA" w:rsidRDefault="0074583C" w:rsidP="0048110E">
      <w:r w:rsidRPr="004661AA">
        <w:t xml:space="preserve">The broadcasting safety net model (Model 2) was </w:t>
      </w:r>
      <w:r w:rsidR="00BF0F11" w:rsidRPr="004661AA">
        <w:t>put forward</w:t>
      </w:r>
      <w:r w:rsidRPr="004661AA">
        <w:t xml:space="preserve"> </w:t>
      </w:r>
      <w:r w:rsidR="00C112F5" w:rsidRPr="004661AA">
        <w:t>as the</w:t>
      </w:r>
      <w:r w:rsidRPr="004661AA">
        <w:t xml:space="preserve"> Government</w:t>
      </w:r>
      <w:r w:rsidR="00B6771A">
        <w:t>’s</w:t>
      </w:r>
      <w:r w:rsidRPr="004661AA">
        <w:t xml:space="preserve"> </w:t>
      </w:r>
      <w:r w:rsidR="00C112F5" w:rsidRPr="004661AA">
        <w:t>preferred approach</w:t>
      </w:r>
      <w:r w:rsidR="00BF0F11" w:rsidRPr="004661AA">
        <w:t xml:space="preserve"> to reform of the scheme. It would </w:t>
      </w:r>
      <w:r w:rsidRPr="004661AA">
        <w:t>affirm broadcasting services as the ‘safety net’ for free access to televised coverage of iconic sporting events for all Australians</w:t>
      </w:r>
      <w:r w:rsidR="00574341" w:rsidRPr="004661AA">
        <w:t xml:space="preserve">. </w:t>
      </w:r>
      <w:r w:rsidR="0048110E" w:rsidRPr="004661AA">
        <w:t>It w</w:t>
      </w:r>
      <w:r w:rsidR="00BF0F11" w:rsidRPr="004661AA">
        <w:t>ould</w:t>
      </w:r>
      <w:r w:rsidR="0048110E" w:rsidRPr="004661AA">
        <w:t xml:space="preserve"> address the risk of </w:t>
      </w:r>
      <w:r w:rsidR="00BF0F11" w:rsidRPr="004661AA">
        <w:t>iconic sporting e</w:t>
      </w:r>
      <w:r w:rsidR="0048110E" w:rsidRPr="004661AA">
        <w:t xml:space="preserve">vents migrating to platforms that involve direct or indirect costs for Australian audiences (benefiting consumers), but </w:t>
      </w:r>
      <w:r w:rsidR="00BF0F11" w:rsidRPr="004661AA">
        <w:t>would</w:t>
      </w:r>
      <w:r w:rsidR="00CF110B" w:rsidRPr="004661AA">
        <w:t xml:space="preserve"> </w:t>
      </w:r>
      <w:r w:rsidR="0048110E" w:rsidRPr="004661AA">
        <w:t xml:space="preserve">enable </w:t>
      </w:r>
      <w:r w:rsidR="00B748C1">
        <w:t>other</w:t>
      </w:r>
      <w:r w:rsidR="0048110E" w:rsidRPr="004661AA">
        <w:t xml:space="preserve"> providers to acquire non-broadcasting rights once a right to televise an event ha</w:t>
      </w:r>
      <w:r w:rsidR="00BF0F11" w:rsidRPr="004661AA">
        <w:t>d</w:t>
      </w:r>
      <w:r w:rsidR="0048110E" w:rsidRPr="004661AA">
        <w:t xml:space="preserve"> been acquired by a free-to-air broadcaster, or it ha</w:t>
      </w:r>
      <w:r w:rsidR="00BF0F11" w:rsidRPr="004661AA">
        <w:t>d</w:t>
      </w:r>
      <w:r w:rsidR="0048110E" w:rsidRPr="004661AA">
        <w:t xml:space="preserve"> been automatically delisted</w:t>
      </w:r>
      <w:r w:rsidR="00BF0F11" w:rsidRPr="004661AA">
        <w:t xml:space="preserve">. </w:t>
      </w:r>
      <w:r w:rsidR="0048110E" w:rsidRPr="004661AA">
        <w:t xml:space="preserve">  </w:t>
      </w:r>
    </w:p>
    <w:p w14:paraId="5237F5E4" w14:textId="5E5488ED" w:rsidR="0048110E" w:rsidRDefault="00574341" w:rsidP="00224F15">
      <w:r w:rsidRPr="004661AA">
        <w:t xml:space="preserve">The modernised list (List 2) </w:t>
      </w:r>
      <w:r w:rsidR="00524724" w:rsidRPr="004661AA">
        <w:t xml:space="preserve">was put forward as the Government’s preferred list as it </w:t>
      </w:r>
      <w:r w:rsidRPr="004661AA">
        <w:t>moderately broadens the construction of nationally important and culturally significant events</w:t>
      </w:r>
      <w:r w:rsidR="007D2212" w:rsidRPr="004661AA">
        <w:t xml:space="preserve"> to better reflect the contemporary media landscape</w:t>
      </w:r>
      <w:r w:rsidR="0074583C" w:rsidRPr="004661AA">
        <w:t>.</w:t>
      </w:r>
      <w:r w:rsidR="00524724">
        <w:t xml:space="preserve"> </w:t>
      </w:r>
    </w:p>
    <w:p w14:paraId="4D546CB8" w14:textId="73C5BF57" w:rsidR="00224F15" w:rsidRDefault="004F4511" w:rsidP="00224F15">
      <w:r>
        <w:t xml:space="preserve">These models and options have been the subject of the </w:t>
      </w:r>
      <w:r w:rsidR="009273C7">
        <w:t xml:space="preserve">assessment undertaken through this IA, in addition to the status quo for both the scheme and list. </w:t>
      </w:r>
      <w:r w:rsidR="00224F15">
        <w:t xml:space="preserve"> </w:t>
      </w:r>
    </w:p>
    <w:p w14:paraId="06B57670" w14:textId="6C15C230" w:rsidR="009273C7" w:rsidRDefault="00E96783" w:rsidP="009273C7">
      <w:r>
        <w:t xml:space="preserve">Seventeen </w:t>
      </w:r>
      <w:r w:rsidR="009273C7">
        <w:t xml:space="preserve">submission were received in response to the proposals paper. </w:t>
      </w:r>
    </w:p>
    <w:p w14:paraId="4C60BA84" w14:textId="01801DEB" w:rsidR="00527BDC" w:rsidRDefault="00527BDC" w:rsidP="00527BDC">
      <w:pPr>
        <w:pStyle w:val="Heading2"/>
      </w:pPr>
      <w:bookmarkStart w:id="185" w:name="_Toc150883290"/>
      <w:bookmarkStart w:id="186" w:name="_Toc151053072"/>
      <w:r>
        <w:t>Post-consultation analysis</w:t>
      </w:r>
      <w:bookmarkEnd w:id="185"/>
      <w:bookmarkEnd w:id="186"/>
    </w:p>
    <w:p w14:paraId="365FD1D9" w14:textId="0C7C23FB" w:rsidR="009273C7" w:rsidRPr="00736CA0" w:rsidRDefault="009273C7" w:rsidP="00914F67">
      <w:r w:rsidRPr="00736CA0">
        <w:t xml:space="preserve">The views and positions of stakeholders were carefully assessed in the development of the proposals paper and in the subsequent consideration and refinement of various models and options. This assessment was augmented by analysis of available information and reports regarding sports broadcasting in Australia and developments and trends in comparable overseas jurisdictions. </w:t>
      </w:r>
    </w:p>
    <w:p w14:paraId="7B0AD48D" w14:textId="1EE58136" w:rsidR="007C372C" w:rsidRPr="00736CA0" w:rsidRDefault="005D5066" w:rsidP="00434CC5">
      <w:pPr>
        <w:pStyle w:val="ListParagraph"/>
        <w:tabs>
          <w:tab w:val="left" w:pos="567"/>
        </w:tabs>
        <w:suppressAutoHyphens w:val="0"/>
        <w:spacing w:before="0" w:after="0"/>
        <w:ind w:left="0"/>
      </w:pPr>
      <w:r w:rsidRPr="00736CA0">
        <w:t>F</w:t>
      </w:r>
      <w:r w:rsidR="002D5CC7" w:rsidRPr="00736CA0">
        <w:t xml:space="preserve">ree-to-air broadcasters </w:t>
      </w:r>
      <w:r w:rsidR="009273C7" w:rsidRPr="00736CA0">
        <w:t xml:space="preserve">strongly supported the extension of the current scheme </w:t>
      </w:r>
      <w:r w:rsidR="00244F09">
        <w:t xml:space="preserve">to </w:t>
      </w:r>
      <w:r w:rsidR="009273C7" w:rsidRPr="00736CA0">
        <w:t xml:space="preserve">online services. With respect to the reform models outlined in the proposals paper, the sector </w:t>
      </w:r>
      <w:r w:rsidR="00EC3FE9" w:rsidRPr="00736CA0">
        <w:t xml:space="preserve">generally </w:t>
      </w:r>
      <w:r w:rsidR="009273C7" w:rsidRPr="00736CA0">
        <w:t xml:space="preserve">argued that </w:t>
      </w:r>
      <w:r w:rsidR="00B6771A">
        <w:t xml:space="preserve">the </w:t>
      </w:r>
      <w:r w:rsidR="009273C7" w:rsidRPr="00736CA0">
        <w:t xml:space="preserve">free-to-air first </w:t>
      </w:r>
      <w:r w:rsidR="00AE467A" w:rsidRPr="00736CA0">
        <w:t>(</w:t>
      </w:r>
      <w:r w:rsidR="002E7257" w:rsidRPr="00736CA0">
        <w:t>Model</w:t>
      </w:r>
      <w:r w:rsidR="002E7257">
        <w:t> </w:t>
      </w:r>
      <w:r w:rsidR="00AE467A" w:rsidRPr="00736CA0">
        <w:t>3</w:t>
      </w:r>
      <w:r w:rsidR="009273C7" w:rsidRPr="00736CA0">
        <w:t xml:space="preserve">) and the expanded list (Option 3) should be adopted, with some adjustments and qualifications. </w:t>
      </w:r>
      <w:r w:rsidR="00E46ACE" w:rsidRPr="00736CA0">
        <w:t>It was argued this</w:t>
      </w:r>
      <w:r w:rsidR="007C372C" w:rsidRPr="00736CA0">
        <w:t xml:space="preserve"> </w:t>
      </w:r>
      <w:r w:rsidR="00B6771A">
        <w:t xml:space="preserve">would </w:t>
      </w:r>
      <w:r w:rsidR="007C372C" w:rsidRPr="00736CA0">
        <w:t xml:space="preserve">provide access to live and free sports coverage regardless of technology, </w:t>
      </w:r>
      <w:r w:rsidR="00B6771A">
        <w:t xml:space="preserve">would </w:t>
      </w:r>
      <w:r w:rsidR="007C372C" w:rsidRPr="00736CA0">
        <w:t xml:space="preserve">sustain free-to-air broadcasters, and is consistent with audience expectations of free access. </w:t>
      </w:r>
      <w:r w:rsidR="00E46ACE" w:rsidRPr="00736CA0">
        <w:t xml:space="preserve">The </w:t>
      </w:r>
      <w:r w:rsidR="0025598E">
        <w:t>Australian Broadcasting Corporation (ABC)</w:t>
      </w:r>
      <w:r w:rsidR="00E46ACE" w:rsidRPr="00736CA0">
        <w:t xml:space="preserve"> </w:t>
      </w:r>
      <w:r w:rsidR="00CA5B77" w:rsidRPr="00736CA0">
        <w:t>noted</w:t>
      </w:r>
      <w:r w:rsidR="00736CA0">
        <w:t xml:space="preserve"> that</w:t>
      </w:r>
      <w:r w:rsidR="00CA5B77" w:rsidRPr="00736CA0">
        <w:t xml:space="preserve"> this risks the broadcasters only providing streaming coverage of listed events and supported </w:t>
      </w:r>
      <w:r w:rsidR="00E46ACE" w:rsidRPr="00736CA0">
        <w:t>broadcasting safety net model (Model 2)</w:t>
      </w:r>
      <w:r w:rsidR="00CA5B77" w:rsidRPr="00736CA0">
        <w:t>,</w:t>
      </w:r>
      <w:r w:rsidR="00E46ACE" w:rsidRPr="00736CA0">
        <w:t xml:space="preserve"> as it would best support the likelihood of listed events being freely available</w:t>
      </w:r>
      <w:r w:rsidR="00630058">
        <w:t>.</w:t>
      </w:r>
      <w:r w:rsidR="009C001E">
        <w:rPr>
          <w:rStyle w:val="FootnoteReference"/>
        </w:rPr>
        <w:footnoteReference w:id="163"/>
      </w:r>
    </w:p>
    <w:p w14:paraId="745CFD09" w14:textId="6C5DDB27" w:rsidR="00CA5B77" w:rsidRPr="00736CA0" w:rsidRDefault="002D5CC7" w:rsidP="00951D57">
      <w:r w:rsidRPr="00736CA0">
        <w:t xml:space="preserve">Subscription television and streaming services supported </w:t>
      </w:r>
      <w:r w:rsidR="00AF0271" w:rsidRPr="00736CA0">
        <w:t>the free-to-view model (</w:t>
      </w:r>
      <w:r w:rsidRPr="00736CA0">
        <w:t>Model 1</w:t>
      </w:r>
      <w:r w:rsidR="00AF0271" w:rsidRPr="00736CA0">
        <w:t xml:space="preserve">), and argued that the broadcasting safety net model (Model 2) and (to a greater extent) the free-to-air first model (Model 3) would exacerbate the anti-competitive impacts of the scheme by further favouring </w:t>
      </w:r>
      <w:r w:rsidRPr="00736CA0">
        <w:t>free-to-air broadcasters</w:t>
      </w:r>
      <w:r w:rsidR="00AF0271" w:rsidRPr="00736CA0">
        <w:t xml:space="preserve">. These entities generally argued that </w:t>
      </w:r>
      <w:r w:rsidRPr="00736CA0">
        <w:t xml:space="preserve">online services are capable </w:t>
      </w:r>
      <w:r w:rsidR="00AF0271" w:rsidRPr="00736CA0">
        <w:t xml:space="preserve">of </w:t>
      </w:r>
      <w:r w:rsidR="00DB11FA">
        <w:t>promoting</w:t>
      </w:r>
      <w:r w:rsidR="00AF0271" w:rsidRPr="00736CA0">
        <w:t xml:space="preserve"> the outcome of free access to iconic sporting events</w:t>
      </w:r>
      <w:r w:rsidR="00DD1EE6" w:rsidRPr="00736CA0">
        <w:t xml:space="preserve">, </w:t>
      </w:r>
      <w:r w:rsidR="00B6771A">
        <w:t xml:space="preserve">and that Model 1 </w:t>
      </w:r>
      <w:r w:rsidR="00DD1EE6" w:rsidRPr="00736CA0">
        <w:t>would best align with sporting bodies</w:t>
      </w:r>
      <w:r w:rsidR="00DD13D7">
        <w:t>’</w:t>
      </w:r>
      <w:r w:rsidR="00DD1EE6" w:rsidRPr="00736CA0">
        <w:t xml:space="preserve"> ability to maximise their revenue</w:t>
      </w:r>
      <w:r w:rsidR="00F53B4D" w:rsidRPr="00736CA0">
        <w:t>.</w:t>
      </w:r>
      <w:r w:rsidR="00756479" w:rsidRPr="00736CA0">
        <w:rPr>
          <w:rFonts w:cstheme="minorHAnsi"/>
          <w:szCs w:val="24"/>
        </w:rPr>
        <w:t xml:space="preserve"> </w:t>
      </w:r>
      <w:r w:rsidR="00DD1EE6" w:rsidRPr="00736CA0">
        <w:t>T</w:t>
      </w:r>
      <w:r w:rsidRPr="00736CA0">
        <w:t>he streamlined lis</w:t>
      </w:r>
      <w:r w:rsidR="00AF0271" w:rsidRPr="00736CA0">
        <w:t>t (Option 1)</w:t>
      </w:r>
      <w:r w:rsidR="00DD1EE6" w:rsidRPr="00736CA0">
        <w:t xml:space="preserve"> </w:t>
      </w:r>
      <w:r w:rsidR="00B6771A">
        <w:t xml:space="preserve">was the </w:t>
      </w:r>
      <w:r w:rsidR="00DD1EE6" w:rsidRPr="00736CA0">
        <w:t>preferred list</w:t>
      </w:r>
      <w:r w:rsidR="00B6771A">
        <w:t xml:space="preserve"> option</w:t>
      </w:r>
      <w:r w:rsidR="00F53B4D" w:rsidRPr="00736CA0">
        <w:t xml:space="preserve">. </w:t>
      </w:r>
      <w:r w:rsidR="00B6771A">
        <w:t>It</w:t>
      </w:r>
      <w:r w:rsidR="00F53B4D" w:rsidRPr="00736CA0">
        <w:t xml:space="preserve"> was suggested that it would help to maximise investment in sport and </w:t>
      </w:r>
      <w:r w:rsidR="00A43BEE" w:rsidRPr="00736CA0">
        <w:t>was the only list consistent with the concept of “nationally important and culturally significant”.</w:t>
      </w:r>
      <w:r w:rsidR="00E46ACE" w:rsidRPr="00736CA0">
        <w:t xml:space="preserve"> </w:t>
      </w:r>
    </w:p>
    <w:p w14:paraId="3E0CB4B3" w14:textId="7BD2F3FF" w:rsidR="002D5CC7" w:rsidRPr="00736CA0" w:rsidRDefault="002D5CC7" w:rsidP="00951D57">
      <w:r w:rsidRPr="00736CA0">
        <w:t xml:space="preserve">Sporting bodies supported </w:t>
      </w:r>
      <w:r w:rsidR="00AF0271" w:rsidRPr="00736CA0">
        <w:t xml:space="preserve">the free-to-view model (Model 1) and the streamlined list (Option 1), </w:t>
      </w:r>
      <w:r w:rsidRPr="00736CA0">
        <w:t>emphasis</w:t>
      </w:r>
      <w:r w:rsidR="00AF0271" w:rsidRPr="00736CA0">
        <w:t xml:space="preserve">ing </w:t>
      </w:r>
      <w:r w:rsidRPr="00736CA0">
        <w:t xml:space="preserve">the importance of being able to maximise the commercial value of their media rights. </w:t>
      </w:r>
      <w:r w:rsidRPr="00736CA0" w:rsidDel="000D4211">
        <w:t xml:space="preserve">There was some acceptance of </w:t>
      </w:r>
      <w:r w:rsidR="00994752" w:rsidRPr="00736CA0" w:rsidDel="000D4211">
        <w:t xml:space="preserve">broadcasting safety net </w:t>
      </w:r>
      <w:r w:rsidR="00994752" w:rsidRPr="00736CA0">
        <w:t>(</w:t>
      </w:r>
      <w:r w:rsidRPr="00736CA0" w:rsidDel="000D4211">
        <w:t xml:space="preserve">Model 2) as an interim measure if coupled with </w:t>
      </w:r>
      <w:r w:rsidR="00B748C1" w:rsidRPr="00736CA0">
        <w:t xml:space="preserve">the streamlined list </w:t>
      </w:r>
      <w:r w:rsidR="00B748C1">
        <w:t>(Option</w:t>
      </w:r>
      <w:r w:rsidR="00B748C1" w:rsidRPr="00736CA0" w:rsidDel="000D4211">
        <w:t xml:space="preserve"> </w:t>
      </w:r>
      <w:r w:rsidRPr="00736CA0" w:rsidDel="000D4211">
        <w:t>1</w:t>
      </w:r>
      <w:r w:rsidR="00B748C1">
        <w:t>)</w:t>
      </w:r>
      <w:r w:rsidRPr="00736CA0" w:rsidDel="000D4211">
        <w:t>, contingent on concrete steps being undertaken to implement Model 1 in the near term.</w:t>
      </w:r>
      <w:r w:rsidR="000C7522" w:rsidRPr="00736CA0">
        <w:t xml:space="preserve"> It was argued that media rights </w:t>
      </w:r>
      <w:r w:rsidR="00B6771A">
        <w:t xml:space="preserve">are </w:t>
      </w:r>
      <w:r w:rsidR="000C7522" w:rsidRPr="00736CA0">
        <w:t>critical to sporting bodies, and this approach helped support competition and increased the negotiating position of sporting bodies.</w:t>
      </w:r>
    </w:p>
    <w:p w14:paraId="00ACC9F0" w14:textId="452A0396" w:rsidR="0074583C" w:rsidRDefault="006D117F" w:rsidP="00951D57">
      <w:r w:rsidRPr="00736CA0">
        <w:t xml:space="preserve">Other industry, academics, and the general public had a range of views. </w:t>
      </w:r>
      <w:r w:rsidR="00994752" w:rsidRPr="00736CA0">
        <w:t xml:space="preserve">The broadcast safety </w:t>
      </w:r>
      <w:r w:rsidR="00B748C1">
        <w:t>net model (Model 2)</w:t>
      </w:r>
      <w:r w:rsidR="00994752" w:rsidRPr="00736CA0">
        <w:t xml:space="preserve"> was supported by some, a</w:t>
      </w:r>
      <w:r w:rsidR="00CA5B77" w:rsidRPr="00736CA0">
        <w:t>s a</w:t>
      </w:r>
      <w:r w:rsidR="00994752" w:rsidRPr="00736CA0">
        <w:t xml:space="preserve"> </w:t>
      </w:r>
      <w:r w:rsidR="00994752" w:rsidRPr="00736CA0">
        <w:rPr>
          <w:rFonts w:eastAsia="Times New Roman" w:cstheme="minorHAnsi"/>
          <w:color w:val="000000"/>
          <w:lang w:val="x-none"/>
        </w:rPr>
        <w:t>relatively modest adjustment intended to protect segments of the population</w:t>
      </w:r>
      <w:r w:rsidR="00994752" w:rsidRPr="00736CA0">
        <w:rPr>
          <w:rFonts w:eastAsia="Times New Roman" w:cstheme="minorHAnsi"/>
          <w:color w:val="000000"/>
        </w:rPr>
        <w:t xml:space="preserve">. </w:t>
      </w:r>
      <w:r w:rsidR="00CA5B77" w:rsidRPr="00736CA0">
        <w:rPr>
          <w:rFonts w:eastAsia="Times New Roman" w:cstheme="minorHAnsi"/>
          <w:color w:val="000000"/>
        </w:rPr>
        <w:t>There was some support for</w:t>
      </w:r>
      <w:r w:rsidR="00994752" w:rsidRPr="00736CA0">
        <w:t xml:space="preserve"> the</w:t>
      </w:r>
      <w:r w:rsidR="000C7522" w:rsidRPr="00736CA0">
        <w:t xml:space="preserve"> free-to-view model (Model 1) and the streamlined list (Option 1) </w:t>
      </w:r>
      <w:r w:rsidR="00CA5B77" w:rsidRPr="00736CA0">
        <w:t>as the internet is affordable, capable</w:t>
      </w:r>
      <w:r w:rsidR="000C7522" w:rsidRPr="00736CA0">
        <w:t xml:space="preserve"> and not limited by channels. </w:t>
      </w:r>
      <w:r w:rsidR="00994752" w:rsidRPr="00736CA0">
        <w:t>Feedback on the list was varied</w:t>
      </w:r>
      <w:r w:rsidR="00B6771A">
        <w:t xml:space="preserve"> and </w:t>
      </w:r>
      <w:r w:rsidR="00994752" w:rsidRPr="00736CA0">
        <w:t xml:space="preserve">there was some support for </w:t>
      </w:r>
      <w:r w:rsidR="00CA5B77" w:rsidRPr="00736CA0">
        <w:t>all the lists for similar reasons outlined by the stakeholders above</w:t>
      </w:r>
      <w:r w:rsidR="000C7522" w:rsidRPr="00736CA0">
        <w:t>.</w:t>
      </w:r>
      <w:r w:rsidR="00CA5B77" w:rsidRPr="00736CA0">
        <w:t xml:space="preserve"> </w:t>
      </w:r>
      <w:r w:rsidRPr="00736CA0">
        <w:t>Comments from the public generally supported additions to the list</w:t>
      </w:r>
      <w:r w:rsidR="00CA5B77" w:rsidRPr="00736CA0">
        <w:t>, with some variation</w:t>
      </w:r>
      <w:r w:rsidRPr="00736CA0">
        <w:t>.</w:t>
      </w:r>
    </w:p>
    <w:p w14:paraId="70B8415D" w14:textId="23F4E646" w:rsidR="00BF0F11" w:rsidRPr="004661AA" w:rsidRDefault="00BF0F11" w:rsidP="00951D57">
      <w:r w:rsidRPr="004661AA">
        <w:t xml:space="preserve">These views and perspectives have informed the final design of the model to reform the scheme and the composition of a new anti-siphoning list. </w:t>
      </w:r>
    </w:p>
    <w:p w14:paraId="11FD432A" w14:textId="1769CB84" w:rsidR="00D0790D" w:rsidRPr="009B3A80" w:rsidRDefault="00D0790D" w:rsidP="003B0448">
      <w:pPr>
        <w:pStyle w:val="Heading1Numbered"/>
        <w:spacing w:before="360"/>
      </w:pPr>
      <w:bookmarkStart w:id="187" w:name="_Toc150883291"/>
      <w:bookmarkStart w:id="188" w:name="_Toc151053073"/>
      <w:r w:rsidRPr="009B3A80">
        <w:t>What is the best option?</w:t>
      </w:r>
      <w:bookmarkEnd w:id="187"/>
      <w:bookmarkEnd w:id="188"/>
    </w:p>
    <w:p w14:paraId="66C80010" w14:textId="66E77405" w:rsidR="00AF0271" w:rsidRPr="00AF0271" w:rsidRDefault="00AF0271" w:rsidP="00AF0271">
      <w:r w:rsidRPr="00AF0271">
        <w:t>The broadcasting safety net model (Model 2) and the modernised list (</w:t>
      </w:r>
      <w:r w:rsidR="00D76FE6">
        <w:t>Option</w:t>
      </w:r>
      <w:r w:rsidR="00D76FE6" w:rsidRPr="00AF0271">
        <w:t xml:space="preserve"> </w:t>
      </w:r>
      <w:r w:rsidRPr="00AF0271">
        <w:t>2) are considered to</w:t>
      </w:r>
      <w:r w:rsidR="008D1597">
        <w:t xml:space="preserve"> </w:t>
      </w:r>
      <w:r w:rsidR="00B6771A">
        <w:t>be</w:t>
      </w:r>
      <w:r w:rsidRPr="00AF0271">
        <w:t xml:space="preserve"> the optimal combination of reforms to further the objective of </w:t>
      </w:r>
      <w:r w:rsidR="00DB11FA">
        <w:t>promoting</w:t>
      </w:r>
      <w:r w:rsidR="00DB11FA" w:rsidRPr="00AF0271">
        <w:t xml:space="preserve"> </w:t>
      </w:r>
      <w:r w:rsidRPr="00AF0271">
        <w:t>free access to televised coverage of events of national importance and cultural significance</w:t>
      </w:r>
      <w:r w:rsidR="006E2A13" w:rsidRPr="004661AA">
        <w:t xml:space="preserve">, in line with the Government’s 2022 </w:t>
      </w:r>
      <w:r w:rsidR="00A758C0" w:rsidRPr="004661AA">
        <w:t>el</w:t>
      </w:r>
      <w:r w:rsidR="006E2A13" w:rsidRPr="004661AA">
        <w:t>ection com</w:t>
      </w:r>
      <w:r w:rsidR="00A758C0" w:rsidRPr="004661AA">
        <w:t>mitment</w:t>
      </w:r>
      <w:r w:rsidRPr="004661AA">
        <w:t>.</w:t>
      </w:r>
      <w:r w:rsidRPr="00AF0271">
        <w:t xml:space="preserve"> </w:t>
      </w:r>
    </w:p>
    <w:p w14:paraId="7EC5969D" w14:textId="0C7A2072" w:rsidR="00AF0271" w:rsidRPr="00AF0271" w:rsidRDefault="00AF0271" w:rsidP="00AF4FE4">
      <w:pPr>
        <w:pStyle w:val="Heading2"/>
      </w:pPr>
      <w:bookmarkStart w:id="189" w:name="_Toc150883292"/>
      <w:bookmarkStart w:id="190" w:name="_Toc151053074"/>
      <w:r>
        <w:t>The scheme</w:t>
      </w:r>
      <w:bookmarkEnd w:id="189"/>
      <w:bookmarkEnd w:id="190"/>
      <w:r>
        <w:t xml:space="preserve"> </w:t>
      </w:r>
    </w:p>
    <w:p w14:paraId="26311D5F" w14:textId="352C5E2D" w:rsidR="00AF0271" w:rsidRPr="00D34BDF" w:rsidRDefault="00AF0271" w:rsidP="00AF0271">
      <w:r w:rsidRPr="00D34BDF">
        <w:t xml:space="preserve">The broadcasting safety net model is considered to be the </w:t>
      </w:r>
      <w:r w:rsidR="008213C2">
        <w:t>optimal</w:t>
      </w:r>
      <w:r w:rsidRPr="00D34BDF">
        <w:t xml:space="preserve"> </w:t>
      </w:r>
      <w:r w:rsidR="002F6088">
        <w:t>model</w:t>
      </w:r>
      <w:r w:rsidR="002F6088" w:rsidRPr="00D34BDF">
        <w:t xml:space="preserve"> </w:t>
      </w:r>
      <w:r w:rsidRPr="00D34BDF">
        <w:t xml:space="preserve">for reform of the scheme. This approach would affirm free-to-air broadcasting services as the ‘safety net’ for free access to televised coverage of nationally important and culturally significant sporting events for all Australians. To this end, it would provide free-to-air broadcasters with preferential treatment in terms of acquiring the relevant rights, and address the risk of these events migrating to online platforms that involve direct or indirect costs for Australian audiences. This approach would provide net benefits to Australian consumers. </w:t>
      </w:r>
    </w:p>
    <w:p w14:paraId="08A318A5" w14:textId="0D5C6986" w:rsidR="00FE12F4" w:rsidRPr="00D34BDF" w:rsidRDefault="00AF0271" w:rsidP="00AF0271">
      <w:r w:rsidRPr="00D34BDF">
        <w:t xml:space="preserve">The broadcasting safety net model would adversely impact sports bodies and a broader set of media entities (including online streaming services). However, it would provide relatively unimpeded access to rights </w:t>
      </w:r>
      <w:r w:rsidR="0094079D">
        <w:t>for</w:t>
      </w:r>
      <w:r w:rsidRPr="00D34BDF">
        <w:t xml:space="preserve"> content service providers once a right to televise an event has been acquired by a broadcaster, or it has been automatically delisted. It would also provide free-to-air broadcasters with </w:t>
      </w:r>
      <w:r w:rsidR="00B6771A">
        <w:t xml:space="preserve">only modest </w:t>
      </w:r>
      <w:r w:rsidRPr="00D34BDF">
        <w:t>advantage in relation to the acquisition of those non-broadcasting rights.</w:t>
      </w:r>
    </w:p>
    <w:p w14:paraId="1D87D85A" w14:textId="585AE3B8" w:rsidR="00D34BDF" w:rsidRDefault="00D34BDF" w:rsidP="00D34BDF">
      <w:r w:rsidRPr="00D34BDF">
        <w:t xml:space="preserve">On balance, the broadcasting safety net model would bring online services into the scheme and mitigate the risks of the coverage of listed events migrating behind a paywall, or consumers otherwise facing additional costs to access this content. Although this model would adversely impact sports bodies and a broader set of media entities (including online streaming services), the additional impositions are outweighed by the relative benefits of the model in supporting the </w:t>
      </w:r>
      <w:r w:rsidR="00DB11FA">
        <w:t>objective</w:t>
      </w:r>
      <w:r w:rsidR="00DB11FA" w:rsidRPr="00D34BDF">
        <w:t xml:space="preserve"> </w:t>
      </w:r>
      <w:r w:rsidRPr="00D34BDF">
        <w:t>of the scheme. It is also a model that is well-calibrated to the technology landscape for the next 5 to 10 years.</w:t>
      </w:r>
      <w:r>
        <w:t xml:space="preserve"> </w:t>
      </w:r>
    </w:p>
    <w:p w14:paraId="1FFCF05E" w14:textId="276A7138" w:rsidR="00601A63" w:rsidRPr="00C10DE5" w:rsidRDefault="0045446C" w:rsidP="00601A63">
      <w:pPr>
        <w:rPr>
          <w:lang w:val="en-US"/>
        </w:rPr>
      </w:pPr>
      <w:r>
        <w:t xml:space="preserve">To this end, the model </w:t>
      </w:r>
      <w:r w:rsidR="00601A63">
        <w:t>best achieves the objectives for reform highlighted in chapter 2. The changes would</w:t>
      </w:r>
      <w:r w:rsidR="00601A63" w:rsidRPr="00C10DE5">
        <w:t xml:space="preserve"> </w:t>
      </w:r>
      <w:r w:rsidR="003978B6">
        <w:t>promote</w:t>
      </w:r>
      <w:r w:rsidR="00601A63" w:rsidRPr="00C10DE5">
        <w:t xml:space="preserve"> the continued free access to </w:t>
      </w:r>
      <w:r w:rsidR="003A3C70">
        <w:t xml:space="preserve">televised coverage of </w:t>
      </w:r>
      <w:r w:rsidR="00601A63" w:rsidRPr="00C10DE5">
        <w:t>nationally important and culturally significant events by all Australian</w:t>
      </w:r>
      <w:r w:rsidR="00601A63">
        <w:t>s, while maintaining and modernising the</w:t>
      </w:r>
      <w:r w:rsidR="00601A63" w:rsidRPr="00C10DE5">
        <w:t xml:space="preserve"> regulatory interventions </w:t>
      </w:r>
      <w:r w:rsidR="00601A63">
        <w:t>to achieve this</w:t>
      </w:r>
      <w:r w:rsidR="00601A63" w:rsidRPr="00C10DE5">
        <w:t>.</w:t>
      </w:r>
      <w:r w:rsidR="00601A63">
        <w:t xml:space="preserve"> This model would not be contingent on a reduction in events, and </w:t>
      </w:r>
      <w:r w:rsidR="003A3C70">
        <w:t xml:space="preserve">would </w:t>
      </w:r>
      <w:r w:rsidR="00DB11FA">
        <w:t>promote</w:t>
      </w:r>
      <w:r w:rsidR="00601A63">
        <w:t xml:space="preserve"> Australians’ continuing access to free sport. The reforms would also </w:t>
      </w:r>
      <w:r w:rsidR="00601A63" w:rsidRPr="00C10DE5">
        <w:t>support the development of a broadcasting industry in Australia that is efficient, competitive and responsive to audience needs, building</w:t>
      </w:r>
      <w:r w:rsidR="00601A63" w:rsidRPr="00C10DE5">
        <w:rPr>
          <w:lang w:val="en-US"/>
        </w:rPr>
        <w:t xml:space="preserve"> on the existing scheme</w:t>
      </w:r>
      <w:r w:rsidR="00B6771A">
        <w:rPr>
          <w:lang w:val="en-US"/>
        </w:rPr>
        <w:t xml:space="preserve">. </w:t>
      </w:r>
      <w:r w:rsidR="00B6771A">
        <w:t>T</w:t>
      </w:r>
      <w:r w:rsidR="003A3C70">
        <w:t xml:space="preserve">his option </w:t>
      </w:r>
      <w:r w:rsidR="00052480">
        <w:t>supports Australian consumers being able to access sport for free</w:t>
      </w:r>
      <w:r w:rsidR="003A3C70">
        <w:t xml:space="preserve"> without unduly restricting</w:t>
      </w:r>
      <w:r w:rsidR="00052480">
        <w:t xml:space="preserve"> other content services from subsequently acquiring online rights. </w:t>
      </w:r>
      <w:r w:rsidR="00601A63">
        <w:t xml:space="preserve">  </w:t>
      </w:r>
    </w:p>
    <w:p w14:paraId="074B77D2" w14:textId="39862BDD" w:rsidR="0045446C" w:rsidRDefault="00601A63" w:rsidP="00BC0EB3">
      <w:pPr>
        <w:spacing w:after="0"/>
      </w:pPr>
      <w:r w:rsidRPr="00C10DE5">
        <w:t xml:space="preserve">The </w:t>
      </w:r>
      <w:r w:rsidR="00052480">
        <w:t>broadcasting safety net model is also</w:t>
      </w:r>
      <w:r w:rsidRPr="00C10DE5">
        <w:t xml:space="preserve"> relatively simple </w:t>
      </w:r>
      <w:r w:rsidR="00052480">
        <w:t xml:space="preserve">in </w:t>
      </w:r>
      <w:r w:rsidR="003A3C70">
        <w:t xml:space="preserve">terms of </w:t>
      </w:r>
      <w:r w:rsidR="00052480">
        <w:t>its</w:t>
      </w:r>
      <w:r w:rsidRPr="00C10DE5">
        <w:t xml:space="preserve"> legislative design. </w:t>
      </w:r>
      <w:r w:rsidR="00052480">
        <w:t>It</w:t>
      </w:r>
      <w:r w:rsidRPr="00C10DE5">
        <w:t xml:space="preserve"> </w:t>
      </w:r>
      <w:r w:rsidR="00052480">
        <w:t>extends the acquisition restriction under the current scheme to prevent content service providers</w:t>
      </w:r>
      <w:r w:rsidR="003A3C70">
        <w:t>,</w:t>
      </w:r>
      <w:r w:rsidR="00052480">
        <w:t xml:space="preserve"> other than free-to-air broadcasters</w:t>
      </w:r>
      <w:r w:rsidR="003A3C70">
        <w:t>,</w:t>
      </w:r>
      <w:r w:rsidR="00052480">
        <w:t xml:space="preserve"> from </w:t>
      </w:r>
      <w:r w:rsidRPr="00C10DE5">
        <w:t xml:space="preserve">acquiring events on a list until </w:t>
      </w:r>
      <w:r w:rsidR="00052480">
        <w:t xml:space="preserve">a </w:t>
      </w:r>
      <w:r w:rsidRPr="00C10DE5">
        <w:t>free-to-air broadcaster ha</w:t>
      </w:r>
      <w:r w:rsidR="00052480">
        <w:t>s</w:t>
      </w:r>
      <w:r w:rsidRPr="00C10DE5">
        <w:t xml:space="preserve"> a right</w:t>
      </w:r>
      <w:r w:rsidR="00052480">
        <w:t xml:space="preserve"> to televise</w:t>
      </w:r>
      <w:r w:rsidRPr="00C10DE5">
        <w:t xml:space="preserve"> </w:t>
      </w:r>
      <w:r w:rsidR="003A3C70">
        <w:t xml:space="preserve">the event </w:t>
      </w:r>
      <w:r w:rsidRPr="00C10DE5">
        <w:t xml:space="preserve">(or the event is delisted). </w:t>
      </w:r>
    </w:p>
    <w:p w14:paraId="50ACBD92" w14:textId="6B4D91CD" w:rsidR="002B1BE0" w:rsidRPr="00BC16FB" w:rsidRDefault="002B1BE0" w:rsidP="004F2917">
      <w:r w:rsidRPr="004F2917">
        <w:t xml:space="preserve">The </w:t>
      </w:r>
      <w:r w:rsidRPr="002B1BE0">
        <w:t>free-to-view model (Model 1) is likely to be a suitable and appropriate model for the anti-siphoning scheme in the longer-term. It would represent a technology-neutral approach to the regulation of the coverage of nationally important and culturally significant sports events as it would directly target the consumer outcome – the availability and coverage of these sports – rather than the preceding acquisition of rights.</w:t>
      </w:r>
      <w:r>
        <w:t xml:space="preserve"> </w:t>
      </w:r>
      <w:r w:rsidRPr="002B1BE0">
        <w:t xml:space="preserve">However, technology and market conditions in Australia are not mature enough to enable the adoption of this model in the near- to medium-term. The adverse impacts on consumers would outweigh the potential benefits of this approach for at least the next 5 to 10 years. The free-to-view model could be considered once online services are able to </w:t>
      </w:r>
      <w:r w:rsidR="00BC5113">
        <w:t>promote free access</w:t>
      </w:r>
      <w:r w:rsidRPr="002B1BE0">
        <w:t xml:space="preserve"> to televised coverage of nationally important and culturally significant sporting events for all Australians, regardless of their financial means, location or other factors.</w:t>
      </w:r>
    </w:p>
    <w:p w14:paraId="2F8EE0E0" w14:textId="590AE4D6" w:rsidR="002B1BE0" w:rsidRDefault="002B1BE0" w:rsidP="002B1BE0">
      <w:pPr>
        <w:pStyle w:val="ListParagraph"/>
        <w:tabs>
          <w:tab w:val="left" w:pos="567"/>
        </w:tabs>
        <w:spacing w:after="0"/>
        <w:ind w:left="0"/>
        <w:contextualSpacing w:val="0"/>
      </w:pPr>
      <w:r w:rsidRPr="002B1BE0">
        <w:t xml:space="preserve">The free-to-air first model </w:t>
      </w:r>
      <w:r>
        <w:t xml:space="preserve">(Model 3) </w:t>
      </w:r>
      <w:r w:rsidRPr="002B1BE0">
        <w:t xml:space="preserve">would mitigate against the risks of coverage of nationally important and culturally significant sporting events migrating behind a paywall, or consumers otherwise facing additional costs to access this content. In this regard, this model is similar to the broadcasting safety net approach </w:t>
      </w:r>
      <w:r w:rsidRPr="00B6771A">
        <w:t>(Model 2).</w:t>
      </w:r>
      <w:r w:rsidRPr="00B6771A" w:rsidDel="006E61FB">
        <w:t xml:space="preserve"> </w:t>
      </w:r>
      <w:r w:rsidRPr="00B6771A">
        <w:t>However, the free-to-air first model would provide free-to-air broadcasters with significant commercial advantage and would place free-to-air broadcasters – rather than free-to-air broadcasting services – as the key mechanism to support the achievement of the scheme’s objective of free access to televised coverage of iconic events.</w:t>
      </w:r>
    </w:p>
    <w:p w14:paraId="1755B124" w14:textId="7402E721" w:rsidR="002B1BE0" w:rsidRDefault="002B1BE0" w:rsidP="002B1BE0">
      <w:pPr>
        <w:pStyle w:val="ListParagraph"/>
        <w:tabs>
          <w:tab w:val="left" w:pos="567"/>
        </w:tabs>
        <w:spacing w:after="0"/>
        <w:ind w:left="0"/>
        <w:contextualSpacing w:val="0"/>
      </w:pPr>
      <w:r w:rsidRPr="00E94FB2">
        <w:t xml:space="preserve">It would impede access to both the broadcast and online rights to events by parties other than free-to-air broadcasters, and adversely impact sports bodies and a relatively broad set of media entities. </w:t>
      </w:r>
      <w:r>
        <w:t>It would also seek to treat the content services provided by free-to-air services (i.e. streaming services) differently to content services provided by other parties</w:t>
      </w:r>
      <w:r w:rsidDel="001B21E4">
        <w:t>, although to the consumer there is likely to be little practical difference</w:t>
      </w:r>
      <w:r>
        <w:t>.</w:t>
      </w:r>
    </w:p>
    <w:p w14:paraId="01958B0E" w14:textId="75BC6197" w:rsidR="002B1BE0" w:rsidRDefault="002B1BE0" w:rsidP="002B1BE0">
      <w:pPr>
        <w:spacing w:after="0"/>
      </w:pPr>
      <w:r>
        <w:t>The</w:t>
      </w:r>
      <w:r w:rsidRPr="00E94FB2">
        <w:t xml:space="preserve"> level of regulatory intervention </w:t>
      </w:r>
      <w:r>
        <w:t xml:space="preserve">envisaged under the free-to-air first model </w:t>
      </w:r>
      <w:r w:rsidRPr="00E94FB2">
        <w:t xml:space="preserve">may be justified </w:t>
      </w:r>
      <w:r>
        <w:t xml:space="preserve">in the </w:t>
      </w:r>
      <w:r w:rsidRPr="00E94FB2">
        <w:t>future</w:t>
      </w:r>
      <w:r>
        <w:t>, depending on technology and market developments. However, at this</w:t>
      </w:r>
      <w:r w:rsidRPr="00E94FB2">
        <w:t xml:space="preserve"> point, the</w:t>
      </w:r>
      <w:r>
        <w:t xml:space="preserve"> net benefits of this model do not outweigh the recommended reform model (broadcasting safety net). </w:t>
      </w:r>
    </w:p>
    <w:p w14:paraId="4087B8C1" w14:textId="30DF8E76" w:rsidR="00C62991" w:rsidRDefault="002B1BE0" w:rsidP="00C62991">
      <w:pPr>
        <w:pStyle w:val="ListParagraph"/>
        <w:tabs>
          <w:tab w:val="left" w:pos="567"/>
        </w:tabs>
        <w:spacing w:after="0"/>
        <w:ind w:left="0"/>
        <w:contextualSpacing w:val="0"/>
      </w:pPr>
      <w:r>
        <w:t xml:space="preserve">The status quo (Model </w:t>
      </w:r>
      <w:r w:rsidR="00D93A92">
        <w:t>4</w:t>
      </w:r>
      <w:r>
        <w:t>)</w:t>
      </w:r>
      <w:r w:rsidR="00C62991">
        <w:t xml:space="preserve"> would do nothing to address the regulatory gap identified in the review of the scheme undertaken in 2022 and 2023. The risk of the coverage of nationally important and culturally significant events migrating behind online paywalls would grow, to the detr</w:t>
      </w:r>
      <w:r w:rsidR="00662ADF">
        <w:t>i</w:t>
      </w:r>
      <w:r w:rsidR="00C62991">
        <w:t>m</w:t>
      </w:r>
      <w:r w:rsidR="00662ADF">
        <w:t>e</w:t>
      </w:r>
      <w:r w:rsidR="00C62991">
        <w:t>nt of Australian consumers.</w:t>
      </w:r>
      <w:r w:rsidR="00AF4FE4">
        <w:t xml:space="preserve"> This model is not considered to be </w:t>
      </w:r>
      <w:r w:rsidR="00400253">
        <w:t>sustainable</w:t>
      </w:r>
      <w:r w:rsidR="00AF4FE4">
        <w:t xml:space="preserve">. </w:t>
      </w:r>
      <w:r w:rsidR="00C62991">
        <w:t xml:space="preserve"> </w:t>
      </w:r>
    </w:p>
    <w:p w14:paraId="2821FB02" w14:textId="02046951" w:rsidR="00AF4FE4" w:rsidRDefault="00AF4FE4" w:rsidP="00AF4FE4">
      <w:pPr>
        <w:pStyle w:val="Heading2"/>
      </w:pPr>
      <w:bookmarkStart w:id="191" w:name="_Toc150883293"/>
      <w:bookmarkStart w:id="192" w:name="_Toc151053075"/>
      <w:r>
        <w:t>The list</w:t>
      </w:r>
      <w:bookmarkEnd w:id="191"/>
      <w:bookmarkEnd w:id="192"/>
    </w:p>
    <w:p w14:paraId="2E102538" w14:textId="14A4093D" w:rsidR="00AF4FE4" w:rsidRPr="00AF4FE4" w:rsidRDefault="00AF4FE4" w:rsidP="003E5653">
      <w:pPr>
        <w:pStyle w:val="ListParagraph"/>
        <w:tabs>
          <w:tab w:val="left" w:pos="567"/>
        </w:tabs>
        <w:ind w:left="0"/>
        <w:contextualSpacing w:val="0"/>
      </w:pPr>
      <w:r w:rsidRPr="00AF4FE4">
        <w:t>The modernised list (Option 2) is considered to be the best option for reform of the list. This approach would involve an increase in the scope and application of the scheme compared with the current list, although this is relatively modest in terms of the</w:t>
      </w:r>
      <w:r w:rsidR="008D37AE">
        <w:t xml:space="preserve"> number of</w:t>
      </w:r>
      <w:r w:rsidRPr="00AF4FE4">
        <w:t xml:space="preserve"> competitions involved (given that the bulk of this increase is attributable to the addition of the </w:t>
      </w:r>
      <w:r w:rsidR="00DD13D7">
        <w:t xml:space="preserve">Summer </w:t>
      </w:r>
      <w:r w:rsidRPr="00AF4FE4">
        <w:t xml:space="preserve">Paralympic Games, which take place every four years). </w:t>
      </w:r>
      <w:r w:rsidR="007E5B06">
        <w:t>Under this approach, the number of events on the list would increase from approximately 1,900 events to approximately 2,500 events.</w:t>
      </w:r>
      <w:r w:rsidR="001069BD">
        <w:t xml:space="preserve"> </w:t>
      </w:r>
      <w:r w:rsidRPr="00AF4FE4">
        <w:t xml:space="preserve">Importantly, the additional inclusions proposed for the modernised list would seek to ensure a consistent and inclusive treatment of nationally important and culturally significant events regardless of the gender or the disability status of the athletes competing in them. </w:t>
      </w:r>
    </w:p>
    <w:p w14:paraId="4DB49B11" w14:textId="19ADC2F3" w:rsidR="00052480" w:rsidRPr="00AF4FE4" w:rsidRDefault="00A75BE7" w:rsidP="003E5653">
      <w:pPr>
        <w:pStyle w:val="ListParagraph"/>
        <w:tabs>
          <w:tab w:val="left" w:pos="567"/>
        </w:tabs>
        <w:ind w:left="0"/>
        <w:contextualSpacing w:val="0"/>
      </w:pPr>
      <w:r>
        <w:t xml:space="preserve">The modernised list </w:t>
      </w:r>
      <w:r w:rsidRPr="00A75BE7">
        <w:t>support</w:t>
      </w:r>
      <w:r>
        <w:t>s</w:t>
      </w:r>
      <w:r w:rsidRPr="00A75BE7">
        <w:t xml:space="preserve"> the continued free access to </w:t>
      </w:r>
      <w:r w:rsidR="006A51D0">
        <w:t xml:space="preserve">televised coverage of </w:t>
      </w:r>
      <w:r w:rsidRPr="00A75BE7">
        <w:t xml:space="preserve">nationally important and culturally significant </w:t>
      </w:r>
      <w:r>
        <w:t>by</w:t>
      </w:r>
      <w:r w:rsidRPr="00A75BE7">
        <w:t xml:space="preserve"> </w:t>
      </w:r>
      <w:r>
        <w:t xml:space="preserve">retaining the events on the existing list </w:t>
      </w:r>
      <w:r w:rsidR="00AB6065">
        <w:t>that Australians are accustomed to viewing for free</w:t>
      </w:r>
      <w:r w:rsidR="006A51D0">
        <w:t xml:space="preserve">, </w:t>
      </w:r>
      <w:r>
        <w:t>and making measured additions to include women’s and Para</w:t>
      </w:r>
      <w:r w:rsidR="006A51D0">
        <w:t>-</w:t>
      </w:r>
      <w:r>
        <w:t>sport</w:t>
      </w:r>
      <w:r w:rsidR="000F0581">
        <w:t>s</w:t>
      </w:r>
      <w:r w:rsidR="006A51D0">
        <w:t>.</w:t>
      </w:r>
      <w:r>
        <w:t xml:space="preserve"> </w:t>
      </w:r>
      <w:r w:rsidR="00C16113">
        <w:t xml:space="preserve">The </w:t>
      </w:r>
      <w:r w:rsidR="00CE57C4">
        <w:t xml:space="preserve">proposal does not materially add to the complexity of the </w:t>
      </w:r>
      <w:r w:rsidR="00C16113">
        <w:t>list</w:t>
      </w:r>
      <w:r w:rsidR="003A3C70">
        <w:t xml:space="preserve"> as its construction and operation would be very similar to the current instrument.</w:t>
      </w:r>
      <w:r w:rsidR="00C16113">
        <w:t xml:space="preserve">  </w:t>
      </w:r>
    </w:p>
    <w:p w14:paraId="25AA6ADD" w14:textId="3200F372" w:rsidR="00472E61" w:rsidRDefault="007D0EC3" w:rsidP="003E5653">
      <w:pPr>
        <w:pStyle w:val="ListParagraph"/>
        <w:tabs>
          <w:tab w:val="left" w:pos="567"/>
        </w:tabs>
        <w:ind w:left="0"/>
        <w:contextualSpacing w:val="0"/>
        <w:rPr>
          <w:highlight w:val="yellow"/>
        </w:rPr>
      </w:pPr>
      <w:r w:rsidRPr="00A65AF9">
        <w:t>Th</w:t>
      </w:r>
      <w:r>
        <w:t xml:space="preserve">e streamlined list </w:t>
      </w:r>
      <w:r w:rsidR="001C77B4">
        <w:t xml:space="preserve">(Option 1) </w:t>
      </w:r>
      <w:r>
        <w:t>would significantly pare back the reach and scope of the scheme</w:t>
      </w:r>
      <w:r w:rsidR="001069BD">
        <w:t xml:space="preserve"> – from around 1,900 events to around 330</w:t>
      </w:r>
      <w:r>
        <w:t>.</w:t>
      </w:r>
      <w:r w:rsidR="00AC7A5E">
        <w:t xml:space="preserve"> It is also the only list option of those considered in this IA that is</w:t>
      </w:r>
      <w:r w:rsidR="003061A4">
        <w:t xml:space="preserve"> likely to be</w:t>
      </w:r>
      <w:r w:rsidR="00AC7A5E">
        <w:t xml:space="preserve"> compatible with the free-to-view model (Model 1). </w:t>
      </w:r>
      <w:r w:rsidR="00472E61">
        <w:t>Th</w:t>
      </w:r>
      <w:r w:rsidR="001069BD">
        <w:t>is</w:t>
      </w:r>
      <w:r w:rsidR="00472E61">
        <w:t xml:space="preserve"> reduction in events would benefit subscription television broadcasting licensees</w:t>
      </w:r>
      <w:r w:rsidR="001069BD">
        <w:t>, but</w:t>
      </w:r>
      <w:r w:rsidR="00472E61">
        <w:t xml:space="preserve"> would be detrimental to free</w:t>
      </w:r>
      <w:r w:rsidR="00472E61">
        <w:noBreakHyphen/>
        <w:t>to</w:t>
      </w:r>
      <w:r w:rsidR="00472E61">
        <w:noBreakHyphen/>
        <w:t xml:space="preserve">air broadcasters. However, the key impacts </w:t>
      </w:r>
      <w:r w:rsidR="001069BD">
        <w:t>arising</w:t>
      </w:r>
      <w:r w:rsidR="00472E61">
        <w:t xml:space="preserve"> with this list option (when coupled with the free-to-view model), </w:t>
      </w:r>
      <w:r w:rsidR="00CC6AB9">
        <w:t>affect</w:t>
      </w:r>
      <w:r w:rsidR="00472E61">
        <w:t xml:space="preserve"> consumers. For the range of events effectively removed from the list under th</w:t>
      </w:r>
      <w:r w:rsidR="003E5653">
        <w:t xml:space="preserve">is option </w:t>
      </w:r>
      <w:r w:rsidR="00472E61">
        <w:t>– around 1,600 events – there is a risk that these events will not receive live, in full and free coverage. The anti</w:t>
      </w:r>
      <w:r w:rsidR="00472E61">
        <w:noBreakHyphen/>
        <w:t xml:space="preserve">siphoning scheme would have no application to these events, and content service providers – including traditional subscription television broadcasting services and newer, subscription-based streaming services – could opt to provide coverage of these events on subscription-based platforms. They could also opt to provide partial coverage of these </w:t>
      </w:r>
      <w:r w:rsidR="00472E61" w:rsidRPr="00AC7A5E">
        <w:t>events.</w:t>
      </w:r>
      <w:r w:rsidR="00AC7A5E" w:rsidRPr="00AC7A5E">
        <w:t xml:space="preserve"> </w:t>
      </w:r>
    </w:p>
    <w:p w14:paraId="561FF1F8" w14:textId="521492E9" w:rsidR="00AF4FE4" w:rsidRPr="00AC7A5E" w:rsidRDefault="00AC7A5E" w:rsidP="003E5653">
      <w:r w:rsidRPr="00AC7A5E">
        <w:t>T</w:t>
      </w:r>
      <w:r w:rsidR="00AF4FE4" w:rsidRPr="00AC7A5E">
        <w:t xml:space="preserve">he expanded list </w:t>
      </w:r>
      <w:r w:rsidRPr="00AC7A5E">
        <w:t xml:space="preserve">(Option 3) </w:t>
      </w:r>
      <w:r w:rsidR="00AF4FE4" w:rsidRPr="00AC7A5E">
        <w:t>would significantly increase the scope and application of the scheme compared with the current list</w:t>
      </w:r>
      <w:r w:rsidR="00345217">
        <w:t>, from around 1,900 events to around 2,800.</w:t>
      </w:r>
      <w:r w:rsidRPr="00AC7A5E">
        <w:t xml:space="preserve"> T</w:t>
      </w:r>
      <w:r w:rsidR="00AF4FE4" w:rsidRPr="00AC7A5E">
        <w:t xml:space="preserve">he additional inclusions would seek to ensure a consistent and inclusive treatment of nationally important and culturally significant events regardless of the gender or the disability status of the athletes competing in them. </w:t>
      </w:r>
      <w:r w:rsidR="001069BD">
        <w:t>While this</w:t>
      </w:r>
      <w:r w:rsidR="00AF4FE4" w:rsidRPr="00AC7A5E">
        <w:t xml:space="preserve"> may enhance the overall outcome for Australian audiences (and support the objective of the scheme of free access to televised coverage of iconic events), this outcome is not assured</w:t>
      </w:r>
      <w:r w:rsidR="00CC6AB9">
        <w:t>.</w:t>
      </w:r>
      <w:r w:rsidR="001069BD">
        <w:t xml:space="preserve"> </w:t>
      </w:r>
      <w:r w:rsidR="00CC6AB9">
        <w:t>U</w:t>
      </w:r>
      <w:r w:rsidR="001069BD">
        <w:t>ltimately this would depend on whether broadcasters opt to provide coverage of the range of additional events.</w:t>
      </w:r>
      <w:r w:rsidR="00AF4FE4" w:rsidRPr="00AC7A5E">
        <w:t xml:space="preserve"> This list option would also have the greatest detrimental impact on sports bodies, subscription television broadcasters and online streaming services, significantly impairing their ability to negotiat</w:t>
      </w:r>
      <w:r w:rsidR="0006718B">
        <w:t>e</w:t>
      </w:r>
      <w:r w:rsidR="00AF4FE4" w:rsidRPr="00AC7A5E">
        <w:t xml:space="preserve"> for the acquisition of rights to the additional events (assuming the adoption of either Model 2 or 3).  </w:t>
      </w:r>
    </w:p>
    <w:p w14:paraId="3D37645B" w14:textId="6899E522" w:rsidR="00AF4FE4" w:rsidRDefault="00AF4FE4" w:rsidP="003E5653">
      <w:r>
        <w:t>T</w:t>
      </w:r>
      <w:r w:rsidRPr="00354F65">
        <w:t xml:space="preserve">he </w:t>
      </w:r>
      <w:r>
        <w:t xml:space="preserve">status quo list </w:t>
      </w:r>
      <w:r w:rsidR="00AC7A5E">
        <w:t xml:space="preserve">(Option 4) </w:t>
      </w:r>
      <w:r>
        <w:t xml:space="preserve">would maintain the current scope of the </w:t>
      </w:r>
      <w:r w:rsidR="00E05A74">
        <w:t>list</w:t>
      </w:r>
      <w:r w:rsidR="00345217">
        <w:t xml:space="preserve"> (around 1,900 events)</w:t>
      </w:r>
      <w:r w:rsidR="00E05A74">
        <w:t xml:space="preserve">. </w:t>
      </w:r>
      <w:r w:rsidR="007E5B06">
        <w:t>However, t</w:t>
      </w:r>
      <w:r>
        <w:t xml:space="preserve">he imbalances in the current list identified through the review of the scheme – particularly in relation to women’s and Para-sports – would be maintained. </w:t>
      </w:r>
      <w:r w:rsidR="001069BD">
        <w:t xml:space="preserve">It is not considered to be an appropriate approach to the future list for this reason. </w:t>
      </w:r>
    </w:p>
    <w:p w14:paraId="3F65E3E2" w14:textId="77777777" w:rsidR="00A3356C" w:rsidRPr="009B3A80" w:rsidRDefault="00A3356C" w:rsidP="00A3356C">
      <w:pPr>
        <w:pStyle w:val="Heading1Numbered"/>
        <w:spacing w:before="360"/>
      </w:pPr>
      <w:bookmarkStart w:id="193" w:name="_Toc150883294"/>
      <w:bookmarkStart w:id="194" w:name="_Toc151053076"/>
      <w:r w:rsidRPr="009B3A80">
        <w:t xml:space="preserve">Implementation and </w:t>
      </w:r>
      <w:r>
        <w:t>e</w:t>
      </w:r>
      <w:r w:rsidRPr="009B3A80">
        <w:t>valuation</w:t>
      </w:r>
      <w:bookmarkEnd w:id="193"/>
      <w:bookmarkEnd w:id="194"/>
    </w:p>
    <w:p w14:paraId="7A52F6BD" w14:textId="5F026BB4" w:rsidR="00EE3BBC" w:rsidRDefault="003B0448" w:rsidP="004F2917">
      <w:r>
        <w:t xml:space="preserve">Implementation of Model 2 and Option </w:t>
      </w:r>
      <w:r w:rsidR="002C2C8D">
        <w:t>2</w:t>
      </w:r>
      <w:r>
        <w:t xml:space="preserve"> would be given effect through amendments to the BSA (with respect to the scheme) and the making of a legislative instrument (with respect to the list). </w:t>
      </w:r>
    </w:p>
    <w:p w14:paraId="7AEAB945" w14:textId="3FF06F35" w:rsidR="0075456E" w:rsidRPr="004661AA" w:rsidRDefault="0075456E" w:rsidP="004F2917">
      <w:r>
        <w:t xml:space="preserve">In order to </w:t>
      </w:r>
      <w:r w:rsidR="00B704E3">
        <w:t xml:space="preserve">provide industry with sufficient time to prepare for </w:t>
      </w:r>
      <w:r w:rsidR="00080D8D">
        <w:t xml:space="preserve">the </w:t>
      </w:r>
      <w:r w:rsidR="00B704E3">
        <w:t xml:space="preserve">new arrangements, the new scheme will commence </w:t>
      </w:r>
      <w:r w:rsidR="00DF11C2">
        <w:t>via</w:t>
      </w:r>
      <w:r w:rsidR="00B704E3">
        <w:t xml:space="preserve"> proclamation. </w:t>
      </w:r>
      <w:r w:rsidR="00080D8D">
        <w:t xml:space="preserve">The new list would also commence on the same day as the reforms to the scheme to support a smooth transition to the new arrangements. </w:t>
      </w:r>
      <w:r w:rsidR="006B729A">
        <w:t xml:space="preserve">Industry </w:t>
      </w:r>
      <w:r w:rsidR="00080D8D">
        <w:t xml:space="preserve">have been made </w:t>
      </w:r>
      <w:r w:rsidR="006B729A">
        <w:t>aware of</w:t>
      </w:r>
      <w:r w:rsidR="00513A99">
        <w:t xml:space="preserve"> the </w:t>
      </w:r>
      <w:r w:rsidR="006B729A">
        <w:t xml:space="preserve">Government’s preferred reform options </w:t>
      </w:r>
      <w:r w:rsidR="00080D8D">
        <w:t xml:space="preserve">through the proposals paper process. </w:t>
      </w:r>
      <w:r w:rsidR="002D1110">
        <w:t xml:space="preserve"> </w:t>
      </w:r>
    </w:p>
    <w:p w14:paraId="5B741309" w14:textId="61DF29D3" w:rsidR="00EE3BBC" w:rsidRPr="004661AA" w:rsidRDefault="003B0448" w:rsidP="004F2917">
      <w:r w:rsidRPr="004661AA">
        <w:t>The ACMA w</w:t>
      </w:r>
      <w:r w:rsidR="00EE3BBC" w:rsidRPr="004661AA">
        <w:t>ould</w:t>
      </w:r>
      <w:r w:rsidRPr="004661AA">
        <w:t xml:space="preserve"> have oversight of the scheme (as it currently does) and w</w:t>
      </w:r>
      <w:r w:rsidR="00EE3BBC" w:rsidRPr="004661AA">
        <w:t>ould</w:t>
      </w:r>
      <w:r w:rsidR="00367B56" w:rsidRPr="004661AA">
        <w:t xml:space="preserve"> </w:t>
      </w:r>
      <w:r w:rsidRPr="004661AA">
        <w:t>have powers to gather information about compliance with the scheme. This w</w:t>
      </w:r>
      <w:r w:rsidR="00EE3BBC" w:rsidRPr="004661AA">
        <w:t>ould</w:t>
      </w:r>
      <w:r w:rsidRPr="004661AA">
        <w:t xml:space="preserve"> allow</w:t>
      </w:r>
      <w:r w:rsidR="00027A96" w:rsidRPr="004661AA">
        <w:t xml:space="preserve"> for</w:t>
      </w:r>
      <w:r w:rsidRPr="004661AA">
        <w:t xml:space="preserve"> ongoing assessment of the operati</w:t>
      </w:r>
      <w:r w:rsidR="00027A96" w:rsidRPr="004661AA">
        <w:t>o</w:t>
      </w:r>
      <w:r w:rsidRPr="004661AA">
        <w:t>n of the scheme and the identification of any particular issues or concerns</w:t>
      </w:r>
      <w:r w:rsidR="00B73392">
        <w:t>.</w:t>
      </w:r>
      <w:r w:rsidR="00DA65DE" w:rsidRPr="004661AA">
        <w:t xml:space="preserve"> </w:t>
      </w:r>
      <w:r w:rsidR="00F664D8" w:rsidRPr="004661AA">
        <w:t>However, the scheme w</w:t>
      </w:r>
      <w:r w:rsidR="00EE3BBC" w:rsidRPr="004661AA">
        <w:t>ould</w:t>
      </w:r>
      <w:r w:rsidR="00367B56" w:rsidRPr="004661AA">
        <w:t xml:space="preserve"> </w:t>
      </w:r>
      <w:r w:rsidR="00F664D8" w:rsidRPr="004661AA">
        <w:t xml:space="preserve">not include </w:t>
      </w:r>
      <w:r w:rsidR="00EE3BBC" w:rsidRPr="004661AA">
        <w:t>periodic or ex ante reporting by relevant parties as this would impose an un</w:t>
      </w:r>
      <w:r w:rsidR="00367B56" w:rsidRPr="004661AA">
        <w:t>re</w:t>
      </w:r>
      <w:r w:rsidR="00EE3BBC" w:rsidRPr="004661AA">
        <w:t xml:space="preserve">asonable burden on these entities. </w:t>
      </w:r>
    </w:p>
    <w:p w14:paraId="47D24E13" w14:textId="34497280" w:rsidR="00B73392" w:rsidRDefault="00B73392" w:rsidP="00B73392">
      <w:pPr>
        <w:rPr>
          <w:rFonts w:asciiTheme="majorHAnsi" w:eastAsiaTheme="majorEastAsia" w:hAnsiTheme="majorHAnsi" w:cstheme="majorBidi"/>
          <w:color w:val="6D7989" w:themeColor="accent4" w:themeShade="BF"/>
          <w:sz w:val="32"/>
          <w:szCs w:val="24"/>
        </w:rPr>
      </w:pPr>
      <w:r>
        <w:rPr>
          <w:rFonts w:asciiTheme="majorHAnsi" w:eastAsiaTheme="majorEastAsia" w:hAnsiTheme="majorHAnsi" w:cstheme="majorBidi"/>
          <w:color w:val="6D7989" w:themeColor="accent4" w:themeShade="BF"/>
          <w:sz w:val="32"/>
          <w:szCs w:val="24"/>
        </w:rPr>
        <w:t>Risks</w:t>
      </w:r>
    </w:p>
    <w:p w14:paraId="6A09FD80" w14:textId="1AE19A3D" w:rsidR="00B73392" w:rsidRPr="00C10DE5" w:rsidRDefault="00B73392" w:rsidP="00B73392">
      <w:r>
        <w:t>As noted in chapter 2, e</w:t>
      </w:r>
      <w:r w:rsidRPr="00C10DE5">
        <w:t xml:space="preserve">xtending the application of the scheme to online media creates the potential for it to become restrictive to the point where it </w:t>
      </w:r>
      <w:r w:rsidR="00080D8D">
        <w:t>impairs</w:t>
      </w:r>
      <w:r w:rsidRPr="00C10DE5">
        <w:t xml:space="preserve"> the ability for sporting bodies to maximise their revenue. The Government has sought to </w:t>
      </w:r>
      <w:r w:rsidR="00CA721E">
        <w:t xml:space="preserve">assess and </w:t>
      </w:r>
      <w:r w:rsidRPr="00C10DE5">
        <w:t xml:space="preserve">mitigate this risk through two phases of consultation. Feedback from these processes has informed </w:t>
      </w:r>
      <w:r w:rsidR="00CA721E">
        <w:t xml:space="preserve">the </w:t>
      </w:r>
      <w:r w:rsidR="00080D8D">
        <w:t xml:space="preserve">evaluation of options and the identification of the preferred approach. </w:t>
      </w:r>
    </w:p>
    <w:p w14:paraId="1278538E" w14:textId="4A7EF29F" w:rsidR="000C3D06" w:rsidRDefault="000C3D06" w:rsidP="004F2917">
      <w:r>
        <w:t>However, t</w:t>
      </w:r>
      <w:r w:rsidR="00B73392" w:rsidRPr="00C10DE5">
        <w:t xml:space="preserve">here is a risk that </w:t>
      </w:r>
      <w:r>
        <w:t xml:space="preserve">that the scheme </w:t>
      </w:r>
      <w:r w:rsidR="00037F6D">
        <w:t>may</w:t>
      </w:r>
      <w:r>
        <w:t xml:space="preserve"> </w:t>
      </w:r>
      <w:r w:rsidR="00037F6D">
        <w:t>apply</w:t>
      </w:r>
      <w:r w:rsidR="00B73392" w:rsidRPr="00C10DE5">
        <w:t xml:space="preserve"> </w:t>
      </w:r>
      <w:r w:rsidR="007940BB">
        <w:t>to</w:t>
      </w:r>
      <w:r>
        <w:t xml:space="preserve"> </w:t>
      </w:r>
      <w:r w:rsidR="00037F6D">
        <w:t xml:space="preserve">entities </w:t>
      </w:r>
      <w:r>
        <w:t xml:space="preserve">that </w:t>
      </w:r>
      <w:r w:rsidR="00037F6D">
        <w:t xml:space="preserve">it was not intended to capture. This risk will be mitigated through the construction of the legislation in a way that enables exceptions to the scheme to be provided in specific circumstances. </w:t>
      </w:r>
      <w:r>
        <w:t xml:space="preserve"> </w:t>
      </w:r>
      <w:r w:rsidR="00B73392" w:rsidRPr="00C10DE5">
        <w:t xml:space="preserve">  </w:t>
      </w:r>
    </w:p>
    <w:p w14:paraId="49547326" w14:textId="353546F3" w:rsidR="00B73392" w:rsidRDefault="000C3D06" w:rsidP="004F2917">
      <w:r>
        <w:t xml:space="preserve">There </w:t>
      </w:r>
      <w:r w:rsidR="00037F6D">
        <w:t xml:space="preserve">is also a risk that – notwithstanding the inclusion of an event on the list – that a free-to-air broadcasters does not acquire the right to the event and that televised coverage of the event is not freely available to Australian audiences. This has always been a risk in the scheme, and is not new. However, the history of rights acquisition and coverage arrangements for listed events over the past decade has highlighted that this risk is </w:t>
      </w:r>
      <w:r w:rsidR="00FA072B">
        <w:t xml:space="preserve">negligible. Free-to-air broadcasters have a strong commercial incentive to acquire and fully utilise the rights to events on the list, and this is expected to continue into the future. </w:t>
      </w:r>
    </w:p>
    <w:p w14:paraId="51F53C29" w14:textId="7BF3D7C7" w:rsidR="00B73392" w:rsidRPr="004661AA" w:rsidRDefault="00B73392" w:rsidP="000C3D06">
      <w:pPr>
        <w:pStyle w:val="Heading2"/>
      </w:pPr>
      <w:bookmarkStart w:id="195" w:name="_Toc150508619"/>
      <w:bookmarkStart w:id="196" w:name="_Toc150883295"/>
      <w:bookmarkStart w:id="197" w:name="_Toc151053077"/>
      <w:r>
        <w:t>Evaluation</w:t>
      </w:r>
      <w:bookmarkEnd w:id="195"/>
      <w:bookmarkEnd w:id="196"/>
      <w:bookmarkEnd w:id="197"/>
    </w:p>
    <w:p w14:paraId="74E4C281" w14:textId="42C21748" w:rsidR="00367B56" w:rsidRPr="004661AA" w:rsidRDefault="00367B56" w:rsidP="004F2917">
      <w:r w:rsidRPr="004661AA">
        <w:rPr>
          <w:color w:val="000000"/>
        </w:rPr>
        <w:t xml:space="preserve">The reforms to the scheme would require the </w:t>
      </w:r>
      <w:r w:rsidR="00DE4840" w:rsidRPr="004661AA">
        <w:rPr>
          <w:color w:val="000000"/>
        </w:rPr>
        <w:t xml:space="preserve">conduct of a review of the scheme and list to be undertaken once the new arrangements had been operating for a period of five years. The review would enable the impacts and outcomes of the </w:t>
      </w:r>
      <w:r w:rsidR="00886C4E" w:rsidRPr="004661AA">
        <w:rPr>
          <w:color w:val="000000"/>
        </w:rPr>
        <w:t>reforms</w:t>
      </w:r>
      <w:r w:rsidR="00DE4840" w:rsidRPr="004661AA">
        <w:rPr>
          <w:color w:val="000000"/>
        </w:rPr>
        <w:t xml:space="preserve"> to be thoroughly assessed and to consider the need for any changes to </w:t>
      </w:r>
      <w:r w:rsidR="00447E9F" w:rsidRPr="004661AA">
        <w:rPr>
          <w:color w:val="000000"/>
        </w:rPr>
        <w:t xml:space="preserve">scheme. </w:t>
      </w:r>
      <w:r w:rsidR="00886C4E" w:rsidRPr="004661AA">
        <w:t xml:space="preserve">This review would be informed by </w:t>
      </w:r>
      <w:r w:rsidR="000E53E0" w:rsidRPr="004661AA">
        <w:t>information</w:t>
      </w:r>
      <w:r w:rsidR="00886C4E" w:rsidRPr="004661AA">
        <w:t xml:space="preserve"> gathered by the ACMA in its oversight of the </w:t>
      </w:r>
      <w:r w:rsidR="000E53E0" w:rsidRPr="004661AA">
        <w:t>scheme</w:t>
      </w:r>
      <w:r w:rsidR="00886C4E" w:rsidRPr="004661AA">
        <w:t xml:space="preserve">, as well as broad-based stakeholder and public engagement. </w:t>
      </w:r>
    </w:p>
    <w:p w14:paraId="64648563" w14:textId="4B493EBD" w:rsidR="004052E3" w:rsidRPr="004661AA" w:rsidRDefault="00367B56" w:rsidP="004052E3">
      <w:r w:rsidRPr="004661AA">
        <w:rPr>
          <w:color w:val="000000"/>
        </w:rPr>
        <w:t>Specifically, the review would assess</w:t>
      </w:r>
      <w:r w:rsidR="00447E9F" w:rsidRPr="004661AA">
        <w:rPr>
          <w:color w:val="000000"/>
        </w:rPr>
        <w:t xml:space="preserve"> </w:t>
      </w:r>
      <w:r w:rsidR="00447E9F" w:rsidRPr="004661AA">
        <w:t xml:space="preserve">the extent to which it has supported the overall objective of </w:t>
      </w:r>
      <w:r w:rsidR="00B67E75" w:rsidRPr="004661AA">
        <w:t>promot</w:t>
      </w:r>
      <w:r w:rsidR="00447E9F" w:rsidRPr="004661AA">
        <w:t xml:space="preserve">ing </w:t>
      </w:r>
      <w:r w:rsidR="00B67E75" w:rsidRPr="004661AA">
        <w:t>the free availability to audiences throughout Australia of television coverage of events of national importance and cultural significance</w:t>
      </w:r>
      <w:r w:rsidR="00447E9F" w:rsidRPr="004661AA">
        <w:t>. This would include consideration of, but would not be limited to, as assessment of</w:t>
      </w:r>
      <w:r w:rsidR="004052E3" w:rsidRPr="004661AA">
        <w:t xml:space="preserve"> </w:t>
      </w:r>
      <w:r w:rsidR="00447E9F" w:rsidRPr="004661AA">
        <w:t>the extent to which the scheme</w:t>
      </w:r>
      <w:r w:rsidR="004052E3" w:rsidRPr="004661AA">
        <w:t>:</w:t>
      </w:r>
    </w:p>
    <w:p w14:paraId="22995946" w14:textId="0EC17A53" w:rsidR="004052E3" w:rsidRPr="004661AA" w:rsidRDefault="00447E9F" w:rsidP="00912FC1">
      <w:pPr>
        <w:pStyle w:val="ListParagraph"/>
        <w:numPr>
          <w:ilvl w:val="0"/>
          <w:numId w:val="74"/>
        </w:numPr>
      </w:pPr>
      <w:r w:rsidRPr="004661AA">
        <w:t>has supported the ability of Australians to watch events of national importance and cultural significance for free</w:t>
      </w:r>
      <w:r w:rsidR="004052E3" w:rsidRPr="004661AA">
        <w:t xml:space="preserve">; </w:t>
      </w:r>
    </w:p>
    <w:p w14:paraId="1F8CE34F" w14:textId="77777777" w:rsidR="00233A9D" w:rsidRDefault="004052E3" w:rsidP="00233A9D">
      <w:pPr>
        <w:pStyle w:val="ListParagraph"/>
        <w:numPr>
          <w:ilvl w:val="0"/>
          <w:numId w:val="73"/>
        </w:numPr>
        <w:contextualSpacing w:val="0"/>
      </w:pPr>
      <w:r w:rsidRPr="004661AA">
        <w:t xml:space="preserve">has </w:t>
      </w:r>
      <w:r w:rsidR="00447E9F" w:rsidRPr="004661AA">
        <w:t>imposed</w:t>
      </w:r>
      <w:r w:rsidRPr="004661AA">
        <w:t xml:space="preserve"> unreasonable or unanticipated costs or burdens on affected parties; and</w:t>
      </w:r>
    </w:p>
    <w:p w14:paraId="03C113CD" w14:textId="3FEA6E0E" w:rsidR="006836EB" w:rsidRPr="00233A9D" w:rsidRDefault="003061A4" w:rsidP="00233A9D">
      <w:pPr>
        <w:pStyle w:val="ListParagraph"/>
        <w:numPr>
          <w:ilvl w:val="0"/>
          <w:numId w:val="73"/>
        </w:numPr>
        <w:contextualSpacing w:val="0"/>
      </w:pPr>
      <w:r>
        <w:t xml:space="preserve">whether the </w:t>
      </w:r>
      <w:r w:rsidR="004052E3" w:rsidRPr="004661AA">
        <w:t>model for the regulation of sports rights remains appropriate for the contemporary media environment, taking into account changes in technology, consumer preferences and the overall market for sports rights.</w:t>
      </w:r>
      <w:r w:rsidR="008C197E" w:rsidRPr="004661AA">
        <w:t xml:space="preserve"> </w:t>
      </w:r>
    </w:p>
    <w:sectPr w:rsidR="006836EB" w:rsidRPr="00233A9D" w:rsidSect="00BA24FB">
      <w:headerReference w:type="default" r:id="rId18"/>
      <w:headerReference w:type="first" r:id="rId19"/>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334A4" w14:textId="77777777" w:rsidR="00B81883" w:rsidRDefault="00B81883" w:rsidP="008456D5">
      <w:pPr>
        <w:spacing w:before="0" w:after="0"/>
      </w:pPr>
      <w:r>
        <w:separator/>
      </w:r>
    </w:p>
  </w:endnote>
  <w:endnote w:type="continuationSeparator" w:id="0">
    <w:p w14:paraId="27205318" w14:textId="77777777" w:rsidR="00B81883" w:rsidRDefault="00B81883" w:rsidP="008456D5">
      <w:pPr>
        <w:spacing w:before="0" w:after="0"/>
      </w:pPr>
      <w:r>
        <w:continuationSeparator/>
      </w:r>
    </w:p>
  </w:endnote>
  <w:endnote w:type="continuationNotice" w:id="1">
    <w:p w14:paraId="62C6FF18" w14:textId="77777777" w:rsidR="00B81883" w:rsidRDefault="00B818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C388" w14:textId="77777777" w:rsidR="00AE7EFC" w:rsidRDefault="00AE7EFC" w:rsidP="00E50D64">
    <w:pPr>
      <w:pStyle w:val="Footer"/>
      <w:spacing w:before="720"/>
      <w:jc w:val="right"/>
    </w:pPr>
    <w:r>
      <w:rPr>
        <w:noProof/>
        <w:lang w:eastAsia="en-AU"/>
      </w:rPr>
      <mc:AlternateContent>
        <mc:Choice Requires="wps">
          <w:drawing>
            <wp:anchor distT="0" distB="0" distL="114300" distR="114300" simplePos="0" relativeHeight="251658245" behindDoc="1" locked="1" layoutInCell="1" allowOverlap="1" wp14:anchorId="4BC09E20" wp14:editId="377F0C3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3679B4DC" w14:textId="77777777" w:rsidR="00AE7EFC" w:rsidRPr="007A05BE" w:rsidRDefault="00AE7EFC"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9E20" id="_x0000_t202" coordsize="21600,21600" o:spt="202" path="m,l,21600r21600,l21600,xe">
              <v:stroke joinstyle="miter"/>
              <v:path gradientshapeok="t" o:connecttype="rect"/>
            </v:shapetype>
            <v:shape id="Text Box 16" o:spid="_x0000_s1027" type="#_x0000_t202" style="position:absolute;left:0;text-align:left;margin-left:0;margin-top:0;width:79.3pt;height:42.45pt;z-index:-25165823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" filled="f" stroked="f" strokeweight=".5pt">
              <v:textbox inset="18mm,0,0,10mm">
                <w:txbxContent>
                  <w:p w14:paraId="3679B4DC" w14:textId="77777777" w:rsidR="00AE7EFC" w:rsidRPr="007A05BE" w:rsidRDefault="00AE7EFC"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2004649C" wp14:editId="63948B3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2FA1158B" w14:textId="66F2E632" w:rsidR="00AE7EFC" w:rsidRDefault="00AE7EFC" w:rsidP="00E50D64">
                          <w:pPr>
                            <w:pStyle w:val="Footer"/>
                          </w:pPr>
                          <w:r>
                            <w:t>Reform to the anti-siphoning scheme</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4649C" id="Text Box 18" o:spid="_x0000_s1028" type="#_x0000_t202" style="position:absolute;left:0;text-align:left;margin-left:0;margin-top:0;width:340.15pt;height:42.45pt;z-index:-2516582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" filled="f" stroked="f" strokeweight=".5pt">
              <v:textbox inset="28mm,0,0,10mm">
                <w:txbxContent>
                  <w:p w14:paraId="2FA1158B" w14:textId="66F2E632" w:rsidR="00AE7EFC" w:rsidRDefault="00AE7EFC" w:rsidP="00E50D64">
                    <w:pPr>
                      <w:pStyle w:val="Footer"/>
                    </w:pPr>
                    <w:r>
                      <w:t>Reform to the anti-siphoning scheme</w:t>
                    </w:r>
                  </w:p>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54AD8EF3" wp14:editId="2151F58B">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6B198" w14:textId="77777777" w:rsidR="00AE7EFC" w:rsidRDefault="00AE7EFC"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6045933C" wp14:editId="682E5869">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294AE61" w14:textId="2780035B" w:rsidR="00AE7EFC" w:rsidRPr="007A05BE" w:rsidRDefault="00AE7EFC"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A153E">
                            <w:rPr>
                              <w:rStyle w:val="PageNumber"/>
                              <w:noProof/>
                            </w:rPr>
                            <w:t>33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5933C" id="_x0000_t202" coordsize="21600,21600" o:spt="202" path="m,l,21600r21600,l21600,xe">
              <v:stroke joinstyle="miter"/>
              <v:path gradientshapeok="t" o:connecttype="rect"/>
            </v:shapetype>
            <v:shape id="Text Box 4" o:spid="_x0000_s1029" type="#_x0000_t202"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" filled="f" stroked="f" strokeweight=".5pt">
              <v:textbox inset="0,0,18mm,10mm">
                <w:txbxContent>
                  <w:p w14:paraId="7294AE61" w14:textId="2780035B" w:rsidR="00AE7EFC" w:rsidRPr="007A05BE" w:rsidRDefault="00AE7EFC"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A153E">
                      <w:rPr>
                        <w:rStyle w:val="PageNumber"/>
                        <w:noProof/>
                      </w:rPr>
                      <w:t>33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55029866" wp14:editId="5F9D5C3E">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13F84E38" w14:textId="3BA06808" w:rsidR="00AE7EFC" w:rsidRDefault="00AE7EFC" w:rsidP="007A05BE">
                          <w:pPr>
                            <w:pStyle w:val="Footer"/>
                            <w:jc w:val="right"/>
                          </w:pPr>
                          <w:r>
                            <w:t>Reform to the anti-siphoning scheme</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29866" id="Text Box 3" o:spid="_x0000_s1030" type="#_x0000_t202"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" filled="f" stroked="f" strokeweight=".5pt">
              <v:textbox inset="0,0,28mm,10mm">
                <w:txbxContent>
                  <w:p w14:paraId="13F84E38" w14:textId="3BA06808" w:rsidR="00AE7EFC" w:rsidRDefault="00AE7EFC" w:rsidP="007A05BE">
                    <w:pPr>
                      <w:pStyle w:val="Footer"/>
                      <w:jc w:val="right"/>
                    </w:pPr>
                    <w:r>
                      <w:t>Reform to the anti-siphoning scheme</w:t>
                    </w:r>
                  </w:p>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32E89289" wp14:editId="1F4A6DB5">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61EF" w14:textId="77777777" w:rsidR="003811A5" w:rsidRDefault="0038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8657D" w14:textId="77777777" w:rsidR="00B81883" w:rsidRPr="005912BE" w:rsidRDefault="00B81883" w:rsidP="005912BE">
      <w:pPr>
        <w:spacing w:before="300"/>
        <w:rPr>
          <w:color w:val="008089" w:themeColor="accent2"/>
        </w:rPr>
      </w:pPr>
      <w:r w:rsidRPr="004063DE">
        <w:rPr>
          <w:color w:val="004044" w:themeColor="accent2" w:themeShade="80"/>
        </w:rPr>
        <w:t>----------</w:t>
      </w:r>
    </w:p>
  </w:footnote>
  <w:footnote w:type="continuationSeparator" w:id="0">
    <w:p w14:paraId="718CC114" w14:textId="77777777" w:rsidR="00B81883" w:rsidRDefault="00B81883" w:rsidP="008456D5">
      <w:pPr>
        <w:spacing w:before="0" w:after="0"/>
      </w:pPr>
      <w:r>
        <w:continuationSeparator/>
      </w:r>
    </w:p>
  </w:footnote>
  <w:footnote w:type="continuationNotice" w:id="1">
    <w:p w14:paraId="60D478D2" w14:textId="77777777" w:rsidR="00B81883" w:rsidRDefault="00B81883">
      <w:pPr>
        <w:spacing w:before="0" w:after="0"/>
      </w:pPr>
    </w:p>
  </w:footnote>
  <w:footnote w:id="2">
    <w:p w14:paraId="1707D269" w14:textId="45660BD3"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w:t>
      </w:r>
      <w:hyperlink r:id="rId1" w:history="1">
        <w:r w:rsidRPr="00D207CB">
          <w:rPr>
            <w:rStyle w:val="Hyperlink"/>
            <w:sz w:val="16"/>
            <w:szCs w:val="16"/>
          </w:rPr>
          <w:t>Broadcasting Services (Events) Notice 2023</w:t>
        </w:r>
      </w:hyperlink>
      <w:r w:rsidRPr="00D207CB">
        <w:rPr>
          <w:sz w:val="16"/>
          <w:szCs w:val="16"/>
        </w:rPr>
        <w:t>.</w:t>
      </w:r>
    </w:p>
  </w:footnote>
  <w:footnote w:id="3">
    <w:p w14:paraId="2D6E2BAC" w14:textId="5AD6D528"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Department of Infrastructure, Transport, Regional Development, Communications and the Arts</w:t>
      </w:r>
      <w:r>
        <w:rPr>
          <w:sz w:val="16"/>
          <w:szCs w:val="16"/>
        </w:rPr>
        <w:t xml:space="preserve"> (</w:t>
      </w:r>
      <w:r>
        <w:rPr>
          <w:color w:val="auto"/>
          <w:sz w:val="16"/>
          <w:szCs w:val="16"/>
          <w:lang w:val="en-US"/>
        </w:rPr>
        <w:t>DITRDCA)</w:t>
      </w:r>
      <w:r w:rsidRPr="00D207CB">
        <w:rPr>
          <w:sz w:val="16"/>
          <w:szCs w:val="16"/>
        </w:rPr>
        <w:t xml:space="preserve"> (2022), </w:t>
      </w:r>
      <w:hyperlink r:id="rId2" w:history="1">
        <w:r w:rsidRPr="00CB5B08">
          <w:rPr>
            <w:rStyle w:val="Hyperlink"/>
            <w:sz w:val="16"/>
            <w:szCs w:val="16"/>
          </w:rPr>
          <w:t>Review of the anti-siphoning scheme - Consultation Paper</w:t>
        </w:r>
      </w:hyperlink>
      <w:r w:rsidRPr="00D207CB">
        <w:rPr>
          <w:sz w:val="16"/>
          <w:szCs w:val="16"/>
        </w:rPr>
        <w:t>.</w:t>
      </w:r>
    </w:p>
  </w:footnote>
  <w:footnote w:id="4">
    <w:p w14:paraId="299301FC" w14:textId="782A630B"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Pr>
          <w:color w:val="auto"/>
          <w:sz w:val="16"/>
          <w:szCs w:val="16"/>
          <w:lang w:val="en-US"/>
        </w:rPr>
        <w:t>DITRDCA</w:t>
      </w:r>
      <w:r w:rsidRPr="00D207CB">
        <w:rPr>
          <w:color w:val="auto"/>
          <w:sz w:val="16"/>
          <w:szCs w:val="16"/>
          <w:lang w:val="en-US"/>
        </w:rPr>
        <w:t xml:space="preserve"> (2023)</w:t>
      </w:r>
      <w:r>
        <w:rPr>
          <w:color w:val="auto"/>
          <w:sz w:val="16"/>
          <w:szCs w:val="16"/>
          <w:lang w:val="en-US"/>
        </w:rPr>
        <w:t>,</w:t>
      </w:r>
      <w:r w:rsidRPr="00D207CB">
        <w:rPr>
          <w:color w:val="auto"/>
          <w:sz w:val="16"/>
          <w:szCs w:val="16"/>
          <w:lang w:val="en-US"/>
        </w:rPr>
        <w:t xml:space="preserve"> </w:t>
      </w:r>
      <w:hyperlink r:id="rId3" w:history="1">
        <w:r w:rsidRPr="00D207CB">
          <w:rPr>
            <w:rStyle w:val="Hyperlink"/>
            <w:sz w:val="16"/>
            <w:szCs w:val="16"/>
          </w:rPr>
          <w:t>Anti-siphoning Review - Proposals Paper</w:t>
        </w:r>
      </w:hyperlink>
      <w:r w:rsidRPr="00D207CB">
        <w:rPr>
          <w:sz w:val="16"/>
          <w:szCs w:val="16"/>
        </w:rPr>
        <w:t>.</w:t>
      </w:r>
    </w:p>
  </w:footnote>
  <w:footnote w:id="5">
    <w:p w14:paraId="5E6A4F68" w14:textId="5534B36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sidRPr="00D207CB">
        <w:rPr>
          <w:rFonts w:cstheme="minorHAnsi"/>
          <w:sz w:val="16"/>
          <w:szCs w:val="16"/>
        </w:rPr>
        <w:t>Providing ‘coverage’ in this IA includes televised and online video coverage.</w:t>
      </w:r>
    </w:p>
  </w:footnote>
  <w:footnote w:id="6">
    <w:p w14:paraId="5898F211" w14:textId="1A4F85BA" w:rsidR="00AE7EFC" w:rsidRPr="00D207CB" w:rsidRDefault="00AE7EFC" w:rsidP="00D207CB">
      <w:pPr>
        <w:pStyle w:val="FootnoteText"/>
        <w:ind w:left="0" w:firstLine="0"/>
        <w:mirrorIndents/>
        <w:rPr>
          <w:rFonts w:cstheme="minorHAnsi"/>
          <w:sz w:val="16"/>
          <w:szCs w:val="16"/>
        </w:rPr>
      </w:pPr>
      <w:r w:rsidRPr="00D207CB">
        <w:rPr>
          <w:rStyle w:val="FootnoteReference"/>
          <w:rFonts w:cstheme="minorHAnsi"/>
          <w:sz w:val="16"/>
          <w:szCs w:val="16"/>
        </w:rPr>
        <w:footnoteRef/>
      </w:r>
      <w:r w:rsidRPr="00D207CB">
        <w:rPr>
          <w:rFonts w:cstheme="minorHAnsi"/>
          <w:sz w:val="16"/>
          <w:szCs w:val="16"/>
        </w:rPr>
        <w:t xml:space="preserve"> </w:t>
      </w:r>
      <w:hyperlink r:id="rId4" w:history="1">
        <w:r w:rsidRPr="00D207CB">
          <w:rPr>
            <w:rStyle w:val="Hyperlink"/>
            <w:rFonts w:cstheme="minorHAnsi"/>
            <w:sz w:val="16"/>
            <w:szCs w:val="16"/>
          </w:rPr>
          <w:t>Explanatory Statement</w:t>
        </w:r>
      </w:hyperlink>
      <w:r w:rsidRPr="00D207CB">
        <w:rPr>
          <w:rFonts w:cstheme="minorHAnsi"/>
          <w:sz w:val="16"/>
          <w:szCs w:val="16"/>
        </w:rPr>
        <w:t xml:space="preserve"> to the Broadcasting Services (Events) Notice 2023.</w:t>
      </w:r>
    </w:p>
  </w:footnote>
  <w:footnote w:id="7">
    <w:p w14:paraId="2A2265E7" w14:textId="34B890CA" w:rsidR="00AE7EFC" w:rsidRPr="00D207CB" w:rsidDel="004B7DA1" w:rsidRDefault="00AE7EFC" w:rsidP="00D207CB">
      <w:pPr>
        <w:pStyle w:val="FootnoteText"/>
        <w:ind w:left="0" w:firstLine="0"/>
        <w:mirrorIndents/>
        <w:rPr>
          <w:rFonts w:cstheme="minorHAnsi"/>
          <w:sz w:val="16"/>
          <w:szCs w:val="16"/>
        </w:rPr>
      </w:pPr>
      <w:r w:rsidRPr="00D207CB" w:rsidDel="004B7DA1">
        <w:rPr>
          <w:rStyle w:val="FootnoteReference"/>
          <w:rFonts w:cstheme="minorHAnsi"/>
          <w:sz w:val="16"/>
          <w:szCs w:val="16"/>
        </w:rPr>
        <w:footnoteRef/>
      </w:r>
      <w:r w:rsidRPr="00D207CB" w:rsidDel="004B7DA1">
        <w:rPr>
          <w:rFonts w:cstheme="minorHAnsi"/>
          <w:sz w:val="16"/>
          <w:szCs w:val="16"/>
        </w:rPr>
        <w:t xml:space="preserve"> </w:t>
      </w:r>
      <w:hyperlink r:id="rId5" w:history="1">
        <w:r w:rsidRPr="00D207CB" w:rsidDel="004B7DA1">
          <w:rPr>
            <w:rStyle w:val="Hyperlink"/>
            <w:rFonts w:cstheme="minorHAnsi"/>
            <w:sz w:val="16"/>
            <w:szCs w:val="16"/>
          </w:rPr>
          <w:t>Broadcasting Services (Events) Amendment Notice 2023</w:t>
        </w:r>
      </w:hyperlink>
      <w:r w:rsidRPr="00D207CB" w:rsidDel="004B7DA1">
        <w:rPr>
          <w:rStyle w:val="Hyperlink"/>
          <w:rFonts w:cstheme="minorHAnsi"/>
          <w:sz w:val="16"/>
          <w:szCs w:val="16"/>
        </w:rPr>
        <w:t>.</w:t>
      </w:r>
    </w:p>
  </w:footnote>
  <w:footnote w:id="8">
    <w:p w14:paraId="27167E41" w14:textId="59CE9B18"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rFonts w:cstheme="minorHAnsi"/>
          <w:sz w:val="16"/>
          <w:szCs w:val="16"/>
          <w:lang w:val="en-US"/>
        </w:rPr>
        <w:t xml:space="preserve"> Deloitte Access Economics (2022)</w:t>
      </w:r>
      <w:r>
        <w:rPr>
          <w:rFonts w:cstheme="minorHAnsi"/>
          <w:sz w:val="16"/>
          <w:szCs w:val="16"/>
          <w:lang w:val="en-US"/>
        </w:rPr>
        <w:t>,</w:t>
      </w:r>
      <w:r w:rsidRPr="00D207CB">
        <w:rPr>
          <w:rFonts w:cstheme="minorHAnsi"/>
          <w:sz w:val="16"/>
          <w:szCs w:val="16"/>
          <w:lang w:val="en-US"/>
        </w:rPr>
        <w:t xml:space="preserve"> </w:t>
      </w:r>
      <w:hyperlink r:id="rId6" w:history="1">
        <w:r w:rsidRPr="00D207CB">
          <w:rPr>
            <w:rStyle w:val="Hyperlink"/>
            <w:rFonts w:cstheme="minorHAnsi"/>
            <w:sz w:val="16"/>
            <w:szCs w:val="16"/>
            <w:lang w:val="en-US"/>
          </w:rPr>
          <w:t>Everybody Gets It</w:t>
        </w:r>
      </w:hyperlink>
      <w:r w:rsidRPr="00D207CB">
        <w:rPr>
          <w:rFonts w:cstheme="minorHAnsi"/>
          <w:sz w:val="16"/>
          <w:szCs w:val="16"/>
          <w:lang w:val="en-US"/>
        </w:rPr>
        <w:t>, commissioned by Free TV, p. 47.</w:t>
      </w:r>
    </w:p>
  </w:footnote>
  <w:footnote w:id="9">
    <w:p w14:paraId="24F64D1F" w14:textId="551B92A1"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 xml:space="preserve">Social Research Centre (2023), </w:t>
      </w:r>
      <w:hyperlink r:id="rId7" w:history="1">
        <w:r w:rsidRPr="00D207CB">
          <w:rPr>
            <w:rStyle w:val="Hyperlink"/>
            <w:sz w:val="16"/>
            <w:szCs w:val="16"/>
            <w:lang w:val="en-US"/>
          </w:rPr>
          <w:t>The 2022 Television Consumer Survey – Summary Report</w:t>
        </w:r>
      </w:hyperlink>
      <w:r w:rsidRPr="00D207CB">
        <w:rPr>
          <w:sz w:val="16"/>
          <w:szCs w:val="16"/>
          <w:lang w:val="en-US"/>
        </w:rPr>
        <w:t xml:space="preserve">, reported to </w:t>
      </w:r>
      <w:r>
        <w:rPr>
          <w:color w:val="auto"/>
          <w:sz w:val="16"/>
          <w:szCs w:val="16"/>
          <w:lang w:val="en-US"/>
        </w:rPr>
        <w:t>DITRDCA</w:t>
      </w:r>
      <w:r w:rsidRPr="00D207CB">
        <w:rPr>
          <w:sz w:val="16"/>
          <w:szCs w:val="16"/>
          <w:lang w:val="en-US"/>
        </w:rPr>
        <w:t xml:space="preserve">, p. 18, 62. </w:t>
      </w:r>
    </w:p>
  </w:footnote>
  <w:footnote w:id="10">
    <w:p w14:paraId="7C263421" w14:textId="44A5868F" w:rsidR="00AE7EFC" w:rsidRPr="00D207CB" w:rsidRDefault="00AE7EFC" w:rsidP="002D269E">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All references to OzTAM data are copyright © OzTAM 2023. The data may not be reproduced, published or communicated (electronically or in hard copy) in whole or in part, without prior written consent of OzTAM</w:t>
      </w:r>
      <w:r>
        <w:rPr>
          <w:sz w:val="16"/>
          <w:szCs w:val="16"/>
        </w:rPr>
        <w:t>.</w:t>
      </w:r>
    </w:p>
  </w:footnote>
  <w:footnote w:id="11">
    <w:p w14:paraId="53D864C9" w14:textId="37B69937"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lang w:val="en-US"/>
        </w:rPr>
        <w:t xml:space="preserve"> Australian Football League (2022), </w:t>
      </w:r>
      <w:hyperlink r:id="rId8" w:history="1">
        <w:r w:rsidRPr="00D207CB">
          <w:rPr>
            <w:rStyle w:val="Hyperlink"/>
            <w:sz w:val="16"/>
            <w:szCs w:val="16"/>
            <w:lang w:val="en-US"/>
          </w:rPr>
          <w:t>2021 Annual Report</w:t>
        </w:r>
      </w:hyperlink>
      <w:r w:rsidRPr="00D207CB">
        <w:rPr>
          <w:sz w:val="16"/>
          <w:szCs w:val="16"/>
          <w:lang w:val="en-US"/>
        </w:rPr>
        <w:t>, p</w:t>
      </w:r>
      <w:r>
        <w:rPr>
          <w:sz w:val="16"/>
          <w:szCs w:val="16"/>
          <w:lang w:val="en-US"/>
        </w:rPr>
        <w:t>p</w:t>
      </w:r>
      <w:r w:rsidRPr="00D207CB">
        <w:rPr>
          <w:sz w:val="16"/>
          <w:szCs w:val="16"/>
          <w:lang w:val="en-US"/>
        </w:rPr>
        <w:t>. 34</w:t>
      </w:r>
      <w:r>
        <w:rPr>
          <w:sz w:val="16"/>
          <w:szCs w:val="16"/>
          <w:lang w:val="en-US"/>
        </w:rPr>
        <w:t xml:space="preserve"> and 163</w:t>
      </w:r>
      <w:r w:rsidRPr="00D207CB">
        <w:rPr>
          <w:sz w:val="16"/>
          <w:szCs w:val="16"/>
          <w:lang w:val="en-US"/>
        </w:rPr>
        <w:t xml:space="preserve">. </w:t>
      </w:r>
    </w:p>
  </w:footnote>
  <w:footnote w:id="12">
    <w:p w14:paraId="2F9F62AA" w14:textId="04827A45"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National Rugby League (28 February 2022), </w:t>
      </w:r>
      <w:hyperlink r:id="rId9" w:history="1">
        <w:r w:rsidRPr="00D207CB">
          <w:rPr>
            <w:rStyle w:val="Hyperlink"/>
            <w:sz w:val="16"/>
            <w:szCs w:val="16"/>
          </w:rPr>
          <w:t>2021 Financial Results</w:t>
        </w:r>
      </w:hyperlink>
      <w:r w:rsidRPr="00D207CB">
        <w:rPr>
          <w:sz w:val="16"/>
          <w:szCs w:val="16"/>
        </w:rPr>
        <w:t>, Media Release.</w:t>
      </w:r>
    </w:p>
  </w:footnote>
  <w:footnote w:id="13">
    <w:p w14:paraId="44229973" w14:textId="6E0240C3"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Pr>
          <w:color w:val="auto"/>
          <w:sz w:val="16"/>
          <w:szCs w:val="16"/>
          <w:lang w:val="en-US"/>
        </w:rPr>
        <w:t>DITRDCA</w:t>
      </w:r>
      <w:r w:rsidRPr="00D207CB">
        <w:rPr>
          <w:color w:val="auto"/>
          <w:sz w:val="16"/>
          <w:szCs w:val="16"/>
          <w:lang w:val="en-US"/>
        </w:rPr>
        <w:t xml:space="preserve"> (2022), </w:t>
      </w:r>
      <w:hyperlink r:id="rId10" w:history="1">
        <w:r w:rsidRPr="00D207CB">
          <w:rPr>
            <w:rStyle w:val="Hyperlink"/>
            <w:sz w:val="16"/>
            <w:szCs w:val="16"/>
            <w:lang w:val="en-US"/>
          </w:rPr>
          <w:t>Review of the anti-siphoning scheme: Consultation paper</w:t>
        </w:r>
      </w:hyperlink>
      <w:r w:rsidRPr="00D207CB">
        <w:rPr>
          <w:sz w:val="16"/>
          <w:szCs w:val="16"/>
        </w:rPr>
        <w:t>.</w:t>
      </w:r>
    </w:p>
  </w:footnote>
  <w:footnote w:id="14">
    <w:p w14:paraId="61D9CC91" w14:textId="468097CD" w:rsidR="00AE7EFC" w:rsidRPr="00D207CB" w:rsidRDefault="00AE7EFC" w:rsidP="00D207CB">
      <w:pPr>
        <w:pStyle w:val="FootnoteText"/>
        <w:ind w:left="0" w:firstLine="0"/>
        <w:mirrorIndents/>
        <w:rPr>
          <w:sz w:val="16"/>
          <w:szCs w:val="16"/>
        </w:rPr>
      </w:pPr>
    </w:p>
    <w:p w14:paraId="38CAD1F4" w14:textId="2B6AEC42"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Pr>
          <w:color w:val="auto"/>
          <w:sz w:val="16"/>
          <w:szCs w:val="16"/>
          <w:lang w:val="en-US"/>
        </w:rPr>
        <w:t>DITRDCA</w:t>
      </w:r>
      <w:r w:rsidRPr="00D207CB">
        <w:rPr>
          <w:color w:val="auto"/>
          <w:sz w:val="16"/>
          <w:szCs w:val="16"/>
          <w:lang w:val="en-US"/>
        </w:rPr>
        <w:t xml:space="preserve"> (2023)</w:t>
      </w:r>
      <w:r>
        <w:rPr>
          <w:color w:val="auto"/>
          <w:sz w:val="16"/>
          <w:szCs w:val="16"/>
          <w:lang w:val="en-US"/>
        </w:rPr>
        <w:t>,</w:t>
      </w:r>
      <w:r w:rsidRPr="00D207CB">
        <w:rPr>
          <w:color w:val="auto"/>
          <w:sz w:val="16"/>
          <w:szCs w:val="16"/>
          <w:lang w:val="en-US"/>
        </w:rPr>
        <w:t xml:space="preserve"> </w:t>
      </w:r>
      <w:hyperlink r:id="rId11" w:history="1">
        <w:r w:rsidRPr="00D207CB">
          <w:rPr>
            <w:rStyle w:val="Hyperlink"/>
            <w:sz w:val="16"/>
            <w:szCs w:val="16"/>
          </w:rPr>
          <w:t>Anti-siphoning Review - Proposals Paper</w:t>
        </w:r>
      </w:hyperlink>
      <w:r w:rsidRPr="00D207CB">
        <w:rPr>
          <w:sz w:val="16"/>
          <w:szCs w:val="16"/>
        </w:rPr>
        <w:t>.</w:t>
      </w:r>
    </w:p>
  </w:footnote>
  <w:footnote w:id="15">
    <w:p w14:paraId="0BD83D31" w14:textId="3AF3ED8E"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Pr>
          <w:color w:val="auto"/>
          <w:sz w:val="16"/>
          <w:szCs w:val="16"/>
          <w:lang w:val="en-US"/>
        </w:rPr>
        <w:t>DITRDCA</w:t>
      </w:r>
      <w:r w:rsidRPr="00D207CB">
        <w:rPr>
          <w:color w:val="auto"/>
          <w:sz w:val="16"/>
          <w:szCs w:val="16"/>
          <w:lang w:val="en-US"/>
        </w:rPr>
        <w:t xml:space="preserve"> (2022), </w:t>
      </w:r>
      <w:hyperlink r:id="rId12" w:history="1">
        <w:r w:rsidRPr="00D207CB">
          <w:rPr>
            <w:rStyle w:val="Hyperlink"/>
            <w:sz w:val="16"/>
            <w:szCs w:val="16"/>
            <w:lang w:val="en-US"/>
          </w:rPr>
          <w:t>Review of the anti-siphoning scheme: Consultation paper</w:t>
        </w:r>
      </w:hyperlink>
      <w:r w:rsidRPr="00D207CB">
        <w:rPr>
          <w:sz w:val="16"/>
          <w:szCs w:val="16"/>
          <w:lang w:val="en-US"/>
        </w:rPr>
        <w:t>, p. 22.</w:t>
      </w:r>
    </w:p>
  </w:footnote>
  <w:footnote w:id="16">
    <w:p w14:paraId="12F5F205" w14:textId="4ECD3C4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YouTube</w:t>
      </w:r>
      <w:r>
        <w:rPr>
          <w:sz w:val="16"/>
          <w:szCs w:val="16"/>
        </w:rPr>
        <w:t>:</w:t>
      </w:r>
      <w:r w:rsidRPr="00D207CB">
        <w:rPr>
          <w:sz w:val="16"/>
          <w:szCs w:val="16"/>
        </w:rPr>
        <w:t xml:space="preserve"> </w:t>
      </w:r>
      <w:hyperlink r:id="rId13" w:history="1">
        <w:r w:rsidRPr="00D207CB">
          <w:rPr>
            <w:rStyle w:val="Hyperlink"/>
            <w:sz w:val="16"/>
            <w:szCs w:val="16"/>
          </w:rPr>
          <w:t>AFL</w:t>
        </w:r>
      </w:hyperlink>
      <w:r w:rsidRPr="00D207CB">
        <w:rPr>
          <w:sz w:val="16"/>
          <w:szCs w:val="16"/>
        </w:rPr>
        <w:t xml:space="preserve"> (official channel)</w:t>
      </w:r>
      <w:r w:rsidRPr="00D207CB">
        <w:rPr>
          <w:color w:val="auto"/>
          <w:sz w:val="16"/>
          <w:szCs w:val="16"/>
        </w:rPr>
        <w:t>;</w:t>
      </w:r>
      <w:r w:rsidRPr="00D207CB">
        <w:rPr>
          <w:sz w:val="16"/>
          <w:szCs w:val="16"/>
        </w:rPr>
        <w:t xml:space="preserve"> </w:t>
      </w:r>
      <w:hyperlink r:id="rId14" w:history="1">
        <w:r w:rsidRPr="00D207CB">
          <w:rPr>
            <w:rStyle w:val="Hyperlink"/>
            <w:sz w:val="16"/>
            <w:szCs w:val="16"/>
          </w:rPr>
          <w:t>NRL - National Rugby League</w:t>
        </w:r>
      </w:hyperlink>
      <w:r w:rsidRPr="00D207CB">
        <w:rPr>
          <w:sz w:val="16"/>
          <w:szCs w:val="16"/>
        </w:rPr>
        <w:t xml:space="preserve"> (official channel)</w:t>
      </w:r>
      <w:r w:rsidRPr="00D207CB">
        <w:rPr>
          <w:color w:val="auto"/>
          <w:sz w:val="16"/>
          <w:szCs w:val="16"/>
        </w:rPr>
        <w:t xml:space="preserve">; </w:t>
      </w:r>
      <w:hyperlink r:id="rId15" w:history="1">
        <w:r w:rsidRPr="00D207CB">
          <w:rPr>
            <w:rStyle w:val="Hyperlink"/>
            <w:sz w:val="16"/>
            <w:szCs w:val="16"/>
          </w:rPr>
          <w:t>Olympics</w:t>
        </w:r>
      </w:hyperlink>
      <w:r w:rsidRPr="00D207CB">
        <w:rPr>
          <w:sz w:val="16"/>
          <w:szCs w:val="16"/>
        </w:rPr>
        <w:t xml:space="preserve"> (official channel); </w:t>
      </w:r>
      <w:hyperlink r:id="rId16" w:history="1">
        <w:r w:rsidRPr="00D207CB">
          <w:rPr>
            <w:rStyle w:val="Hyperlink"/>
            <w:sz w:val="16"/>
            <w:szCs w:val="16"/>
          </w:rPr>
          <w:t>NFL Sunday Ticket +</w:t>
        </w:r>
      </w:hyperlink>
      <w:r w:rsidRPr="00D207CB">
        <w:rPr>
          <w:sz w:val="16"/>
          <w:szCs w:val="16"/>
        </w:rPr>
        <w:t xml:space="preserve"> (official channel). </w:t>
      </w:r>
    </w:p>
  </w:footnote>
  <w:footnote w:id="17">
    <w:p w14:paraId="00526FBB"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Explicit costs include subscription fees or pay-per-view charges, charged by the content service provider or an intermediary, to access the coverage of the event.</w:t>
      </w:r>
    </w:p>
  </w:footnote>
  <w:footnote w:id="18">
    <w:p w14:paraId="7594F81A" w14:textId="2EDD3E1F"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Kantar (1 May 2023), </w:t>
      </w:r>
      <w:hyperlink r:id="rId17" w:history="1">
        <w:r w:rsidRPr="00D207CB">
          <w:rPr>
            <w:rStyle w:val="Hyperlink"/>
            <w:sz w:val="16"/>
            <w:szCs w:val="16"/>
          </w:rPr>
          <w:t>Australian streaming market stabilises despite 1.1 million cancellations</w:t>
        </w:r>
      </w:hyperlink>
      <w:r w:rsidRPr="00D207CB">
        <w:rPr>
          <w:sz w:val="16"/>
          <w:szCs w:val="16"/>
        </w:rPr>
        <w:t xml:space="preserve">. </w:t>
      </w:r>
    </w:p>
  </w:footnote>
  <w:footnote w:id="19">
    <w:p w14:paraId="6EFEECDD" w14:textId="78A509F8"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Telsyte (17 August 2020), </w:t>
      </w:r>
      <w:hyperlink r:id="rId18" w:history="1">
        <w:r w:rsidRPr="00D207CB">
          <w:rPr>
            <w:rStyle w:val="Hyperlink"/>
            <w:sz w:val="16"/>
            <w:szCs w:val="16"/>
          </w:rPr>
          <w:t>Subscription home entertainment soars in Australia</w:t>
        </w:r>
      </w:hyperlink>
      <w:r w:rsidRPr="00D207CB">
        <w:rPr>
          <w:sz w:val="16"/>
          <w:szCs w:val="16"/>
        </w:rPr>
        <w:t>.</w:t>
      </w:r>
    </w:p>
  </w:footnote>
  <w:footnote w:id="20">
    <w:p w14:paraId="44D1C668" w14:textId="6E7C5FB5"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Telsyte (28 August</w:t>
      </w:r>
      <w:r w:rsidRPr="00D207CB">
        <w:rPr>
          <w:sz w:val="16"/>
          <w:szCs w:val="16"/>
        </w:rPr>
        <w:t xml:space="preserve"> 2023), </w:t>
      </w:r>
      <w:hyperlink r:id="rId19" w:history="1">
        <w:r w:rsidRPr="00D207CB">
          <w:rPr>
            <w:rStyle w:val="Hyperlink"/>
            <w:sz w:val="16"/>
            <w:szCs w:val="16"/>
          </w:rPr>
          <w:t>Australia's subscription entertainment market growth eases but remains vital</w:t>
        </w:r>
      </w:hyperlink>
      <w:r w:rsidRPr="00D207CB">
        <w:rPr>
          <w:rStyle w:val="Hyperlink"/>
          <w:color w:val="auto"/>
          <w:sz w:val="16"/>
          <w:szCs w:val="16"/>
        </w:rPr>
        <w:t>.</w:t>
      </w:r>
    </w:p>
  </w:footnote>
  <w:footnote w:id="21">
    <w:p w14:paraId="3EB561D1" w14:textId="76384F39"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Australian Communications and Media Authority (2023), </w:t>
      </w:r>
      <w:hyperlink r:id="rId20" w:anchor="australian-programs-available-in-australia" w:history="1">
        <w:r w:rsidRPr="00D207CB">
          <w:rPr>
            <w:rStyle w:val="Hyperlink"/>
            <w:sz w:val="16"/>
            <w:szCs w:val="16"/>
          </w:rPr>
          <w:t>Spending by subscription video on demand providers</w:t>
        </w:r>
      </w:hyperlink>
      <w:r w:rsidRPr="00D207CB">
        <w:rPr>
          <w:sz w:val="16"/>
          <w:szCs w:val="16"/>
        </w:rPr>
        <w:t>. The five SVOD services which reported data (Netflix, Stan, Amazon Prime Video, Paramount+ and Disney+), included. Services such as Kayo and Optus sport did not report data and are not included.</w:t>
      </w:r>
    </w:p>
  </w:footnote>
  <w:footnote w:id="22">
    <w:p w14:paraId="4F766731" w14:textId="6033E23B"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Deloitte (2022), </w:t>
      </w:r>
      <w:hyperlink r:id="rId21" w:history="1">
        <w:r w:rsidRPr="00D207CB">
          <w:rPr>
            <w:rStyle w:val="Hyperlink"/>
            <w:sz w:val="16"/>
            <w:szCs w:val="16"/>
          </w:rPr>
          <w:t>Media Consumer Survey 2022</w:t>
        </w:r>
      </w:hyperlink>
      <w:r w:rsidRPr="00D207CB">
        <w:rPr>
          <w:sz w:val="16"/>
          <w:szCs w:val="16"/>
        </w:rPr>
        <w:t>, p. 35.</w:t>
      </w:r>
    </w:p>
  </w:footnote>
  <w:footnote w:id="23">
    <w:p w14:paraId="0C619B98" w14:textId="417AE7AC"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Foxtel Group (2023), </w:t>
      </w:r>
      <w:hyperlink r:id="rId22" w:history="1">
        <w:r w:rsidRPr="00D207CB">
          <w:rPr>
            <w:rStyle w:val="Hyperlink"/>
            <w:sz w:val="16"/>
            <w:szCs w:val="16"/>
          </w:rPr>
          <w:t>Foxtel Group Fiscal 2023 Fourth Quarter and Full Year Earnings</w:t>
        </w:r>
      </w:hyperlink>
      <w:r w:rsidRPr="00D207CB">
        <w:rPr>
          <w:rStyle w:val="Hyperlink"/>
          <w:sz w:val="16"/>
          <w:szCs w:val="16"/>
        </w:rPr>
        <w:t>.</w:t>
      </w:r>
    </w:p>
  </w:footnote>
  <w:footnote w:id="24">
    <w:p w14:paraId="179AD310" w14:textId="23167D17"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Singtel (2023), </w:t>
      </w:r>
      <w:hyperlink r:id="rId23" w:history="1">
        <w:r w:rsidRPr="00D207CB">
          <w:rPr>
            <w:rStyle w:val="Hyperlink"/>
            <w:sz w:val="16"/>
            <w:szCs w:val="16"/>
          </w:rPr>
          <w:t>Singapore Telecommunications Limited and Subsidiary Companies: Management Discussion and Analysis of Financial Condition, Results of Operations and Cash Flows for the second half and financial year ended 31 March 2023</w:t>
        </w:r>
      </w:hyperlink>
      <w:r w:rsidRPr="00D207CB">
        <w:rPr>
          <w:sz w:val="16"/>
          <w:szCs w:val="16"/>
        </w:rPr>
        <w:t>, p. 43.</w:t>
      </w:r>
    </w:p>
  </w:footnote>
  <w:footnote w:id="25">
    <w:p w14:paraId="58BEAFD7" w14:textId="43B969FE"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Mediaweek (14 April 2021) </w:t>
      </w:r>
      <w:hyperlink r:id="rId24" w:history="1">
        <w:r w:rsidRPr="008E374A">
          <w:rPr>
            <w:rStyle w:val="Hyperlink"/>
            <w:sz w:val="16"/>
            <w:szCs w:val="16"/>
          </w:rPr>
          <w:t>Seven reveals its digital product for 2020 Tokyo Olympics</w:t>
        </w:r>
      </w:hyperlink>
      <w:r>
        <w:rPr>
          <w:sz w:val="16"/>
          <w:szCs w:val="16"/>
        </w:rPr>
        <w:t>.</w:t>
      </w:r>
    </w:p>
  </w:footnote>
  <w:footnote w:id="26">
    <w:p w14:paraId="266CA4A6" w14:textId="410EA0D1"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 xml:space="preserve">Carp, S. (4 February 2021), </w:t>
      </w:r>
      <w:hyperlink r:id="rId25" w:history="1">
        <w:r w:rsidRPr="00D207CB">
          <w:rPr>
            <w:rStyle w:val="Hyperlink"/>
            <w:sz w:val="16"/>
            <w:szCs w:val="16"/>
          </w:rPr>
          <w:t>Amazon dips toe in Australian market with swimming streaming deal</w:t>
        </w:r>
      </w:hyperlink>
      <w:r w:rsidRPr="00D207CB">
        <w:rPr>
          <w:rStyle w:val="Hyperlink"/>
          <w:sz w:val="16"/>
          <w:szCs w:val="16"/>
        </w:rPr>
        <w:t>,</w:t>
      </w:r>
      <w:r w:rsidRPr="00D207CB">
        <w:rPr>
          <w:sz w:val="16"/>
          <w:szCs w:val="16"/>
        </w:rPr>
        <w:t xml:space="preserve"> Sports Pro Media.</w:t>
      </w:r>
    </w:p>
  </w:footnote>
  <w:footnote w:id="27">
    <w:p w14:paraId="30F52A1B" w14:textId="693C45B2"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lang w:val="en-US"/>
        </w:rPr>
        <w:t xml:space="preserve"> Meade, A. (23 June 2023), </w:t>
      </w:r>
      <w:hyperlink r:id="rId26" w:history="1">
        <w:r w:rsidRPr="00D207CB">
          <w:rPr>
            <w:rStyle w:val="Hyperlink"/>
            <w:sz w:val="16"/>
            <w:szCs w:val="16"/>
            <w:lang w:val="en-US"/>
          </w:rPr>
          <w:t>Ten Network drops bid to secure Melbourne Cup rights over Tabcorp deal</w:t>
        </w:r>
      </w:hyperlink>
      <w:r w:rsidRPr="00D207CB">
        <w:rPr>
          <w:sz w:val="16"/>
          <w:szCs w:val="16"/>
          <w:lang w:val="en-US"/>
        </w:rPr>
        <w:t>, The Guardian.</w:t>
      </w:r>
    </w:p>
  </w:footnote>
  <w:footnote w:id="28">
    <w:p w14:paraId="1FE63F50" w14:textId="5C0C2AB0"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News.com.au (7 November 2023), </w:t>
      </w:r>
      <w:hyperlink r:id="rId27" w:history="1">
        <w:r w:rsidRPr="00D207CB">
          <w:rPr>
            <w:rStyle w:val="Hyperlink"/>
            <w:sz w:val="16"/>
            <w:szCs w:val="16"/>
          </w:rPr>
          <w:t>How to watch and live stream the 2023 Melbourne Cup</w:t>
        </w:r>
      </w:hyperlink>
      <w:r>
        <w:rPr>
          <w:sz w:val="16"/>
          <w:szCs w:val="16"/>
        </w:rPr>
        <w:t>.</w:t>
      </w:r>
    </w:p>
  </w:footnote>
  <w:footnote w:id="29">
    <w:p w14:paraId="485D1152" w14:textId="484A9A5A"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 xml:space="preserve">Optus Sport (3 August 2021), </w:t>
      </w:r>
      <w:hyperlink r:id="rId28" w:history="1">
        <w:r w:rsidRPr="00D207CB">
          <w:rPr>
            <w:rStyle w:val="Hyperlink"/>
            <w:sz w:val="16"/>
            <w:szCs w:val="16"/>
            <w:lang w:val="en-US"/>
          </w:rPr>
          <w:t>Optus Sport secures media rights to the FIFA Women’s World Cup 2023</w:t>
        </w:r>
      </w:hyperlink>
      <w:r w:rsidRPr="00D207CB">
        <w:rPr>
          <w:sz w:val="16"/>
          <w:szCs w:val="16"/>
          <w:lang w:val="en-US"/>
        </w:rPr>
        <w:t>.</w:t>
      </w:r>
    </w:p>
  </w:footnote>
  <w:footnote w:id="30">
    <w:p w14:paraId="356E4384" w14:textId="336F31C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7news.com.au (31 October 2022), </w:t>
      </w:r>
      <w:hyperlink r:id="rId29" w:history="1">
        <w:r w:rsidRPr="00D207CB">
          <w:rPr>
            <w:rStyle w:val="Hyperlink"/>
            <w:sz w:val="16"/>
            <w:szCs w:val="16"/>
          </w:rPr>
          <w:t>Women’s World Cup live and free on Seven and 7plus in 2023, Matildas match times and venues revealed</w:t>
        </w:r>
      </w:hyperlink>
      <w:r w:rsidRPr="00D207CB">
        <w:rPr>
          <w:sz w:val="16"/>
          <w:szCs w:val="16"/>
        </w:rPr>
        <w:t>.</w:t>
      </w:r>
    </w:p>
  </w:footnote>
  <w:footnote w:id="31">
    <w:p w14:paraId="6220F8CA" w14:textId="16F27602"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Nielsen (2022), </w:t>
      </w:r>
      <w:hyperlink r:id="rId30" w:history="1">
        <w:r w:rsidRPr="00D207CB">
          <w:rPr>
            <w:rStyle w:val="Hyperlink"/>
            <w:sz w:val="16"/>
            <w:szCs w:val="16"/>
          </w:rPr>
          <w:t>Global Sports Marketing Report</w:t>
        </w:r>
      </w:hyperlink>
      <w:r w:rsidRPr="00D207CB">
        <w:rPr>
          <w:sz w:val="16"/>
          <w:szCs w:val="16"/>
        </w:rPr>
        <w:t>, p. 5.</w:t>
      </w:r>
    </w:p>
  </w:footnote>
  <w:footnote w:id="32">
    <w:p w14:paraId="25F5556B" w14:textId="6EA5E0E6"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 xml:space="preserve">Ampere Analysis (2022), </w:t>
      </w:r>
      <w:hyperlink r:id="rId31" w:history="1">
        <w:r w:rsidRPr="00D207CB">
          <w:rPr>
            <w:rStyle w:val="Hyperlink"/>
            <w:sz w:val="16"/>
            <w:szCs w:val="16"/>
            <w:lang w:val="en-US"/>
          </w:rPr>
          <w:t>Trends and Dynamics in the Sports Broadcasting Sector – Abridged Report for Ofcom Analysis</w:t>
        </w:r>
      </w:hyperlink>
      <w:r w:rsidRPr="00D207CB">
        <w:rPr>
          <w:sz w:val="16"/>
          <w:szCs w:val="16"/>
          <w:lang w:val="en-US"/>
        </w:rPr>
        <w:t>, p. 23.</w:t>
      </w:r>
    </w:p>
  </w:footnote>
  <w:footnote w:id="33">
    <w:p w14:paraId="4FDAC343" w14:textId="77777777"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Ibid</w:t>
      </w:r>
      <w:r w:rsidRPr="00D207CB">
        <w:rPr>
          <w:sz w:val="16"/>
          <w:szCs w:val="16"/>
        </w:rPr>
        <w:t>.</w:t>
      </w:r>
    </w:p>
  </w:footnote>
  <w:footnote w:id="34">
    <w:p w14:paraId="1681AF91" w14:textId="6CB1BDE8"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 xml:space="preserve">Ampere Analysis (2023), </w:t>
      </w:r>
      <w:hyperlink r:id="rId32" w:history="1">
        <w:r w:rsidRPr="00D207CB">
          <w:rPr>
            <w:rStyle w:val="Hyperlink"/>
            <w:sz w:val="16"/>
            <w:szCs w:val="16"/>
          </w:rPr>
          <w:t>Streaming services will spend over $8bn on sports</w:t>
        </w:r>
      </w:hyperlink>
      <w:r w:rsidRPr="00D207CB">
        <w:rPr>
          <w:sz w:val="16"/>
          <w:szCs w:val="16"/>
        </w:rPr>
        <w:t>, p. 1.</w:t>
      </w:r>
    </w:p>
  </w:footnote>
  <w:footnote w:id="35">
    <w:p w14:paraId="0839196F" w14:textId="1924C056"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lang w:val="en-US"/>
        </w:rPr>
        <w:t xml:space="preserve"> PremierLeague.com, </w:t>
      </w:r>
      <w:hyperlink r:id="rId33" w:history="1">
        <w:r w:rsidRPr="00D207CB">
          <w:rPr>
            <w:rStyle w:val="Hyperlink"/>
            <w:sz w:val="16"/>
            <w:szCs w:val="16"/>
          </w:rPr>
          <w:t>Amazon become a Premier League partner for the first time ahead of the 2019/20 season</w:t>
        </w:r>
      </w:hyperlink>
      <w:r w:rsidRPr="00D207CB">
        <w:rPr>
          <w:sz w:val="16"/>
          <w:szCs w:val="16"/>
        </w:rPr>
        <w:t xml:space="preserve"> </w:t>
      </w:r>
    </w:p>
  </w:footnote>
  <w:footnote w:id="36">
    <w:p w14:paraId="11915CF1" w14:textId="20A039BC"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 xml:space="preserve">Sweney, M. (13 May 2021), </w:t>
      </w:r>
      <w:hyperlink r:id="rId34" w:history="1">
        <w:r w:rsidRPr="00D207CB">
          <w:rPr>
            <w:rStyle w:val="Hyperlink"/>
            <w:sz w:val="16"/>
            <w:szCs w:val="16"/>
            <w:lang w:val="en-US"/>
          </w:rPr>
          <w:t xml:space="preserve">Premier League renews </w:t>
        </w:r>
        <w:r w:rsidRPr="00D207CB">
          <w:rPr>
            <w:rStyle w:val="Hyperlink"/>
            <w:rFonts w:cstheme="minorHAnsi"/>
            <w:sz w:val="16"/>
            <w:szCs w:val="16"/>
            <w:lang w:val="en-US"/>
          </w:rPr>
          <w:t>£</w:t>
        </w:r>
        <w:r w:rsidRPr="00D207CB">
          <w:rPr>
            <w:rStyle w:val="Hyperlink"/>
            <w:sz w:val="16"/>
            <w:szCs w:val="16"/>
            <w:lang w:val="en-US"/>
          </w:rPr>
          <w:t xml:space="preserve">4.8bn TV deal with extra </w:t>
        </w:r>
        <w:r w:rsidRPr="00D207CB">
          <w:rPr>
            <w:rStyle w:val="Hyperlink"/>
            <w:rFonts w:cstheme="minorHAnsi"/>
            <w:sz w:val="16"/>
            <w:szCs w:val="16"/>
            <w:lang w:val="en-US"/>
          </w:rPr>
          <w:t>£</w:t>
        </w:r>
        <w:r w:rsidRPr="00D207CB">
          <w:rPr>
            <w:rStyle w:val="Hyperlink"/>
            <w:sz w:val="16"/>
            <w:szCs w:val="16"/>
            <w:lang w:val="en-US"/>
          </w:rPr>
          <w:t>100m trickle-down funds</w:t>
        </w:r>
      </w:hyperlink>
      <w:r w:rsidRPr="00D207CB">
        <w:rPr>
          <w:sz w:val="16"/>
          <w:szCs w:val="16"/>
          <w:lang w:val="en-US"/>
        </w:rPr>
        <w:t>, The Guardian</w:t>
      </w:r>
      <w:r w:rsidRPr="00D207CB">
        <w:rPr>
          <w:sz w:val="16"/>
          <w:szCs w:val="16"/>
        </w:rPr>
        <w:t>.</w:t>
      </w:r>
    </w:p>
  </w:footnote>
  <w:footnote w:id="37">
    <w:p w14:paraId="10A74413" w14:textId="3DD3A02A"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Cunningham, E. (31 March 2023), </w:t>
      </w:r>
      <w:hyperlink r:id="rId35" w:history="1">
        <w:r w:rsidRPr="00D207CB">
          <w:rPr>
            <w:rStyle w:val="Hyperlink"/>
            <w:sz w:val="16"/>
            <w:szCs w:val="16"/>
          </w:rPr>
          <w:t>France TV and Amazon extend domestic Roland Garros rights until 2027</w:t>
        </w:r>
      </w:hyperlink>
      <w:r w:rsidRPr="00D207CB">
        <w:rPr>
          <w:sz w:val="16"/>
          <w:szCs w:val="16"/>
        </w:rPr>
        <w:t>, Sportcal.</w:t>
      </w:r>
    </w:p>
  </w:footnote>
  <w:footnote w:id="38">
    <w:p w14:paraId="7BEB3B0E" w14:textId="7AB42DF1"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 xml:space="preserve">Pollina, E. (27 March 2021), </w:t>
      </w:r>
      <w:hyperlink r:id="rId36" w:history="1">
        <w:r w:rsidRPr="00D207CB">
          <w:rPr>
            <w:rStyle w:val="Hyperlink"/>
            <w:sz w:val="16"/>
            <w:szCs w:val="16"/>
            <w:lang w:val="en-US"/>
          </w:rPr>
          <w:t>DAZN grabs broadcast rights for Serie A in Italy</w:t>
        </w:r>
      </w:hyperlink>
      <w:r w:rsidRPr="00D207CB">
        <w:rPr>
          <w:sz w:val="16"/>
          <w:szCs w:val="16"/>
          <w:lang w:val="en-US"/>
        </w:rPr>
        <w:t>, Reuters</w:t>
      </w:r>
      <w:r w:rsidRPr="00D207CB">
        <w:rPr>
          <w:sz w:val="16"/>
          <w:szCs w:val="16"/>
        </w:rPr>
        <w:t>.</w:t>
      </w:r>
    </w:p>
  </w:footnote>
  <w:footnote w:id="39">
    <w:p w14:paraId="27E957E0" w14:textId="6D5369B7"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Belson, K. and Draper, K. (18 March 2021), </w:t>
      </w:r>
      <w:hyperlink r:id="rId37" w:anchor=":~:text=The%20N.F.L.,value%20of%20its%20previous%20contracts." w:history="1">
        <w:r w:rsidRPr="00D207CB">
          <w:rPr>
            <w:rStyle w:val="Hyperlink"/>
            <w:sz w:val="16"/>
            <w:szCs w:val="16"/>
          </w:rPr>
          <w:t>N.F.L. Signs Media Deals Worth Over $100 Billion</w:t>
        </w:r>
      </w:hyperlink>
      <w:r w:rsidRPr="00D207CB">
        <w:rPr>
          <w:sz w:val="16"/>
          <w:szCs w:val="16"/>
        </w:rPr>
        <w:t>, The New York Times. Note: under the contract arrangement, matches will be broadcast on over-the-air stations in the cities of the participating teams.</w:t>
      </w:r>
    </w:p>
  </w:footnote>
  <w:footnote w:id="40">
    <w:p w14:paraId="3DDCE6F8" w14:textId="340B725D"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Palmer, A. (20 September 2022), </w:t>
      </w:r>
      <w:hyperlink r:id="rId38" w:history="1">
        <w:r w:rsidRPr="00D207CB">
          <w:rPr>
            <w:rStyle w:val="Hyperlink"/>
            <w:sz w:val="16"/>
            <w:szCs w:val="16"/>
          </w:rPr>
          <w:t>Amazon memo says ‘Thursday Night Football’ drew record number of Prime signups for a 3-hour period</w:t>
        </w:r>
      </w:hyperlink>
      <w:r w:rsidRPr="00D207CB">
        <w:rPr>
          <w:sz w:val="16"/>
          <w:szCs w:val="16"/>
        </w:rPr>
        <w:t>, CNBC.</w:t>
      </w:r>
    </w:p>
  </w:footnote>
  <w:footnote w:id="41">
    <w:p w14:paraId="5E959394" w14:textId="362F2E61"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w:t>
      </w:r>
      <w:bookmarkStart w:id="56" w:name="_Hlk150766225"/>
      <w:r w:rsidRPr="00D207CB">
        <w:rPr>
          <w:sz w:val="16"/>
          <w:szCs w:val="16"/>
        </w:rPr>
        <w:t xml:space="preserve">Departmental analysis of data available through: World Bank (2016) </w:t>
      </w:r>
      <w:hyperlink r:id="rId39" w:history="1">
        <w:r w:rsidRPr="00D207CB">
          <w:rPr>
            <w:rStyle w:val="Hyperlink"/>
            <w:sz w:val="16"/>
            <w:szCs w:val="16"/>
          </w:rPr>
          <w:t>Digital Adoption Index</w:t>
        </w:r>
      </w:hyperlink>
      <w:r w:rsidRPr="00D207CB">
        <w:rPr>
          <w:sz w:val="16"/>
          <w:szCs w:val="16"/>
        </w:rPr>
        <w:t>.</w:t>
      </w:r>
      <w:bookmarkEnd w:id="56"/>
    </w:p>
  </w:footnote>
  <w:footnote w:id="42">
    <w:p w14:paraId="2B4B8CA7" w14:textId="4B131BD9"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Oviedo-Trespalacios, Nandavar S, Newton JDA, Demant D, Phillips JG (2019), </w:t>
      </w:r>
      <w:hyperlink r:id="rId40" w:history="1">
        <w:r w:rsidRPr="00D207CB">
          <w:rPr>
            <w:rStyle w:val="Hyperlink"/>
            <w:sz w:val="16"/>
            <w:szCs w:val="16"/>
          </w:rPr>
          <w:t>Problematic Use of Mobile Phones in Australia…Is It Getting Worse?</w:t>
        </w:r>
      </w:hyperlink>
      <w:r w:rsidRPr="00D207CB">
        <w:rPr>
          <w:sz w:val="16"/>
          <w:szCs w:val="16"/>
        </w:rPr>
        <w:t>.</w:t>
      </w:r>
    </w:p>
  </w:footnote>
  <w:footnote w:id="43">
    <w:p w14:paraId="0C5FAE20" w14:textId="37204127" w:rsidR="00AE7EFC" w:rsidRPr="00D207CB" w:rsidRDefault="00AE7EFC" w:rsidP="00D207CB">
      <w:pPr>
        <w:pStyle w:val="FootnoteText"/>
        <w:ind w:left="0" w:firstLine="0"/>
        <w:mirrorIndents/>
        <w:rPr>
          <w:rFonts w:cstheme="minorHAnsi"/>
          <w:sz w:val="16"/>
          <w:szCs w:val="16"/>
          <w:lang w:val="en-US"/>
        </w:rPr>
      </w:pPr>
      <w:r w:rsidRPr="00D207CB">
        <w:rPr>
          <w:rStyle w:val="FootnoteReference"/>
          <w:sz w:val="16"/>
          <w:szCs w:val="16"/>
        </w:rPr>
        <w:footnoteRef/>
      </w:r>
      <w:r w:rsidRPr="00D207CB">
        <w:rPr>
          <w:sz w:val="16"/>
          <w:szCs w:val="16"/>
        </w:rPr>
        <w:t xml:space="preserve"> Grand View Research, </w:t>
      </w:r>
      <w:hyperlink r:id="rId41" w:history="1">
        <w:r w:rsidRPr="00D207CB">
          <w:rPr>
            <w:rStyle w:val="Hyperlink"/>
            <w:sz w:val="16"/>
            <w:szCs w:val="16"/>
          </w:rPr>
          <w:t>Video Streaming Market Size, Share &amp; Growth Report, 2030</w:t>
        </w:r>
      </w:hyperlink>
      <w:r w:rsidRPr="00D207CB">
        <w:rPr>
          <w:sz w:val="16"/>
          <w:szCs w:val="16"/>
        </w:rPr>
        <w:t>.</w:t>
      </w:r>
    </w:p>
  </w:footnote>
  <w:footnote w:id="44">
    <w:p w14:paraId="216FEA61" w14:textId="1936167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UK Government (29 March 2023)</w:t>
      </w:r>
      <w:r>
        <w:rPr>
          <w:sz w:val="16"/>
          <w:szCs w:val="16"/>
        </w:rPr>
        <w:t>,</w:t>
      </w:r>
      <w:r w:rsidRPr="00D207CB">
        <w:rPr>
          <w:sz w:val="16"/>
          <w:szCs w:val="16"/>
        </w:rPr>
        <w:t xml:space="preserve"> </w:t>
      </w:r>
      <w:hyperlink r:id="rId42" w:history="1">
        <w:r w:rsidRPr="00D207CB">
          <w:rPr>
            <w:rStyle w:val="Hyperlink"/>
            <w:sz w:val="16"/>
            <w:szCs w:val="16"/>
          </w:rPr>
          <w:t>Media Bill impact assessment</w:t>
        </w:r>
      </w:hyperlink>
      <w:r w:rsidRPr="00D207CB">
        <w:rPr>
          <w:sz w:val="16"/>
          <w:szCs w:val="16"/>
        </w:rPr>
        <w:t xml:space="preserve">, pp. </w:t>
      </w:r>
      <w:r>
        <w:rPr>
          <w:sz w:val="16"/>
          <w:szCs w:val="16"/>
        </w:rPr>
        <w:t xml:space="preserve">9-10, </w:t>
      </w:r>
      <w:r w:rsidRPr="00D207CB">
        <w:rPr>
          <w:sz w:val="16"/>
          <w:szCs w:val="16"/>
        </w:rPr>
        <w:t>20-21.</w:t>
      </w:r>
    </w:p>
  </w:footnote>
  <w:footnote w:id="45">
    <w:p w14:paraId="5D7F5318" w14:textId="4EA7F07E"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European Union, </w:t>
      </w:r>
      <w:hyperlink r:id="rId43" w:history="1">
        <w:r w:rsidRPr="00D207CB">
          <w:rPr>
            <w:rStyle w:val="Hyperlink"/>
            <w:sz w:val="16"/>
            <w:szCs w:val="16"/>
          </w:rPr>
          <w:t>Audiovisual Media Services Directive</w:t>
        </w:r>
      </w:hyperlink>
      <w:r w:rsidRPr="00D207CB">
        <w:rPr>
          <w:sz w:val="16"/>
          <w:szCs w:val="16"/>
        </w:rPr>
        <w:t>, Article 14.</w:t>
      </w:r>
    </w:p>
  </w:footnote>
  <w:footnote w:id="46">
    <w:p w14:paraId="1F4A3342" w14:textId="302BE061"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sidRPr="00423DDF">
        <w:rPr>
          <w:sz w:val="16"/>
          <w:szCs w:val="16"/>
        </w:rPr>
        <w:t xml:space="preserve">Kayo Sports, </w:t>
      </w:r>
      <w:hyperlink r:id="rId44" w:history="1">
        <w:r>
          <w:rPr>
            <w:rStyle w:val="Hyperlink"/>
            <w:sz w:val="16"/>
            <w:szCs w:val="16"/>
          </w:rPr>
          <w:t>How much does a Kayo subscription cost?</w:t>
        </w:r>
      </w:hyperlink>
    </w:p>
  </w:footnote>
  <w:footnote w:id="47">
    <w:p w14:paraId="5E33D172" w14:textId="3CFD51D1" w:rsidR="00AE7EFC" w:rsidRPr="00D207CB" w:rsidRDefault="00AE7EFC" w:rsidP="00F21A0D">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Pr>
          <w:sz w:val="16"/>
          <w:szCs w:val="16"/>
        </w:rPr>
        <w:t xml:space="preserve">Optus Sport, </w:t>
      </w:r>
      <w:hyperlink r:id="rId45" w:history="1">
        <w:r w:rsidRPr="00D207CB">
          <w:rPr>
            <w:rStyle w:val="Hyperlink"/>
            <w:sz w:val="16"/>
            <w:szCs w:val="16"/>
          </w:rPr>
          <w:t>Sign-Up for a Free Optus Sport Account</w:t>
        </w:r>
      </w:hyperlink>
    </w:p>
  </w:footnote>
  <w:footnote w:id="48">
    <w:p w14:paraId="3794010A" w14:textId="34BAEACE"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sidRPr="00D207CB">
        <w:rPr>
          <w:rFonts w:eastAsia="Times New Roman" w:cs="Calibri"/>
          <w:color w:val="000000"/>
          <w:sz w:val="16"/>
          <w:szCs w:val="16"/>
          <w:lang w:val="x-none"/>
        </w:rPr>
        <w:t>Deloitte</w:t>
      </w:r>
      <w:r w:rsidRPr="00D207CB">
        <w:rPr>
          <w:rFonts w:eastAsia="Times New Roman" w:cs="Calibri"/>
          <w:color w:val="000000"/>
          <w:sz w:val="16"/>
          <w:szCs w:val="16"/>
        </w:rPr>
        <w:t xml:space="preserve"> (2022)</w:t>
      </w:r>
      <w:r w:rsidRPr="00D207CB">
        <w:rPr>
          <w:rFonts w:eastAsia="Times New Roman" w:cs="Calibri"/>
          <w:color w:val="000000"/>
          <w:sz w:val="16"/>
          <w:szCs w:val="16"/>
          <w:lang w:val="x-none"/>
        </w:rPr>
        <w:t xml:space="preserve">, </w:t>
      </w:r>
      <w:hyperlink r:id="rId46" w:history="1">
        <w:r w:rsidRPr="00D207CB">
          <w:rPr>
            <w:rStyle w:val="HyperlinkCab1"/>
            <w:rFonts w:eastAsia="Times New Roman" w:cs="Calibri"/>
            <w:sz w:val="16"/>
            <w:szCs w:val="16"/>
            <w:lang w:val="x-none"/>
          </w:rPr>
          <w:t>Media Consumer Survey 2022</w:t>
        </w:r>
      </w:hyperlink>
      <w:r w:rsidRPr="00D207CB">
        <w:rPr>
          <w:rFonts w:eastAsia="Times New Roman" w:cs="Calibri"/>
          <w:color w:val="000000"/>
          <w:sz w:val="16"/>
          <w:szCs w:val="16"/>
        </w:rPr>
        <w:t>, p. 9.</w:t>
      </w:r>
    </w:p>
  </w:footnote>
  <w:footnote w:id="49">
    <w:p w14:paraId="43F8B007" w14:textId="01CEB67C"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Australian Digital Inclusion Index: </w:t>
      </w:r>
      <w:hyperlink r:id="rId47" w:history="1">
        <w:r w:rsidRPr="00D207CB">
          <w:rPr>
            <w:rStyle w:val="HyperlinkCab1"/>
            <w:sz w:val="16"/>
            <w:szCs w:val="16"/>
          </w:rPr>
          <w:t>Affordability</w:t>
        </w:r>
      </w:hyperlink>
      <w:r w:rsidRPr="00D207CB">
        <w:rPr>
          <w:sz w:val="16"/>
          <w:szCs w:val="16"/>
        </w:rPr>
        <w:t>.</w:t>
      </w:r>
    </w:p>
  </w:footnote>
  <w:footnote w:id="50">
    <w:p w14:paraId="3685DCC0" w14:textId="77777777" w:rsidR="00AE7EFC" w:rsidRPr="00D207CB" w:rsidRDefault="00AE7EFC" w:rsidP="00D207CB">
      <w:pPr>
        <w:pStyle w:val="FootnoteText"/>
        <w:ind w:left="0" w:firstLine="0"/>
        <w:mirrorIndents/>
        <w:rPr>
          <w:rFonts w:cs="Calibri"/>
          <w:sz w:val="16"/>
          <w:szCs w:val="16"/>
        </w:rPr>
      </w:pPr>
      <w:r w:rsidRPr="00D207CB">
        <w:rPr>
          <w:rStyle w:val="FootnoteReference"/>
          <w:sz w:val="16"/>
          <w:szCs w:val="16"/>
        </w:rPr>
        <w:footnoteRef/>
      </w:r>
      <w:r w:rsidRPr="00D207CB">
        <w:rPr>
          <w:sz w:val="16"/>
          <w:szCs w:val="16"/>
        </w:rPr>
        <w:t xml:space="preserve"> Ibid.</w:t>
      </w:r>
    </w:p>
  </w:footnote>
  <w:footnote w:id="51">
    <w:p w14:paraId="48729448" w14:textId="723B57C2"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ACMA (December 2022), </w:t>
      </w:r>
      <w:hyperlink r:id="rId48" w:history="1">
        <w:r w:rsidRPr="00D207CB">
          <w:rPr>
            <w:rStyle w:val="HyperlinkCab1"/>
            <w:sz w:val="16"/>
            <w:szCs w:val="16"/>
          </w:rPr>
          <w:t>Communications and media in Australia: How we use the internet</w:t>
        </w:r>
      </w:hyperlink>
      <w:r w:rsidRPr="00D207CB">
        <w:rPr>
          <w:sz w:val="16"/>
          <w:szCs w:val="16"/>
        </w:rPr>
        <w:t>, p. 3.</w:t>
      </w:r>
    </w:p>
  </w:footnote>
  <w:footnote w:id="52">
    <w:p w14:paraId="6EAF6286" w14:textId="69A2ADD4"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ACMA (December 2022), </w:t>
      </w:r>
      <w:hyperlink r:id="rId49" w:history="1">
        <w:r w:rsidRPr="00D207CB">
          <w:rPr>
            <w:rStyle w:val="HyperlinkCab1"/>
            <w:sz w:val="16"/>
            <w:szCs w:val="16"/>
          </w:rPr>
          <w:t>Communications and media in Australia: How we use the internet – data file</w:t>
        </w:r>
      </w:hyperlink>
      <w:r w:rsidRPr="00D207CB">
        <w:rPr>
          <w:sz w:val="16"/>
          <w:szCs w:val="16"/>
        </w:rPr>
        <w:t>.</w:t>
      </w:r>
    </w:p>
  </w:footnote>
  <w:footnote w:id="53">
    <w:p w14:paraId="59639CC0"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w:t>
      </w:r>
    </w:p>
  </w:footnote>
  <w:footnote w:id="54">
    <w:p w14:paraId="5D814525"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w:t>
      </w:r>
    </w:p>
  </w:footnote>
  <w:footnote w:id="55">
    <w:p w14:paraId="43467CA6" w14:textId="20F394A1"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Australian Digital Inclusion Index, </w:t>
      </w:r>
      <w:hyperlink r:id="rId50" w:history="1">
        <w:r w:rsidRPr="00D207CB">
          <w:rPr>
            <w:rStyle w:val="HyperlinkCab1"/>
            <w:sz w:val="16"/>
            <w:szCs w:val="16"/>
          </w:rPr>
          <w:t>Key findings and next steps - Australian Digital Inclusion Index</w:t>
        </w:r>
      </w:hyperlink>
      <w:r w:rsidRPr="00D207CB">
        <w:rPr>
          <w:sz w:val="16"/>
          <w:szCs w:val="16"/>
        </w:rPr>
        <w:t>.</w:t>
      </w:r>
    </w:p>
  </w:footnote>
  <w:footnote w:id="56">
    <w:p w14:paraId="6D8BDED6" w14:textId="16ECE837" w:rsidR="00AE7EFC" w:rsidRPr="00D207CB" w:rsidRDefault="00AE7EFC" w:rsidP="00423DDF">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Free TV Australia (2023), </w:t>
      </w:r>
      <w:hyperlink r:id="rId51" w:history="1">
        <w:r w:rsidRPr="00D207CB">
          <w:rPr>
            <w:rStyle w:val="Hyperlink"/>
            <w:sz w:val="16"/>
            <w:szCs w:val="16"/>
          </w:rPr>
          <w:t>Review of the anti-siphoning scheme: Response to the Proposals Paper</w:t>
        </w:r>
      </w:hyperlink>
      <w:r w:rsidRPr="00D207CB">
        <w:rPr>
          <w:sz w:val="16"/>
          <w:szCs w:val="16"/>
        </w:rPr>
        <w:t>, p. 10 notes that sport is critical for the sustainability of the wholly advertiser funded services provided by Free TV members.</w:t>
      </w:r>
    </w:p>
  </w:footnote>
  <w:footnote w:id="57">
    <w:p w14:paraId="13661D6F" w14:textId="2CC825AF" w:rsidR="00AE7EFC" w:rsidRPr="00D207CB" w:rsidRDefault="00AE7EFC" w:rsidP="00423DDF">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 p.3</w:t>
      </w:r>
    </w:p>
  </w:footnote>
  <w:footnote w:id="58">
    <w:p w14:paraId="67612A3C" w14:textId="19F0FDD5"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Pr>
          <w:color w:val="auto"/>
          <w:sz w:val="16"/>
          <w:szCs w:val="16"/>
          <w:lang w:val="en-US"/>
        </w:rPr>
        <w:t>DITRDCA</w:t>
      </w:r>
      <w:r w:rsidRPr="00D207CB">
        <w:rPr>
          <w:color w:val="auto"/>
          <w:sz w:val="16"/>
          <w:szCs w:val="16"/>
          <w:lang w:val="en-US"/>
        </w:rPr>
        <w:t xml:space="preserve"> (2023)</w:t>
      </w:r>
      <w:r>
        <w:rPr>
          <w:color w:val="auto"/>
          <w:sz w:val="16"/>
          <w:szCs w:val="16"/>
          <w:lang w:val="en-US"/>
        </w:rPr>
        <w:t>,</w:t>
      </w:r>
      <w:r w:rsidRPr="00D207CB">
        <w:rPr>
          <w:color w:val="auto"/>
          <w:sz w:val="16"/>
          <w:szCs w:val="16"/>
          <w:lang w:val="en-US"/>
        </w:rPr>
        <w:t xml:space="preserve"> </w:t>
      </w:r>
      <w:hyperlink r:id="rId52" w:history="1">
        <w:r w:rsidRPr="00D207CB">
          <w:rPr>
            <w:rStyle w:val="Hyperlink"/>
            <w:sz w:val="16"/>
            <w:szCs w:val="16"/>
          </w:rPr>
          <w:t>Anti-siphoning Review - Proposals Paper</w:t>
        </w:r>
      </w:hyperlink>
      <w:r w:rsidRPr="00D207CB">
        <w:rPr>
          <w:sz w:val="16"/>
          <w:szCs w:val="16"/>
        </w:rPr>
        <w:t>, p. 22.</w:t>
      </w:r>
    </w:p>
  </w:footnote>
  <w:footnote w:id="59">
    <w:p w14:paraId="283DCB4F" w14:textId="308AF8BE" w:rsidR="00AE7EFC" w:rsidRPr="00D207CB" w:rsidRDefault="00AE7EFC" w:rsidP="00D207CB">
      <w:pPr>
        <w:pStyle w:val="FootnoteText"/>
        <w:ind w:left="0" w:firstLine="0"/>
        <w:mirrorIndents/>
        <w:rPr>
          <w:rFonts w:cstheme="minorHAnsi"/>
          <w:sz w:val="16"/>
          <w:szCs w:val="16"/>
          <w:lang w:val="en-US"/>
        </w:rPr>
      </w:pPr>
      <w:r w:rsidRPr="00D207CB">
        <w:rPr>
          <w:rStyle w:val="FootnoteReference"/>
          <w:rFonts w:cstheme="minorHAnsi"/>
          <w:sz w:val="16"/>
          <w:szCs w:val="16"/>
        </w:rPr>
        <w:footnoteRef/>
      </w:r>
      <w:r w:rsidRPr="00D207CB">
        <w:rPr>
          <w:rFonts w:cstheme="minorHAnsi"/>
          <w:sz w:val="16"/>
          <w:szCs w:val="16"/>
        </w:rPr>
        <w:t xml:space="preserve"> </w:t>
      </w:r>
      <w:r w:rsidRPr="00D207CB">
        <w:rPr>
          <w:sz w:val="16"/>
          <w:szCs w:val="16"/>
          <w:lang w:val="en-US"/>
        </w:rPr>
        <w:t xml:space="preserve">Fox Sports (7 March 2022), </w:t>
      </w:r>
      <w:hyperlink r:id="rId53" w:history="1">
        <w:r w:rsidRPr="00D207CB">
          <w:rPr>
            <w:rStyle w:val="Hyperlink"/>
            <w:sz w:val="16"/>
            <w:szCs w:val="16"/>
            <w:lang w:val="en-US"/>
          </w:rPr>
          <w:t>Huge growth of Aussie love for women’s sport revealed in new research</w:t>
        </w:r>
      </w:hyperlink>
      <w:r w:rsidRPr="00D207CB">
        <w:rPr>
          <w:sz w:val="16"/>
          <w:szCs w:val="16"/>
          <w:lang w:val="en-US"/>
        </w:rPr>
        <w:t>.</w:t>
      </w:r>
    </w:p>
  </w:footnote>
  <w:footnote w:id="60">
    <w:p w14:paraId="2D75426D" w14:textId="74721C01"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Pr>
          <w:color w:val="auto"/>
          <w:sz w:val="16"/>
          <w:szCs w:val="16"/>
          <w:lang w:val="en-US"/>
        </w:rPr>
        <w:t>DITRDCA</w:t>
      </w:r>
      <w:r w:rsidRPr="00D207CB">
        <w:rPr>
          <w:color w:val="auto"/>
          <w:sz w:val="16"/>
          <w:szCs w:val="16"/>
          <w:lang w:val="en-US"/>
        </w:rPr>
        <w:t xml:space="preserve"> </w:t>
      </w:r>
      <w:r w:rsidRPr="00D207CB">
        <w:rPr>
          <w:sz w:val="16"/>
          <w:szCs w:val="16"/>
        </w:rPr>
        <w:t>(14 September 2023)</w:t>
      </w:r>
      <w:r>
        <w:rPr>
          <w:sz w:val="16"/>
          <w:szCs w:val="16"/>
        </w:rPr>
        <w:t>,</w:t>
      </w:r>
      <w:r w:rsidRPr="00D207CB">
        <w:rPr>
          <w:sz w:val="16"/>
          <w:szCs w:val="16"/>
        </w:rPr>
        <w:t xml:space="preserve"> </w:t>
      </w:r>
      <w:hyperlink r:id="rId54" w:history="1">
        <w:r w:rsidRPr="00D207CB">
          <w:rPr>
            <w:rStyle w:val="Hyperlink"/>
            <w:sz w:val="16"/>
            <w:szCs w:val="16"/>
          </w:rPr>
          <w:t>Matildas FIFA World Cup matches added to anti-siphoning list</w:t>
        </w:r>
      </w:hyperlink>
      <w:r w:rsidRPr="00D207CB">
        <w:rPr>
          <w:sz w:val="16"/>
          <w:szCs w:val="16"/>
        </w:rPr>
        <w:t xml:space="preserve"> Media Release</w:t>
      </w:r>
      <w:r>
        <w:rPr>
          <w:sz w:val="16"/>
          <w:szCs w:val="16"/>
        </w:rPr>
        <w:t>.</w:t>
      </w:r>
    </w:p>
  </w:footnote>
  <w:footnote w:id="61">
    <w:p w14:paraId="63AB2976" w14:textId="56051AD3"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AFL (2022), </w:t>
      </w:r>
      <w:hyperlink r:id="rId55" w:history="1">
        <w:r w:rsidRPr="00D207CB">
          <w:rPr>
            <w:rStyle w:val="Hyperlink"/>
            <w:sz w:val="16"/>
            <w:szCs w:val="16"/>
          </w:rPr>
          <w:t>Seven years, $4.5b: AFL reveals HUGE new broadcast rights deal</w:t>
        </w:r>
      </w:hyperlink>
      <w:r w:rsidRPr="00D207CB">
        <w:rPr>
          <w:sz w:val="16"/>
          <w:szCs w:val="16"/>
        </w:rPr>
        <w:t>.</w:t>
      </w:r>
    </w:p>
  </w:footnote>
  <w:footnote w:id="62">
    <w:p w14:paraId="3862804A" w14:textId="47E8F9D8"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Hislop M (28 April 2023), </w:t>
      </w:r>
      <w:hyperlink r:id="rId56" w:history="1">
        <w:r w:rsidRPr="00D207CB">
          <w:rPr>
            <w:rStyle w:val="Hyperlink"/>
            <w:sz w:val="16"/>
            <w:szCs w:val="16"/>
          </w:rPr>
          <w:t>NRLW set for biggest season yet with expansion and new broadcast deal</w:t>
        </w:r>
      </w:hyperlink>
      <w:r w:rsidRPr="00D207CB">
        <w:rPr>
          <w:sz w:val="16"/>
          <w:szCs w:val="16"/>
        </w:rPr>
        <w:t xml:space="preserve">, Women’s Agenda; See for example: NRL (2023), </w:t>
      </w:r>
      <w:hyperlink r:id="rId57" w:history="1">
        <w:r w:rsidRPr="00D207CB">
          <w:rPr>
            <w:rStyle w:val="Hyperlink"/>
            <w:sz w:val="16"/>
            <w:szCs w:val="16"/>
          </w:rPr>
          <w:t>NRLW 2023: When, where to watch Round 1 games</w:t>
        </w:r>
      </w:hyperlink>
      <w:r w:rsidRPr="00D207CB">
        <w:rPr>
          <w:sz w:val="16"/>
          <w:szCs w:val="16"/>
        </w:rPr>
        <w:t>.</w:t>
      </w:r>
    </w:p>
  </w:footnote>
  <w:footnote w:id="63">
    <w:p w14:paraId="088CF2B3" w14:textId="4FC59F85" w:rsidR="00AE7EFC" w:rsidRPr="00D207CB" w:rsidRDefault="00AE7EFC" w:rsidP="001E4DEA">
      <w:pPr>
        <w:pStyle w:val="FootnoteText"/>
        <w:mirrorIndents/>
        <w:rPr>
          <w:sz w:val="16"/>
          <w:szCs w:val="16"/>
          <w:lang w:val="en-US"/>
        </w:rPr>
      </w:pPr>
      <w:r w:rsidRPr="00D207CB">
        <w:rPr>
          <w:rStyle w:val="FootnoteReference"/>
          <w:sz w:val="16"/>
          <w:szCs w:val="16"/>
        </w:rPr>
        <w:footnoteRef/>
      </w:r>
      <w:r w:rsidRPr="00D207CB">
        <w:rPr>
          <w:sz w:val="16"/>
          <w:szCs w:val="16"/>
        </w:rPr>
        <w:t xml:space="preserve"> Paralympics Australia (3 July 2023), </w:t>
      </w:r>
      <w:hyperlink r:id="rId58" w:history="1">
        <w:r w:rsidRPr="00D207CB">
          <w:rPr>
            <w:rStyle w:val="Hyperlink"/>
            <w:sz w:val="16"/>
            <w:szCs w:val="16"/>
          </w:rPr>
          <w:t>Live Coverage To Feature Stars Of World Para-Athletics</w:t>
        </w:r>
      </w:hyperlink>
      <w:r w:rsidRPr="00D207CB">
        <w:rPr>
          <w:sz w:val="16"/>
          <w:szCs w:val="16"/>
        </w:rPr>
        <w:t>.</w:t>
      </w:r>
    </w:p>
  </w:footnote>
  <w:footnote w:id="64">
    <w:p w14:paraId="22478230" w14:textId="6B85992A" w:rsidR="00AE7EFC" w:rsidRPr="00D207CB" w:rsidRDefault="00AE7EFC" w:rsidP="001E4DEA">
      <w:pPr>
        <w:pStyle w:val="FootnoteText"/>
        <w:mirrorIndents/>
        <w:rPr>
          <w:rFonts w:cstheme="minorHAnsi"/>
          <w:sz w:val="16"/>
          <w:szCs w:val="16"/>
          <w:lang w:val="en-US"/>
        </w:rPr>
      </w:pPr>
      <w:r w:rsidRPr="00D207CB">
        <w:rPr>
          <w:rStyle w:val="FootnoteReference"/>
          <w:sz w:val="16"/>
          <w:szCs w:val="16"/>
        </w:rPr>
        <w:footnoteRef/>
      </w:r>
      <w:r w:rsidRPr="00D207CB">
        <w:rPr>
          <w:sz w:val="16"/>
          <w:szCs w:val="16"/>
        </w:rPr>
        <w:t xml:space="preserve"> Paralympics Australia (23 May 2023), </w:t>
      </w:r>
      <w:hyperlink r:id="rId59" w:history="1">
        <w:r w:rsidRPr="00D207CB">
          <w:rPr>
            <w:rStyle w:val="Hyperlink"/>
            <w:sz w:val="16"/>
            <w:szCs w:val="16"/>
          </w:rPr>
          <w:t>Paralympics Australia Secures Landmark Paris 2024 Media Rights Deal</w:t>
        </w:r>
      </w:hyperlink>
      <w:r w:rsidRPr="00D207CB">
        <w:rPr>
          <w:sz w:val="16"/>
          <w:szCs w:val="16"/>
        </w:rPr>
        <w:t>.</w:t>
      </w:r>
    </w:p>
  </w:footnote>
  <w:footnote w:id="65">
    <w:p w14:paraId="59342C13" w14:textId="01B2B0EA"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Paralympics Australia (24 August 2022), </w:t>
      </w:r>
      <w:hyperlink r:id="rId60" w:history="1">
        <w:r w:rsidRPr="00D207CB">
          <w:rPr>
            <w:rStyle w:val="Hyperlink"/>
            <w:sz w:val="16"/>
            <w:szCs w:val="16"/>
          </w:rPr>
          <w:t>One Year Since Tokyo, Analysis Shows A Resounding Success</w:t>
        </w:r>
      </w:hyperlink>
      <w:r w:rsidRPr="00D207CB">
        <w:rPr>
          <w:sz w:val="16"/>
          <w:szCs w:val="16"/>
        </w:rPr>
        <w:t>.</w:t>
      </w:r>
    </w:p>
  </w:footnote>
  <w:footnote w:id="66">
    <w:p w14:paraId="418BAE84" w14:textId="3F39A93F"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Paralympics Australia (25 November 2021), </w:t>
      </w:r>
      <w:hyperlink r:id="rId61" w:history="1">
        <w:r w:rsidRPr="00D207CB">
          <w:rPr>
            <w:rStyle w:val="Hyperlink"/>
            <w:sz w:val="16"/>
            <w:szCs w:val="16"/>
          </w:rPr>
          <w:t>Report Finds Australian Paralympic Team Among Nation’s Most Popular</w:t>
        </w:r>
      </w:hyperlink>
      <w:r w:rsidRPr="00D207CB">
        <w:rPr>
          <w:sz w:val="16"/>
          <w:szCs w:val="16"/>
        </w:rPr>
        <w:t>.</w:t>
      </w:r>
    </w:p>
  </w:footnote>
  <w:footnote w:id="67">
    <w:p w14:paraId="10A2028D" w14:textId="11755AAF" w:rsidR="00AE7EFC" w:rsidRPr="00D207CB" w:rsidRDefault="00AE7EFC" w:rsidP="00D207CB">
      <w:pPr>
        <w:pStyle w:val="FootnoteText"/>
        <w:ind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Subsection 3(1) of the BSA contains 17 objects of the act. A limited selection of these are presented here, as they are most relevant to the anti-siphoning scheme and list.</w:t>
      </w:r>
    </w:p>
  </w:footnote>
  <w:footnote w:id="68">
    <w:p w14:paraId="31120640" w14:textId="221E9E1F"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hyperlink r:id="rId62" w:history="1">
        <w:r w:rsidRPr="00D207CB">
          <w:rPr>
            <w:rStyle w:val="Hyperlink"/>
            <w:sz w:val="16"/>
            <w:szCs w:val="16"/>
          </w:rPr>
          <w:t>Explanatory Memorandum to Broadcasting Services Bill 1992</w:t>
        </w:r>
      </w:hyperlink>
      <w:r w:rsidRPr="00D207CB">
        <w:rPr>
          <w:sz w:val="16"/>
          <w:szCs w:val="16"/>
        </w:rPr>
        <w:t>, p. 67.</w:t>
      </w:r>
    </w:p>
  </w:footnote>
  <w:footnote w:id="69">
    <w:p w14:paraId="6D82A51A" w14:textId="45D0ABCC"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All references in this IA to ‘content service providers’ includes all online, broadcast and other media services.</w:t>
      </w:r>
    </w:p>
  </w:footnote>
  <w:footnote w:id="70">
    <w:p w14:paraId="732E5AF0" w14:textId="58A956C3" w:rsidR="00AE7EFC" w:rsidRPr="00D207CB" w:rsidRDefault="00AE7EFC" w:rsidP="00D207CB">
      <w:pPr>
        <w:pStyle w:val="FootnoteText"/>
        <w:ind w:left="0" w:firstLine="0"/>
        <w:mirrorIndents/>
        <w:rPr>
          <w:rFonts w:cstheme="minorHAnsi"/>
          <w:sz w:val="16"/>
          <w:szCs w:val="16"/>
        </w:rPr>
      </w:pPr>
      <w:r w:rsidRPr="00D207CB">
        <w:rPr>
          <w:rStyle w:val="FootnoteReference"/>
          <w:rFonts w:cstheme="minorHAnsi"/>
          <w:sz w:val="16"/>
          <w:szCs w:val="16"/>
        </w:rPr>
        <w:footnoteRef/>
      </w:r>
      <w:r w:rsidRPr="00D207CB">
        <w:rPr>
          <w:rFonts w:cstheme="minorHAnsi"/>
          <w:sz w:val="16"/>
          <w:szCs w:val="16"/>
        </w:rPr>
        <w:t xml:space="preserve"> Foxtel Group (2023)</w:t>
      </w:r>
      <w:r>
        <w:rPr>
          <w:rFonts w:cstheme="minorHAnsi"/>
          <w:sz w:val="16"/>
          <w:szCs w:val="16"/>
        </w:rPr>
        <w:t>,</w:t>
      </w:r>
      <w:r w:rsidRPr="00D207CB">
        <w:rPr>
          <w:rFonts w:cstheme="minorHAnsi"/>
          <w:sz w:val="16"/>
          <w:szCs w:val="16"/>
        </w:rPr>
        <w:t xml:space="preserve"> </w:t>
      </w:r>
      <w:hyperlink r:id="rId63" w:history="1">
        <w:r w:rsidRPr="00D207CB">
          <w:rPr>
            <w:rStyle w:val="Hyperlink"/>
            <w:rFonts w:cstheme="minorHAnsi"/>
            <w:sz w:val="16"/>
            <w:szCs w:val="16"/>
          </w:rPr>
          <w:t>Submission in response to the review of the anti-siphoning scheme – Proposals Paper</w:t>
        </w:r>
      </w:hyperlink>
      <w:r w:rsidRPr="00D207CB">
        <w:rPr>
          <w:rFonts w:cstheme="minorHAnsi"/>
          <w:sz w:val="16"/>
          <w:szCs w:val="16"/>
        </w:rPr>
        <w:t xml:space="preserve">, p. 10. </w:t>
      </w:r>
    </w:p>
  </w:footnote>
  <w:footnote w:id="71">
    <w:p w14:paraId="548ADC73"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Estimates in this row are indicative only and adopt the caveats and assumptions as the above estimate of the number events on the current list.</w:t>
      </w:r>
    </w:p>
  </w:footnote>
  <w:footnote w:id="72">
    <w:p w14:paraId="5607E5BC" w14:textId="69443BE2" w:rsidR="00AE7EFC" w:rsidRPr="00D207CB" w:rsidRDefault="00AE7EFC" w:rsidP="00D207CB">
      <w:pPr>
        <w:pStyle w:val="FootnoteText"/>
        <w:ind w:left="0" w:firstLine="0"/>
        <w:mirrorIndents/>
        <w:rPr>
          <w:rFonts w:cstheme="minorHAnsi"/>
          <w:sz w:val="16"/>
          <w:szCs w:val="16"/>
        </w:rPr>
      </w:pPr>
      <w:r w:rsidRPr="00D207CB">
        <w:rPr>
          <w:rStyle w:val="FootnoteReference"/>
          <w:rFonts w:cstheme="minorHAnsi"/>
          <w:sz w:val="16"/>
          <w:szCs w:val="16"/>
        </w:rPr>
        <w:footnoteRef/>
      </w:r>
      <w:r w:rsidRPr="00D207CB">
        <w:rPr>
          <w:rFonts w:cstheme="minorHAnsi"/>
          <w:sz w:val="16"/>
          <w:szCs w:val="16"/>
        </w:rPr>
        <w:t xml:space="preserve"> The live and in full coverage requirement in Model 1 necessitates a truncated listing of certain events.</w:t>
      </w:r>
    </w:p>
  </w:footnote>
  <w:footnote w:id="73">
    <w:p w14:paraId="52A9173C" w14:textId="2E9BB05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Productivity Commission</w:t>
      </w:r>
      <w:r>
        <w:rPr>
          <w:sz w:val="16"/>
          <w:szCs w:val="16"/>
        </w:rPr>
        <w:t xml:space="preserve"> (3 March 2000)</w:t>
      </w:r>
      <w:r w:rsidRPr="00D207CB">
        <w:rPr>
          <w:sz w:val="16"/>
          <w:szCs w:val="16"/>
        </w:rPr>
        <w:t xml:space="preserve">, </w:t>
      </w:r>
      <w:hyperlink r:id="rId64" w:history="1">
        <w:r w:rsidRPr="00D207CB">
          <w:rPr>
            <w:rStyle w:val="Hyperlink"/>
            <w:sz w:val="16"/>
            <w:szCs w:val="16"/>
          </w:rPr>
          <w:t>Broadcasting Inquiry Report</w:t>
        </w:r>
      </w:hyperlink>
      <w:r w:rsidRPr="00D207CB">
        <w:rPr>
          <w:sz w:val="16"/>
          <w:szCs w:val="16"/>
        </w:rPr>
        <w:t>, p. 444.</w:t>
      </w:r>
    </w:p>
  </w:footnote>
  <w:footnote w:id="74">
    <w:p w14:paraId="3BED3748"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 p. 434–35.</w:t>
      </w:r>
    </w:p>
  </w:footnote>
  <w:footnote w:id="75">
    <w:p w14:paraId="0B864401" w14:textId="24401778"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bookmarkStart w:id="128" w:name="_Hlk150120909"/>
      <w:r w:rsidRPr="00D207CB">
        <w:rPr>
          <w:sz w:val="16"/>
          <w:szCs w:val="16"/>
        </w:rPr>
        <w:t xml:space="preserve">Productivity Commission (15 September 2009), </w:t>
      </w:r>
      <w:hyperlink r:id="rId65" w:history="1">
        <w:r w:rsidRPr="00D207CB">
          <w:rPr>
            <w:rStyle w:val="Hyperlink"/>
            <w:sz w:val="16"/>
            <w:szCs w:val="16"/>
          </w:rPr>
          <w:t>Annual review of regulatory burdens on business: social and economic infrastructure services, Research Report</w:t>
        </w:r>
      </w:hyperlink>
      <w:r w:rsidRPr="00D207CB">
        <w:rPr>
          <w:sz w:val="16"/>
          <w:szCs w:val="16"/>
        </w:rPr>
        <w:t xml:space="preserve">, p. 157-164. </w:t>
      </w:r>
      <w:bookmarkEnd w:id="128"/>
    </w:p>
  </w:footnote>
  <w:footnote w:id="76">
    <w:p w14:paraId="5E158F78" w14:textId="49D1298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Independent Sports Panel (2009), </w:t>
      </w:r>
      <w:hyperlink r:id="rId66" w:history="1">
        <w:r w:rsidRPr="00D207CB">
          <w:rPr>
            <w:rStyle w:val="Hyperlink"/>
            <w:sz w:val="16"/>
            <w:szCs w:val="16"/>
          </w:rPr>
          <w:t>The future of sport in Australia, (the Crawford Report)</w:t>
        </w:r>
      </w:hyperlink>
      <w:r w:rsidRPr="00D207CB">
        <w:rPr>
          <w:sz w:val="16"/>
          <w:szCs w:val="16"/>
        </w:rPr>
        <w:t xml:space="preserve">, Commonwealth of Australia, p. 136. </w:t>
      </w:r>
    </w:p>
  </w:footnote>
  <w:footnote w:id="77">
    <w:p w14:paraId="020DD4CC" w14:textId="6E44ABEF"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UK Government, (29 March 2023) </w:t>
      </w:r>
      <w:hyperlink r:id="rId67" w:history="1">
        <w:r w:rsidRPr="00D207CB">
          <w:rPr>
            <w:rStyle w:val="Hyperlink"/>
            <w:sz w:val="16"/>
            <w:szCs w:val="16"/>
          </w:rPr>
          <w:t>Media Bill impact assessment</w:t>
        </w:r>
      </w:hyperlink>
      <w:r w:rsidRPr="00D207CB">
        <w:rPr>
          <w:sz w:val="16"/>
          <w:szCs w:val="16"/>
        </w:rPr>
        <w:t>, p. 1, 21-22.</w:t>
      </w:r>
    </w:p>
  </w:footnote>
  <w:footnote w:id="78">
    <w:p w14:paraId="4B1E177E" w14:textId="2C721BEE" w:rsidR="00AE7EFC" w:rsidRPr="00D207CB" w:rsidRDefault="00AE7EFC" w:rsidP="00ED3ADA">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James Manning</w:t>
      </w:r>
      <w:r>
        <w:rPr>
          <w:sz w:val="16"/>
          <w:szCs w:val="16"/>
        </w:rPr>
        <w:t xml:space="preserve"> (</w:t>
      </w:r>
      <w:r w:rsidRPr="00D207CB">
        <w:rPr>
          <w:sz w:val="16"/>
          <w:szCs w:val="16"/>
        </w:rPr>
        <w:t>14 August 2023</w:t>
      </w:r>
      <w:r>
        <w:rPr>
          <w:sz w:val="16"/>
          <w:szCs w:val="16"/>
        </w:rPr>
        <w:t>)</w:t>
      </w:r>
      <w:r w:rsidRPr="00D207CB">
        <w:rPr>
          <w:sz w:val="16"/>
          <w:szCs w:val="16"/>
        </w:rPr>
        <w:t xml:space="preserve">, </w:t>
      </w:r>
      <w:hyperlink r:id="rId68" w:history="1">
        <w:r w:rsidRPr="00D207CB">
          <w:rPr>
            <w:rStyle w:val="Hyperlink"/>
            <w:sz w:val="16"/>
            <w:szCs w:val="16"/>
          </w:rPr>
          <w:t>Seven’s best buy Women’s World Cup: Matildas made it a bargain</w:t>
        </w:r>
      </w:hyperlink>
      <w:r w:rsidRPr="00D207CB">
        <w:rPr>
          <w:sz w:val="16"/>
          <w:szCs w:val="16"/>
        </w:rPr>
        <w:t>.</w:t>
      </w:r>
    </w:p>
  </w:footnote>
  <w:footnote w:id="79">
    <w:p w14:paraId="24D40C12" w14:textId="578FAE43"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AFL (2022), </w:t>
      </w:r>
      <w:hyperlink r:id="rId69" w:history="1">
        <w:r w:rsidRPr="00D207CB">
          <w:rPr>
            <w:rStyle w:val="Hyperlink"/>
            <w:sz w:val="16"/>
            <w:szCs w:val="16"/>
          </w:rPr>
          <w:t>Seven years, $4.5b: AFL reveals HUGE new broadcast rights deal</w:t>
        </w:r>
      </w:hyperlink>
      <w:r w:rsidRPr="00D207CB">
        <w:rPr>
          <w:sz w:val="16"/>
          <w:szCs w:val="16"/>
        </w:rPr>
        <w:t>.</w:t>
      </w:r>
    </w:p>
  </w:footnote>
  <w:footnote w:id="80">
    <w:p w14:paraId="2EBC43B8" w14:textId="38F1A56F"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w:t>
      </w:r>
      <w:r>
        <w:rPr>
          <w:color w:val="auto"/>
          <w:sz w:val="16"/>
          <w:szCs w:val="16"/>
          <w:lang w:val="en-US"/>
        </w:rPr>
        <w:t>DITRDCA</w:t>
      </w:r>
      <w:r w:rsidRPr="00D207CB">
        <w:rPr>
          <w:color w:val="auto"/>
          <w:sz w:val="16"/>
          <w:szCs w:val="16"/>
          <w:lang w:val="en-US"/>
        </w:rPr>
        <w:t xml:space="preserve"> (2022), </w:t>
      </w:r>
      <w:hyperlink r:id="rId70" w:history="1">
        <w:r w:rsidRPr="00D207CB">
          <w:rPr>
            <w:rStyle w:val="Hyperlink"/>
            <w:sz w:val="16"/>
            <w:szCs w:val="16"/>
            <w:lang w:val="en-US"/>
          </w:rPr>
          <w:t>Review of the anti-siphoning scheme: Consultation paper</w:t>
        </w:r>
      </w:hyperlink>
      <w:r w:rsidRPr="00D207CB">
        <w:rPr>
          <w:sz w:val="16"/>
          <w:szCs w:val="16"/>
        </w:rPr>
        <w:t>, p. 52.</w:t>
      </w:r>
    </w:p>
  </w:footnote>
  <w:footnote w:id="81">
    <w:p w14:paraId="00075C5E" w14:textId="6B34994A"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Seven West Media (21 August 2023), </w:t>
      </w:r>
      <w:hyperlink r:id="rId71" w:history="1">
        <w:r w:rsidRPr="00D207CB">
          <w:rPr>
            <w:rStyle w:val="Hyperlink"/>
            <w:sz w:val="16"/>
            <w:szCs w:val="16"/>
          </w:rPr>
          <w:t>Media release, FIFA Women’s World Cup 2023™ draws 18.6m</w:t>
        </w:r>
      </w:hyperlink>
      <w:r>
        <w:rPr>
          <w:rStyle w:val="Hyperlink"/>
          <w:sz w:val="16"/>
          <w:szCs w:val="16"/>
        </w:rPr>
        <w:t>.</w:t>
      </w:r>
    </w:p>
  </w:footnote>
  <w:footnote w:id="82">
    <w:p w14:paraId="6CF7F719" w14:textId="5BE99DC6"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Calum Jaspan (13 August 2023), </w:t>
      </w:r>
      <w:hyperlink r:id="rId72" w:history="1">
        <w:r w:rsidRPr="00D207CB">
          <w:rPr>
            <w:rStyle w:val="Hyperlink"/>
            <w:sz w:val="16"/>
            <w:szCs w:val="16"/>
          </w:rPr>
          <w:t>FIFA looks to cash in on Matildas’ success as 2026 men’s rights battle kicks off</w:t>
        </w:r>
      </w:hyperlink>
      <w:r w:rsidRPr="00D207CB">
        <w:rPr>
          <w:sz w:val="16"/>
          <w:szCs w:val="16"/>
        </w:rPr>
        <w:t>, Sydney Morning Herald</w:t>
      </w:r>
      <w:r>
        <w:rPr>
          <w:sz w:val="16"/>
          <w:szCs w:val="16"/>
        </w:rPr>
        <w:t>.</w:t>
      </w:r>
    </w:p>
  </w:footnote>
  <w:footnote w:id="83">
    <w:p w14:paraId="61C48FDC" w14:textId="2C56925E"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Golf Australia (24 May 2023), </w:t>
      </w:r>
      <w:hyperlink r:id="rId73" w:history="1">
        <w:r w:rsidRPr="00D207CB">
          <w:rPr>
            <w:rStyle w:val="Hyperlink"/>
            <w:sz w:val="16"/>
            <w:szCs w:val="16"/>
          </w:rPr>
          <w:t>The golf boom continues in Australia</w:t>
        </w:r>
      </w:hyperlink>
      <w:r>
        <w:rPr>
          <w:rStyle w:val="Hyperlink"/>
          <w:sz w:val="16"/>
          <w:szCs w:val="16"/>
        </w:rPr>
        <w:t>.</w:t>
      </w:r>
    </w:p>
  </w:footnote>
  <w:footnote w:id="84">
    <w:p w14:paraId="718DE4C0" w14:textId="2521274B"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hyperlink r:id="rId74" w:history="1">
        <w:r w:rsidRPr="00D207CB">
          <w:rPr>
            <w:rStyle w:val="Hyperlink"/>
            <w:sz w:val="16"/>
            <w:szCs w:val="16"/>
          </w:rPr>
          <w:t>Explanatory Memorandum to the Broadcasting Legislation Amendment (Broadcasting Reform) Bill 2017</w:t>
        </w:r>
      </w:hyperlink>
      <w:r w:rsidRPr="00D207CB">
        <w:rPr>
          <w:sz w:val="16"/>
          <w:szCs w:val="16"/>
        </w:rPr>
        <w:t>, pp. 71-72</w:t>
      </w:r>
    </w:p>
  </w:footnote>
  <w:footnote w:id="85">
    <w:p w14:paraId="15AAB95D" w14:textId="28545C3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Free TV Australia (2023)</w:t>
      </w:r>
      <w:r>
        <w:rPr>
          <w:sz w:val="16"/>
          <w:szCs w:val="16"/>
        </w:rPr>
        <w:t>,</w:t>
      </w:r>
      <w:r w:rsidRPr="00D207CB">
        <w:rPr>
          <w:sz w:val="16"/>
          <w:szCs w:val="16"/>
        </w:rPr>
        <w:t xml:space="preserve"> </w:t>
      </w:r>
      <w:hyperlink r:id="rId75" w:history="1">
        <w:r w:rsidRPr="00D207CB">
          <w:rPr>
            <w:rStyle w:val="Hyperlink"/>
            <w:sz w:val="16"/>
            <w:szCs w:val="16"/>
          </w:rPr>
          <w:t>Submission to the anti-siphoning scheme proposals paper</w:t>
        </w:r>
      </w:hyperlink>
      <w:r w:rsidRPr="00D207CB">
        <w:rPr>
          <w:sz w:val="16"/>
          <w:szCs w:val="16"/>
        </w:rPr>
        <w:t>, p. 13.</w:t>
      </w:r>
    </w:p>
  </w:footnote>
  <w:footnote w:id="86">
    <w:p w14:paraId="4536D479" w14:textId="3FEC092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Productivity Commission (15 September 2009), </w:t>
      </w:r>
      <w:hyperlink r:id="rId76" w:history="1">
        <w:r w:rsidRPr="00D207CB">
          <w:rPr>
            <w:rStyle w:val="Hyperlink"/>
            <w:sz w:val="16"/>
            <w:szCs w:val="16"/>
          </w:rPr>
          <w:t>Annual review of regulatory burdens on business: social and economic infrastructure services, Research Report</w:t>
        </w:r>
      </w:hyperlink>
      <w:r w:rsidRPr="00D207CB">
        <w:rPr>
          <w:sz w:val="16"/>
          <w:szCs w:val="16"/>
        </w:rPr>
        <w:t>, p.160.</w:t>
      </w:r>
    </w:p>
  </w:footnote>
  <w:footnote w:id="87">
    <w:p w14:paraId="2575FAD8" w14:textId="576DF003"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Foxtel Group (2023)</w:t>
      </w:r>
      <w:r>
        <w:rPr>
          <w:sz w:val="16"/>
          <w:szCs w:val="16"/>
        </w:rPr>
        <w:t>,</w:t>
      </w:r>
      <w:r w:rsidRPr="00D207CB">
        <w:rPr>
          <w:sz w:val="16"/>
          <w:szCs w:val="16"/>
        </w:rPr>
        <w:t xml:space="preserve"> </w:t>
      </w:r>
      <w:hyperlink r:id="rId77" w:history="1">
        <w:r w:rsidRPr="00D207CB">
          <w:rPr>
            <w:rStyle w:val="Hyperlink"/>
            <w:sz w:val="16"/>
            <w:szCs w:val="16"/>
          </w:rPr>
          <w:t>Submission to the anti-siphoning scheme proposals paper</w:t>
        </w:r>
      </w:hyperlink>
      <w:r w:rsidRPr="00D207CB">
        <w:rPr>
          <w:sz w:val="16"/>
          <w:szCs w:val="16"/>
        </w:rPr>
        <w:t>, p. 2</w:t>
      </w:r>
      <w:r>
        <w:rPr>
          <w:sz w:val="16"/>
          <w:szCs w:val="16"/>
        </w:rPr>
        <w:t>;</w:t>
      </w:r>
      <w:r w:rsidRPr="00D207CB">
        <w:rPr>
          <w:sz w:val="16"/>
          <w:szCs w:val="16"/>
        </w:rPr>
        <w:t xml:space="preserve"> Optus (2023) </w:t>
      </w:r>
      <w:hyperlink r:id="rId78" w:history="1">
        <w:r w:rsidRPr="00D207CB">
          <w:rPr>
            <w:rStyle w:val="Hyperlink"/>
            <w:sz w:val="16"/>
            <w:szCs w:val="16"/>
          </w:rPr>
          <w:t>Submission to the anti-siphoning scheme proposals paper</w:t>
        </w:r>
      </w:hyperlink>
      <w:r w:rsidRPr="00D207CB">
        <w:rPr>
          <w:sz w:val="16"/>
          <w:szCs w:val="16"/>
        </w:rPr>
        <w:t>, p. 8.</w:t>
      </w:r>
    </w:p>
  </w:footnote>
  <w:footnote w:id="88">
    <w:p w14:paraId="42ECA8B9" w14:textId="4D2552B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Kayo (2023)</w:t>
      </w:r>
      <w:r>
        <w:rPr>
          <w:sz w:val="16"/>
          <w:szCs w:val="16"/>
        </w:rPr>
        <w:t>,</w:t>
      </w:r>
      <w:r w:rsidRPr="00D207CB">
        <w:rPr>
          <w:sz w:val="16"/>
          <w:szCs w:val="16"/>
        </w:rPr>
        <w:t xml:space="preserve"> </w:t>
      </w:r>
      <w:hyperlink r:id="rId79" w:history="1">
        <w:r w:rsidRPr="00D207CB">
          <w:rPr>
            <w:rStyle w:val="Hyperlink"/>
            <w:sz w:val="16"/>
            <w:szCs w:val="16"/>
          </w:rPr>
          <w:t>What is Kayo Freebies?</w:t>
        </w:r>
      </w:hyperlink>
      <w:r>
        <w:rPr>
          <w:rStyle w:val="Hyperlink"/>
          <w:sz w:val="16"/>
          <w:szCs w:val="16"/>
        </w:rPr>
        <w:t>.</w:t>
      </w:r>
    </w:p>
  </w:footnote>
  <w:footnote w:id="89">
    <w:p w14:paraId="0C11A64A" w14:textId="2BE31F88"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Optus Sport (2023)</w:t>
      </w:r>
      <w:r>
        <w:rPr>
          <w:sz w:val="16"/>
          <w:szCs w:val="16"/>
        </w:rPr>
        <w:t>,</w:t>
      </w:r>
      <w:r w:rsidRPr="00D207CB">
        <w:rPr>
          <w:sz w:val="16"/>
          <w:szCs w:val="16"/>
        </w:rPr>
        <w:t xml:space="preserve"> </w:t>
      </w:r>
      <w:hyperlink r:id="rId80" w:history="1">
        <w:r w:rsidRPr="00D207CB">
          <w:rPr>
            <w:rStyle w:val="Hyperlink"/>
            <w:sz w:val="16"/>
            <w:szCs w:val="16"/>
          </w:rPr>
          <w:t>How to watch the FIFA Women's World Cup 2023™ live in Australia on Optus Sport</w:t>
        </w:r>
      </w:hyperlink>
      <w:r>
        <w:rPr>
          <w:rStyle w:val="Hyperlink"/>
          <w:sz w:val="16"/>
          <w:szCs w:val="16"/>
        </w:rPr>
        <w:t>.</w:t>
      </w:r>
    </w:p>
  </w:footnote>
  <w:footnote w:id="90">
    <w:p w14:paraId="2A57A2A5" w14:textId="23D63178"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Foxtel Group, </w:t>
      </w:r>
      <w:hyperlink r:id="rId81" w:history="1">
        <w:r w:rsidRPr="00D207CB">
          <w:rPr>
            <w:rStyle w:val="Hyperlink"/>
            <w:sz w:val="16"/>
            <w:szCs w:val="16"/>
          </w:rPr>
          <w:t>Submission to the anti-siphoning scheme proposals paper</w:t>
        </w:r>
      </w:hyperlink>
      <w:r w:rsidRPr="00D207CB">
        <w:rPr>
          <w:sz w:val="16"/>
          <w:szCs w:val="16"/>
        </w:rPr>
        <w:t>, p. 2</w:t>
      </w:r>
      <w:r>
        <w:rPr>
          <w:sz w:val="16"/>
          <w:szCs w:val="16"/>
        </w:rPr>
        <w:t>;</w:t>
      </w:r>
      <w:r w:rsidRPr="00D207CB">
        <w:rPr>
          <w:sz w:val="16"/>
          <w:szCs w:val="16"/>
        </w:rPr>
        <w:t xml:space="preserve"> Optus (2023) </w:t>
      </w:r>
      <w:hyperlink r:id="rId82" w:history="1">
        <w:r w:rsidRPr="00D207CB">
          <w:rPr>
            <w:rStyle w:val="Hyperlink"/>
            <w:sz w:val="16"/>
            <w:szCs w:val="16"/>
          </w:rPr>
          <w:t>Submission to the anti-siphoning scheme proposals paper</w:t>
        </w:r>
      </w:hyperlink>
      <w:r w:rsidRPr="00D207CB">
        <w:rPr>
          <w:sz w:val="16"/>
          <w:szCs w:val="16"/>
        </w:rPr>
        <w:t>, p. 8.</w:t>
      </w:r>
    </w:p>
  </w:footnote>
  <w:footnote w:id="91">
    <w:p w14:paraId="4CA27DEA" w14:textId="433D7135" w:rsidR="00AE7EFC" w:rsidRPr="00D207CB" w:rsidRDefault="00AE7EFC" w:rsidP="00647DCD">
      <w:pPr>
        <w:pStyle w:val="FootnoteText"/>
        <w:mirrorIndents/>
        <w:rPr>
          <w:sz w:val="16"/>
          <w:szCs w:val="16"/>
        </w:rPr>
      </w:pPr>
      <w:r w:rsidRPr="00D207CB">
        <w:rPr>
          <w:rStyle w:val="FootnoteReference"/>
          <w:sz w:val="16"/>
          <w:szCs w:val="16"/>
        </w:rPr>
        <w:footnoteRef/>
      </w:r>
      <w:r w:rsidRPr="00D207CB">
        <w:rPr>
          <w:sz w:val="16"/>
          <w:szCs w:val="16"/>
        </w:rPr>
        <w:t xml:space="preserve"> Coalition of Major Professional and Participation Sports (2023)</w:t>
      </w:r>
      <w:r>
        <w:rPr>
          <w:sz w:val="16"/>
          <w:szCs w:val="16"/>
        </w:rPr>
        <w:t>,</w:t>
      </w:r>
      <w:r w:rsidRPr="00D207CB">
        <w:rPr>
          <w:sz w:val="16"/>
          <w:szCs w:val="16"/>
        </w:rPr>
        <w:t xml:space="preserve"> </w:t>
      </w:r>
      <w:hyperlink r:id="rId83" w:history="1">
        <w:r w:rsidRPr="00D207CB">
          <w:rPr>
            <w:rStyle w:val="Hyperlink"/>
            <w:sz w:val="16"/>
            <w:szCs w:val="16"/>
          </w:rPr>
          <w:t>Submission to the anti-siphoning scheme proposals paper</w:t>
        </w:r>
      </w:hyperlink>
      <w:r w:rsidRPr="00D207CB">
        <w:rPr>
          <w:sz w:val="16"/>
          <w:szCs w:val="16"/>
        </w:rPr>
        <w:t>, p. 2-3.</w:t>
      </w:r>
    </w:p>
  </w:footnote>
  <w:footnote w:id="92">
    <w:p w14:paraId="3BCA8365" w14:textId="471C3A21"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Pr>
          <w:color w:val="auto"/>
          <w:sz w:val="16"/>
          <w:szCs w:val="16"/>
          <w:lang w:val="en-US"/>
        </w:rPr>
        <w:t>DITRDCA</w:t>
      </w:r>
      <w:hyperlink r:id="rId84" w:history="1">
        <w:r w:rsidRPr="00D207CB">
          <w:rPr>
            <w:sz w:val="16"/>
            <w:szCs w:val="16"/>
          </w:rPr>
          <w:t xml:space="preserve"> (2020), </w:t>
        </w:r>
      </w:hyperlink>
      <w:hyperlink r:id="rId85" w:history="1">
        <w:r w:rsidRPr="00D207CB">
          <w:rPr>
            <w:rStyle w:val="Hyperlink"/>
            <w:sz w:val="16"/>
            <w:szCs w:val="16"/>
          </w:rPr>
          <w:t>International comparison of fixed broadband performance – coverage and minimum speeds</w:t>
        </w:r>
      </w:hyperlink>
      <w:r w:rsidRPr="00D207CB">
        <w:rPr>
          <w:sz w:val="16"/>
          <w:szCs w:val="16"/>
        </w:rPr>
        <w:t>, p. 1.</w:t>
      </w:r>
      <w:r>
        <w:rPr>
          <w:sz w:val="16"/>
          <w:szCs w:val="16"/>
        </w:rPr>
        <w:t xml:space="preserve"> </w:t>
      </w:r>
      <w:r>
        <w:rPr>
          <w:color w:val="auto"/>
          <w:sz w:val="16"/>
          <w:szCs w:val="16"/>
          <w:lang w:val="en-US"/>
        </w:rPr>
        <w:t>DITRDCA (2020),</w:t>
      </w:r>
      <w:r w:rsidRPr="00D207CB">
        <w:rPr>
          <w:sz w:val="16"/>
          <w:szCs w:val="16"/>
        </w:rPr>
        <w:t xml:space="preserve"> </w:t>
      </w:r>
      <w:hyperlink r:id="rId86" w:history="1">
        <w:r w:rsidRPr="00D207CB">
          <w:rPr>
            <w:rStyle w:val="Hyperlink"/>
            <w:sz w:val="16"/>
            <w:szCs w:val="16"/>
          </w:rPr>
          <w:t>International comparison of fixed broadband performance – coverage and minimum speeds</w:t>
        </w:r>
      </w:hyperlink>
      <w:r w:rsidRPr="00D207CB">
        <w:rPr>
          <w:sz w:val="16"/>
          <w:szCs w:val="16"/>
        </w:rPr>
        <w:t>.</w:t>
      </w:r>
    </w:p>
  </w:footnote>
  <w:footnote w:id="93">
    <w:p w14:paraId="631F81D8" w14:textId="17B5287C"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Telstra, </w:t>
      </w:r>
      <w:hyperlink r:id="rId87" w:history="1">
        <w:r w:rsidRPr="00D207CB">
          <w:rPr>
            <w:rStyle w:val="Hyperlink"/>
            <w:sz w:val="16"/>
            <w:szCs w:val="16"/>
          </w:rPr>
          <w:t>Our Network</w:t>
        </w:r>
      </w:hyperlink>
    </w:p>
  </w:footnote>
  <w:footnote w:id="94">
    <w:p w14:paraId="4AC53899" w14:textId="1BDEE834"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Telstra, </w:t>
      </w:r>
      <w:hyperlink r:id="rId88" w:history="1">
        <w:r w:rsidRPr="00D207CB">
          <w:rPr>
            <w:rStyle w:val="Hyperlink"/>
            <w:sz w:val="16"/>
            <w:szCs w:val="16"/>
          </w:rPr>
          <w:t>Australia's Largest 5G Network</w:t>
        </w:r>
      </w:hyperlink>
      <w:r w:rsidRPr="00D207CB">
        <w:rPr>
          <w:sz w:val="16"/>
          <w:szCs w:val="16"/>
        </w:rPr>
        <w:t>.</w:t>
      </w:r>
    </w:p>
  </w:footnote>
  <w:footnote w:id="95">
    <w:p w14:paraId="0B192C76" w14:textId="517ECD7C"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Optus, </w:t>
      </w:r>
      <w:hyperlink r:id="rId89" w:history="1">
        <w:r w:rsidRPr="00D207CB">
          <w:rPr>
            <w:rStyle w:val="Hyperlink"/>
            <w:sz w:val="16"/>
            <w:szCs w:val="16"/>
          </w:rPr>
          <w:t>Prepaid Mobile</w:t>
        </w:r>
      </w:hyperlink>
      <w:r w:rsidRPr="00D207CB">
        <w:rPr>
          <w:sz w:val="16"/>
          <w:szCs w:val="16"/>
        </w:rPr>
        <w:t>.</w:t>
      </w:r>
    </w:p>
  </w:footnote>
  <w:footnote w:id="96">
    <w:p w14:paraId="5FCB6D67" w14:textId="089DE98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Vodafone Australia (15 February 2023), </w:t>
      </w:r>
      <w:hyperlink r:id="rId90" w:history="1">
        <w:r w:rsidRPr="00D207CB">
          <w:rPr>
            <w:rStyle w:val="Hyperlink"/>
            <w:sz w:val="16"/>
            <w:szCs w:val="16"/>
          </w:rPr>
          <w:t>Vodafone sets a new 5G high-speed score at the SCG</w:t>
        </w:r>
      </w:hyperlink>
      <w:r w:rsidRPr="00D207CB">
        <w:rPr>
          <w:sz w:val="16"/>
          <w:szCs w:val="16"/>
        </w:rPr>
        <w:t>.</w:t>
      </w:r>
    </w:p>
  </w:footnote>
  <w:footnote w:id="97">
    <w:p w14:paraId="1A30EDA6" w14:textId="2D14FE4B" w:rsidR="00AE7EFC" w:rsidRPr="00D207CB" w:rsidRDefault="00AE7EFC" w:rsidP="00D207CB">
      <w:pPr>
        <w:pStyle w:val="FootnoteText"/>
        <w:ind w:left="0" w:firstLine="0"/>
        <w:mirrorIndents/>
        <w:rPr>
          <w:i/>
          <w:sz w:val="16"/>
          <w:szCs w:val="16"/>
        </w:rPr>
      </w:pPr>
      <w:r w:rsidRPr="00D207CB">
        <w:rPr>
          <w:rStyle w:val="FootnoteReference"/>
          <w:sz w:val="16"/>
          <w:szCs w:val="16"/>
        </w:rPr>
        <w:footnoteRef/>
      </w:r>
      <w:r w:rsidRPr="00D207CB">
        <w:rPr>
          <w:sz w:val="16"/>
          <w:szCs w:val="16"/>
        </w:rPr>
        <w:t xml:space="preserve"> ACMA (2020)</w:t>
      </w:r>
      <w:r w:rsidRPr="00D207CB">
        <w:rPr>
          <w:i/>
          <w:sz w:val="16"/>
          <w:szCs w:val="16"/>
        </w:rPr>
        <w:t xml:space="preserve">, </w:t>
      </w:r>
      <w:hyperlink r:id="rId91" w:history="1">
        <w:r w:rsidRPr="00D207CB">
          <w:rPr>
            <w:rStyle w:val="Hyperlink"/>
            <w:sz w:val="16"/>
            <w:szCs w:val="16"/>
          </w:rPr>
          <w:t>Mobile-only Australia: living without a fixed line at home | ACMA</w:t>
        </w:r>
      </w:hyperlink>
      <w:r w:rsidRPr="00D207CB">
        <w:rPr>
          <w:sz w:val="16"/>
          <w:szCs w:val="16"/>
        </w:rPr>
        <w:t>.</w:t>
      </w:r>
    </w:p>
  </w:footnote>
  <w:footnote w:id="98">
    <w:p w14:paraId="6219BBFD" w14:textId="196C4EB4"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Australian Digital Inclusion Index, </w:t>
      </w:r>
      <w:hyperlink r:id="rId92" w:history="1">
        <w:r w:rsidRPr="00D207CB">
          <w:rPr>
            <w:rStyle w:val="Hyperlink"/>
            <w:sz w:val="16"/>
            <w:szCs w:val="16"/>
          </w:rPr>
          <w:t>Key findings and next steps - Australian Digital Inclusion Index</w:t>
        </w:r>
      </w:hyperlink>
      <w:r w:rsidRPr="00D207CB">
        <w:rPr>
          <w:sz w:val="16"/>
          <w:szCs w:val="16"/>
        </w:rPr>
        <w:t>.</w:t>
      </w:r>
    </w:p>
  </w:footnote>
  <w:footnote w:id="99">
    <w:p w14:paraId="104DCC14" w14:textId="6B13FF7E"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ACMA (December 2022), </w:t>
      </w:r>
      <w:hyperlink r:id="rId93" w:history="1">
        <w:r w:rsidRPr="00D207CB">
          <w:rPr>
            <w:rStyle w:val="Hyperlink"/>
            <w:sz w:val="16"/>
            <w:szCs w:val="16"/>
          </w:rPr>
          <w:t>Communications and media in Australia: How we use the internet</w:t>
        </w:r>
      </w:hyperlink>
      <w:r w:rsidRPr="00D207CB">
        <w:rPr>
          <w:sz w:val="16"/>
          <w:szCs w:val="16"/>
        </w:rPr>
        <w:t>, p. 3.</w:t>
      </w:r>
    </w:p>
  </w:footnote>
  <w:footnote w:id="100">
    <w:p w14:paraId="6CDABE82" w14:textId="61209CFE"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ACCC (June 2023), </w:t>
      </w:r>
      <w:hyperlink r:id="rId94" w:history="1">
        <w:r w:rsidRPr="00D207CB">
          <w:rPr>
            <w:rStyle w:val="Hyperlink"/>
            <w:sz w:val="16"/>
            <w:szCs w:val="16"/>
          </w:rPr>
          <w:t>Internet activity report – For the period ending 31 December 2022</w:t>
        </w:r>
      </w:hyperlink>
      <w:r w:rsidRPr="00D207CB">
        <w:rPr>
          <w:sz w:val="16"/>
          <w:szCs w:val="16"/>
        </w:rPr>
        <w:t xml:space="preserve">, p 8. It is unclear how many of these services included broadband, p. 7. </w:t>
      </w:r>
    </w:p>
  </w:footnote>
  <w:footnote w:id="101">
    <w:p w14:paraId="360574AB" w14:textId="13EFC65D"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sidRPr="00D207CB" w:rsidDel="007C7B13">
        <w:rPr>
          <w:sz w:val="16"/>
          <w:szCs w:val="16"/>
        </w:rPr>
        <w:t xml:space="preserve">ACCC (June 2023), </w:t>
      </w:r>
      <w:hyperlink r:id="rId95" w:history="1">
        <w:r w:rsidRPr="00D207CB" w:rsidDel="007C7B13">
          <w:rPr>
            <w:rStyle w:val="Hyperlink"/>
            <w:sz w:val="16"/>
            <w:szCs w:val="16"/>
          </w:rPr>
          <w:t>Internet activity report – For the period ending 31 December 2022</w:t>
        </w:r>
      </w:hyperlink>
      <w:r w:rsidRPr="00D207CB" w:rsidDel="007C7B13">
        <w:rPr>
          <w:sz w:val="16"/>
          <w:szCs w:val="16"/>
        </w:rPr>
        <w:t>,</w:t>
      </w:r>
      <w:r w:rsidRPr="00D207CB">
        <w:rPr>
          <w:sz w:val="16"/>
          <w:szCs w:val="16"/>
        </w:rPr>
        <w:t xml:space="preserve"> p. 8.</w:t>
      </w:r>
    </w:p>
  </w:footnote>
  <w:footnote w:id="102">
    <w:p w14:paraId="0A599DE4" w14:textId="45EA162C"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ACMA (December 2022), </w:t>
      </w:r>
      <w:hyperlink r:id="rId96" w:history="1">
        <w:r w:rsidRPr="00D207CB">
          <w:rPr>
            <w:rStyle w:val="Hyperlink"/>
            <w:sz w:val="16"/>
            <w:szCs w:val="16"/>
          </w:rPr>
          <w:t>Communications and media in Australia: How we use the internet – data file</w:t>
        </w:r>
      </w:hyperlink>
      <w:r w:rsidRPr="00D207CB">
        <w:rPr>
          <w:sz w:val="16"/>
          <w:szCs w:val="16"/>
        </w:rPr>
        <w:t>.</w:t>
      </w:r>
    </w:p>
  </w:footnote>
  <w:footnote w:id="103">
    <w:p w14:paraId="2B0AD82C"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w:t>
      </w:r>
    </w:p>
  </w:footnote>
  <w:footnote w:id="104">
    <w:p w14:paraId="5A13C721"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w:t>
      </w:r>
    </w:p>
  </w:footnote>
  <w:footnote w:id="105">
    <w:p w14:paraId="43CB3134" w14:textId="406180C2"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Australian Digital Inclusion Index, </w:t>
      </w:r>
      <w:hyperlink r:id="rId97" w:history="1">
        <w:r w:rsidRPr="00D207CB">
          <w:rPr>
            <w:rStyle w:val="Hyperlink"/>
            <w:sz w:val="16"/>
            <w:szCs w:val="16"/>
          </w:rPr>
          <w:t>Key findings and next steps - Australian Digital Inclusion Index</w:t>
        </w:r>
      </w:hyperlink>
      <w:r w:rsidRPr="00D207CB">
        <w:rPr>
          <w:sz w:val="16"/>
          <w:szCs w:val="16"/>
        </w:rPr>
        <w:t>.</w:t>
      </w:r>
    </w:p>
  </w:footnote>
  <w:footnote w:id="106">
    <w:p w14:paraId="652B672A" w14:textId="77956618"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Australian Digital Inclusion Index: </w:t>
      </w:r>
      <w:hyperlink r:id="rId98" w:history="1">
        <w:r w:rsidRPr="00D207CB">
          <w:rPr>
            <w:rStyle w:val="Hyperlink"/>
            <w:sz w:val="16"/>
            <w:szCs w:val="16"/>
          </w:rPr>
          <w:t>Affordability</w:t>
        </w:r>
      </w:hyperlink>
      <w:r w:rsidRPr="00D207CB">
        <w:rPr>
          <w:sz w:val="16"/>
          <w:szCs w:val="16"/>
        </w:rPr>
        <w:t>.</w:t>
      </w:r>
    </w:p>
  </w:footnote>
  <w:footnote w:id="107">
    <w:p w14:paraId="4D2196D7" w14:textId="77777777" w:rsidR="00AE7EFC" w:rsidRPr="00D207CB" w:rsidRDefault="00AE7EFC" w:rsidP="00D207CB">
      <w:pPr>
        <w:pStyle w:val="FootnoteText"/>
        <w:ind w:left="0" w:firstLine="0"/>
        <w:mirrorIndents/>
        <w:rPr>
          <w:rFonts w:cstheme="minorHAnsi"/>
          <w:sz w:val="16"/>
          <w:szCs w:val="16"/>
        </w:rPr>
      </w:pPr>
      <w:r w:rsidRPr="00D207CB">
        <w:rPr>
          <w:rStyle w:val="FootnoteReference"/>
          <w:sz w:val="16"/>
          <w:szCs w:val="16"/>
        </w:rPr>
        <w:footnoteRef/>
      </w:r>
      <w:r w:rsidRPr="00D207CB">
        <w:rPr>
          <w:sz w:val="16"/>
          <w:szCs w:val="16"/>
        </w:rPr>
        <w:t xml:space="preserve"> Ibid.</w:t>
      </w:r>
    </w:p>
  </w:footnote>
  <w:footnote w:id="108">
    <w:p w14:paraId="4B93F6A2" w14:textId="397A9BD5"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ACMA (July 2023) </w:t>
      </w:r>
      <w:hyperlink r:id="rId99" w:history="1">
        <w:r w:rsidRPr="00D207CB">
          <w:rPr>
            <w:rStyle w:val="Hyperlink"/>
            <w:sz w:val="16"/>
            <w:szCs w:val="16"/>
          </w:rPr>
          <w:t>Communications and media in Australia: Trends and developments in viewing and listening</w:t>
        </w:r>
      </w:hyperlink>
      <w:r w:rsidRPr="00D207CB">
        <w:rPr>
          <w:sz w:val="16"/>
          <w:szCs w:val="16"/>
        </w:rPr>
        <w:t>, 2021–22, p. 10.</w:t>
      </w:r>
    </w:p>
  </w:footnote>
  <w:footnote w:id="109">
    <w:p w14:paraId="066993E6" w14:textId="2FB9109F"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sidRPr="00D207CB">
        <w:rPr>
          <w:rFonts w:eastAsia="Times New Roman" w:cstheme="minorHAnsi"/>
          <w:color w:val="000000"/>
          <w:sz w:val="16"/>
          <w:szCs w:val="16"/>
          <w:lang w:val="x-none"/>
        </w:rPr>
        <w:t>Deloitte</w:t>
      </w:r>
      <w:r w:rsidRPr="00D207CB">
        <w:rPr>
          <w:rFonts w:eastAsia="Times New Roman" w:cstheme="minorHAnsi"/>
          <w:color w:val="000000"/>
          <w:sz w:val="16"/>
          <w:szCs w:val="16"/>
        </w:rPr>
        <w:t xml:space="preserve"> (2022)</w:t>
      </w:r>
      <w:r w:rsidRPr="00D207CB">
        <w:rPr>
          <w:rFonts w:eastAsia="Times New Roman" w:cstheme="minorHAnsi"/>
          <w:color w:val="000000"/>
          <w:sz w:val="16"/>
          <w:szCs w:val="16"/>
          <w:lang w:val="x-none"/>
        </w:rPr>
        <w:t xml:space="preserve">, </w:t>
      </w:r>
      <w:hyperlink r:id="rId100" w:history="1">
        <w:r w:rsidRPr="00D207CB">
          <w:rPr>
            <w:rStyle w:val="Hyperlink"/>
            <w:rFonts w:eastAsia="Times New Roman" w:cstheme="minorHAnsi"/>
            <w:sz w:val="16"/>
            <w:szCs w:val="16"/>
            <w:lang w:val="x-none"/>
          </w:rPr>
          <w:t>Media Consumer Survey 2022</w:t>
        </w:r>
      </w:hyperlink>
      <w:r w:rsidRPr="00D207CB">
        <w:rPr>
          <w:rFonts w:eastAsia="Times New Roman" w:cstheme="minorHAnsi"/>
          <w:color w:val="000000"/>
          <w:sz w:val="16"/>
          <w:szCs w:val="16"/>
        </w:rPr>
        <w:t>, p. 9.</w:t>
      </w:r>
    </w:p>
  </w:footnote>
  <w:footnote w:id="110">
    <w:p w14:paraId="29D7C657" w14:textId="7EB59AA5"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Kayo Sports, </w:t>
      </w:r>
      <w:hyperlink r:id="rId101" w:anchor=":~:text=Sports%20on%20Kayo%20are%20best,in%20Standard%20Definition%20(SD)." w:history="1">
        <w:r w:rsidRPr="00D207CB">
          <w:rPr>
            <w:rStyle w:val="Hyperlink"/>
            <w:sz w:val="16"/>
            <w:szCs w:val="16"/>
          </w:rPr>
          <w:t>What internet speed do I need to use Kayo?</w:t>
        </w:r>
      </w:hyperlink>
      <w:r w:rsidRPr="00D207CB">
        <w:rPr>
          <w:sz w:val="16"/>
          <w:szCs w:val="16"/>
        </w:rPr>
        <w:t>.</w:t>
      </w:r>
    </w:p>
  </w:footnote>
  <w:footnote w:id="111">
    <w:p w14:paraId="55E0B977" w14:textId="4712F6BC" w:rsidR="00AE7EFC" w:rsidRPr="00D207CB" w:rsidRDefault="00AE7EFC" w:rsidP="00D207CB">
      <w:pPr>
        <w:pStyle w:val="FootnoteText"/>
        <w:ind w:left="0" w:firstLine="0"/>
        <w:mirrorIndents/>
        <w:rPr>
          <w:rFonts w:cstheme="minorHAnsi"/>
          <w:sz w:val="16"/>
          <w:szCs w:val="16"/>
          <w:lang w:val="en-US"/>
        </w:rPr>
      </w:pPr>
      <w:r w:rsidRPr="00D207CB">
        <w:rPr>
          <w:rStyle w:val="FootnoteReference"/>
          <w:rFonts w:cstheme="minorHAnsi"/>
          <w:sz w:val="16"/>
          <w:szCs w:val="16"/>
        </w:rPr>
        <w:footnoteRef/>
      </w:r>
      <w:r w:rsidRPr="00D207CB">
        <w:rPr>
          <w:rFonts w:cstheme="minorHAnsi"/>
          <w:sz w:val="16"/>
          <w:szCs w:val="16"/>
        </w:rPr>
        <w:t xml:space="preserve"> </w:t>
      </w:r>
      <w:r w:rsidRPr="00D207CB">
        <w:rPr>
          <w:sz w:val="16"/>
          <w:szCs w:val="16"/>
        </w:rPr>
        <w:t>See:</w:t>
      </w:r>
      <w:r w:rsidRPr="00D207CB">
        <w:rPr>
          <w:rFonts w:cstheme="minorHAnsi"/>
          <w:sz w:val="16"/>
          <w:szCs w:val="16"/>
          <w:lang w:val="en-US"/>
        </w:rPr>
        <w:t xml:space="preserve"> </w:t>
      </w:r>
      <w:r w:rsidRPr="00D207CB">
        <w:rPr>
          <w:sz w:val="16"/>
          <w:szCs w:val="16"/>
        </w:rPr>
        <w:t>7</w:t>
      </w:r>
      <w:r>
        <w:rPr>
          <w:sz w:val="16"/>
          <w:szCs w:val="16"/>
        </w:rPr>
        <w:t>p</w:t>
      </w:r>
      <w:r w:rsidRPr="00D207CB">
        <w:rPr>
          <w:sz w:val="16"/>
          <w:szCs w:val="16"/>
        </w:rPr>
        <w:t xml:space="preserve">lus, </w:t>
      </w:r>
      <w:hyperlink r:id="rId102" w:history="1">
        <w:r w:rsidRPr="00D207CB">
          <w:rPr>
            <w:rStyle w:val="Hyperlink"/>
            <w:sz w:val="16"/>
            <w:szCs w:val="16"/>
          </w:rPr>
          <w:t>Frequently Asked Questions</w:t>
        </w:r>
      </w:hyperlink>
      <w:r w:rsidRPr="00D207CB">
        <w:rPr>
          <w:sz w:val="16"/>
          <w:szCs w:val="16"/>
        </w:rPr>
        <w:t xml:space="preserve">; Stan, </w:t>
      </w:r>
      <w:hyperlink r:id="rId103" w:history="1">
        <w:r w:rsidRPr="00D207CB">
          <w:rPr>
            <w:rStyle w:val="Hyperlink"/>
            <w:sz w:val="16"/>
            <w:szCs w:val="16"/>
          </w:rPr>
          <w:t>Minimum Internet Requirements</w:t>
        </w:r>
      </w:hyperlink>
      <w:r w:rsidRPr="00D207CB">
        <w:rPr>
          <w:sz w:val="16"/>
          <w:szCs w:val="16"/>
        </w:rPr>
        <w:t>.</w:t>
      </w:r>
    </w:p>
  </w:footnote>
  <w:footnote w:id="112">
    <w:p w14:paraId="2937FD79" w14:textId="59704157" w:rsidR="00AE7EFC" w:rsidRPr="00D207CB" w:rsidRDefault="00AE7EFC" w:rsidP="00D207CB">
      <w:pPr>
        <w:pStyle w:val="FootnoteText"/>
        <w:ind w:left="0" w:firstLine="0"/>
        <w:mirrorIndents/>
        <w:rPr>
          <w:rFonts w:cstheme="minorHAnsi"/>
          <w:sz w:val="16"/>
          <w:szCs w:val="16"/>
          <w:lang w:val="en-US"/>
        </w:rPr>
      </w:pPr>
      <w:r w:rsidRPr="00D207CB">
        <w:rPr>
          <w:rStyle w:val="FootnoteReference"/>
          <w:rFonts w:cstheme="minorHAnsi"/>
          <w:sz w:val="16"/>
          <w:szCs w:val="16"/>
        </w:rPr>
        <w:footnoteRef/>
      </w:r>
      <w:r w:rsidRPr="00D207CB">
        <w:rPr>
          <w:rFonts w:cstheme="minorHAnsi"/>
          <w:sz w:val="16"/>
          <w:szCs w:val="16"/>
        </w:rPr>
        <w:t xml:space="preserve"> </w:t>
      </w:r>
      <w:r w:rsidRPr="00D207CB">
        <w:rPr>
          <w:sz w:val="16"/>
          <w:szCs w:val="16"/>
        </w:rPr>
        <w:t xml:space="preserve">ACCC, (August 2022), </w:t>
      </w:r>
      <w:hyperlink r:id="rId104" w:history="1">
        <w:r w:rsidRPr="00D207CB">
          <w:rPr>
            <w:rStyle w:val="Hyperlink"/>
            <w:sz w:val="16"/>
            <w:szCs w:val="16"/>
          </w:rPr>
          <w:t>Measuring Broadband Australia: Report 18, Appendix</w:t>
        </w:r>
      </w:hyperlink>
      <w:r w:rsidRPr="00D207CB">
        <w:rPr>
          <w:sz w:val="16"/>
          <w:szCs w:val="16"/>
        </w:rPr>
        <w:t>, p. 2.</w:t>
      </w:r>
    </w:p>
  </w:footnote>
  <w:footnote w:id="113">
    <w:p w14:paraId="6403CC5E" w14:textId="42877A4D" w:rsidR="00AE7EFC" w:rsidRPr="00D207CB" w:rsidRDefault="00AE7EFC" w:rsidP="00D207CB">
      <w:pPr>
        <w:pStyle w:val="FootnoteText"/>
        <w:ind w:left="0" w:firstLine="0"/>
        <w:mirrorIndents/>
        <w:rPr>
          <w:rFonts w:cstheme="minorHAnsi"/>
          <w:sz w:val="16"/>
          <w:szCs w:val="16"/>
        </w:rPr>
      </w:pPr>
      <w:r w:rsidRPr="00D207CB">
        <w:rPr>
          <w:rStyle w:val="FootnoteReference"/>
          <w:rFonts w:cstheme="minorHAnsi"/>
          <w:sz w:val="16"/>
          <w:szCs w:val="16"/>
        </w:rPr>
        <w:footnoteRef/>
      </w:r>
      <w:r w:rsidRPr="00D207CB">
        <w:rPr>
          <w:rFonts w:cstheme="minorHAnsi"/>
          <w:sz w:val="16"/>
          <w:szCs w:val="16"/>
        </w:rPr>
        <w:t xml:space="preserve"> Duke J (28 June 2018), </w:t>
      </w:r>
      <w:hyperlink r:id="rId105" w:history="1">
        <w:r w:rsidRPr="00D207CB">
          <w:rPr>
            <w:rStyle w:val="Hyperlink"/>
            <w:sz w:val="16"/>
            <w:szCs w:val="16"/>
          </w:rPr>
          <w:t>World Cup: Optus surrenders final games to SBS after streaming fail</w:t>
        </w:r>
      </w:hyperlink>
      <w:r w:rsidRPr="00D207CB">
        <w:rPr>
          <w:sz w:val="16"/>
          <w:szCs w:val="16"/>
        </w:rPr>
        <w:t>, The Sydney Morning Herald.</w:t>
      </w:r>
    </w:p>
  </w:footnote>
  <w:footnote w:id="114">
    <w:p w14:paraId="00C421F2" w14:textId="4176A24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Optus (2023), </w:t>
      </w:r>
      <w:hyperlink r:id="rId106" w:history="1">
        <w:r w:rsidRPr="00D207CB">
          <w:rPr>
            <w:rStyle w:val="Hyperlink"/>
            <w:sz w:val="16"/>
            <w:szCs w:val="16"/>
          </w:rPr>
          <w:t>Submission to the Anti-siphoning review – proposals paper</w:t>
        </w:r>
      </w:hyperlink>
      <w:r w:rsidRPr="00D207CB">
        <w:rPr>
          <w:sz w:val="16"/>
          <w:szCs w:val="16"/>
        </w:rPr>
        <w:t>, p. 7.</w:t>
      </w:r>
    </w:p>
  </w:footnote>
  <w:footnote w:id="115">
    <w:p w14:paraId="5AB35F7C" w14:textId="618BC939" w:rsidR="00AE7EFC" w:rsidRPr="00D207CB" w:rsidRDefault="00AE7EFC" w:rsidP="00647DCD">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bookmarkStart w:id="144" w:name="_Hlk150968216"/>
      <w:r w:rsidRPr="00F21A0D">
        <w:rPr>
          <w:rFonts w:cstheme="minorHAnsi"/>
          <w:sz w:val="16"/>
          <w:szCs w:val="16"/>
        </w:rPr>
        <w:t xml:space="preserve">Ampere Analysis, Sports – Media Rights (2022); Departmental analysis based on available aggregated data on the value of sports media rights. Aggregated figures have been averaged by categories of broadcaster. </w:t>
      </w:r>
      <w:bookmarkEnd w:id="144"/>
    </w:p>
  </w:footnote>
  <w:footnote w:id="116">
    <w:p w14:paraId="01E6B0EC" w14:textId="626BB1B0" w:rsidR="00AE7EFC" w:rsidRPr="00D207CB" w:rsidRDefault="00AE7EFC" w:rsidP="00647DCD">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Free TV Australia (2023), </w:t>
      </w:r>
      <w:hyperlink r:id="rId107" w:history="1">
        <w:r w:rsidRPr="00D207CB">
          <w:rPr>
            <w:rStyle w:val="Hyperlink"/>
            <w:sz w:val="16"/>
            <w:szCs w:val="16"/>
          </w:rPr>
          <w:t>Review of the anti-siphoning scheme: Response to the Proposals Paper</w:t>
        </w:r>
      </w:hyperlink>
      <w:r w:rsidRPr="00D207CB">
        <w:rPr>
          <w:sz w:val="16"/>
          <w:szCs w:val="16"/>
        </w:rPr>
        <w:t>, p. 10.</w:t>
      </w:r>
    </w:p>
  </w:footnote>
  <w:footnote w:id="117">
    <w:p w14:paraId="4476BEBB" w14:textId="401D0C2B" w:rsidR="00AE7EFC" w:rsidRPr="00D207CB" w:rsidRDefault="00AE7EFC" w:rsidP="00647DCD">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sidRPr="00D207CB">
        <w:rPr>
          <w:rFonts w:cstheme="minorHAnsi"/>
          <w:sz w:val="16"/>
          <w:szCs w:val="16"/>
        </w:rPr>
        <w:t>Foxtel Group (2023)</w:t>
      </w:r>
      <w:r>
        <w:rPr>
          <w:rFonts w:cstheme="minorHAnsi"/>
          <w:sz w:val="16"/>
          <w:szCs w:val="16"/>
        </w:rPr>
        <w:t>,</w:t>
      </w:r>
      <w:r w:rsidRPr="00D207CB">
        <w:rPr>
          <w:rFonts w:cstheme="minorHAnsi"/>
          <w:sz w:val="16"/>
          <w:szCs w:val="16"/>
        </w:rPr>
        <w:t xml:space="preserve"> </w:t>
      </w:r>
      <w:hyperlink r:id="rId108" w:history="1">
        <w:r w:rsidRPr="00D207CB">
          <w:rPr>
            <w:rStyle w:val="Hyperlink"/>
            <w:rFonts w:cstheme="minorHAnsi"/>
            <w:sz w:val="16"/>
            <w:szCs w:val="16"/>
          </w:rPr>
          <w:t>Submission in response to the review of the anti-siphoning scheme – Proposals Paper</w:t>
        </w:r>
      </w:hyperlink>
      <w:r w:rsidRPr="00D207CB">
        <w:rPr>
          <w:rStyle w:val="Hyperlink"/>
          <w:rFonts w:cstheme="minorHAnsi"/>
          <w:sz w:val="16"/>
          <w:szCs w:val="16"/>
        </w:rPr>
        <w:t>,</w:t>
      </w:r>
      <w:r w:rsidRPr="00D207CB">
        <w:rPr>
          <w:sz w:val="16"/>
          <w:szCs w:val="16"/>
        </w:rPr>
        <w:t xml:space="preserve"> </w:t>
      </w:r>
      <w:r w:rsidRPr="00D207CB" w:rsidDel="00771743">
        <w:rPr>
          <w:sz w:val="16"/>
          <w:szCs w:val="16"/>
        </w:rPr>
        <w:t>p</w:t>
      </w:r>
      <w:r w:rsidRPr="00D207CB">
        <w:rPr>
          <w:sz w:val="16"/>
          <w:szCs w:val="16"/>
        </w:rPr>
        <w:t>. 2.</w:t>
      </w:r>
    </w:p>
  </w:footnote>
  <w:footnote w:id="118">
    <w:p w14:paraId="6747D9E4" w14:textId="0CD5D58F" w:rsidR="00AE7EFC" w:rsidRPr="00D207CB" w:rsidRDefault="00AE7EFC" w:rsidP="00647DCD">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 p. 4</w:t>
      </w:r>
      <w:r>
        <w:rPr>
          <w:sz w:val="16"/>
          <w:szCs w:val="16"/>
        </w:rPr>
        <w:t>.</w:t>
      </w:r>
    </w:p>
  </w:footnote>
  <w:footnote w:id="119">
    <w:p w14:paraId="7D78380A" w14:textId="79BA48CE"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Free TV Australia (2023), </w:t>
      </w:r>
      <w:hyperlink r:id="rId109" w:history="1">
        <w:r w:rsidRPr="00D207CB">
          <w:rPr>
            <w:rStyle w:val="Hyperlink"/>
            <w:sz w:val="16"/>
            <w:szCs w:val="16"/>
          </w:rPr>
          <w:t>Review of the anti-siphoning scheme: Response to the Proposals Paper</w:t>
        </w:r>
      </w:hyperlink>
      <w:r w:rsidRPr="00D207CB">
        <w:rPr>
          <w:sz w:val="16"/>
          <w:szCs w:val="16"/>
        </w:rPr>
        <w:t>, p. 10, 16.</w:t>
      </w:r>
    </w:p>
  </w:footnote>
  <w:footnote w:id="120">
    <w:p w14:paraId="189ACF88" w14:textId="3ABD8F96"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Ibid, pp. 11-12.</w:t>
      </w:r>
    </w:p>
  </w:footnote>
  <w:footnote w:id="121">
    <w:p w14:paraId="24AB4D71" w14:textId="03345BBD"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Productivity Commission (15 September 2009), </w:t>
      </w:r>
      <w:hyperlink r:id="rId110" w:history="1">
        <w:r w:rsidRPr="00D207CB">
          <w:rPr>
            <w:rStyle w:val="Hyperlink"/>
            <w:sz w:val="16"/>
            <w:szCs w:val="16"/>
          </w:rPr>
          <w:t>Annual review of regulatory burdens on business: social and economic infrastructure services, Research Report</w:t>
        </w:r>
      </w:hyperlink>
      <w:r w:rsidRPr="00D207CB">
        <w:rPr>
          <w:sz w:val="16"/>
          <w:szCs w:val="16"/>
        </w:rPr>
        <w:t>, p. 157.</w:t>
      </w:r>
    </w:p>
  </w:footnote>
  <w:footnote w:id="122">
    <w:p w14:paraId="0F0BC2AC" w14:textId="026E77F0"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 158.</w:t>
      </w:r>
    </w:p>
  </w:footnote>
  <w:footnote w:id="123">
    <w:p w14:paraId="0F1E962B" w14:textId="59489592"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Pr>
          <w:color w:val="auto"/>
          <w:sz w:val="16"/>
          <w:szCs w:val="16"/>
          <w:lang w:val="en-US"/>
        </w:rPr>
        <w:t>DITRDCA</w:t>
      </w:r>
      <w:r w:rsidRPr="00D207CB">
        <w:rPr>
          <w:color w:val="auto"/>
          <w:sz w:val="16"/>
          <w:szCs w:val="16"/>
          <w:lang w:val="en-US"/>
        </w:rPr>
        <w:t xml:space="preserve"> (2022), </w:t>
      </w:r>
      <w:hyperlink r:id="rId111" w:history="1">
        <w:r w:rsidRPr="00D207CB">
          <w:rPr>
            <w:rStyle w:val="Hyperlink"/>
            <w:sz w:val="16"/>
            <w:szCs w:val="16"/>
            <w:lang w:val="en-US"/>
          </w:rPr>
          <w:t>Review of the anti-siphoning scheme: Consultation paper</w:t>
        </w:r>
      </w:hyperlink>
      <w:r w:rsidRPr="00D207CB">
        <w:rPr>
          <w:sz w:val="16"/>
          <w:szCs w:val="16"/>
        </w:rPr>
        <w:t>, pp. 23-24</w:t>
      </w:r>
      <w:r>
        <w:rPr>
          <w:sz w:val="16"/>
          <w:szCs w:val="16"/>
        </w:rPr>
        <w:t>;</w:t>
      </w:r>
      <w:r w:rsidRPr="00D207CB">
        <w:rPr>
          <w:sz w:val="16"/>
          <w:szCs w:val="16"/>
        </w:rPr>
        <w:t xml:space="preserve"> </w:t>
      </w:r>
      <w:hyperlink r:id="rId112" w:history="1">
        <w:r w:rsidRPr="00D207CB">
          <w:rPr>
            <w:rStyle w:val="Hyperlink"/>
            <w:sz w:val="16"/>
            <w:szCs w:val="16"/>
          </w:rPr>
          <w:t>AFL, Media Release: Seven years, $4.5b: AFL reveals HUGE new broadcast rights deal</w:t>
        </w:r>
      </w:hyperlink>
      <w:r w:rsidRPr="00D207CB">
        <w:rPr>
          <w:sz w:val="16"/>
          <w:szCs w:val="16"/>
        </w:rPr>
        <w:t>.</w:t>
      </w:r>
    </w:p>
  </w:footnote>
  <w:footnote w:id="124">
    <w:p w14:paraId="5AA0C943" w14:textId="418320B3"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Optus (2023), </w:t>
      </w:r>
      <w:hyperlink r:id="rId113" w:history="1">
        <w:r w:rsidRPr="00D207CB">
          <w:rPr>
            <w:rStyle w:val="Hyperlink"/>
            <w:sz w:val="16"/>
            <w:szCs w:val="16"/>
          </w:rPr>
          <w:t>Submission to the Anti-siphoning review – proposals paper</w:t>
        </w:r>
      </w:hyperlink>
      <w:r w:rsidRPr="00D207CB">
        <w:rPr>
          <w:sz w:val="16"/>
          <w:szCs w:val="16"/>
        </w:rPr>
        <w:t>, p. 10.</w:t>
      </w:r>
    </w:p>
  </w:footnote>
  <w:footnote w:id="125">
    <w:p w14:paraId="2FFEE1D6" w14:textId="12A034CC"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Productivity Commission (15 September 2009), </w:t>
      </w:r>
      <w:hyperlink r:id="rId114" w:history="1">
        <w:r w:rsidRPr="00D207CB">
          <w:rPr>
            <w:rStyle w:val="Hyperlink"/>
            <w:sz w:val="16"/>
            <w:szCs w:val="16"/>
          </w:rPr>
          <w:t>Annual review of regulatory burdens on business: social and economic infrastructure services, Research Report</w:t>
        </w:r>
      </w:hyperlink>
      <w:r w:rsidRPr="00D207CB">
        <w:rPr>
          <w:sz w:val="16"/>
          <w:szCs w:val="16"/>
        </w:rPr>
        <w:t>, pp. 157-158.</w:t>
      </w:r>
    </w:p>
  </w:footnote>
  <w:footnote w:id="126">
    <w:p w14:paraId="477C3A2A" w14:textId="7860AD16"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Free TV Australia (2023), </w:t>
      </w:r>
      <w:hyperlink r:id="rId115" w:history="1">
        <w:r w:rsidRPr="00D207CB">
          <w:rPr>
            <w:rStyle w:val="Hyperlink"/>
            <w:sz w:val="16"/>
            <w:szCs w:val="16"/>
          </w:rPr>
          <w:t>Review of the anti-siphoning scheme: Response to the Proposals Paper</w:t>
        </w:r>
      </w:hyperlink>
      <w:r w:rsidRPr="00D207CB">
        <w:rPr>
          <w:sz w:val="16"/>
          <w:szCs w:val="16"/>
        </w:rPr>
        <w:t>, p. 16.</w:t>
      </w:r>
    </w:p>
  </w:footnote>
  <w:footnote w:id="127">
    <w:p w14:paraId="03D044E3"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 pp. 11-12.</w:t>
      </w:r>
    </w:p>
  </w:footnote>
  <w:footnote w:id="128">
    <w:p w14:paraId="4B408EE2" w14:textId="000AD374" w:rsidR="00AE7EFC" w:rsidRPr="00D207CB" w:rsidRDefault="00AE7EFC" w:rsidP="005710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Productivity Commission (15 September 2009), </w:t>
      </w:r>
      <w:hyperlink r:id="rId116" w:history="1">
        <w:r w:rsidRPr="00D207CB">
          <w:rPr>
            <w:rStyle w:val="Hyperlink"/>
            <w:sz w:val="16"/>
            <w:szCs w:val="16"/>
          </w:rPr>
          <w:t>Annual review of regulatory burdens on business: social and economic infrastructure services, Research Report</w:t>
        </w:r>
      </w:hyperlink>
      <w:r w:rsidRPr="00D207CB">
        <w:rPr>
          <w:sz w:val="16"/>
          <w:szCs w:val="16"/>
        </w:rPr>
        <w:t xml:space="preserve">, pp. 157-158. </w:t>
      </w:r>
    </w:p>
  </w:footnote>
  <w:footnote w:id="129">
    <w:p w14:paraId="3CBDAB30" w14:textId="76B484C3" w:rsidR="00AE7EFC" w:rsidRPr="00D207CB" w:rsidRDefault="00AE7EFC" w:rsidP="00D207CB">
      <w:pPr>
        <w:pStyle w:val="FootnoteText"/>
        <w:ind w:left="113" w:firstLine="0"/>
        <w:mirrorIndents/>
        <w:rPr>
          <w:sz w:val="16"/>
          <w:szCs w:val="16"/>
        </w:rPr>
      </w:pPr>
      <w:r w:rsidRPr="00D207CB">
        <w:rPr>
          <w:rStyle w:val="FootnoteReference"/>
          <w:sz w:val="16"/>
          <w:szCs w:val="16"/>
        </w:rPr>
        <w:footnoteRef/>
      </w:r>
      <w:r w:rsidRPr="00D207CB">
        <w:rPr>
          <w:sz w:val="16"/>
          <w:szCs w:val="16"/>
        </w:rPr>
        <w:t xml:space="preserve"> Fox Sports (7 March 2022)</w:t>
      </w:r>
      <w:r>
        <w:rPr>
          <w:sz w:val="16"/>
          <w:szCs w:val="16"/>
        </w:rPr>
        <w:t>,</w:t>
      </w:r>
      <w:r w:rsidRPr="00D207CB">
        <w:rPr>
          <w:sz w:val="16"/>
          <w:szCs w:val="16"/>
        </w:rPr>
        <w:t xml:space="preserve"> ‘</w:t>
      </w:r>
      <w:hyperlink r:id="rId117" w:history="1">
        <w:r w:rsidRPr="00D207CB">
          <w:rPr>
            <w:rStyle w:val="Hyperlink"/>
            <w:sz w:val="16"/>
            <w:szCs w:val="16"/>
          </w:rPr>
          <w:t>Huge growth of Aussie love for women's sports revealed in new research</w:t>
        </w:r>
      </w:hyperlink>
      <w:r w:rsidRPr="00D207CB">
        <w:rPr>
          <w:sz w:val="16"/>
          <w:szCs w:val="16"/>
        </w:rPr>
        <w:t>’</w:t>
      </w:r>
      <w:r>
        <w:rPr>
          <w:sz w:val="16"/>
          <w:szCs w:val="16"/>
        </w:rPr>
        <w:t>.</w:t>
      </w:r>
    </w:p>
  </w:footnote>
  <w:footnote w:id="130">
    <w:p w14:paraId="4B6B222F" w14:textId="20EE9509"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Paralympics </w:t>
      </w:r>
      <w:r w:rsidRPr="005710CB">
        <w:rPr>
          <w:sz w:val="16"/>
          <w:szCs w:val="16"/>
        </w:rPr>
        <w:t xml:space="preserve">Australia (2023), </w:t>
      </w:r>
      <w:hyperlink r:id="rId118" w:history="1">
        <w:r w:rsidRPr="005710CB">
          <w:rPr>
            <w:rStyle w:val="Hyperlink"/>
            <w:sz w:val="16"/>
            <w:szCs w:val="16"/>
          </w:rPr>
          <w:t>Nine Seals Exclusive Rights For Paris 2024 Paralympic Games</w:t>
        </w:r>
      </w:hyperlink>
      <w:r w:rsidRPr="005710CB">
        <w:rPr>
          <w:sz w:val="16"/>
          <w:szCs w:val="16"/>
        </w:rPr>
        <w:t>.</w:t>
      </w:r>
    </w:p>
  </w:footnote>
  <w:footnote w:id="131">
    <w:p w14:paraId="680B4C40" w14:textId="6298E0AD"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AFL (2022), </w:t>
      </w:r>
      <w:hyperlink r:id="rId119" w:history="1">
        <w:r w:rsidRPr="00D207CB">
          <w:rPr>
            <w:rStyle w:val="Hyperlink"/>
            <w:sz w:val="16"/>
            <w:szCs w:val="16"/>
          </w:rPr>
          <w:t>Seven years, $4.5b: AFL reveals HUGE new broadcast rights deal</w:t>
        </w:r>
      </w:hyperlink>
      <w:r w:rsidRPr="00D207CB">
        <w:rPr>
          <w:sz w:val="16"/>
          <w:szCs w:val="16"/>
        </w:rPr>
        <w:t>.</w:t>
      </w:r>
    </w:p>
  </w:footnote>
  <w:footnote w:id="132">
    <w:p w14:paraId="147911AA" w14:textId="644FCF28" w:rsidR="00AE7EFC" w:rsidRPr="001C465D"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r w:rsidRPr="001C465D">
        <w:rPr>
          <w:sz w:val="16"/>
          <w:szCs w:val="16"/>
        </w:rPr>
        <w:t xml:space="preserve">Nine for Brands (27 April 2023), </w:t>
      </w:r>
      <w:hyperlink r:id="rId120" w:history="1">
        <w:r w:rsidRPr="001C465D">
          <w:rPr>
            <w:rStyle w:val="Hyperlink"/>
            <w:sz w:val="16"/>
            <w:szCs w:val="16"/>
          </w:rPr>
          <w:t>Nine to broadcast every NRLW game live and free in 2023</w:t>
        </w:r>
      </w:hyperlink>
      <w:r>
        <w:rPr>
          <w:sz w:val="16"/>
          <w:szCs w:val="16"/>
        </w:rPr>
        <w:t xml:space="preserve">; </w:t>
      </w:r>
      <w:r w:rsidRPr="0050088C">
        <w:rPr>
          <w:sz w:val="16"/>
          <w:szCs w:val="16"/>
        </w:rPr>
        <w:t>Nine for Brands (</w:t>
      </w:r>
      <w:r>
        <w:rPr>
          <w:sz w:val="16"/>
          <w:szCs w:val="16"/>
        </w:rPr>
        <w:t>13</w:t>
      </w:r>
      <w:r w:rsidRPr="0050088C">
        <w:rPr>
          <w:sz w:val="16"/>
          <w:szCs w:val="16"/>
        </w:rPr>
        <w:t xml:space="preserve"> </w:t>
      </w:r>
      <w:r>
        <w:rPr>
          <w:sz w:val="16"/>
          <w:szCs w:val="16"/>
        </w:rPr>
        <w:t>November</w:t>
      </w:r>
      <w:r w:rsidRPr="0050088C">
        <w:rPr>
          <w:sz w:val="16"/>
          <w:szCs w:val="16"/>
        </w:rPr>
        <w:t xml:space="preserve"> 2023), </w:t>
      </w:r>
      <w:hyperlink r:id="rId121" w:history="1">
        <w:r w:rsidRPr="00D72D36">
          <w:rPr>
            <w:rStyle w:val="Hyperlink"/>
            <w:sz w:val="16"/>
            <w:szCs w:val="16"/>
          </w:rPr>
          <w:t>Nine is the home of women’s rugby league from 2024</w:t>
        </w:r>
      </w:hyperlink>
      <w:r>
        <w:rPr>
          <w:sz w:val="16"/>
          <w:szCs w:val="16"/>
        </w:rPr>
        <w:t>.</w:t>
      </w:r>
    </w:p>
  </w:footnote>
  <w:footnote w:id="133">
    <w:p w14:paraId="6729DAFF" w14:textId="64CB0CB8" w:rsidR="00AE7EFC" w:rsidRDefault="00AE7EFC" w:rsidP="001C465D">
      <w:pPr>
        <w:pStyle w:val="FootnoteText"/>
        <w:ind w:left="0" w:firstLine="0"/>
      </w:pPr>
      <w:r w:rsidRPr="001C465D">
        <w:rPr>
          <w:rStyle w:val="FootnoteReference"/>
          <w:sz w:val="16"/>
          <w:szCs w:val="16"/>
        </w:rPr>
        <w:footnoteRef/>
      </w:r>
      <w:r w:rsidRPr="001C465D">
        <w:rPr>
          <w:sz w:val="16"/>
          <w:szCs w:val="16"/>
        </w:rPr>
        <w:t xml:space="preserve"> Nine for Brands (29 May 2023), </w:t>
      </w:r>
      <w:hyperlink r:id="rId122" w:history="1">
        <w:r w:rsidRPr="001C465D">
          <w:rPr>
            <w:rStyle w:val="Hyperlink"/>
            <w:sz w:val="16"/>
            <w:szCs w:val="16"/>
          </w:rPr>
          <w:t>Women's State of Origin live and free on Channel 9HD</w:t>
        </w:r>
      </w:hyperlink>
      <w:r>
        <w:rPr>
          <w:sz w:val="16"/>
          <w:szCs w:val="16"/>
        </w:rPr>
        <w:t xml:space="preserve">; </w:t>
      </w:r>
      <w:r w:rsidRPr="0050088C">
        <w:rPr>
          <w:sz w:val="16"/>
          <w:szCs w:val="16"/>
        </w:rPr>
        <w:t>Nine for Brands (</w:t>
      </w:r>
      <w:r>
        <w:rPr>
          <w:sz w:val="16"/>
          <w:szCs w:val="16"/>
        </w:rPr>
        <w:t>13</w:t>
      </w:r>
      <w:r w:rsidRPr="0050088C">
        <w:rPr>
          <w:sz w:val="16"/>
          <w:szCs w:val="16"/>
        </w:rPr>
        <w:t xml:space="preserve"> </w:t>
      </w:r>
      <w:r>
        <w:rPr>
          <w:sz w:val="16"/>
          <w:szCs w:val="16"/>
        </w:rPr>
        <w:t>November</w:t>
      </w:r>
      <w:r w:rsidRPr="0050088C">
        <w:rPr>
          <w:sz w:val="16"/>
          <w:szCs w:val="16"/>
        </w:rPr>
        <w:t xml:space="preserve"> 2023), </w:t>
      </w:r>
      <w:hyperlink r:id="rId123" w:history="1">
        <w:r w:rsidRPr="00D72D36">
          <w:rPr>
            <w:rStyle w:val="Hyperlink"/>
            <w:sz w:val="16"/>
            <w:szCs w:val="16"/>
          </w:rPr>
          <w:t>Nine is the home of women’s rugby league from 2024</w:t>
        </w:r>
      </w:hyperlink>
      <w:r>
        <w:rPr>
          <w:sz w:val="16"/>
          <w:szCs w:val="16"/>
        </w:rPr>
        <w:t>.</w:t>
      </w:r>
    </w:p>
  </w:footnote>
  <w:footnote w:id="134">
    <w:p w14:paraId="4711344A" w14:textId="4578FE8E"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The 2020 Tokyo Summer Paralympics was postponed to 2021 due to the COVID-19 Pandemic. </w:t>
      </w:r>
    </w:p>
  </w:footnote>
  <w:footnote w:id="135">
    <w:p w14:paraId="109FCED6" w14:textId="7D0B8ACF"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OzTAM 5 City Metro | Consolidated 7 | Audience Measures for Paralympics | 2021. </w:t>
      </w:r>
    </w:p>
  </w:footnote>
  <w:footnote w:id="136">
    <w:p w14:paraId="3A1B0425" w14:textId="61B3D351"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w:t>
      </w:r>
    </w:p>
  </w:footnote>
  <w:footnote w:id="137">
    <w:p w14:paraId="7E5ACB0D" w14:textId="7B038B9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Paralympics Australia (24 August 2022), </w:t>
      </w:r>
      <w:hyperlink r:id="rId124" w:history="1">
        <w:r w:rsidRPr="00D207CB">
          <w:rPr>
            <w:rStyle w:val="Hyperlink"/>
            <w:sz w:val="16"/>
            <w:szCs w:val="16"/>
          </w:rPr>
          <w:t>One Year Since Tokyo, Analysis Shows A Resounding Success</w:t>
        </w:r>
      </w:hyperlink>
      <w:r w:rsidRPr="00D207CB">
        <w:rPr>
          <w:sz w:val="16"/>
          <w:szCs w:val="16"/>
        </w:rPr>
        <w:t>.</w:t>
      </w:r>
    </w:p>
  </w:footnote>
  <w:footnote w:id="138">
    <w:p w14:paraId="7C2C9DC4"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w:t>
      </w:r>
    </w:p>
  </w:footnote>
  <w:footnote w:id="139">
    <w:p w14:paraId="4657D028" w14:textId="32A35566"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AFL.com (12 June 2022)</w:t>
      </w:r>
      <w:r>
        <w:rPr>
          <w:sz w:val="16"/>
          <w:szCs w:val="16"/>
        </w:rPr>
        <w:t>,</w:t>
      </w:r>
      <w:r w:rsidRPr="00D207CB">
        <w:rPr>
          <w:sz w:val="16"/>
          <w:szCs w:val="16"/>
        </w:rPr>
        <w:t xml:space="preserve"> </w:t>
      </w:r>
      <w:hyperlink r:id="rId125" w:anchor=":~:text=Women%20and%20girls%20participation%20in,to%20around%20600%20in%202015." w:history="1">
        <w:r w:rsidRPr="00D207CB" w:rsidDel="00F164EE">
          <w:rPr>
            <w:rStyle w:val="Hyperlink"/>
            <w:sz w:val="16"/>
            <w:szCs w:val="16"/>
          </w:rPr>
          <w:t>AFL sets out plan to drive women and girls participation</w:t>
        </w:r>
      </w:hyperlink>
      <w:r w:rsidRPr="00D207CB" w:rsidDel="00F164EE">
        <w:rPr>
          <w:sz w:val="16"/>
          <w:szCs w:val="16"/>
        </w:rPr>
        <w:t>.</w:t>
      </w:r>
    </w:p>
  </w:footnote>
  <w:footnote w:id="140">
    <w:p w14:paraId="31D95B7C" w14:textId="73089BA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w:t>
      </w:r>
      <w:r w:rsidRPr="00D207CB">
        <w:rPr>
          <w:sz w:val="16"/>
          <w:szCs w:val="16"/>
          <w:lang w:val="en-US"/>
        </w:rPr>
        <w:t>Edward, Colleen (19 April 2023)</w:t>
      </w:r>
      <w:r>
        <w:rPr>
          <w:sz w:val="16"/>
          <w:szCs w:val="16"/>
          <w:lang w:val="en-US"/>
        </w:rPr>
        <w:t>,</w:t>
      </w:r>
      <w:r w:rsidRPr="00D207CB">
        <w:rPr>
          <w:sz w:val="16"/>
          <w:szCs w:val="16"/>
          <w:lang w:val="en-US"/>
        </w:rPr>
        <w:t xml:space="preserve"> </w:t>
      </w:r>
      <w:hyperlink r:id="rId126" w:history="1">
        <w:r w:rsidRPr="00D207CB">
          <w:rPr>
            <w:rStyle w:val="Hyperlink"/>
            <w:sz w:val="16"/>
            <w:szCs w:val="16"/>
            <w:lang w:val="en-US"/>
          </w:rPr>
          <w:t>Rugby league celebrates club participation growth across the nation</w:t>
        </w:r>
      </w:hyperlink>
      <w:r w:rsidRPr="00D207CB">
        <w:rPr>
          <w:sz w:val="16"/>
          <w:szCs w:val="16"/>
        </w:rPr>
        <w:t>.</w:t>
      </w:r>
    </w:p>
  </w:footnote>
  <w:footnote w:id="141">
    <w:p w14:paraId="6FD2BCD0" w14:textId="305CFBF9"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OzTAM 5 City Metro | Consolidated 7 | Audience Measures for AFL Women’s | 2022. </w:t>
      </w:r>
    </w:p>
  </w:footnote>
  <w:footnote w:id="142">
    <w:p w14:paraId="56AD65B5" w14:textId="4B3E9EF8"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Ibid – Finals series figures are not reported separately. This figure is taken from the average of the Qualifying and Preliminary Finals matches. </w:t>
      </w:r>
    </w:p>
  </w:footnote>
  <w:footnote w:id="143">
    <w:p w14:paraId="19356DC4" w14:textId="73E07000"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AFL.com, </w:t>
      </w:r>
      <w:hyperlink r:id="rId127" w:history="1">
        <w:r w:rsidRPr="00D207CB">
          <w:rPr>
            <w:rStyle w:val="Hyperlink"/>
            <w:sz w:val="16"/>
            <w:szCs w:val="16"/>
          </w:rPr>
          <w:t>2022 Annual Report</w:t>
        </w:r>
      </w:hyperlink>
      <w:r w:rsidRPr="00D207CB">
        <w:rPr>
          <w:sz w:val="16"/>
          <w:szCs w:val="16"/>
        </w:rPr>
        <w:t xml:space="preserve">, p. 29. </w:t>
      </w:r>
    </w:p>
  </w:footnote>
  <w:footnote w:id="144">
    <w:p w14:paraId="40BB1C7F" w14:textId="08AEE683" w:rsidR="00AE7EFC" w:rsidRPr="00D207CB" w:rsidRDefault="00AE7EFC" w:rsidP="00FF31BA">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OzTAM 5 City Metro | Consolidated 7 | Audience Measures for AFL Women’s | 2021-2022 | Sum total of network audience for each finals series game (excluding Grand Final). </w:t>
      </w:r>
    </w:p>
  </w:footnote>
  <w:footnote w:id="145">
    <w:p w14:paraId="2076B784" w14:textId="029A29AD"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OzTAM 5 City Metro | Consolidated 7 | Audience Measures for NRLW | 2022-2023. </w:t>
      </w:r>
    </w:p>
  </w:footnote>
  <w:footnote w:id="146">
    <w:p w14:paraId="47BD0ACD" w14:textId="6D8425D7"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OzTAM 5 City Metro | Consolidated 7 | Audience Measures for NRLW | 2022-2023 | sum total of network audience for each finals series game (excluding Grand Final). </w:t>
      </w:r>
    </w:p>
  </w:footnote>
  <w:footnote w:id="147">
    <w:p w14:paraId="1D8BAE89" w14:textId="1C00AEA1"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Ibid.</w:t>
      </w:r>
    </w:p>
  </w:footnote>
  <w:footnote w:id="148">
    <w:p w14:paraId="65FAAD63" w14:textId="2C48B33C" w:rsidR="00AE7EFC" w:rsidRPr="00FF31BA" w:rsidRDefault="00AE7EFC" w:rsidP="00D207CB">
      <w:pPr>
        <w:pStyle w:val="FootnoteText"/>
        <w:ind w:firstLine="0"/>
        <w:mirrorIndents/>
        <w:rPr>
          <w:sz w:val="16"/>
          <w:szCs w:val="16"/>
        </w:rPr>
      </w:pPr>
      <w:r w:rsidRPr="00FF31BA">
        <w:rPr>
          <w:rStyle w:val="FootnoteReference"/>
          <w:sz w:val="16"/>
          <w:szCs w:val="16"/>
        </w:rPr>
        <w:footnoteRef/>
      </w:r>
      <w:r w:rsidRPr="00FF31BA">
        <w:rPr>
          <w:sz w:val="16"/>
          <w:szCs w:val="16"/>
        </w:rPr>
        <w:t xml:space="preserve"> Sports Industry AU (2 June 2023), </w:t>
      </w:r>
      <w:hyperlink r:id="rId128" w:history="1">
        <w:r w:rsidRPr="00FF31BA">
          <w:rPr>
            <w:rStyle w:val="Hyperlink"/>
            <w:sz w:val="16"/>
            <w:szCs w:val="16"/>
          </w:rPr>
          <w:t>A record crowd and 919,000 tune in for Womens State of Origin I</w:t>
        </w:r>
      </w:hyperlink>
      <w:r>
        <w:rPr>
          <w:sz w:val="16"/>
          <w:szCs w:val="16"/>
        </w:rPr>
        <w:t>;</w:t>
      </w:r>
      <w:r w:rsidRPr="00FF31BA">
        <w:rPr>
          <w:sz w:val="16"/>
          <w:szCs w:val="16"/>
        </w:rPr>
        <w:t xml:space="preserve"> Media Week (23 June 2023) </w:t>
      </w:r>
      <w:hyperlink r:id="rId129" w:history="1">
        <w:r w:rsidRPr="00FF31BA">
          <w:rPr>
            <w:rStyle w:val="Hyperlink"/>
            <w:sz w:val="16"/>
            <w:szCs w:val="16"/>
          </w:rPr>
          <w:t>TV Ratings June 22, 2023: Game II of Women’s State of Origin saw NSW win, but QLD take the shield</w:t>
        </w:r>
      </w:hyperlink>
      <w:r w:rsidRPr="00D207CB">
        <w:rPr>
          <w:sz w:val="16"/>
          <w:szCs w:val="16"/>
        </w:rPr>
        <w:t>.</w:t>
      </w:r>
    </w:p>
  </w:footnote>
  <w:footnote w:id="149">
    <w:p w14:paraId="731BC53E" w14:textId="4EA427A1"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NRLW viewership reflects the average viewership across all matches in that year – Source: OzTAM 5 City Metro | Consolidated 7 | Audience Measures for NRLW | 2023. </w:t>
      </w:r>
    </w:p>
  </w:footnote>
  <w:footnote w:id="150">
    <w:p w14:paraId="2E5BB3F6" w14:textId="7E63C4FE"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Ibid. </w:t>
      </w:r>
    </w:p>
  </w:footnote>
  <w:footnote w:id="151">
    <w:p w14:paraId="02EB06C9" w14:textId="0A911931"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w:t>
      </w:r>
      <w:bookmarkStart w:id="170" w:name="_Hlk150763457"/>
      <w:r w:rsidRPr="00D207CB">
        <w:rPr>
          <w:sz w:val="16"/>
          <w:szCs w:val="16"/>
        </w:rPr>
        <w:t xml:space="preserve">AFLW Premiership viewership average reflects the average audience for all games played in a single timeslot that had the most games played in that year – Source: OzTAM 5 City Metro | Consolidated 7 | Audience Measures for AFLW | 2022. </w:t>
      </w:r>
      <w:bookmarkEnd w:id="170"/>
    </w:p>
  </w:footnote>
  <w:footnote w:id="152">
    <w:p w14:paraId="5E2FB4F0" w14:textId="754E29BD"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AFL (2022), </w:t>
      </w:r>
      <w:hyperlink r:id="rId130" w:history="1">
        <w:r w:rsidRPr="00D207CB">
          <w:rPr>
            <w:rStyle w:val="Hyperlink"/>
            <w:sz w:val="16"/>
            <w:szCs w:val="16"/>
          </w:rPr>
          <w:t>Seven years, $4.5b: AFL reveals HUGE new broadcast rights deal</w:t>
        </w:r>
      </w:hyperlink>
      <w:r w:rsidRPr="00D207CB">
        <w:rPr>
          <w:sz w:val="16"/>
          <w:szCs w:val="16"/>
        </w:rPr>
        <w:t>.</w:t>
      </w:r>
    </w:p>
  </w:footnote>
  <w:footnote w:id="153">
    <w:p w14:paraId="673D4B81" w14:textId="52A42E32"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NRL (2022), </w:t>
      </w:r>
      <w:hyperlink r:id="rId131" w:history="1">
        <w:r w:rsidRPr="00D207CB">
          <w:rPr>
            <w:rStyle w:val="Hyperlink"/>
            <w:sz w:val="16"/>
            <w:szCs w:val="16"/>
          </w:rPr>
          <w:t>Explainer: What broadcast deal means for the game</w:t>
        </w:r>
      </w:hyperlink>
      <w:r w:rsidRPr="00D207CB">
        <w:rPr>
          <w:sz w:val="16"/>
          <w:szCs w:val="16"/>
        </w:rPr>
        <w:t>.</w:t>
      </w:r>
    </w:p>
  </w:footnote>
  <w:footnote w:id="154">
    <w:p w14:paraId="3586786B" w14:textId="2FB77465" w:rsidR="00AE7EFC" w:rsidRPr="00D207CB" w:rsidRDefault="00AE7EFC" w:rsidP="00D207CB">
      <w:pPr>
        <w:pStyle w:val="FootnoteText"/>
        <w:ind w:firstLine="0"/>
        <w:mirrorIndents/>
        <w:rPr>
          <w:sz w:val="16"/>
          <w:szCs w:val="16"/>
        </w:rPr>
      </w:pPr>
      <w:r w:rsidRPr="00D207CB">
        <w:rPr>
          <w:rStyle w:val="FootnoteReference"/>
          <w:sz w:val="16"/>
          <w:szCs w:val="16"/>
        </w:rPr>
        <w:footnoteRef/>
      </w:r>
      <w:r w:rsidRPr="00D207CB">
        <w:rPr>
          <w:sz w:val="16"/>
          <w:szCs w:val="16"/>
        </w:rPr>
        <w:t xml:space="preserve"> </w:t>
      </w:r>
      <w:r w:rsidRPr="001C465D">
        <w:rPr>
          <w:sz w:val="16"/>
          <w:szCs w:val="16"/>
        </w:rPr>
        <w:t xml:space="preserve">Nine for Brands (27 April 2023), </w:t>
      </w:r>
      <w:hyperlink r:id="rId132" w:history="1">
        <w:r w:rsidRPr="001C465D">
          <w:rPr>
            <w:rStyle w:val="Hyperlink"/>
            <w:sz w:val="16"/>
            <w:szCs w:val="16"/>
          </w:rPr>
          <w:t>Nine to broadcast every NRLW game live and free in 2023</w:t>
        </w:r>
      </w:hyperlink>
      <w:r>
        <w:rPr>
          <w:sz w:val="16"/>
          <w:szCs w:val="16"/>
        </w:rPr>
        <w:t xml:space="preserve">; </w:t>
      </w:r>
      <w:r w:rsidRPr="0050088C">
        <w:rPr>
          <w:sz w:val="16"/>
          <w:szCs w:val="16"/>
        </w:rPr>
        <w:t>Nine for Brands (</w:t>
      </w:r>
      <w:r>
        <w:rPr>
          <w:sz w:val="16"/>
          <w:szCs w:val="16"/>
        </w:rPr>
        <w:t>13</w:t>
      </w:r>
      <w:r w:rsidRPr="0050088C">
        <w:rPr>
          <w:sz w:val="16"/>
          <w:szCs w:val="16"/>
        </w:rPr>
        <w:t xml:space="preserve"> </w:t>
      </w:r>
      <w:r>
        <w:rPr>
          <w:sz w:val="16"/>
          <w:szCs w:val="16"/>
        </w:rPr>
        <w:t>November</w:t>
      </w:r>
      <w:r w:rsidRPr="0050088C">
        <w:rPr>
          <w:sz w:val="16"/>
          <w:szCs w:val="16"/>
        </w:rPr>
        <w:t xml:space="preserve"> 2023), </w:t>
      </w:r>
      <w:hyperlink r:id="rId133" w:history="1">
        <w:r w:rsidRPr="00D72D36">
          <w:rPr>
            <w:rStyle w:val="Hyperlink"/>
            <w:sz w:val="16"/>
            <w:szCs w:val="16"/>
          </w:rPr>
          <w:t>Nine is the home of women’s rugby league from 2024</w:t>
        </w:r>
      </w:hyperlink>
      <w:r>
        <w:rPr>
          <w:sz w:val="16"/>
          <w:szCs w:val="16"/>
        </w:rPr>
        <w:t>.</w:t>
      </w:r>
    </w:p>
  </w:footnote>
  <w:footnote w:id="155">
    <w:p w14:paraId="63C9A4A4" w14:textId="7C10BC9D"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Seven West Media (21 August 2023), </w:t>
      </w:r>
      <w:hyperlink r:id="rId134" w:history="1">
        <w:r w:rsidRPr="00D207CB">
          <w:rPr>
            <w:rStyle w:val="Hyperlink"/>
            <w:sz w:val="16"/>
            <w:szCs w:val="16"/>
          </w:rPr>
          <w:t>Media release, FIFA Women’s World Cup 2023™ draws 18.6m</w:t>
        </w:r>
      </w:hyperlink>
      <w:r w:rsidRPr="00D207CB">
        <w:rPr>
          <w:sz w:val="16"/>
          <w:szCs w:val="16"/>
        </w:rPr>
        <w:t>.</w:t>
      </w:r>
    </w:p>
  </w:footnote>
  <w:footnote w:id="156">
    <w:p w14:paraId="4DCBD274" w14:textId="2920DF9A"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SBS (10 November 2023), </w:t>
      </w:r>
      <w:hyperlink r:id="rId135" w:history="1">
        <w:r w:rsidRPr="00D207CB">
          <w:rPr>
            <w:rStyle w:val="Hyperlink"/>
            <w:sz w:val="16"/>
            <w:szCs w:val="16"/>
          </w:rPr>
          <w:t>Everything you need to know about the FIFA World Cup 2026™ LIVE and FREE on SBS</w:t>
        </w:r>
      </w:hyperlink>
      <w:r w:rsidRPr="00D207CB">
        <w:rPr>
          <w:sz w:val="16"/>
          <w:szCs w:val="16"/>
        </w:rPr>
        <w:t>.</w:t>
      </w:r>
    </w:p>
  </w:footnote>
  <w:footnote w:id="157">
    <w:p w14:paraId="34B2DB8F" w14:textId="77777777" w:rsidR="00AE7EFC" w:rsidRPr="00D207CB" w:rsidRDefault="00AE7EFC" w:rsidP="00D207CB">
      <w:pPr>
        <w:pStyle w:val="FootnoteText"/>
        <w:ind w:left="0" w:firstLine="0"/>
        <w:mirrorIndents/>
        <w:rPr>
          <w:sz w:val="16"/>
          <w:szCs w:val="16"/>
          <w:lang w:val="en-US"/>
        </w:rPr>
      </w:pPr>
      <w:r w:rsidRPr="00D207CB">
        <w:rPr>
          <w:rStyle w:val="FootnoteReference"/>
          <w:sz w:val="16"/>
          <w:szCs w:val="16"/>
        </w:rPr>
        <w:footnoteRef/>
      </w:r>
      <w:r w:rsidRPr="00D207CB">
        <w:rPr>
          <w:sz w:val="16"/>
          <w:szCs w:val="16"/>
        </w:rPr>
        <w:t xml:space="preserve"> </w:t>
      </w:r>
      <w:r w:rsidRPr="00D207CB">
        <w:rPr>
          <w:sz w:val="16"/>
          <w:szCs w:val="16"/>
          <w:lang w:val="en-US"/>
        </w:rPr>
        <w:t xml:space="preserve">Optus Sport (3 August 2021), </w:t>
      </w:r>
      <w:hyperlink r:id="rId136" w:history="1">
        <w:r w:rsidRPr="00D207CB">
          <w:rPr>
            <w:rStyle w:val="Hyperlink"/>
            <w:sz w:val="16"/>
            <w:szCs w:val="16"/>
            <w:lang w:val="en-US"/>
          </w:rPr>
          <w:t>Optus Sport secures media rights to the FIFA Women’s World Cup 2023</w:t>
        </w:r>
      </w:hyperlink>
      <w:r w:rsidRPr="00D207CB">
        <w:rPr>
          <w:sz w:val="16"/>
          <w:szCs w:val="16"/>
          <w:lang w:val="en-US"/>
        </w:rPr>
        <w:t>.</w:t>
      </w:r>
    </w:p>
  </w:footnote>
  <w:footnote w:id="158">
    <w:p w14:paraId="4C9DC33B" w14:textId="77777777"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7news.com.au (31 October 2022), </w:t>
      </w:r>
      <w:hyperlink r:id="rId137" w:history="1">
        <w:r w:rsidRPr="00D207CB">
          <w:rPr>
            <w:rStyle w:val="Hyperlink"/>
            <w:sz w:val="16"/>
            <w:szCs w:val="16"/>
          </w:rPr>
          <w:t>Women’s World Cup live and free on Seven and 7plus in 2023, Matildas match times and venues revealed</w:t>
        </w:r>
      </w:hyperlink>
      <w:r w:rsidRPr="00D207CB">
        <w:rPr>
          <w:sz w:val="16"/>
          <w:szCs w:val="16"/>
        </w:rPr>
        <w:t>.</w:t>
      </w:r>
    </w:p>
  </w:footnote>
  <w:footnote w:id="159">
    <w:p w14:paraId="1D575859" w14:textId="514C095D"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Source: OzTAM 5 City Metro | Consolidated 7 | Audience Measures for Billie Jean King Cup Tennis| 2021. </w:t>
      </w:r>
    </w:p>
  </w:footnote>
  <w:footnote w:id="160">
    <w:p w14:paraId="041CF9B0" w14:textId="5EED7C59"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Source: OzTAM 5 City Metro | Consolidated 7 | Audience Measures for Super W| 2022. </w:t>
      </w:r>
    </w:p>
    <w:p w14:paraId="17C8E248" w14:textId="0A97FEF7" w:rsidR="00AE7EFC" w:rsidRPr="00D207CB" w:rsidRDefault="00AE7EFC" w:rsidP="00D207CB">
      <w:pPr>
        <w:pStyle w:val="FootnoteText"/>
        <w:ind w:firstLine="0"/>
        <w:mirrorIndents/>
        <w:rPr>
          <w:sz w:val="16"/>
          <w:szCs w:val="16"/>
        </w:rPr>
      </w:pPr>
    </w:p>
  </w:footnote>
  <w:footnote w:id="161">
    <w:p w14:paraId="0755475F" w14:textId="6FA780D4" w:rsidR="00AE7EFC" w:rsidRDefault="00AE7EFC">
      <w:pPr>
        <w:pStyle w:val="FootnoteText"/>
      </w:pPr>
      <w:r>
        <w:rPr>
          <w:rStyle w:val="FootnoteReference"/>
        </w:rPr>
        <w:footnoteRef/>
      </w:r>
      <w:r>
        <w:t xml:space="preserve"> </w:t>
      </w:r>
      <w:r>
        <w:rPr>
          <w:color w:val="auto"/>
          <w:sz w:val="16"/>
          <w:szCs w:val="16"/>
          <w:lang w:val="en-US"/>
        </w:rPr>
        <w:t>DITRDCA</w:t>
      </w:r>
      <w:r w:rsidRPr="00D207CB">
        <w:rPr>
          <w:color w:val="auto"/>
          <w:sz w:val="16"/>
          <w:szCs w:val="16"/>
          <w:lang w:val="en-US"/>
        </w:rPr>
        <w:t xml:space="preserve"> (2022), </w:t>
      </w:r>
      <w:hyperlink r:id="rId138" w:history="1">
        <w:r w:rsidRPr="00D207CB">
          <w:rPr>
            <w:rStyle w:val="Hyperlink"/>
            <w:sz w:val="16"/>
            <w:szCs w:val="16"/>
            <w:lang w:val="en-US"/>
          </w:rPr>
          <w:t>Review of the anti-siphoning scheme: Consultation paper</w:t>
        </w:r>
      </w:hyperlink>
      <w:r>
        <w:rPr>
          <w:sz w:val="16"/>
          <w:szCs w:val="16"/>
          <w:lang w:val="en-US"/>
        </w:rPr>
        <w:t>.</w:t>
      </w:r>
    </w:p>
  </w:footnote>
  <w:footnote w:id="162">
    <w:p w14:paraId="3709B3B4" w14:textId="5E28BD94" w:rsidR="00AE7EFC" w:rsidRDefault="00AE7EFC">
      <w:pPr>
        <w:pStyle w:val="FootnoteText"/>
      </w:pPr>
      <w:r>
        <w:rPr>
          <w:rStyle w:val="FootnoteReference"/>
        </w:rPr>
        <w:footnoteRef/>
      </w:r>
      <w:r>
        <w:t xml:space="preserve"> </w:t>
      </w:r>
      <w:r>
        <w:rPr>
          <w:color w:val="auto"/>
          <w:sz w:val="16"/>
          <w:szCs w:val="16"/>
          <w:lang w:val="en-US"/>
        </w:rPr>
        <w:t>DITRDCA</w:t>
      </w:r>
      <w:r w:rsidRPr="00D207CB">
        <w:rPr>
          <w:color w:val="auto"/>
          <w:sz w:val="16"/>
          <w:szCs w:val="16"/>
          <w:lang w:val="en-US"/>
        </w:rPr>
        <w:t xml:space="preserve"> (2023)</w:t>
      </w:r>
      <w:r>
        <w:rPr>
          <w:color w:val="auto"/>
          <w:sz w:val="16"/>
          <w:szCs w:val="16"/>
          <w:lang w:val="en-US"/>
        </w:rPr>
        <w:t>,</w:t>
      </w:r>
      <w:r w:rsidRPr="00D207CB">
        <w:rPr>
          <w:color w:val="auto"/>
          <w:sz w:val="16"/>
          <w:szCs w:val="16"/>
          <w:lang w:val="en-US"/>
        </w:rPr>
        <w:t xml:space="preserve"> </w:t>
      </w:r>
      <w:hyperlink r:id="rId139" w:history="1">
        <w:r w:rsidRPr="00D207CB">
          <w:rPr>
            <w:rStyle w:val="Hyperlink"/>
            <w:sz w:val="16"/>
            <w:szCs w:val="16"/>
          </w:rPr>
          <w:t>Anti-siphoning Review - Proposals Paper</w:t>
        </w:r>
      </w:hyperlink>
      <w:r w:rsidRPr="00D207CB">
        <w:rPr>
          <w:sz w:val="16"/>
          <w:szCs w:val="16"/>
        </w:rPr>
        <w:t>.</w:t>
      </w:r>
    </w:p>
  </w:footnote>
  <w:footnote w:id="163">
    <w:p w14:paraId="190E906F" w14:textId="7AB20C8E" w:rsidR="00AE7EFC" w:rsidRPr="00D207CB" w:rsidRDefault="00AE7EFC" w:rsidP="00D207CB">
      <w:pPr>
        <w:pStyle w:val="FootnoteText"/>
        <w:ind w:left="0" w:firstLine="0"/>
        <w:mirrorIndents/>
        <w:rPr>
          <w:sz w:val="16"/>
          <w:szCs w:val="16"/>
        </w:rPr>
      </w:pPr>
      <w:r w:rsidRPr="00D207CB">
        <w:rPr>
          <w:rStyle w:val="FootnoteReference"/>
          <w:sz w:val="16"/>
          <w:szCs w:val="16"/>
        </w:rPr>
        <w:footnoteRef/>
      </w:r>
      <w:r w:rsidRPr="00D207CB">
        <w:rPr>
          <w:sz w:val="16"/>
          <w:szCs w:val="16"/>
        </w:rPr>
        <w:t xml:space="preserve"> Australian Broadcasting Corporation (2023), </w:t>
      </w:r>
      <w:hyperlink r:id="rId140" w:history="1">
        <w:r w:rsidRPr="00D207CB">
          <w:rPr>
            <w:rStyle w:val="Hyperlink"/>
            <w:sz w:val="16"/>
            <w:szCs w:val="16"/>
          </w:rPr>
          <w:t>Submission to the Anti-siphoning review – proposals paper</w:t>
        </w:r>
      </w:hyperlink>
      <w:r w:rsidRPr="00D207CB">
        <w:rPr>
          <w:sz w:val="16"/>
          <w:szCs w:val="16"/>
        </w:rPr>
        <w:t xml:space="preserve">, p. 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4ADC" w14:textId="5F8A3634" w:rsidR="00AE7EFC" w:rsidRDefault="00B81883" w:rsidP="00D87AD8">
    <w:pPr>
      <w:pStyle w:val="Header"/>
      <w:spacing w:after="1320"/>
      <w:jc w:val="left"/>
    </w:pPr>
    <w:fldSimple w:instr=" STYLEREF  &quot;Heading 1&quot;  \* MERGEFORMAT ">
      <w:r w:rsidR="0037178B">
        <w:rPr>
          <w:noProof/>
        </w:rPr>
        <w:t>Summary</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6BA" w14:textId="77777777" w:rsidR="00AE7EFC" w:rsidRDefault="00AE7EFC"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5F0" w14:textId="77777777" w:rsidR="003811A5" w:rsidRDefault="003811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7535" w14:textId="1925D5FF" w:rsidR="00AE7EFC" w:rsidRDefault="00AE7EFC" w:rsidP="00BA24FB">
    <w:pPr>
      <w:pStyle w:val="SecurityMark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744A" w14:textId="13C3D74C" w:rsidR="00AE7EFC" w:rsidRDefault="00AE7EFC" w:rsidP="00BA24FB">
    <w:pPr>
      <w:pStyle w:val="SecurityMarker"/>
    </w:pPr>
  </w:p>
  <w:p w14:paraId="10A7EC6A" w14:textId="5D3FA51E" w:rsidR="00AE7EFC" w:rsidRDefault="00B81883" w:rsidP="00BA24FB">
    <w:pPr>
      <w:pStyle w:val="Header"/>
      <w:spacing w:after="720"/>
    </w:pPr>
    <w:fldSimple w:instr=" STYLEREF  &quot;Heading 1&quot; \l  \* MERGEFORMAT ">
      <w:r w:rsidR="0037178B">
        <w:rPr>
          <w:noProof/>
        </w:rPr>
        <w:t>Summary</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405"/>
    <w:multiLevelType w:val="hybridMultilevel"/>
    <w:tmpl w:val="D812D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413FF2"/>
    <w:multiLevelType w:val="hybridMultilevel"/>
    <w:tmpl w:val="D9726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217768"/>
    <w:multiLevelType w:val="hybridMultilevel"/>
    <w:tmpl w:val="16F64ED4"/>
    <w:lvl w:ilvl="0" w:tplc="17102E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E55CC"/>
    <w:multiLevelType w:val="hybridMultilevel"/>
    <w:tmpl w:val="89DAD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433B7E"/>
    <w:multiLevelType w:val="hybridMultilevel"/>
    <w:tmpl w:val="013EE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810F33"/>
    <w:multiLevelType w:val="hybridMultilevel"/>
    <w:tmpl w:val="9932B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621AED"/>
    <w:multiLevelType w:val="multilevel"/>
    <w:tmpl w:val="C2EED61A"/>
    <w:numStyleLink w:val="NumberedHeadings"/>
  </w:abstractNum>
  <w:abstractNum w:abstractNumId="8" w15:restartNumberingAfterBreak="0">
    <w:nsid w:val="127674B0"/>
    <w:multiLevelType w:val="hybridMultilevel"/>
    <w:tmpl w:val="89CAA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274C1C"/>
    <w:multiLevelType w:val="hybridMultilevel"/>
    <w:tmpl w:val="0AA01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93560A"/>
    <w:multiLevelType w:val="hybridMultilevel"/>
    <w:tmpl w:val="4EE62F38"/>
    <w:lvl w:ilvl="0" w:tplc="0C09000F">
      <w:start w:val="1"/>
      <w:numFmt w:val="decimal"/>
      <w:lvlText w:val="%1."/>
      <w:lvlJc w:val="left"/>
      <w:pPr>
        <w:ind w:left="360" w:hanging="360"/>
      </w:pPr>
    </w:lvl>
    <w:lvl w:ilvl="1" w:tplc="883E471A">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7A4A14"/>
    <w:multiLevelType w:val="hybridMultilevel"/>
    <w:tmpl w:val="59441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E62ED"/>
    <w:multiLevelType w:val="hybridMultilevel"/>
    <w:tmpl w:val="E466A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746785"/>
    <w:multiLevelType w:val="hybridMultilevel"/>
    <w:tmpl w:val="3FBE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2A45FF"/>
    <w:multiLevelType w:val="hybridMultilevel"/>
    <w:tmpl w:val="3A6E0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9D87483"/>
    <w:multiLevelType w:val="hybridMultilevel"/>
    <w:tmpl w:val="0E961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CA51B8"/>
    <w:multiLevelType w:val="hybridMultilevel"/>
    <w:tmpl w:val="7EFAD6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EB154B"/>
    <w:multiLevelType w:val="hybridMultilevel"/>
    <w:tmpl w:val="DB306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304560"/>
    <w:multiLevelType w:val="hybridMultilevel"/>
    <w:tmpl w:val="729EA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820CB1"/>
    <w:multiLevelType w:val="hybridMultilevel"/>
    <w:tmpl w:val="729EAFC8"/>
    <w:styleLink w:val="ListNumberLevel1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A73656"/>
    <w:multiLevelType w:val="hybridMultilevel"/>
    <w:tmpl w:val="626A0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4E651F"/>
    <w:multiLevelType w:val="hybridMultilevel"/>
    <w:tmpl w:val="404C0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D8656F"/>
    <w:multiLevelType w:val="hybridMultilevel"/>
    <w:tmpl w:val="C5586924"/>
    <w:lvl w:ilvl="0" w:tplc="CAD00A66">
      <w:start w:val="1"/>
      <w:numFmt w:val="decimal"/>
      <w:lvlText w:val="%1."/>
      <w:lvlJc w:val="left"/>
      <w:pPr>
        <w:ind w:left="360" w:hanging="360"/>
      </w:pPr>
      <w:rPr>
        <w:rFonts w:hint="default"/>
        <w:b w:val="0"/>
        <w:i w:val="0"/>
        <w:color w:val="auto"/>
      </w:rPr>
    </w:lvl>
    <w:lvl w:ilvl="1" w:tplc="5A1A1DBA" w:tentative="1">
      <w:start w:val="1"/>
      <w:numFmt w:val="lowerLetter"/>
      <w:lvlText w:val="%2."/>
      <w:lvlJc w:val="left"/>
      <w:pPr>
        <w:ind w:left="1080" w:hanging="360"/>
      </w:pPr>
    </w:lvl>
    <w:lvl w:ilvl="2" w:tplc="EDA0C1CC" w:tentative="1">
      <w:start w:val="1"/>
      <w:numFmt w:val="lowerRoman"/>
      <w:lvlText w:val="%3."/>
      <w:lvlJc w:val="right"/>
      <w:pPr>
        <w:ind w:left="1800" w:hanging="180"/>
      </w:pPr>
    </w:lvl>
    <w:lvl w:ilvl="3" w:tplc="6AD6FF3E" w:tentative="1">
      <w:start w:val="1"/>
      <w:numFmt w:val="decimal"/>
      <w:lvlText w:val="%4."/>
      <w:lvlJc w:val="left"/>
      <w:pPr>
        <w:ind w:left="2520" w:hanging="360"/>
      </w:pPr>
    </w:lvl>
    <w:lvl w:ilvl="4" w:tplc="95C068FE" w:tentative="1">
      <w:start w:val="1"/>
      <w:numFmt w:val="lowerLetter"/>
      <w:lvlText w:val="%5."/>
      <w:lvlJc w:val="left"/>
      <w:pPr>
        <w:ind w:left="3240" w:hanging="360"/>
      </w:pPr>
    </w:lvl>
    <w:lvl w:ilvl="5" w:tplc="4C92D2D8" w:tentative="1">
      <w:start w:val="1"/>
      <w:numFmt w:val="lowerRoman"/>
      <w:lvlText w:val="%6."/>
      <w:lvlJc w:val="right"/>
      <w:pPr>
        <w:ind w:left="3960" w:hanging="180"/>
      </w:pPr>
    </w:lvl>
    <w:lvl w:ilvl="6" w:tplc="5B4C0628" w:tentative="1">
      <w:start w:val="1"/>
      <w:numFmt w:val="decimal"/>
      <w:lvlText w:val="%7."/>
      <w:lvlJc w:val="left"/>
      <w:pPr>
        <w:ind w:left="4680" w:hanging="360"/>
      </w:pPr>
    </w:lvl>
    <w:lvl w:ilvl="7" w:tplc="6BE0F518" w:tentative="1">
      <w:start w:val="1"/>
      <w:numFmt w:val="lowerLetter"/>
      <w:lvlText w:val="%8."/>
      <w:lvlJc w:val="left"/>
      <w:pPr>
        <w:ind w:left="5400" w:hanging="360"/>
      </w:pPr>
    </w:lvl>
    <w:lvl w:ilvl="8" w:tplc="5F0828A2" w:tentative="1">
      <w:start w:val="1"/>
      <w:numFmt w:val="lowerRoman"/>
      <w:lvlText w:val="%9."/>
      <w:lvlJc w:val="right"/>
      <w:pPr>
        <w:ind w:left="6120" w:hanging="180"/>
      </w:pPr>
    </w:lvl>
  </w:abstractNum>
  <w:abstractNum w:abstractNumId="24" w15:restartNumberingAfterBreak="0">
    <w:nsid w:val="363602F2"/>
    <w:multiLevelType w:val="hybridMultilevel"/>
    <w:tmpl w:val="6A5A5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032B89"/>
    <w:multiLevelType w:val="hybridMultilevel"/>
    <w:tmpl w:val="E34A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997BDB"/>
    <w:multiLevelType w:val="hybridMultilevel"/>
    <w:tmpl w:val="971E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A51938"/>
    <w:multiLevelType w:val="multilevel"/>
    <w:tmpl w:val="298C34E4"/>
    <w:numStyleLink w:val="AppendixNumbers"/>
  </w:abstractNum>
  <w:abstractNum w:abstractNumId="28" w15:restartNumberingAfterBreak="0">
    <w:nsid w:val="3B4509EE"/>
    <w:multiLevelType w:val="hybridMultilevel"/>
    <w:tmpl w:val="205E0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4327791"/>
    <w:multiLevelType w:val="hybridMultilevel"/>
    <w:tmpl w:val="3DECD6A2"/>
    <w:lvl w:ilvl="0" w:tplc="269C9E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4FD30FB3"/>
    <w:multiLevelType w:val="hybridMultilevel"/>
    <w:tmpl w:val="F6ACE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870BEA"/>
    <w:multiLevelType w:val="hybridMultilevel"/>
    <w:tmpl w:val="5FE43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C7C5C3D"/>
    <w:multiLevelType w:val="multilevel"/>
    <w:tmpl w:val="4B5A47B2"/>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3D4097"/>
    <w:multiLevelType w:val="hybridMultilevel"/>
    <w:tmpl w:val="29D67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D4327B0"/>
    <w:multiLevelType w:val="hybridMultilevel"/>
    <w:tmpl w:val="948C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9F05A4"/>
    <w:multiLevelType w:val="hybridMultilevel"/>
    <w:tmpl w:val="43AEF6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60C83104"/>
    <w:multiLevelType w:val="hybridMultilevel"/>
    <w:tmpl w:val="47261466"/>
    <w:lvl w:ilvl="0" w:tplc="BFDCD56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031C51"/>
    <w:multiLevelType w:val="hybridMultilevel"/>
    <w:tmpl w:val="FFE69F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44D375C"/>
    <w:multiLevelType w:val="hybridMultilevel"/>
    <w:tmpl w:val="E85A6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4A73554"/>
    <w:multiLevelType w:val="hybridMultilevel"/>
    <w:tmpl w:val="2E54B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E56A67"/>
    <w:multiLevelType w:val="hybridMultilevel"/>
    <w:tmpl w:val="8D989B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65733E43"/>
    <w:multiLevelType w:val="hybridMultilevel"/>
    <w:tmpl w:val="3ACC147C"/>
    <w:lvl w:ilvl="0" w:tplc="7DB88C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322417"/>
    <w:multiLevelType w:val="hybridMultilevel"/>
    <w:tmpl w:val="74A2ED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68A84E25"/>
    <w:multiLevelType w:val="hybridMultilevel"/>
    <w:tmpl w:val="54D02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907610"/>
    <w:multiLevelType w:val="hybridMultilevel"/>
    <w:tmpl w:val="20D4AD04"/>
    <w:lvl w:ilvl="0" w:tplc="0C090001">
      <w:start w:val="1"/>
      <w:numFmt w:val="bullet"/>
      <w:lvlText w:val=""/>
      <w:lvlJc w:val="left"/>
      <w:pPr>
        <w:ind w:left="360" w:hanging="360"/>
      </w:pPr>
      <w:rPr>
        <w:rFonts w:ascii="Symbol" w:hAnsi="Symbol" w:hint="default"/>
      </w:rPr>
    </w:lvl>
    <w:lvl w:ilvl="1" w:tplc="6738352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B9B6184"/>
    <w:multiLevelType w:val="hybridMultilevel"/>
    <w:tmpl w:val="C408D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BD352D0"/>
    <w:multiLevelType w:val="hybridMultilevel"/>
    <w:tmpl w:val="8DD228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0" w15:restartNumberingAfterBreak="0">
    <w:nsid w:val="6FAF64D6"/>
    <w:multiLevelType w:val="hybridMultilevel"/>
    <w:tmpl w:val="55482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FF017DD"/>
    <w:multiLevelType w:val="hybridMultilevel"/>
    <w:tmpl w:val="0E1823DE"/>
    <w:lvl w:ilvl="0" w:tplc="0C090017">
      <w:start w:val="1"/>
      <w:numFmt w:val="lowerLetter"/>
      <w:lvlText w:val="%1)"/>
      <w:lvlJc w:val="left"/>
      <w:pPr>
        <w:ind w:left="720" w:hanging="360"/>
      </w:pPr>
      <w:rPr>
        <w:rFonts w:hint="default"/>
      </w:rPr>
    </w:lvl>
    <w:lvl w:ilvl="1" w:tplc="BFDCD564">
      <w:numFmt w:val="bullet"/>
      <w:lvlText w:val="-"/>
      <w:lvlJc w:val="left"/>
      <w:pPr>
        <w:ind w:left="36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522B6C"/>
    <w:multiLevelType w:val="hybridMultilevel"/>
    <w:tmpl w:val="3D16D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2DD617A"/>
    <w:multiLevelType w:val="hybridMultilevel"/>
    <w:tmpl w:val="8828D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4A52701"/>
    <w:multiLevelType w:val="hybridMultilevel"/>
    <w:tmpl w:val="3B7A4544"/>
    <w:lvl w:ilvl="0" w:tplc="81BC9044">
      <w:start w:val="5"/>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6306F33"/>
    <w:multiLevelType w:val="hybridMultilevel"/>
    <w:tmpl w:val="765AD11A"/>
    <w:lvl w:ilvl="0" w:tplc="81BC90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7AF4319"/>
    <w:multiLevelType w:val="hybridMultilevel"/>
    <w:tmpl w:val="98602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7E00B95"/>
    <w:multiLevelType w:val="hybridMultilevel"/>
    <w:tmpl w:val="5742143A"/>
    <w:lvl w:ilvl="0" w:tplc="81BC90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91205F0"/>
    <w:multiLevelType w:val="hybridMultilevel"/>
    <w:tmpl w:val="A32A2D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9551003"/>
    <w:multiLevelType w:val="hybridMultilevel"/>
    <w:tmpl w:val="0982FE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0" w15:restartNumberingAfterBreak="0">
    <w:nsid w:val="7A4453E1"/>
    <w:multiLevelType w:val="hybridMultilevel"/>
    <w:tmpl w:val="66DA1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A793654"/>
    <w:multiLevelType w:val="hybridMultilevel"/>
    <w:tmpl w:val="A32A2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CF91FFC"/>
    <w:multiLevelType w:val="hybridMultilevel"/>
    <w:tmpl w:val="56DC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E125482"/>
    <w:multiLevelType w:val="hybridMultilevel"/>
    <w:tmpl w:val="67664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0"/>
  </w:num>
  <w:num w:numId="2">
    <w:abstractNumId w:val="64"/>
  </w:num>
  <w:num w:numId="3">
    <w:abstractNumId w:val="1"/>
  </w:num>
  <w:num w:numId="4">
    <w:abstractNumId w:val="29"/>
  </w:num>
  <w:num w:numId="5">
    <w:abstractNumId w:val="7"/>
    <w:lvlOverride w:ilvl="1">
      <w:lvl w:ilvl="1">
        <w:start w:val="1"/>
        <w:numFmt w:val="decimal"/>
        <w:pStyle w:val="Heading2Numbered"/>
        <w:lvlText w:val="%1.%2"/>
        <w:lvlJc w:val="left"/>
        <w:pPr>
          <w:ind w:left="851" w:hanging="851"/>
        </w:pPr>
        <w:rPr>
          <w:rFonts w:hint="default"/>
          <w:sz w:val="22"/>
          <w:szCs w:val="22"/>
        </w:rPr>
      </w:lvl>
    </w:lvlOverride>
  </w:num>
  <w:num w:numId="6">
    <w:abstractNumId w:val="20"/>
  </w:num>
  <w:num w:numId="7">
    <w:abstractNumId w:val="27"/>
  </w:num>
  <w:num w:numId="8">
    <w:abstractNumId w:val="39"/>
  </w:num>
  <w:num w:numId="9">
    <w:abstractNumId w:val="39"/>
  </w:num>
  <w:num w:numId="10">
    <w:abstractNumId w:val="8"/>
  </w:num>
  <w:num w:numId="11">
    <w:abstractNumId w:val="21"/>
  </w:num>
  <w:num w:numId="12">
    <w:abstractNumId w:val="40"/>
  </w:num>
  <w:num w:numId="13">
    <w:abstractNumId w:val="58"/>
  </w:num>
  <w:num w:numId="14">
    <w:abstractNumId w:val="11"/>
  </w:num>
  <w:num w:numId="15">
    <w:abstractNumId w:val="32"/>
  </w:num>
  <w:num w:numId="16">
    <w:abstractNumId w:val="56"/>
  </w:num>
  <w:num w:numId="17">
    <w:abstractNumId w:val="16"/>
  </w:num>
  <w:num w:numId="18">
    <w:abstractNumId w:val="24"/>
  </w:num>
  <w:num w:numId="19">
    <w:abstractNumId w:val="0"/>
  </w:num>
  <w:num w:numId="20">
    <w:abstractNumId w:val="48"/>
  </w:num>
  <w:num w:numId="21">
    <w:abstractNumId w:val="9"/>
  </w:num>
  <w:num w:numId="22">
    <w:abstractNumId w:val="4"/>
  </w:num>
  <w:num w:numId="23">
    <w:abstractNumId w:val="28"/>
  </w:num>
  <w:num w:numId="24">
    <w:abstractNumId w:val="17"/>
  </w:num>
  <w:num w:numId="25">
    <w:abstractNumId w:val="12"/>
  </w:num>
  <w:num w:numId="26">
    <w:abstractNumId w:val="52"/>
  </w:num>
  <w:num w:numId="27">
    <w:abstractNumId w:val="38"/>
  </w:num>
  <w:num w:numId="28">
    <w:abstractNumId w:val="15"/>
  </w:num>
  <w:num w:numId="29">
    <w:abstractNumId w:val="10"/>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59"/>
  </w:num>
  <w:num w:numId="33">
    <w:abstractNumId w:val="43"/>
  </w:num>
  <w:num w:numId="34">
    <w:abstractNumId w:val="51"/>
  </w:num>
  <w:num w:numId="35">
    <w:abstractNumId w:val="22"/>
  </w:num>
  <w:num w:numId="36">
    <w:abstractNumId w:val="18"/>
  </w:num>
  <w:num w:numId="37">
    <w:abstractNumId w:val="61"/>
  </w:num>
  <w:num w:numId="38">
    <w:abstractNumId w:val="41"/>
  </w:num>
  <w:num w:numId="39">
    <w:abstractNumId w:val="19"/>
  </w:num>
  <w:num w:numId="40">
    <w:abstractNumId w:val="23"/>
  </w:num>
  <w:num w:numId="41">
    <w:abstractNumId w:val="47"/>
  </w:num>
  <w:num w:numId="42">
    <w:abstractNumId w:val="62"/>
  </w:num>
  <w:num w:numId="43">
    <w:abstractNumId w:val="30"/>
  </w:num>
  <w:num w:numId="44">
    <w:abstractNumId w:val="31"/>
  </w:num>
  <w:num w:numId="45">
    <w:abstractNumId w:val="30"/>
  </w:num>
  <w:num w:numId="46">
    <w:abstractNumId w:val="30"/>
  </w:num>
  <w:num w:numId="47">
    <w:abstractNumId w:val="30"/>
  </w:num>
  <w:num w:numId="48">
    <w:abstractNumId w:val="30"/>
  </w:num>
  <w:num w:numId="49">
    <w:abstractNumId w:val="54"/>
  </w:num>
  <w:num w:numId="50">
    <w:abstractNumId w:val="55"/>
  </w:num>
  <w:num w:numId="51">
    <w:abstractNumId w:val="57"/>
  </w:num>
  <w:num w:numId="52">
    <w:abstractNumId w:val="8"/>
  </w:num>
  <w:num w:numId="53">
    <w:abstractNumId w:val="40"/>
  </w:num>
  <w:num w:numId="54">
    <w:abstractNumId w:val="3"/>
  </w:num>
  <w:num w:numId="55">
    <w:abstractNumId w:val="33"/>
  </w:num>
  <w:num w:numId="56">
    <w:abstractNumId w:val="42"/>
  </w:num>
  <w:num w:numId="57">
    <w:abstractNumId w:val="49"/>
  </w:num>
  <w:num w:numId="58">
    <w:abstractNumId w:val="3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9">
    <w:abstractNumId w:val="3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6"/>
  </w:num>
  <w:num w:numId="63">
    <w:abstractNumId w:val="36"/>
  </w:num>
  <w:num w:numId="64">
    <w:abstractNumId w:val="13"/>
  </w:num>
  <w:num w:numId="65">
    <w:abstractNumId w:val="37"/>
  </w:num>
  <w:num w:numId="66">
    <w:abstractNumId w:val="2"/>
  </w:num>
  <w:num w:numId="67">
    <w:abstractNumId w:val="63"/>
  </w:num>
  <w:num w:numId="68">
    <w:abstractNumId w:val="25"/>
  </w:num>
  <w:num w:numId="69">
    <w:abstractNumId w:val="33"/>
  </w:num>
  <w:num w:numId="70">
    <w:abstractNumId w:val="44"/>
  </w:num>
  <w:num w:numId="71">
    <w:abstractNumId w:val="5"/>
  </w:num>
  <w:num w:numId="72">
    <w:abstractNumId w:val="26"/>
  </w:num>
  <w:num w:numId="73">
    <w:abstractNumId w:val="35"/>
  </w:num>
  <w:num w:numId="74">
    <w:abstractNumId w:val="60"/>
  </w:num>
  <w:num w:numId="75">
    <w:abstractNumId w:val="14"/>
  </w:num>
  <w:num w:numId="76">
    <w:abstractNumId w:val="50"/>
  </w:num>
  <w:num w:numId="77">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0D"/>
    <w:rsid w:val="00000AC0"/>
    <w:rsid w:val="00001573"/>
    <w:rsid w:val="00001C2E"/>
    <w:rsid w:val="00002A58"/>
    <w:rsid w:val="000047FC"/>
    <w:rsid w:val="00004EC5"/>
    <w:rsid w:val="00005CD8"/>
    <w:rsid w:val="00006944"/>
    <w:rsid w:val="00006A31"/>
    <w:rsid w:val="00007301"/>
    <w:rsid w:val="000073D6"/>
    <w:rsid w:val="00010913"/>
    <w:rsid w:val="00010E59"/>
    <w:rsid w:val="00011127"/>
    <w:rsid w:val="00012911"/>
    <w:rsid w:val="000142E3"/>
    <w:rsid w:val="0001430B"/>
    <w:rsid w:val="00014D6E"/>
    <w:rsid w:val="00015457"/>
    <w:rsid w:val="00015DE7"/>
    <w:rsid w:val="00020034"/>
    <w:rsid w:val="000212C9"/>
    <w:rsid w:val="000225DD"/>
    <w:rsid w:val="0002384B"/>
    <w:rsid w:val="0002469C"/>
    <w:rsid w:val="00024E77"/>
    <w:rsid w:val="00025122"/>
    <w:rsid w:val="00026314"/>
    <w:rsid w:val="000265A7"/>
    <w:rsid w:val="00026AAA"/>
    <w:rsid w:val="00027A96"/>
    <w:rsid w:val="00027CB9"/>
    <w:rsid w:val="00027F94"/>
    <w:rsid w:val="00030172"/>
    <w:rsid w:val="00030769"/>
    <w:rsid w:val="00031675"/>
    <w:rsid w:val="000378B2"/>
    <w:rsid w:val="000379E1"/>
    <w:rsid w:val="00037F6D"/>
    <w:rsid w:val="0004022A"/>
    <w:rsid w:val="00040CE2"/>
    <w:rsid w:val="00041022"/>
    <w:rsid w:val="00041240"/>
    <w:rsid w:val="00041711"/>
    <w:rsid w:val="000433F6"/>
    <w:rsid w:val="00044459"/>
    <w:rsid w:val="00045A93"/>
    <w:rsid w:val="00045B2D"/>
    <w:rsid w:val="00045C64"/>
    <w:rsid w:val="00047F92"/>
    <w:rsid w:val="000508F3"/>
    <w:rsid w:val="00050E95"/>
    <w:rsid w:val="00051214"/>
    <w:rsid w:val="00052480"/>
    <w:rsid w:val="000530AC"/>
    <w:rsid w:val="00053CF7"/>
    <w:rsid w:val="00054F6E"/>
    <w:rsid w:val="00056FA6"/>
    <w:rsid w:val="00060320"/>
    <w:rsid w:val="00060EC6"/>
    <w:rsid w:val="000635EB"/>
    <w:rsid w:val="00065646"/>
    <w:rsid w:val="00065BE4"/>
    <w:rsid w:val="00066444"/>
    <w:rsid w:val="0006718B"/>
    <w:rsid w:val="00067731"/>
    <w:rsid w:val="00067D27"/>
    <w:rsid w:val="0007107A"/>
    <w:rsid w:val="00071A65"/>
    <w:rsid w:val="000734FC"/>
    <w:rsid w:val="00074B1E"/>
    <w:rsid w:val="00074D12"/>
    <w:rsid w:val="00076C84"/>
    <w:rsid w:val="00076CE2"/>
    <w:rsid w:val="00077134"/>
    <w:rsid w:val="000774F3"/>
    <w:rsid w:val="00080D8D"/>
    <w:rsid w:val="00081C9D"/>
    <w:rsid w:val="000837D2"/>
    <w:rsid w:val="00083881"/>
    <w:rsid w:val="00083CE4"/>
    <w:rsid w:val="00083DC2"/>
    <w:rsid w:val="00083F2C"/>
    <w:rsid w:val="00085622"/>
    <w:rsid w:val="00085A8F"/>
    <w:rsid w:val="00085D6F"/>
    <w:rsid w:val="0008627D"/>
    <w:rsid w:val="000864C2"/>
    <w:rsid w:val="000865F4"/>
    <w:rsid w:val="00087994"/>
    <w:rsid w:val="0009237A"/>
    <w:rsid w:val="000945C5"/>
    <w:rsid w:val="00096550"/>
    <w:rsid w:val="00096B76"/>
    <w:rsid w:val="0009719A"/>
    <w:rsid w:val="000A1F9A"/>
    <w:rsid w:val="000A2376"/>
    <w:rsid w:val="000A2625"/>
    <w:rsid w:val="000A274C"/>
    <w:rsid w:val="000A2FEE"/>
    <w:rsid w:val="000A39BE"/>
    <w:rsid w:val="000A3D1E"/>
    <w:rsid w:val="000A4E1E"/>
    <w:rsid w:val="000A5308"/>
    <w:rsid w:val="000A5902"/>
    <w:rsid w:val="000A5FA8"/>
    <w:rsid w:val="000A6B6A"/>
    <w:rsid w:val="000A75D1"/>
    <w:rsid w:val="000A7CED"/>
    <w:rsid w:val="000B0AB8"/>
    <w:rsid w:val="000B0D60"/>
    <w:rsid w:val="000B27D9"/>
    <w:rsid w:val="000B4144"/>
    <w:rsid w:val="000B5ED1"/>
    <w:rsid w:val="000B62AB"/>
    <w:rsid w:val="000B6984"/>
    <w:rsid w:val="000B7433"/>
    <w:rsid w:val="000B78B5"/>
    <w:rsid w:val="000B7C6B"/>
    <w:rsid w:val="000C19A9"/>
    <w:rsid w:val="000C24D5"/>
    <w:rsid w:val="000C3D06"/>
    <w:rsid w:val="000C3E3B"/>
    <w:rsid w:val="000C4B43"/>
    <w:rsid w:val="000C51FA"/>
    <w:rsid w:val="000C5F59"/>
    <w:rsid w:val="000C71EA"/>
    <w:rsid w:val="000C7522"/>
    <w:rsid w:val="000D19F0"/>
    <w:rsid w:val="000D204E"/>
    <w:rsid w:val="000D20CC"/>
    <w:rsid w:val="000D4211"/>
    <w:rsid w:val="000D4409"/>
    <w:rsid w:val="000D4D09"/>
    <w:rsid w:val="000D4D63"/>
    <w:rsid w:val="000D5495"/>
    <w:rsid w:val="000D62E3"/>
    <w:rsid w:val="000D78B1"/>
    <w:rsid w:val="000E09AA"/>
    <w:rsid w:val="000E19F1"/>
    <w:rsid w:val="000E24BA"/>
    <w:rsid w:val="000E2BAD"/>
    <w:rsid w:val="000E2C45"/>
    <w:rsid w:val="000E2E1D"/>
    <w:rsid w:val="000E3AFF"/>
    <w:rsid w:val="000E53E0"/>
    <w:rsid w:val="000E5674"/>
    <w:rsid w:val="000E609E"/>
    <w:rsid w:val="000E67AA"/>
    <w:rsid w:val="000E6B6A"/>
    <w:rsid w:val="000E70FF"/>
    <w:rsid w:val="000E726C"/>
    <w:rsid w:val="000E78A2"/>
    <w:rsid w:val="000F0581"/>
    <w:rsid w:val="000F0C91"/>
    <w:rsid w:val="000F1284"/>
    <w:rsid w:val="000F159D"/>
    <w:rsid w:val="000F20AB"/>
    <w:rsid w:val="000F279C"/>
    <w:rsid w:val="000F27E9"/>
    <w:rsid w:val="000F2DA6"/>
    <w:rsid w:val="000F3A8F"/>
    <w:rsid w:val="000F5784"/>
    <w:rsid w:val="000F5BA2"/>
    <w:rsid w:val="000F5D79"/>
    <w:rsid w:val="000F7063"/>
    <w:rsid w:val="000F7E6E"/>
    <w:rsid w:val="0010007D"/>
    <w:rsid w:val="0010037E"/>
    <w:rsid w:val="00100D2B"/>
    <w:rsid w:val="001019F7"/>
    <w:rsid w:val="00102B8C"/>
    <w:rsid w:val="001034A7"/>
    <w:rsid w:val="001041F2"/>
    <w:rsid w:val="00104FC8"/>
    <w:rsid w:val="001058DC"/>
    <w:rsid w:val="001069BD"/>
    <w:rsid w:val="00106FD2"/>
    <w:rsid w:val="00110755"/>
    <w:rsid w:val="0011096C"/>
    <w:rsid w:val="0011167A"/>
    <w:rsid w:val="00112FCC"/>
    <w:rsid w:val="001132E2"/>
    <w:rsid w:val="00114E6B"/>
    <w:rsid w:val="0011617C"/>
    <w:rsid w:val="00116A68"/>
    <w:rsid w:val="001177BF"/>
    <w:rsid w:val="00117F4B"/>
    <w:rsid w:val="001200BF"/>
    <w:rsid w:val="00120BA0"/>
    <w:rsid w:val="001221F8"/>
    <w:rsid w:val="00123F65"/>
    <w:rsid w:val="00124C11"/>
    <w:rsid w:val="00126B73"/>
    <w:rsid w:val="00126E7C"/>
    <w:rsid w:val="001301EF"/>
    <w:rsid w:val="00130E67"/>
    <w:rsid w:val="00132DA0"/>
    <w:rsid w:val="00133B7C"/>
    <w:rsid w:val="00133F15"/>
    <w:rsid w:val="001341D0"/>
    <w:rsid w:val="001349C6"/>
    <w:rsid w:val="00134C2F"/>
    <w:rsid w:val="0013596B"/>
    <w:rsid w:val="00140527"/>
    <w:rsid w:val="001414C4"/>
    <w:rsid w:val="00141AB3"/>
    <w:rsid w:val="00142ED1"/>
    <w:rsid w:val="00143534"/>
    <w:rsid w:val="00145952"/>
    <w:rsid w:val="00145E32"/>
    <w:rsid w:val="00146057"/>
    <w:rsid w:val="00146439"/>
    <w:rsid w:val="001476D1"/>
    <w:rsid w:val="00151AF0"/>
    <w:rsid w:val="00152266"/>
    <w:rsid w:val="00152960"/>
    <w:rsid w:val="00152F6E"/>
    <w:rsid w:val="0015346F"/>
    <w:rsid w:val="001536BB"/>
    <w:rsid w:val="0015390D"/>
    <w:rsid w:val="00155A4B"/>
    <w:rsid w:val="0016009D"/>
    <w:rsid w:val="0016119E"/>
    <w:rsid w:val="00163723"/>
    <w:rsid w:val="00163BBD"/>
    <w:rsid w:val="0016470C"/>
    <w:rsid w:val="00170014"/>
    <w:rsid w:val="0017021B"/>
    <w:rsid w:val="00170973"/>
    <w:rsid w:val="00170E06"/>
    <w:rsid w:val="00171642"/>
    <w:rsid w:val="00173C40"/>
    <w:rsid w:val="00174D07"/>
    <w:rsid w:val="00176417"/>
    <w:rsid w:val="00176512"/>
    <w:rsid w:val="00176A62"/>
    <w:rsid w:val="00177219"/>
    <w:rsid w:val="001801A6"/>
    <w:rsid w:val="001803BC"/>
    <w:rsid w:val="001803E3"/>
    <w:rsid w:val="00182175"/>
    <w:rsid w:val="001821BC"/>
    <w:rsid w:val="00182508"/>
    <w:rsid w:val="00182DC0"/>
    <w:rsid w:val="001843D1"/>
    <w:rsid w:val="00184E2C"/>
    <w:rsid w:val="00185A16"/>
    <w:rsid w:val="00185B03"/>
    <w:rsid w:val="00186821"/>
    <w:rsid w:val="00187058"/>
    <w:rsid w:val="00187204"/>
    <w:rsid w:val="00187305"/>
    <w:rsid w:val="001908F9"/>
    <w:rsid w:val="00190DB9"/>
    <w:rsid w:val="00192372"/>
    <w:rsid w:val="0019379B"/>
    <w:rsid w:val="00194101"/>
    <w:rsid w:val="00194D49"/>
    <w:rsid w:val="00194DE7"/>
    <w:rsid w:val="00194FBE"/>
    <w:rsid w:val="001952D6"/>
    <w:rsid w:val="0019554B"/>
    <w:rsid w:val="001957FA"/>
    <w:rsid w:val="00195F0F"/>
    <w:rsid w:val="00196EAC"/>
    <w:rsid w:val="001971BA"/>
    <w:rsid w:val="0019785B"/>
    <w:rsid w:val="0019786C"/>
    <w:rsid w:val="00197FE6"/>
    <w:rsid w:val="001A119F"/>
    <w:rsid w:val="001A1C42"/>
    <w:rsid w:val="001A2C76"/>
    <w:rsid w:val="001A4B95"/>
    <w:rsid w:val="001A5B69"/>
    <w:rsid w:val="001A68B4"/>
    <w:rsid w:val="001A6E5C"/>
    <w:rsid w:val="001A7F11"/>
    <w:rsid w:val="001B0241"/>
    <w:rsid w:val="001B059B"/>
    <w:rsid w:val="001B0967"/>
    <w:rsid w:val="001B1CD8"/>
    <w:rsid w:val="001B21E4"/>
    <w:rsid w:val="001B2BD3"/>
    <w:rsid w:val="001B2E24"/>
    <w:rsid w:val="001B328E"/>
    <w:rsid w:val="001B35DF"/>
    <w:rsid w:val="001B38A2"/>
    <w:rsid w:val="001B3ADC"/>
    <w:rsid w:val="001B4211"/>
    <w:rsid w:val="001B5145"/>
    <w:rsid w:val="001B5B3B"/>
    <w:rsid w:val="001B5B77"/>
    <w:rsid w:val="001B5FFF"/>
    <w:rsid w:val="001B6533"/>
    <w:rsid w:val="001B66A6"/>
    <w:rsid w:val="001B6827"/>
    <w:rsid w:val="001B7526"/>
    <w:rsid w:val="001B7BDD"/>
    <w:rsid w:val="001C0809"/>
    <w:rsid w:val="001C0934"/>
    <w:rsid w:val="001C0EFD"/>
    <w:rsid w:val="001C34AE"/>
    <w:rsid w:val="001C465D"/>
    <w:rsid w:val="001C5DEB"/>
    <w:rsid w:val="001C6320"/>
    <w:rsid w:val="001C68FF"/>
    <w:rsid w:val="001C770B"/>
    <w:rsid w:val="001C77B4"/>
    <w:rsid w:val="001D06C9"/>
    <w:rsid w:val="001D0989"/>
    <w:rsid w:val="001D0ECE"/>
    <w:rsid w:val="001D11FE"/>
    <w:rsid w:val="001D4F1D"/>
    <w:rsid w:val="001D5C52"/>
    <w:rsid w:val="001D64AD"/>
    <w:rsid w:val="001D6A4E"/>
    <w:rsid w:val="001D7A64"/>
    <w:rsid w:val="001E2786"/>
    <w:rsid w:val="001E2B5E"/>
    <w:rsid w:val="001E2BA3"/>
    <w:rsid w:val="001E3731"/>
    <w:rsid w:val="001E3759"/>
    <w:rsid w:val="001E4DEA"/>
    <w:rsid w:val="001E500B"/>
    <w:rsid w:val="001E6D9E"/>
    <w:rsid w:val="001E7C44"/>
    <w:rsid w:val="001F2C33"/>
    <w:rsid w:val="001F2F00"/>
    <w:rsid w:val="001F32AE"/>
    <w:rsid w:val="001F3DC8"/>
    <w:rsid w:val="001F41B4"/>
    <w:rsid w:val="001F4B83"/>
    <w:rsid w:val="001F51AF"/>
    <w:rsid w:val="001F6B4D"/>
    <w:rsid w:val="002012E8"/>
    <w:rsid w:val="0020174B"/>
    <w:rsid w:val="002030FF"/>
    <w:rsid w:val="00203619"/>
    <w:rsid w:val="002037CB"/>
    <w:rsid w:val="00203DF4"/>
    <w:rsid w:val="00205152"/>
    <w:rsid w:val="00206DF0"/>
    <w:rsid w:val="00206FBC"/>
    <w:rsid w:val="0020775D"/>
    <w:rsid w:val="00207FD5"/>
    <w:rsid w:val="00211176"/>
    <w:rsid w:val="00214053"/>
    <w:rsid w:val="002150A7"/>
    <w:rsid w:val="002162F8"/>
    <w:rsid w:val="002176D6"/>
    <w:rsid w:val="00220928"/>
    <w:rsid w:val="002209CD"/>
    <w:rsid w:val="00220AE2"/>
    <w:rsid w:val="0022151C"/>
    <w:rsid w:val="00221F75"/>
    <w:rsid w:val="0022237A"/>
    <w:rsid w:val="0022273A"/>
    <w:rsid w:val="002245BB"/>
    <w:rsid w:val="00224F15"/>
    <w:rsid w:val="002254D5"/>
    <w:rsid w:val="0022611D"/>
    <w:rsid w:val="00226747"/>
    <w:rsid w:val="00226B05"/>
    <w:rsid w:val="0023099B"/>
    <w:rsid w:val="00231303"/>
    <w:rsid w:val="002326D3"/>
    <w:rsid w:val="00232E6F"/>
    <w:rsid w:val="00233A9D"/>
    <w:rsid w:val="00234134"/>
    <w:rsid w:val="0023426F"/>
    <w:rsid w:val="00234C7D"/>
    <w:rsid w:val="00235F8D"/>
    <w:rsid w:val="002361D9"/>
    <w:rsid w:val="002410A2"/>
    <w:rsid w:val="00243514"/>
    <w:rsid w:val="002438B5"/>
    <w:rsid w:val="00244BF7"/>
    <w:rsid w:val="00244F09"/>
    <w:rsid w:val="002454B8"/>
    <w:rsid w:val="00246F40"/>
    <w:rsid w:val="0025022D"/>
    <w:rsid w:val="002505FA"/>
    <w:rsid w:val="002520AB"/>
    <w:rsid w:val="002532BE"/>
    <w:rsid w:val="00253E07"/>
    <w:rsid w:val="0025409A"/>
    <w:rsid w:val="0025598E"/>
    <w:rsid w:val="00256D58"/>
    <w:rsid w:val="0025768B"/>
    <w:rsid w:val="00257B63"/>
    <w:rsid w:val="00257E2E"/>
    <w:rsid w:val="0026187C"/>
    <w:rsid w:val="00262055"/>
    <w:rsid w:val="00264403"/>
    <w:rsid w:val="002661AC"/>
    <w:rsid w:val="002670AA"/>
    <w:rsid w:val="00267D6F"/>
    <w:rsid w:val="00267DCE"/>
    <w:rsid w:val="002701AB"/>
    <w:rsid w:val="00270C29"/>
    <w:rsid w:val="00271730"/>
    <w:rsid w:val="00272829"/>
    <w:rsid w:val="00272D1E"/>
    <w:rsid w:val="0027307E"/>
    <w:rsid w:val="00273D8A"/>
    <w:rsid w:val="00274205"/>
    <w:rsid w:val="00275137"/>
    <w:rsid w:val="0027537C"/>
    <w:rsid w:val="00275AE3"/>
    <w:rsid w:val="00276FAE"/>
    <w:rsid w:val="00277902"/>
    <w:rsid w:val="002806EB"/>
    <w:rsid w:val="002806F4"/>
    <w:rsid w:val="00280C58"/>
    <w:rsid w:val="00282169"/>
    <w:rsid w:val="002831A1"/>
    <w:rsid w:val="00283837"/>
    <w:rsid w:val="00284164"/>
    <w:rsid w:val="00285903"/>
    <w:rsid w:val="0028621C"/>
    <w:rsid w:val="002866EB"/>
    <w:rsid w:val="002869C3"/>
    <w:rsid w:val="00287006"/>
    <w:rsid w:val="00287214"/>
    <w:rsid w:val="00287654"/>
    <w:rsid w:val="00287C11"/>
    <w:rsid w:val="00290CA9"/>
    <w:rsid w:val="00291050"/>
    <w:rsid w:val="00291C29"/>
    <w:rsid w:val="00291E76"/>
    <w:rsid w:val="00292627"/>
    <w:rsid w:val="00294AD0"/>
    <w:rsid w:val="00295C43"/>
    <w:rsid w:val="00295E60"/>
    <w:rsid w:val="00296510"/>
    <w:rsid w:val="00296D26"/>
    <w:rsid w:val="0029744A"/>
    <w:rsid w:val="002A1031"/>
    <w:rsid w:val="002A330E"/>
    <w:rsid w:val="002A33BC"/>
    <w:rsid w:val="002A35EC"/>
    <w:rsid w:val="002A3E13"/>
    <w:rsid w:val="002A467B"/>
    <w:rsid w:val="002A52BE"/>
    <w:rsid w:val="002A6C7E"/>
    <w:rsid w:val="002A6F6C"/>
    <w:rsid w:val="002B0425"/>
    <w:rsid w:val="002B0490"/>
    <w:rsid w:val="002B1BE0"/>
    <w:rsid w:val="002B32A1"/>
    <w:rsid w:val="002B3569"/>
    <w:rsid w:val="002B4E52"/>
    <w:rsid w:val="002B5263"/>
    <w:rsid w:val="002B7197"/>
    <w:rsid w:val="002C042B"/>
    <w:rsid w:val="002C0DBE"/>
    <w:rsid w:val="002C2C8D"/>
    <w:rsid w:val="002C2EF3"/>
    <w:rsid w:val="002C35E7"/>
    <w:rsid w:val="002C4EF8"/>
    <w:rsid w:val="002C4FB7"/>
    <w:rsid w:val="002C5391"/>
    <w:rsid w:val="002D0FCF"/>
    <w:rsid w:val="002D1110"/>
    <w:rsid w:val="002D1F07"/>
    <w:rsid w:val="002D269E"/>
    <w:rsid w:val="002D377C"/>
    <w:rsid w:val="002D3B49"/>
    <w:rsid w:val="002D5118"/>
    <w:rsid w:val="002D5A3C"/>
    <w:rsid w:val="002D5CC7"/>
    <w:rsid w:val="002D68A8"/>
    <w:rsid w:val="002D695C"/>
    <w:rsid w:val="002E0200"/>
    <w:rsid w:val="002E192B"/>
    <w:rsid w:val="002E19AC"/>
    <w:rsid w:val="002E1ADA"/>
    <w:rsid w:val="002E1ADB"/>
    <w:rsid w:val="002E1D0D"/>
    <w:rsid w:val="002E353E"/>
    <w:rsid w:val="002E38E6"/>
    <w:rsid w:val="002E4921"/>
    <w:rsid w:val="002E5075"/>
    <w:rsid w:val="002E5161"/>
    <w:rsid w:val="002E56EE"/>
    <w:rsid w:val="002E6239"/>
    <w:rsid w:val="002E6998"/>
    <w:rsid w:val="002E7113"/>
    <w:rsid w:val="002E7257"/>
    <w:rsid w:val="002E78C1"/>
    <w:rsid w:val="002E7CBB"/>
    <w:rsid w:val="002F0494"/>
    <w:rsid w:val="002F07E8"/>
    <w:rsid w:val="002F26C2"/>
    <w:rsid w:val="002F2834"/>
    <w:rsid w:val="002F3119"/>
    <w:rsid w:val="002F3425"/>
    <w:rsid w:val="002F3556"/>
    <w:rsid w:val="002F3B87"/>
    <w:rsid w:val="002F4624"/>
    <w:rsid w:val="002F4B49"/>
    <w:rsid w:val="002F5BE6"/>
    <w:rsid w:val="002F6088"/>
    <w:rsid w:val="002F6213"/>
    <w:rsid w:val="002F628D"/>
    <w:rsid w:val="002F6AF2"/>
    <w:rsid w:val="002F6B5D"/>
    <w:rsid w:val="002F763B"/>
    <w:rsid w:val="00300D7F"/>
    <w:rsid w:val="00300D93"/>
    <w:rsid w:val="00300F33"/>
    <w:rsid w:val="003019FA"/>
    <w:rsid w:val="00301D86"/>
    <w:rsid w:val="00302183"/>
    <w:rsid w:val="00303249"/>
    <w:rsid w:val="003046CD"/>
    <w:rsid w:val="003061A4"/>
    <w:rsid w:val="00306749"/>
    <w:rsid w:val="003100D0"/>
    <w:rsid w:val="003113A4"/>
    <w:rsid w:val="00312204"/>
    <w:rsid w:val="00315380"/>
    <w:rsid w:val="003159D8"/>
    <w:rsid w:val="00316DCC"/>
    <w:rsid w:val="00316E21"/>
    <w:rsid w:val="00317E00"/>
    <w:rsid w:val="0032029D"/>
    <w:rsid w:val="00321B72"/>
    <w:rsid w:val="00321F17"/>
    <w:rsid w:val="00322BAD"/>
    <w:rsid w:val="00322C59"/>
    <w:rsid w:val="00322C77"/>
    <w:rsid w:val="00322FD8"/>
    <w:rsid w:val="003230DF"/>
    <w:rsid w:val="00323EE0"/>
    <w:rsid w:val="00324B18"/>
    <w:rsid w:val="003261CF"/>
    <w:rsid w:val="0032727B"/>
    <w:rsid w:val="003278D8"/>
    <w:rsid w:val="00327CF4"/>
    <w:rsid w:val="00332066"/>
    <w:rsid w:val="0033219F"/>
    <w:rsid w:val="003321D9"/>
    <w:rsid w:val="00332949"/>
    <w:rsid w:val="00332BCA"/>
    <w:rsid w:val="00332DAD"/>
    <w:rsid w:val="003331E7"/>
    <w:rsid w:val="00333CF2"/>
    <w:rsid w:val="00336F07"/>
    <w:rsid w:val="0033703F"/>
    <w:rsid w:val="003375F9"/>
    <w:rsid w:val="0033771C"/>
    <w:rsid w:val="00337ADF"/>
    <w:rsid w:val="00337BB1"/>
    <w:rsid w:val="00341688"/>
    <w:rsid w:val="00342A4D"/>
    <w:rsid w:val="00343DE5"/>
    <w:rsid w:val="00344E8E"/>
    <w:rsid w:val="00345217"/>
    <w:rsid w:val="00347766"/>
    <w:rsid w:val="003503D5"/>
    <w:rsid w:val="00350FBE"/>
    <w:rsid w:val="0035122C"/>
    <w:rsid w:val="00352D79"/>
    <w:rsid w:val="003535A0"/>
    <w:rsid w:val="00354396"/>
    <w:rsid w:val="00354F65"/>
    <w:rsid w:val="003553E4"/>
    <w:rsid w:val="0035554C"/>
    <w:rsid w:val="00355579"/>
    <w:rsid w:val="00355FE5"/>
    <w:rsid w:val="00356D6C"/>
    <w:rsid w:val="00357B1C"/>
    <w:rsid w:val="00360088"/>
    <w:rsid w:val="00362B81"/>
    <w:rsid w:val="0036319F"/>
    <w:rsid w:val="00364C4C"/>
    <w:rsid w:val="003659DA"/>
    <w:rsid w:val="00366E49"/>
    <w:rsid w:val="00366FFD"/>
    <w:rsid w:val="00367B56"/>
    <w:rsid w:val="0037000B"/>
    <w:rsid w:val="003715F7"/>
    <w:rsid w:val="003716B1"/>
    <w:rsid w:val="0037178B"/>
    <w:rsid w:val="00371CD5"/>
    <w:rsid w:val="003720E9"/>
    <w:rsid w:val="00373168"/>
    <w:rsid w:val="003736AE"/>
    <w:rsid w:val="00375AFA"/>
    <w:rsid w:val="00376170"/>
    <w:rsid w:val="00377AE1"/>
    <w:rsid w:val="00377DD3"/>
    <w:rsid w:val="00377F43"/>
    <w:rsid w:val="003804EB"/>
    <w:rsid w:val="00380EE8"/>
    <w:rsid w:val="003811A5"/>
    <w:rsid w:val="003814D9"/>
    <w:rsid w:val="00381F7A"/>
    <w:rsid w:val="0038235C"/>
    <w:rsid w:val="00383C5D"/>
    <w:rsid w:val="0038446C"/>
    <w:rsid w:val="00384726"/>
    <w:rsid w:val="0038667B"/>
    <w:rsid w:val="00387289"/>
    <w:rsid w:val="0039080A"/>
    <w:rsid w:val="00390ED0"/>
    <w:rsid w:val="003912EF"/>
    <w:rsid w:val="00391B55"/>
    <w:rsid w:val="00391FF3"/>
    <w:rsid w:val="003935E1"/>
    <w:rsid w:val="00393FA4"/>
    <w:rsid w:val="003946D8"/>
    <w:rsid w:val="003965AD"/>
    <w:rsid w:val="00396BC7"/>
    <w:rsid w:val="00396FD9"/>
    <w:rsid w:val="00397547"/>
    <w:rsid w:val="003978B6"/>
    <w:rsid w:val="003A294F"/>
    <w:rsid w:val="003A2BD1"/>
    <w:rsid w:val="003A3C70"/>
    <w:rsid w:val="003A3DBD"/>
    <w:rsid w:val="003A43A0"/>
    <w:rsid w:val="003A5506"/>
    <w:rsid w:val="003A55D4"/>
    <w:rsid w:val="003A7C36"/>
    <w:rsid w:val="003B0448"/>
    <w:rsid w:val="003B149F"/>
    <w:rsid w:val="003B1650"/>
    <w:rsid w:val="003B2704"/>
    <w:rsid w:val="003B3A65"/>
    <w:rsid w:val="003B3E9E"/>
    <w:rsid w:val="003B4F17"/>
    <w:rsid w:val="003B5984"/>
    <w:rsid w:val="003B5EC0"/>
    <w:rsid w:val="003B655B"/>
    <w:rsid w:val="003B6E74"/>
    <w:rsid w:val="003C1304"/>
    <w:rsid w:val="003C222E"/>
    <w:rsid w:val="003C2CB5"/>
    <w:rsid w:val="003C37A2"/>
    <w:rsid w:val="003C37F2"/>
    <w:rsid w:val="003C4415"/>
    <w:rsid w:val="003C473C"/>
    <w:rsid w:val="003C599B"/>
    <w:rsid w:val="003C5A3B"/>
    <w:rsid w:val="003C5B38"/>
    <w:rsid w:val="003C5EE2"/>
    <w:rsid w:val="003C6054"/>
    <w:rsid w:val="003C625A"/>
    <w:rsid w:val="003C6430"/>
    <w:rsid w:val="003C6467"/>
    <w:rsid w:val="003C6732"/>
    <w:rsid w:val="003C6743"/>
    <w:rsid w:val="003C6916"/>
    <w:rsid w:val="003C7CCD"/>
    <w:rsid w:val="003D0E32"/>
    <w:rsid w:val="003D10EC"/>
    <w:rsid w:val="003D1180"/>
    <w:rsid w:val="003D1C05"/>
    <w:rsid w:val="003D2115"/>
    <w:rsid w:val="003D2587"/>
    <w:rsid w:val="003D2DCA"/>
    <w:rsid w:val="003D301B"/>
    <w:rsid w:val="003D307B"/>
    <w:rsid w:val="003D3CEF"/>
    <w:rsid w:val="003D3E3C"/>
    <w:rsid w:val="003D486E"/>
    <w:rsid w:val="003D4A09"/>
    <w:rsid w:val="003D4C74"/>
    <w:rsid w:val="003D4CF8"/>
    <w:rsid w:val="003D5E2E"/>
    <w:rsid w:val="003E0499"/>
    <w:rsid w:val="003E0D66"/>
    <w:rsid w:val="003E169D"/>
    <w:rsid w:val="003E1DD5"/>
    <w:rsid w:val="003E1FFD"/>
    <w:rsid w:val="003E2255"/>
    <w:rsid w:val="003E3E6A"/>
    <w:rsid w:val="003E4135"/>
    <w:rsid w:val="003E4A40"/>
    <w:rsid w:val="003E5653"/>
    <w:rsid w:val="003E5DDD"/>
    <w:rsid w:val="003E6F4A"/>
    <w:rsid w:val="003F038D"/>
    <w:rsid w:val="003F0778"/>
    <w:rsid w:val="003F361D"/>
    <w:rsid w:val="003F3747"/>
    <w:rsid w:val="003F5019"/>
    <w:rsid w:val="003F5DB1"/>
    <w:rsid w:val="003F6CF8"/>
    <w:rsid w:val="003F775D"/>
    <w:rsid w:val="003F79CE"/>
    <w:rsid w:val="00400253"/>
    <w:rsid w:val="00400B27"/>
    <w:rsid w:val="0040107C"/>
    <w:rsid w:val="00401760"/>
    <w:rsid w:val="00402762"/>
    <w:rsid w:val="00402CC1"/>
    <w:rsid w:val="004035A1"/>
    <w:rsid w:val="0040388D"/>
    <w:rsid w:val="00403A0D"/>
    <w:rsid w:val="00403FEB"/>
    <w:rsid w:val="004052E3"/>
    <w:rsid w:val="0040550E"/>
    <w:rsid w:val="004055C0"/>
    <w:rsid w:val="004063DE"/>
    <w:rsid w:val="00406A42"/>
    <w:rsid w:val="004079B1"/>
    <w:rsid w:val="004117B4"/>
    <w:rsid w:val="004120EB"/>
    <w:rsid w:val="00412B1E"/>
    <w:rsid w:val="0041490A"/>
    <w:rsid w:val="00415335"/>
    <w:rsid w:val="00416A35"/>
    <w:rsid w:val="0041748E"/>
    <w:rsid w:val="00420F04"/>
    <w:rsid w:val="00421C5B"/>
    <w:rsid w:val="004228BD"/>
    <w:rsid w:val="00423DDF"/>
    <w:rsid w:val="0042560E"/>
    <w:rsid w:val="00425B12"/>
    <w:rsid w:val="00425DA0"/>
    <w:rsid w:val="00430C3E"/>
    <w:rsid w:val="00430DDC"/>
    <w:rsid w:val="00430FD8"/>
    <w:rsid w:val="0043133B"/>
    <w:rsid w:val="0043158C"/>
    <w:rsid w:val="00431C73"/>
    <w:rsid w:val="0043200C"/>
    <w:rsid w:val="00432554"/>
    <w:rsid w:val="00433819"/>
    <w:rsid w:val="00434CC5"/>
    <w:rsid w:val="004368B6"/>
    <w:rsid w:val="0043784A"/>
    <w:rsid w:val="00440B35"/>
    <w:rsid w:val="0044224A"/>
    <w:rsid w:val="00442D8D"/>
    <w:rsid w:val="00443DD9"/>
    <w:rsid w:val="00444920"/>
    <w:rsid w:val="00444D6F"/>
    <w:rsid w:val="00445BCA"/>
    <w:rsid w:val="00446108"/>
    <w:rsid w:val="00447E9F"/>
    <w:rsid w:val="00451BCA"/>
    <w:rsid w:val="00452521"/>
    <w:rsid w:val="00453744"/>
    <w:rsid w:val="0045409A"/>
    <w:rsid w:val="0045446C"/>
    <w:rsid w:val="00454F32"/>
    <w:rsid w:val="00455A4D"/>
    <w:rsid w:val="00456BF9"/>
    <w:rsid w:val="00457860"/>
    <w:rsid w:val="004605C3"/>
    <w:rsid w:val="00462045"/>
    <w:rsid w:val="0046387A"/>
    <w:rsid w:val="004646A0"/>
    <w:rsid w:val="00465A00"/>
    <w:rsid w:val="004661AA"/>
    <w:rsid w:val="0046658A"/>
    <w:rsid w:val="00466DD9"/>
    <w:rsid w:val="00466E86"/>
    <w:rsid w:val="00467669"/>
    <w:rsid w:val="004677B9"/>
    <w:rsid w:val="00467C5A"/>
    <w:rsid w:val="00470028"/>
    <w:rsid w:val="00470192"/>
    <w:rsid w:val="004701C6"/>
    <w:rsid w:val="00470541"/>
    <w:rsid w:val="0047218F"/>
    <w:rsid w:val="00472E61"/>
    <w:rsid w:val="0047336A"/>
    <w:rsid w:val="0047373F"/>
    <w:rsid w:val="004739DA"/>
    <w:rsid w:val="00473B24"/>
    <w:rsid w:val="00475577"/>
    <w:rsid w:val="00476A00"/>
    <w:rsid w:val="00477BA9"/>
    <w:rsid w:val="00477E77"/>
    <w:rsid w:val="0048055F"/>
    <w:rsid w:val="0048067E"/>
    <w:rsid w:val="0048110E"/>
    <w:rsid w:val="00481AE0"/>
    <w:rsid w:val="00481E0F"/>
    <w:rsid w:val="0048209C"/>
    <w:rsid w:val="0048270E"/>
    <w:rsid w:val="00482BCC"/>
    <w:rsid w:val="00482C60"/>
    <w:rsid w:val="00482C77"/>
    <w:rsid w:val="00483959"/>
    <w:rsid w:val="00483B39"/>
    <w:rsid w:val="0048564C"/>
    <w:rsid w:val="00485986"/>
    <w:rsid w:val="004874BD"/>
    <w:rsid w:val="00490365"/>
    <w:rsid w:val="004906E0"/>
    <w:rsid w:val="004911E3"/>
    <w:rsid w:val="0049180D"/>
    <w:rsid w:val="00492F97"/>
    <w:rsid w:val="00495A8B"/>
    <w:rsid w:val="00495D12"/>
    <w:rsid w:val="00495D7F"/>
    <w:rsid w:val="004968E3"/>
    <w:rsid w:val="00497821"/>
    <w:rsid w:val="004A1B7A"/>
    <w:rsid w:val="004A2A23"/>
    <w:rsid w:val="004A3726"/>
    <w:rsid w:val="004A3B25"/>
    <w:rsid w:val="004A3B74"/>
    <w:rsid w:val="004A3E46"/>
    <w:rsid w:val="004A5EFB"/>
    <w:rsid w:val="004A62AD"/>
    <w:rsid w:val="004A7129"/>
    <w:rsid w:val="004A7D79"/>
    <w:rsid w:val="004B129A"/>
    <w:rsid w:val="004B1AC2"/>
    <w:rsid w:val="004B20D7"/>
    <w:rsid w:val="004B2F2F"/>
    <w:rsid w:val="004B365D"/>
    <w:rsid w:val="004B3BFA"/>
    <w:rsid w:val="004B53C4"/>
    <w:rsid w:val="004B57F0"/>
    <w:rsid w:val="004B673D"/>
    <w:rsid w:val="004B6EEE"/>
    <w:rsid w:val="004B7DA1"/>
    <w:rsid w:val="004B7EF3"/>
    <w:rsid w:val="004B7FCA"/>
    <w:rsid w:val="004C15C3"/>
    <w:rsid w:val="004C1992"/>
    <w:rsid w:val="004C2AE8"/>
    <w:rsid w:val="004C54B3"/>
    <w:rsid w:val="004C5AED"/>
    <w:rsid w:val="004C625A"/>
    <w:rsid w:val="004C75F2"/>
    <w:rsid w:val="004C7D22"/>
    <w:rsid w:val="004D0776"/>
    <w:rsid w:val="004D1018"/>
    <w:rsid w:val="004D1C8E"/>
    <w:rsid w:val="004D1FF5"/>
    <w:rsid w:val="004D2AD5"/>
    <w:rsid w:val="004D3E28"/>
    <w:rsid w:val="004D4D67"/>
    <w:rsid w:val="004D5D41"/>
    <w:rsid w:val="004D6017"/>
    <w:rsid w:val="004D65AF"/>
    <w:rsid w:val="004D6F9A"/>
    <w:rsid w:val="004E032B"/>
    <w:rsid w:val="004E0AE0"/>
    <w:rsid w:val="004E27CE"/>
    <w:rsid w:val="004E2BF7"/>
    <w:rsid w:val="004E3720"/>
    <w:rsid w:val="004E3B57"/>
    <w:rsid w:val="004E3BEC"/>
    <w:rsid w:val="004E61F0"/>
    <w:rsid w:val="004E6209"/>
    <w:rsid w:val="004E748A"/>
    <w:rsid w:val="004E78AB"/>
    <w:rsid w:val="004F0421"/>
    <w:rsid w:val="004F060E"/>
    <w:rsid w:val="004F0D41"/>
    <w:rsid w:val="004F1A94"/>
    <w:rsid w:val="004F2917"/>
    <w:rsid w:val="004F2D56"/>
    <w:rsid w:val="004F367F"/>
    <w:rsid w:val="004F44F3"/>
    <w:rsid w:val="004F4511"/>
    <w:rsid w:val="004F52E2"/>
    <w:rsid w:val="004F5E05"/>
    <w:rsid w:val="004F63F5"/>
    <w:rsid w:val="00500956"/>
    <w:rsid w:val="00502368"/>
    <w:rsid w:val="005024F7"/>
    <w:rsid w:val="0050254A"/>
    <w:rsid w:val="00502950"/>
    <w:rsid w:val="00503565"/>
    <w:rsid w:val="00504466"/>
    <w:rsid w:val="0050543E"/>
    <w:rsid w:val="00507933"/>
    <w:rsid w:val="00510ADF"/>
    <w:rsid w:val="00510B61"/>
    <w:rsid w:val="005110D3"/>
    <w:rsid w:val="00511D30"/>
    <w:rsid w:val="0051348B"/>
    <w:rsid w:val="0051352B"/>
    <w:rsid w:val="00513959"/>
    <w:rsid w:val="00513A99"/>
    <w:rsid w:val="00513FCD"/>
    <w:rsid w:val="00514343"/>
    <w:rsid w:val="0051491A"/>
    <w:rsid w:val="00515094"/>
    <w:rsid w:val="0052061D"/>
    <w:rsid w:val="005207F2"/>
    <w:rsid w:val="00521614"/>
    <w:rsid w:val="0052161B"/>
    <w:rsid w:val="005225FA"/>
    <w:rsid w:val="005226B3"/>
    <w:rsid w:val="00523F3F"/>
    <w:rsid w:val="005243D7"/>
    <w:rsid w:val="00524724"/>
    <w:rsid w:val="00525233"/>
    <w:rsid w:val="00525DDD"/>
    <w:rsid w:val="0052622C"/>
    <w:rsid w:val="00526947"/>
    <w:rsid w:val="005275A0"/>
    <w:rsid w:val="00527BDC"/>
    <w:rsid w:val="00530694"/>
    <w:rsid w:val="00530E92"/>
    <w:rsid w:val="005326B1"/>
    <w:rsid w:val="00533C78"/>
    <w:rsid w:val="00534A56"/>
    <w:rsid w:val="00534E1C"/>
    <w:rsid w:val="00535538"/>
    <w:rsid w:val="005362C9"/>
    <w:rsid w:val="005407AA"/>
    <w:rsid w:val="00541213"/>
    <w:rsid w:val="005417D9"/>
    <w:rsid w:val="0054287F"/>
    <w:rsid w:val="00543EA5"/>
    <w:rsid w:val="00546218"/>
    <w:rsid w:val="00546575"/>
    <w:rsid w:val="00546B09"/>
    <w:rsid w:val="00547D6C"/>
    <w:rsid w:val="00551929"/>
    <w:rsid w:val="00551C20"/>
    <w:rsid w:val="005521FD"/>
    <w:rsid w:val="005538AC"/>
    <w:rsid w:val="00554392"/>
    <w:rsid w:val="0055453A"/>
    <w:rsid w:val="00554EA7"/>
    <w:rsid w:val="00555A8C"/>
    <w:rsid w:val="00560354"/>
    <w:rsid w:val="005613F0"/>
    <w:rsid w:val="005617F9"/>
    <w:rsid w:val="00561835"/>
    <w:rsid w:val="00561AA5"/>
    <w:rsid w:val="00562906"/>
    <w:rsid w:val="005635E8"/>
    <w:rsid w:val="00564BD4"/>
    <w:rsid w:val="0056524F"/>
    <w:rsid w:val="00567156"/>
    <w:rsid w:val="00567596"/>
    <w:rsid w:val="005708D5"/>
    <w:rsid w:val="005710CB"/>
    <w:rsid w:val="005717B5"/>
    <w:rsid w:val="005730A7"/>
    <w:rsid w:val="005732A8"/>
    <w:rsid w:val="00574341"/>
    <w:rsid w:val="0057465D"/>
    <w:rsid w:val="00575D58"/>
    <w:rsid w:val="005763C6"/>
    <w:rsid w:val="00576AD0"/>
    <w:rsid w:val="00577AFD"/>
    <w:rsid w:val="00580167"/>
    <w:rsid w:val="00581134"/>
    <w:rsid w:val="00582022"/>
    <w:rsid w:val="00583125"/>
    <w:rsid w:val="005852EA"/>
    <w:rsid w:val="00586BE0"/>
    <w:rsid w:val="00586F9D"/>
    <w:rsid w:val="00591199"/>
    <w:rsid w:val="005912BE"/>
    <w:rsid w:val="00591869"/>
    <w:rsid w:val="00592416"/>
    <w:rsid w:val="00592A91"/>
    <w:rsid w:val="005930B3"/>
    <w:rsid w:val="0059425D"/>
    <w:rsid w:val="00594F03"/>
    <w:rsid w:val="005950DE"/>
    <w:rsid w:val="0059557E"/>
    <w:rsid w:val="005A0628"/>
    <w:rsid w:val="005A0E12"/>
    <w:rsid w:val="005A17FB"/>
    <w:rsid w:val="005A1C4F"/>
    <w:rsid w:val="005A1CCE"/>
    <w:rsid w:val="005A1F1F"/>
    <w:rsid w:val="005A220D"/>
    <w:rsid w:val="005A2633"/>
    <w:rsid w:val="005A2ABB"/>
    <w:rsid w:val="005A304A"/>
    <w:rsid w:val="005A4067"/>
    <w:rsid w:val="005A52A7"/>
    <w:rsid w:val="005A5A2D"/>
    <w:rsid w:val="005A6E07"/>
    <w:rsid w:val="005B08A0"/>
    <w:rsid w:val="005B0D39"/>
    <w:rsid w:val="005B1484"/>
    <w:rsid w:val="005B3717"/>
    <w:rsid w:val="005B5132"/>
    <w:rsid w:val="005B577E"/>
    <w:rsid w:val="005B5B72"/>
    <w:rsid w:val="005B6CAA"/>
    <w:rsid w:val="005C14D7"/>
    <w:rsid w:val="005C2231"/>
    <w:rsid w:val="005C2C05"/>
    <w:rsid w:val="005C3213"/>
    <w:rsid w:val="005C3DCF"/>
    <w:rsid w:val="005C4B58"/>
    <w:rsid w:val="005C5150"/>
    <w:rsid w:val="005C52F1"/>
    <w:rsid w:val="005C6CDE"/>
    <w:rsid w:val="005D2142"/>
    <w:rsid w:val="005D2CFD"/>
    <w:rsid w:val="005D356B"/>
    <w:rsid w:val="005D46F6"/>
    <w:rsid w:val="005D5066"/>
    <w:rsid w:val="005D51AF"/>
    <w:rsid w:val="005D6474"/>
    <w:rsid w:val="005D6CD0"/>
    <w:rsid w:val="005E0357"/>
    <w:rsid w:val="005E22F8"/>
    <w:rsid w:val="005E2B09"/>
    <w:rsid w:val="005E4E40"/>
    <w:rsid w:val="005E668F"/>
    <w:rsid w:val="005E7135"/>
    <w:rsid w:val="005E7487"/>
    <w:rsid w:val="005E775A"/>
    <w:rsid w:val="005E7A22"/>
    <w:rsid w:val="005F0892"/>
    <w:rsid w:val="005F0CCA"/>
    <w:rsid w:val="005F0E4A"/>
    <w:rsid w:val="005F189D"/>
    <w:rsid w:val="005F1ADC"/>
    <w:rsid w:val="005F1EEE"/>
    <w:rsid w:val="005F220B"/>
    <w:rsid w:val="005F3366"/>
    <w:rsid w:val="005F3395"/>
    <w:rsid w:val="005F39CD"/>
    <w:rsid w:val="005F3BD0"/>
    <w:rsid w:val="005F583C"/>
    <w:rsid w:val="005F6B89"/>
    <w:rsid w:val="005F6BCE"/>
    <w:rsid w:val="005F7465"/>
    <w:rsid w:val="005F794B"/>
    <w:rsid w:val="00600915"/>
    <w:rsid w:val="00600F59"/>
    <w:rsid w:val="00601A63"/>
    <w:rsid w:val="00601F98"/>
    <w:rsid w:val="00602257"/>
    <w:rsid w:val="006031B0"/>
    <w:rsid w:val="00603E2F"/>
    <w:rsid w:val="0060416B"/>
    <w:rsid w:val="00605C23"/>
    <w:rsid w:val="006061E4"/>
    <w:rsid w:val="00606ADB"/>
    <w:rsid w:val="00606FA6"/>
    <w:rsid w:val="00610B5B"/>
    <w:rsid w:val="00612F36"/>
    <w:rsid w:val="00613091"/>
    <w:rsid w:val="00613EE4"/>
    <w:rsid w:val="0061466B"/>
    <w:rsid w:val="0061612D"/>
    <w:rsid w:val="0061662F"/>
    <w:rsid w:val="0061713A"/>
    <w:rsid w:val="006179D0"/>
    <w:rsid w:val="00620A56"/>
    <w:rsid w:val="00620A94"/>
    <w:rsid w:val="00621E0A"/>
    <w:rsid w:val="00622463"/>
    <w:rsid w:val="00623A17"/>
    <w:rsid w:val="00623DCD"/>
    <w:rsid w:val="00625F35"/>
    <w:rsid w:val="00627C38"/>
    <w:rsid w:val="00630058"/>
    <w:rsid w:val="006301FD"/>
    <w:rsid w:val="00630ADC"/>
    <w:rsid w:val="00631707"/>
    <w:rsid w:val="00632791"/>
    <w:rsid w:val="00634161"/>
    <w:rsid w:val="00634622"/>
    <w:rsid w:val="00634BC2"/>
    <w:rsid w:val="00636184"/>
    <w:rsid w:val="00640797"/>
    <w:rsid w:val="006411D4"/>
    <w:rsid w:val="006412CF"/>
    <w:rsid w:val="0064244D"/>
    <w:rsid w:val="00643D86"/>
    <w:rsid w:val="00644835"/>
    <w:rsid w:val="00645421"/>
    <w:rsid w:val="006458AF"/>
    <w:rsid w:val="00646420"/>
    <w:rsid w:val="00646C4E"/>
    <w:rsid w:val="00647B32"/>
    <w:rsid w:val="00647DCD"/>
    <w:rsid w:val="006504E2"/>
    <w:rsid w:val="0065138D"/>
    <w:rsid w:val="006523BB"/>
    <w:rsid w:val="00653B91"/>
    <w:rsid w:val="00653CD0"/>
    <w:rsid w:val="00656607"/>
    <w:rsid w:val="0066022E"/>
    <w:rsid w:val="00661D9D"/>
    <w:rsid w:val="0066253D"/>
    <w:rsid w:val="0066263C"/>
    <w:rsid w:val="00662ADF"/>
    <w:rsid w:val="00662B10"/>
    <w:rsid w:val="00662DA0"/>
    <w:rsid w:val="00662DC6"/>
    <w:rsid w:val="00663AF6"/>
    <w:rsid w:val="00664041"/>
    <w:rsid w:val="006645FF"/>
    <w:rsid w:val="00665452"/>
    <w:rsid w:val="00665993"/>
    <w:rsid w:val="006676FF"/>
    <w:rsid w:val="00667805"/>
    <w:rsid w:val="006678B5"/>
    <w:rsid w:val="00667ABB"/>
    <w:rsid w:val="00672023"/>
    <w:rsid w:val="00672EE1"/>
    <w:rsid w:val="00673C3E"/>
    <w:rsid w:val="00674DEE"/>
    <w:rsid w:val="00675065"/>
    <w:rsid w:val="00675501"/>
    <w:rsid w:val="0067667D"/>
    <w:rsid w:val="00677C25"/>
    <w:rsid w:val="0068055C"/>
    <w:rsid w:val="00680FCF"/>
    <w:rsid w:val="00681102"/>
    <w:rsid w:val="00681291"/>
    <w:rsid w:val="0068164E"/>
    <w:rsid w:val="006828BE"/>
    <w:rsid w:val="006836EB"/>
    <w:rsid w:val="006839B4"/>
    <w:rsid w:val="006840AB"/>
    <w:rsid w:val="006843F2"/>
    <w:rsid w:val="00684BB6"/>
    <w:rsid w:val="00685481"/>
    <w:rsid w:val="00685C98"/>
    <w:rsid w:val="0068640F"/>
    <w:rsid w:val="00687459"/>
    <w:rsid w:val="006900F9"/>
    <w:rsid w:val="00691C4D"/>
    <w:rsid w:val="0069298B"/>
    <w:rsid w:val="00694471"/>
    <w:rsid w:val="006A0307"/>
    <w:rsid w:val="006A0AD0"/>
    <w:rsid w:val="006A27EB"/>
    <w:rsid w:val="006A3019"/>
    <w:rsid w:val="006A3FC1"/>
    <w:rsid w:val="006A4C05"/>
    <w:rsid w:val="006A4D9B"/>
    <w:rsid w:val="006A51D0"/>
    <w:rsid w:val="006A67E4"/>
    <w:rsid w:val="006B0935"/>
    <w:rsid w:val="006B0CE1"/>
    <w:rsid w:val="006B13A4"/>
    <w:rsid w:val="006B53EE"/>
    <w:rsid w:val="006B547E"/>
    <w:rsid w:val="006B729A"/>
    <w:rsid w:val="006B7CE2"/>
    <w:rsid w:val="006B7F22"/>
    <w:rsid w:val="006C18DD"/>
    <w:rsid w:val="006C1DDC"/>
    <w:rsid w:val="006C3700"/>
    <w:rsid w:val="006D105A"/>
    <w:rsid w:val="006D10A8"/>
    <w:rsid w:val="006D117F"/>
    <w:rsid w:val="006D1A4B"/>
    <w:rsid w:val="006D2D3C"/>
    <w:rsid w:val="006D300F"/>
    <w:rsid w:val="006D4371"/>
    <w:rsid w:val="006D4626"/>
    <w:rsid w:val="006D4B02"/>
    <w:rsid w:val="006D59AC"/>
    <w:rsid w:val="006D5B7A"/>
    <w:rsid w:val="006D6092"/>
    <w:rsid w:val="006D6329"/>
    <w:rsid w:val="006D65E0"/>
    <w:rsid w:val="006D6B4D"/>
    <w:rsid w:val="006E01E4"/>
    <w:rsid w:val="006E1ECA"/>
    <w:rsid w:val="006E2A13"/>
    <w:rsid w:val="006E320D"/>
    <w:rsid w:val="006E577B"/>
    <w:rsid w:val="006E598B"/>
    <w:rsid w:val="006E61FB"/>
    <w:rsid w:val="006E69DD"/>
    <w:rsid w:val="006E6F76"/>
    <w:rsid w:val="006F1C34"/>
    <w:rsid w:val="006F1FE0"/>
    <w:rsid w:val="006F350D"/>
    <w:rsid w:val="006F549A"/>
    <w:rsid w:val="006F593C"/>
    <w:rsid w:val="006F6384"/>
    <w:rsid w:val="007015FD"/>
    <w:rsid w:val="00701B41"/>
    <w:rsid w:val="00702271"/>
    <w:rsid w:val="00702945"/>
    <w:rsid w:val="00703715"/>
    <w:rsid w:val="0070425E"/>
    <w:rsid w:val="00704A2A"/>
    <w:rsid w:val="007065CD"/>
    <w:rsid w:val="00706E99"/>
    <w:rsid w:val="00707129"/>
    <w:rsid w:val="00707BA1"/>
    <w:rsid w:val="007116D5"/>
    <w:rsid w:val="0071330E"/>
    <w:rsid w:val="00714FB8"/>
    <w:rsid w:val="00715892"/>
    <w:rsid w:val="00715F6A"/>
    <w:rsid w:val="00716AA6"/>
    <w:rsid w:val="00717C71"/>
    <w:rsid w:val="00717E6C"/>
    <w:rsid w:val="00720ECD"/>
    <w:rsid w:val="007212DB"/>
    <w:rsid w:val="0072223C"/>
    <w:rsid w:val="00722469"/>
    <w:rsid w:val="00722794"/>
    <w:rsid w:val="00722B50"/>
    <w:rsid w:val="007233B9"/>
    <w:rsid w:val="00723B9C"/>
    <w:rsid w:val="00723BF8"/>
    <w:rsid w:val="00723D36"/>
    <w:rsid w:val="00724862"/>
    <w:rsid w:val="007251E0"/>
    <w:rsid w:val="007252E2"/>
    <w:rsid w:val="00725989"/>
    <w:rsid w:val="007301BB"/>
    <w:rsid w:val="00732140"/>
    <w:rsid w:val="00732779"/>
    <w:rsid w:val="007330C2"/>
    <w:rsid w:val="00733F28"/>
    <w:rsid w:val="007342CB"/>
    <w:rsid w:val="00734A0E"/>
    <w:rsid w:val="00734E84"/>
    <w:rsid w:val="007352B4"/>
    <w:rsid w:val="00736670"/>
    <w:rsid w:val="00736CA0"/>
    <w:rsid w:val="00740289"/>
    <w:rsid w:val="00740C6B"/>
    <w:rsid w:val="00740D24"/>
    <w:rsid w:val="00741A81"/>
    <w:rsid w:val="007425FF"/>
    <w:rsid w:val="007428E5"/>
    <w:rsid w:val="00744025"/>
    <w:rsid w:val="0074583C"/>
    <w:rsid w:val="00745F63"/>
    <w:rsid w:val="00746B29"/>
    <w:rsid w:val="007471CB"/>
    <w:rsid w:val="0075045C"/>
    <w:rsid w:val="00751E7F"/>
    <w:rsid w:val="00752039"/>
    <w:rsid w:val="007523B9"/>
    <w:rsid w:val="0075456E"/>
    <w:rsid w:val="00755844"/>
    <w:rsid w:val="007558FC"/>
    <w:rsid w:val="007559C4"/>
    <w:rsid w:val="00756479"/>
    <w:rsid w:val="00756527"/>
    <w:rsid w:val="00756ACD"/>
    <w:rsid w:val="00757869"/>
    <w:rsid w:val="007637E0"/>
    <w:rsid w:val="00763EE5"/>
    <w:rsid w:val="00770E02"/>
    <w:rsid w:val="00771743"/>
    <w:rsid w:val="0077658E"/>
    <w:rsid w:val="00777140"/>
    <w:rsid w:val="007773EE"/>
    <w:rsid w:val="007805B4"/>
    <w:rsid w:val="00781A82"/>
    <w:rsid w:val="00781D88"/>
    <w:rsid w:val="0078308F"/>
    <w:rsid w:val="007843EA"/>
    <w:rsid w:val="00784AD8"/>
    <w:rsid w:val="0078569C"/>
    <w:rsid w:val="00786567"/>
    <w:rsid w:val="00787C47"/>
    <w:rsid w:val="00787F88"/>
    <w:rsid w:val="007914CC"/>
    <w:rsid w:val="007919FA"/>
    <w:rsid w:val="00791E39"/>
    <w:rsid w:val="007940BB"/>
    <w:rsid w:val="00796D55"/>
    <w:rsid w:val="00797924"/>
    <w:rsid w:val="00797E0C"/>
    <w:rsid w:val="007A03E3"/>
    <w:rsid w:val="007A05BE"/>
    <w:rsid w:val="007A108C"/>
    <w:rsid w:val="007A26CC"/>
    <w:rsid w:val="007A4328"/>
    <w:rsid w:val="007A464E"/>
    <w:rsid w:val="007A496E"/>
    <w:rsid w:val="007A4F57"/>
    <w:rsid w:val="007A5029"/>
    <w:rsid w:val="007A5651"/>
    <w:rsid w:val="007A6D76"/>
    <w:rsid w:val="007A7C30"/>
    <w:rsid w:val="007B0C33"/>
    <w:rsid w:val="007B167E"/>
    <w:rsid w:val="007B20B1"/>
    <w:rsid w:val="007B4433"/>
    <w:rsid w:val="007B46F8"/>
    <w:rsid w:val="007B472D"/>
    <w:rsid w:val="007B4A4A"/>
    <w:rsid w:val="007B4DBB"/>
    <w:rsid w:val="007B5893"/>
    <w:rsid w:val="007B67C0"/>
    <w:rsid w:val="007B684C"/>
    <w:rsid w:val="007B77E4"/>
    <w:rsid w:val="007B7902"/>
    <w:rsid w:val="007B7C90"/>
    <w:rsid w:val="007C0606"/>
    <w:rsid w:val="007C0791"/>
    <w:rsid w:val="007C16A5"/>
    <w:rsid w:val="007C26CB"/>
    <w:rsid w:val="007C2B17"/>
    <w:rsid w:val="007C2D43"/>
    <w:rsid w:val="007C2F3E"/>
    <w:rsid w:val="007C372C"/>
    <w:rsid w:val="007C3D31"/>
    <w:rsid w:val="007C40C9"/>
    <w:rsid w:val="007C5576"/>
    <w:rsid w:val="007C5FE1"/>
    <w:rsid w:val="007C7B13"/>
    <w:rsid w:val="007C7DF7"/>
    <w:rsid w:val="007D04A9"/>
    <w:rsid w:val="007D0EC3"/>
    <w:rsid w:val="007D2212"/>
    <w:rsid w:val="007D29C7"/>
    <w:rsid w:val="007D3588"/>
    <w:rsid w:val="007D5163"/>
    <w:rsid w:val="007D5684"/>
    <w:rsid w:val="007D6EDE"/>
    <w:rsid w:val="007D6F32"/>
    <w:rsid w:val="007E164D"/>
    <w:rsid w:val="007E16AA"/>
    <w:rsid w:val="007E2425"/>
    <w:rsid w:val="007E41C6"/>
    <w:rsid w:val="007E420C"/>
    <w:rsid w:val="007E5265"/>
    <w:rsid w:val="007E5B06"/>
    <w:rsid w:val="007E5E75"/>
    <w:rsid w:val="007E76B6"/>
    <w:rsid w:val="007E7C89"/>
    <w:rsid w:val="007E7D2D"/>
    <w:rsid w:val="007F02BB"/>
    <w:rsid w:val="007F1059"/>
    <w:rsid w:val="007F272F"/>
    <w:rsid w:val="007F3CD1"/>
    <w:rsid w:val="007F4D92"/>
    <w:rsid w:val="007F62A9"/>
    <w:rsid w:val="007F695A"/>
    <w:rsid w:val="007F6F0D"/>
    <w:rsid w:val="007F7C2E"/>
    <w:rsid w:val="008002AB"/>
    <w:rsid w:val="008006B4"/>
    <w:rsid w:val="00800AF5"/>
    <w:rsid w:val="00800D63"/>
    <w:rsid w:val="00801AC0"/>
    <w:rsid w:val="008020B8"/>
    <w:rsid w:val="008023EA"/>
    <w:rsid w:val="0080259D"/>
    <w:rsid w:val="008031A5"/>
    <w:rsid w:val="008034CB"/>
    <w:rsid w:val="00803BCB"/>
    <w:rsid w:val="00804F66"/>
    <w:rsid w:val="008053EA"/>
    <w:rsid w:val="0080586A"/>
    <w:rsid w:val="00805891"/>
    <w:rsid w:val="0080633D"/>
    <w:rsid w:val="008067A1"/>
    <w:rsid w:val="0080795C"/>
    <w:rsid w:val="00807EE2"/>
    <w:rsid w:val="00810EB8"/>
    <w:rsid w:val="008112D0"/>
    <w:rsid w:val="00811EF6"/>
    <w:rsid w:val="00812109"/>
    <w:rsid w:val="008123D4"/>
    <w:rsid w:val="00815A4E"/>
    <w:rsid w:val="008162A5"/>
    <w:rsid w:val="0082002C"/>
    <w:rsid w:val="008213C2"/>
    <w:rsid w:val="00821C05"/>
    <w:rsid w:val="0082235A"/>
    <w:rsid w:val="00823F30"/>
    <w:rsid w:val="00824A9D"/>
    <w:rsid w:val="00824C8F"/>
    <w:rsid w:val="00826269"/>
    <w:rsid w:val="008276F5"/>
    <w:rsid w:val="00831813"/>
    <w:rsid w:val="00832777"/>
    <w:rsid w:val="0083404B"/>
    <w:rsid w:val="008343CD"/>
    <w:rsid w:val="00834BC8"/>
    <w:rsid w:val="0083571A"/>
    <w:rsid w:val="0083642B"/>
    <w:rsid w:val="00836EAB"/>
    <w:rsid w:val="0084138F"/>
    <w:rsid w:val="0084160B"/>
    <w:rsid w:val="008423D5"/>
    <w:rsid w:val="008440E7"/>
    <w:rsid w:val="0084469B"/>
    <w:rsid w:val="00844F25"/>
    <w:rsid w:val="008456D5"/>
    <w:rsid w:val="00845C59"/>
    <w:rsid w:val="0084634B"/>
    <w:rsid w:val="008467C3"/>
    <w:rsid w:val="0084739A"/>
    <w:rsid w:val="00847D2D"/>
    <w:rsid w:val="008511FC"/>
    <w:rsid w:val="00851564"/>
    <w:rsid w:val="008527E2"/>
    <w:rsid w:val="008530D8"/>
    <w:rsid w:val="008549D5"/>
    <w:rsid w:val="00856110"/>
    <w:rsid w:val="00857063"/>
    <w:rsid w:val="0085745A"/>
    <w:rsid w:val="00860F1B"/>
    <w:rsid w:val="00861CD4"/>
    <w:rsid w:val="008629AC"/>
    <w:rsid w:val="00862CAC"/>
    <w:rsid w:val="00863485"/>
    <w:rsid w:val="008637BA"/>
    <w:rsid w:val="00863E52"/>
    <w:rsid w:val="00864EC7"/>
    <w:rsid w:val="008650C0"/>
    <w:rsid w:val="008677F9"/>
    <w:rsid w:val="0087039F"/>
    <w:rsid w:val="00870724"/>
    <w:rsid w:val="00871000"/>
    <w:rsid w:val="00871503"/>
    <w:rsid w:val="008715A1"/>
    <w:rsid w:val="00871B36"/>
    <w:rsid w:val="00871F30"/>
    <w:rsid w:val="0087383F"/>
    <w:rsid w:val="00874357"/>
    <w:rsid w:val="008746DC"/>
    <w:rsid w:val="008749AD"/>
    <w:rsid w:val="00874A29"/>
    <w:rsid w:val="00875809"/>
    <w:rsid w:val="00876C20"/>
    <w:rsid w:val="0087790B"/>
    <w:rsid w:val="00880B84"/>
    <w:rsid w:val="00883677"/>
    <w:rsid w:val="00883B9B"/>
    <w:rsid w:val="00884005"/>
    <w:rsid w:val="008844A9"/>
    <w:rsid w:val="00884636"/>
    <w:rsid w:val="00884782"/>
    <w:rsid w:val="00886451"/>
    <w:rsid w:val="0088681D"/>
    <w:rsid w:val="00886C4E"/>
    <w:rsid w:val="0089044F"/>
    <w:rsid w:val="00891B81"/>
    <w:rsid w:val="00892510"/>
    <w:rsid w:val="00893792"/>
    <w:rsid w:val="00893E8A"/>
    <w:rsid w:val="008946F0"/>
    <w:rsid w:val="00894DE9"/>
    <w:rsid w:val="00894F1E"/>
    <w:rsid w:val="00897409"/>
    <w:rsid w:val="00897955"/>
    <w:rsid w:val="00897BC9"/>
    <w:rsid w:val="008A10FC"/>
    <w:rsid w:val="008A11CA"/>
    <w:rsid w:val="008A1276"/>
    <w:rsid w:val="008A14B4"/>
    <w:rsid w:val="008A1887"/>
    <w:rsid w:val="008A2001"/>
    <w:rsid w:val="008A2322"/>
    <w:rsid w:val="008A28FD"/>
    <w:rsid w:val="008A39D7"/>
    <w:rsid w:val="008A3A6E"/>
    <w:rsid w:val="008A4B78"/>
    <w:rsid w:val="008A5012"/>
    <w:rsid w:val="008A5567"/>
    <w:rsid w:val="008A5CF6"/>
    <w:rsid w:val="008A68BA"/>
    <w:rsid w:val="008A6AA5"/>
    <w:rsid w:val="008A705C"/>
    <w:rsid w:val="008B2F9F"/>
    <w:rsid w:val="008B3082"/>
    <w:rsid w:val="008B3E42"/>
    <w:rsid w:val="008B42C8"/>
    <w:rsid w:val="008B433B"/>
    <w:rsid w:val="008B49EC"/>
    <w:rsid w:val="008B4E43"/>
    <w:rsid w:val="008B5338"/>
    <w:rsid w:val="008B608A"/>
    <w:rsid w:val="008B6A81"/>
    <w:rsid w:val="008C1380"/>
    <w:rsid w:val="008C197E"/>
    <w:rsid w:val="008C1F75"/>
    <w:rsid w:val="008C2701"/>
    <w:rsid w:val="008C2DDC"/>
    <w:rsid w:val="008C2DF2"/>
    <w:rsid w:val="008C2F63"/>
    <w:rsid w:val="008C32D4"/>
    <w:rsid w:val="008C505A"/>
    <w:rsid w:val="008C6AE9"/>
    <w:rsid w:val="008C7543"/>
    <w:rsid w:val="008D106E"/>
    <w:rsid w:val="008D1597"/>
    <w:rsid w:val="008D199A"/>
    <w:rsid w:val="008D250F"/>
    <w:rsid w:val="008D341D"/>
    <w:rsid w:val="008D3535"/>
    <w:rsid w:val="008D37AE"/>
    <w:rsid w:val="008D62C2"/>
    <w:rsid w:val="008D6D52"/>
    <w:rsid w:val="008E04F5"/>
    <w:rsid w:val="008E112D"/>
    <w:rsid w:val="008E2A0D"/>
    <w:rsid w:val="008E2A70"/>
    <w:rsid w:val="008E33AB"/>
    <w:rsid w:val="008E347C"/>
    <w:rsid w:val="008E374A"/>
    <w:rsid w:val="008E3DDA"/>
    <w:rsid w:val="008E4854"/>
    <w:rsid w:val="008E49BD"/>
    <w:rsid w:val="008E69E8"/>
    <w:rsid w:val="008E7D6A"/>
    <w:rsid w:val="008F0A41"/>
    <w:rsid w:val="008F395A"/>
    <w:rsid w:val="008F4DB8"/>
    <w:rsid w:val="008F5530"/>
    <w:rsid w:val="008F5751"/>
    <w:rsid w:val="008F64EF"/>
    <w:rsid w:val="008F69BA"/>
    <w:rsid w:val="008F73CD"/>
    <w:rsid w:val="008F7857"/>
    <w:rsid w:val="008F7DAA"/>
    <w:rsid w:val="0090005F"/>
    <w:rsid w:val="00900E46"/>
    <w:rsid w:val="0090196B"/>
    <w:rsid w:val="009020B0"/>
    <w:rsid w:val="00902C89"/>
    <w:rsid w:val="009031B7"/>
    <w:rsid w:val="00904C59"/>
    <w:rsid w:val="009068B7"/>
    <w:rsid w:val="00907BE0"/>
    <w:rsid w:val="00910AA5"/>
    <w:rsid w:val="00912AB2"/>
    <w:rsid w:val="00912E07"/>
    <w:rsid w:val="00912FC1"/>
    <w:rsid w:val="0091362E"/>
    <w:rsid w:val="00913F90"/>
    <w:rsid w:val="009143F1"/>
    <w:rsid w:val="00914AC8"/>
    <w:rsid w:val="00914F67"/>
    <w:rsid w:val="00915422"/>
    <w:rsid w:val="00915E63"/>
    <w:rsid w:val="00915EDB"/>
    <w:rsid w:val="00916CC1"/>
    <w:rsid w:val="00917F8F"/>
    <w:rsid w:val="00922919"/>
    <w:rsid w:val="00922F71"/>
    <w:rsid w:val="009244FF"/>
    <w:rsid w:val="00925037"/>
    <w:rsid w:val="009262D2"/>
    <w:rsid w:val="009273C7"/>
    <w:rsid w:val="00927997"/>
    <w:rsid w:val="00927B37"/>
    <w:rsid w:val="009316AF"/>
    <w:rsid w:val="00932E52"/>
    <w:rsid w:val="00933345"/>
    <w:rsid w:val="0093412F"/>
    <w:rsid w:val="00935EBC"/>
    <w:rsid w:val="00936970"/>
    <w:rsid w:val="00937681"/>
    <w:rsid w:val="00937C3D"/>
    <w:rsid w:val="00937FF6"/>
    <w:rsid w:val="009405C1"/>
    <w:rsid w:val="0094079D"/>
    <w:rsid w:val="00940F2C"/>
    <w:rsid w:val="00941499"/>
    <w:rsid w:val="009431A8"/>
    <w:rsid w:val="00943AEE"/>
    <w:rsid w:val="00944936"/>
    <w:rsid w:val="009457BF"/>
    <w:rsid w:val="009465F0"/>
    <w:rsid w:val="00946E90"/>
    <w:rsid w:val="009501D6"/>
    <w:rsid w:val="00950897"/>
    <w:rsid w:val="0095132D"/>
    <w:rsid w:val="00951687"/>
    <w:rsid w:val="00951D57"/>
    <w:rsid w:val="00952502"/>
    <w:rsid w:val="00955565"/>
    <w:rsid w:val="00956A7D"/>
    <w:rsid w:val="009605F2"/>
    <w:rsid w:val="00960C3D"/>
    <w:rsid w:val="00961137"/>
    <w:rsid w:val="00961970"/>
    <w:rsid w:val="0096248E"/>
    <w:rsid w:val="00963401"/>
    <w:rsid w:val="009640F2"/>
    <w:rsid w:val="00964715"/>
    <w:rsid w:val="009658D0"/>
    <w:rsid w:val="00967240"/>
    <w:rsid w:val="00970047"/>
    <w:rsid w:val="00970B03"/>
    <w:rsid w:val="0097178E"/>
    <w:rsid w:val="00972705"/>
    <w:rsid w:val="00973B44"/>
    <w:rsid w:val="00973E73"/>
    <w:rsid w:val="00974300"/>
    <w:rsid w:val="00974AE7"/>
    <w:rsid w:val="00975648"/>
    <w:rsid w:val="0097698F"/>
    <w:rsid w:val="009769DF"/>
    <w:rsid w:val="00976A21"/>
    <w:rsid w:val="00977C5B"/>
    <w:rsid w:val="00980285"/>
    <w:rsid w:val="009804B1"/>
    <w:rsid w:val="00981CC0"/>
    <w:rsid w:val="00981DA3"/>
    <w:rsid w:val="00982570"/>
    <w:rsid w:val="00982DC1"/>
    <w:rsid w:val="00985064"/>
    <w:rsid w:val="00987657"/>
    <w:rsid w:val="009909B2"/>
    <w:rsid w:val="0099187A"/>
    <w:rsid w:val="00991AD7"/>
    <w:rsid w:val="00992DEE"/>
    <w:rsid w:val="00993492"/>
    <w:rsid w:val="00993542"/>
    <w:rsid w:val="00993A0A"/>
    <w:rsid w:val="00993D57"/>
    <w:rsid w:val="00994293"/>
    <w:rsid w:val="00994752"/>
    <w:rsid w:val="009950AF"/>
    <w:rsid w:val="00995972"/>
    <w:rsid w:val="009979DE"/>
    <w:rsid w:val="009A0110"/>
    <w:rsid w:val="009A0866"/>
    <w:rsid w:val="009A314F"/>
    <w:rsid w:val="009A3727"/>
    <w:rsid w:val="009A3AC4"/>
    <w:rsid w:val="009A480B"/>
    <w:rsid w:val="009A4CEA"/>
    <w:rsid w:val="009A537C"/>
    <w:rsid w:val="009A5C72"/>
    <w:rsid w:val="009A5DCC"/>
    <w:rsid w:val="009A628B"/>
    <w:rsid w:val="009A6A75"/>
    <w:rsid w:val="009A6F31"/>
    <w:rsid w:val="009A7F6D"/>
    <w:rsid w:val="009B005E"/>
    <w:rsid w:val="009B00F2"/>
    <w:rsid w:val="009B081A"/>
    <w:rsid w:val="009B0AB9"/>
    <w:rsid w:val="009B227A"/>
    <w:rsid w:val="009B26B1"/>
    <w:rsid w:val="009B26C1"/>
    <w:rsid w:val="009B293C"/>
    <w:rsid w:val="009B3A80"/>
    <w:rsid w:val="009B4485"/>
    <w:rsid w:val="009B4720"/>
    <w:rsid w:val="009B483A"/>
    <w:rsid w:val="009B4E20"/>
    <w:rsid w:val="009B59AE"/>
    <w:rsid w:val="009B5B74"/>
    <w:rsid w:val="009B5CD7"/>
    <w:rsid w:val="009B5F38"/>
    <w:rsid w:val="009B6022"/>
    <w:rsid w:val="009B6894"/>
    <w:rsid w:val="009B73FC"/>
    <w:rsid w:val="009C001E"/>
    <w:rsid w:val="009C214B"/>
    <w:rsid w:val="009C2F1E"/>
    <w:rsid w:val="009C35C0"/>
    <w:rsid w:val="009C42FB"/>
    <w:rsid w:val="009C4D9B"/>
    <w:rsid w:val="009C50E2"/>
    <w:rsid w:val="009C53C0"/>
    <w:rsid w:val="009C695B"/>
    <w:rsid w:val="009C7379"/>
    <w:rsid w:val="009C7C58"/>
    <w:rsid w:val="009D0AF8"/>
    <w:rsid w:val="009D0D7A"/>
    <w:rsid w:val="009D111A"/>
    <w:rsid w:val="009D17DD"/>
    <w:rsid w:val="009D18D1"/>
    <w:rsid w:val="009D1EAC"/>
    <w:rsid w:val="009D2AB2"/>
    <w:rsid w:val="009D4C0E"/>
    <w:rsid w:val="009D55FF"/>
    <w:rsid w:val="009D65DB"/>
    <w:rsid w:val="009D75C7"/>
    <w:rsid w:val="009D7C95"/>
    <w:rsid w:val="009D7CCE"/>
    <w:rsid w:val="009E10E6"/>
    <w:rsid w:val="009E1186"/>
    <w:rsid w:val="009E1873"/>
    <w:rsid w:val="009E1AFF"/>
    <w:rsid w:val="009E33BA"/>
    <w:rsid w:val="009E3A81"/>
    <w:rsid w:val="009E411B"/>
    <w:rsid w:val="009E455A"/>
    <w:rsid w:val="009E47AF"/>
    <w:rsid w:val="009E47EE"/>
    <w:rsid w:val="009E5655"/>
    <w:rsid w:val="009E64FA"/>
    <w:rsid w:val="009F185A"/>
    <w:rsid w:val="009F2422"/>
    <w:rsid w:val="009F33E7"/>
    <w:rsid w:val="009F435C"/>
    <w:rsid w:val="009F4671"/>
    <w:rsid w:val="009F524D"/>
    <w:rsid w:val="009F5324"/>
    <w:rsid w:val="009F5BBC"/>
    <w:rsid w:val="009F5EC7"/>
    <w:rsid w:val="00A00492"/>
    <w:rsid w:val="00A01C97"/>
    <w:rsid w:val="00A01FE2"/>
    <w:rsid w:val="00A0212B"/>
    <w:rsid w:val="00A02403"/>
    <w:rsid w:val="00A02D85"/>
    <w:rsid w:val="00A03FB3"/>
    <w:rsid w:val="00A04B23"/>
    <w:rsid w:val="00A05E90"/>
    <w:rsid w:val="00A06DCF"/>
    <w:rsid w:val="00A070A2"/>
    <w:rsid w:val="00A0758D"/>
    <w:rsid w:val="00A10660"/>
    <w:rsid w:val="00A10781"/>
    <w:rsid w:val="00A10C44"/>
    <w:rsid w:val="00A10E90"/>
    <w:rsid w:val="00A1125F"/>
    <w:rsid w:val="00A11784"/>
    <w:rsid w:val="00A11A87"/>
    <w:rsid w:val="00A12381"/>
    <w:rsid w:val="00A13370"/>
    <w:rsid w:val="00A137DB"/>
    <w:rsid w:val="00A14C68"/>
    <w:rsid w:val="00A152D8"/>
    <w:rsid w:val="00A16640"/>
    <w:rsid w:val="00A16E94"/>
    <w:rsid w:val="00A17666"/>
    <w:rsid w:val="00A17A79"/>
    <w:rsid w:val="00A205EA"/>
    <w:rsid w:val="00A214A2"/>
    <w:rsid w:val="00A22182"/>
    <w:rsid w:val="00A236ED"/>
    <w:rsid w:val="00A25CC0"/>
    <w:rsid w:val="00A27430"/>
    <w:rsid w:val="00A27C1C"/>
    <w:rsid w:val="00A3013A"/>
    <w:rsid w:val="00A301B6"/>
    <w:rsid w:val="00A30C49"/>
    <w:rsid w:val="00A31C38"/>
    <w:rsid w:val="00A31D43"/>
    <w:rsid w:val="00A3344E"/>
    <w:rsid w:val="00A3356C"/>
    <w:rsid w:val="00A3388D"/>
    <w:rsid w:val="00A338C6"/>
    <w:rsid w:val="00A33F1F"/>
    <w:rsid w:val="00A36BFE"/>
    <w:rsid w:val="00A36FD1"/>
    <w:rsid w:val="00A37488"/>
    <w:rsid w:val="00A379C4"/>
    <w:rsid w:val="00A402CC"/>
    <w:rsid w:val="00A40D9E"/>
    <w:rsid w:val="00A40FD4"/>
    <w:rsid w:val="00A4215E"/>
    <w:rsid w:val="00A43197"/>
    <w:rsid w:val="00A43324"/>
    <w:rsid w:val="00A43BEE"/>
    <w:rsid w:val="00A43C16"/>
    <w:rsid w:val="00A45C5D"/>
    <w:rsid w:val="00A462A7"/>
    <w:rsid w:val="00A46E22"/>
    <w:rsid w:val="00A47B82"/>
    <w:rsid w:val="00A508BB"/>
    <w:rsid w:val="00A50DDA"/>
    <w:rsid w:val="00A50EB0"/>
    <w:rsid w:val="00A51535"/>
    <w:rsid w:val="00A521EA"/>
    <w:rsid w:val="00A55170"/>
    <w:rsid w:val="00A5697E"/>
    <w:rsid w:val="00A57A8F"/>
    <w:rsid w:val="00A60CA9"/>
    <w:rsid w:val="00A62726"/>
    <w:rsid w:val="00A62F97"/>
    <w:rsid w:val="00A63A0D"/>
    <w:rsid w:val="00A64BB9"/>
    <w:rsid w:val="00A64F31"/>
    <w:rsid w:val="00A65BBE"/>
    <w:rsid w:val="00A66892"/>
    <w:rsid w:val="00A66B91"/>
    <w:rsid w:val="00A66BA8"/>
    <w:rsid w:val="00A673BB"/>
    <w:rsid w:val="00A678B5"/>
    <w:rsid w:val="00A67AD1"/>
    <w:rsid w:val="00A67B2D"/>
    <w:rsid w:val="00A7152B"/>
    <w:rsid w:val="00A72019"/>
    <w:rsid w:val="00A72BC6"/>
    <w:rsid w:val="00A72D34"/>
    <w:rsid w:val="00A73145"/>
    <w:rsid w:val="00A732B5"/>
    <w:rsid w:val="00A7381E"/>
    <w:rsid w:val="00A74ECA"/>
    <w:rsid w:val="00A758C0"/>
    <w:rsid w:val="00A75BE7"/>
    <w:rsid w:val="00A7689F"/>
    <w:rsid w:val="00A772B7"/>
    <w:rsid w:val="00A7774B"/>
    <w:rsid w:val="00A80B69"/>
    <w:rsid w:val="00A8114F"/>
    <w:rsid w:val="00A81EAE"/>
    <w:rsid w:val="00A8212B"/>
    <w:rsid w:val="00A8287E"/>
    <w:rsid w:val="00A8310A"/>
    <w:rsid w:val="00A837F0"/>
    <w:rsid w:val="00A83926"/>
    <w:rsid w:val="00A8461C"/>
    <w:rsid w:val="00A87D0E"/>
    <w:rsid w:val="00A916B0"/>
    <w:rsid w:val="00A9196B"/>
    <w:rsid w:val="00A92576"/>
    <w:rsid w:val="00A92D9A"/>
    <w:rsid w:val="00A93C67"/>
    <w:rsid w:val="00A944B6"/>
    <w:rsid w:val="00A94CDB"/>
    <w:rsid w:val="00A95970"/>
    <w:rsid w:val="00A95F04"/>
    <w:rsid w:val="00A962FB"/>
    <w:rsid w:val="00A96BE1"/>
    <w:rsid w:val="00A96C9F"/>
    <w:rsid w:val="00AA0284"/>
    <w:rsid w:val="00AA1750"/>
    <w:rsid w:val="00AA59E0"/>
    <w:rsid w:val="00AA62B1"/>
    <w:rsid w:val="00AA759B"/>
    <w:rsid w:val="00AB070A"/>
    <w:rsid w:val="00AB14B0"/>
    <w:rsid w:val="00AB2D7E"/>
    <w:rsid w:val="00AB3FD3"/>
    <w:rsid w:val="00AB51E5"/>
    <w:rsid w:val="00AB5AE9"/>
    <w:rsid w:val="00AB5D81"/>
    <w:rsid w:val="00AB6065"/>
    <w:rsid w:val="00AB61D3"/>
    <w:rsid w:val="00AB66DD"/>
    <w:rsid w:val="00AB708C"/>
    <w:rsid w:val="00AB781D"/>
    <w:rsid w:val="00AB7E33"/>
    <w:rsid w:val="00AC0730"/>
    <w:rsid w:val="00AC09E4"/>
    <w:rsid w:val="00AC1302"/>
    <w:rsid w:val="00AC3A7F"/>
    <w:rsid w:val="00AC3CBF"/>
    <w:rsid w:val="00AC52D8"/>
    <w:rsid w:val="00AC55A1"/>
    <w:rsid w:val="00AC7A5E"/>
    <w:rsid w:val="00AD07EE"/>
    <w:rsid w:val="00AD0D04"/>
    <w:rsid w:val="00AD108B"/>
    <w:rsid w:val="00AD1EFC"/>
    <w:rsid w:val="00AD275F"/>
    <w:rsid w:val="00AD3328"/>
    <w:rsid w:val="00AD4FBC"/>
    <w:rsid w:val="00AD5A68"/>
    <w:rsid w:val="00AD615D"/>
    <w:rsid w:val="00AD6748"/>
    <w:rsid w:val="00AD7703"/>
    <w:rsid w:val="00AD7854"/>
    <w:rsid w:val="00AD7DAA"/>
    <w:rsid w:val="00AE05F2"/>
    <w:rsid w:val="00AE0EFB"/>
    <w:rsid w:val="00AE1A55"/>
    <w:rsid w:val="00AE26BA"/>
    <w:rsid w:val="00AE3E73"/>
    <w:rsid w:val="00AE467A"/>
    <w:rsid w:val="00AE4850"/>
    <w:rsid w:val="00AE68AF"/>
    <w:rsid w:val="00AE7EFC"/>
    <w:rsid w:val="00AF0028"/>
    <w:rsid w:val="00AF0271"/>
    <w:rsid w:val="00AF0A63"/>
    <w:rsid w:val="00AF0EB1"/>
    <w:rsid w:val="00AF1CA7"/>
    <w:rsid w:val="00AF27E2"/>
    <w:rsid w:val="00AF3366"/>
    <w:rsid w:val="00AF4810"/>
    <w:rsid w:val="00AF48AC"/>
    <w:rsid w:val="00AF4FE4"/>
    <w:rsid w:val="00AF6162"/>
    <w:rsid w:val="00AF622F"/>
    <w:rsid w:val="00AF7B97"/>
    <w:rsid w:val="00AF7BBA"/>
    <w:rsid w:val="00AF7D8C"/>
    <w:rsid w:val="00B006DE"/>
    <w:rsid w:val="00B0076A"/>
    <w:rsid w:val="00B00AF2"/>
    <w:rsid w:val="00B01865"/>
    <w:rsid w:val="00B0190A"/>
    <w:rsid w:val="00B01CB3"/>
    <w:rsid w:val="00B05DBB"/>
    <w:rsid w:val="00B06D96"/>
    <w:rsid w:val="00B06EC7"/>
    <w:rsid w:val="00B06FF6"/>
    <w:rsid w:val="00B1088A"/>
    <w:rsid w:val="00B108CD"/>
    <w:rsid w:val="00B10AEB"/>
    <w:rsid w:val="00B10F1C"/>
    <w:rsid w:val="00B11B27"/>
    <w:rsid w:val="00B12ADC"/>
    <w:rsid w:val="00B14A7F"/>
    <w:rsid w:val="00B1528D"/>
    <w:rsid w:val="00B1560E"/>
    <w:rsid w:val="00B15BEC"/>
    <w:rsid w:val="00B15F20"/>
    <w:rsid w:val="00B17628"/>
    <w:rsid w:val="00B17B97"/>
    <w:rsid w:val="00B17CDA"/>
    <w:rsid w:val="00B2072D"/>
    <w:rsid w:val="00B20D9D"/>
    <w:rsid w:val="00B217A8"/>
    <w:rsid w:val="00B21A94"/>
    <w:rsid w:val="00B22BF7"/>
    <w:rsid w:val="00B2460C"/>
    <w:rsid w:val="00B25C83"/>
    <w:rsid w:val="00B26194"/>
    <w:rsid w:val="00B268FD"/>
    <w:rsid w:val="00B26CCE"/>
    <w:rsid w:val="00B26F91"/>
    <w:rsid w:val="00B2776A"/>
    <w:rsid w:val="00B27FE2"/>
    <w:rsid w:val="00B30A7F"/>
    <w:rsid w:val="00B30ACA"/>
    <w:rsid w:val="00B30FF5"/>
    <w:rsid w:val="00B31F24"/>
    <w:rsid w:val="00B32656"/>
    <w:rsid w:val="00B32AAE"/>
    <w:rsid w:val="00B32C1A"/>
    <w:rsid w:val="00B33698"/>
    <w:rsid w:val="00B349BF"/>
    <w:rsid w:val="00B35178"/>
    <w:rsid w:val="00B36B00"/>
    <w:rsid w:val="00B3700F"/>
    <w:rsid w:val="00B42AC2"/>
    <w:rsid w:val="00B437FF"/>
    <w:rsid w:val="00B43D82"/>
    <w:rsid w:val="00B43F16"/>
    <w:rsid w:val="00B446D3"/>
    <w:rsid w:val="00B458D9"/>
    <w:rsid w:val="00B45EC4"/>
    <w:rsid w:val="00B47BDA"/>
    <w:rsid w:val="00B50810"/>
    <w:rsid w:val="00B516B7"/>
    <w:rsid w:val="00B52E15"/>
    <w:rsid w:val="00B53D07"/>
    <w:rsid w:val="00B5423A"/>
    <w:rsid w:val="00B54F19"/>
    <w:rsid w:val="00B5694F"/>
    <w:rsid w:val="00B5738F"/>
    <w:rsid w:val="00B604B1"/>
    <w:rsid w:val="00B6200D"/>
    <w:rsid w:val="00B63301"/>
    <w:rsid w:val="00B64A7A"/>
    <w:rsid w:val="00B65D09"/>
    <w:rsid w:val="00B66F39"/>
    <w:rsid w:val="00B67332"/>
    <w:rsid w:val="00B675FE"/>
    <w:rsid w:val="00B6771A"/>
    <w:rsid w:val="00B678D7"/>
    <w:rsid w:val="00B67E75"/>
    <w:rsid w:val="00B704E3"/>
    <w:rsid w:val="00B71841"/>
    <w:rsid w:val="00B71FE9"/>
    <w:rsid w:val="00B728A1"/>
    <w:rsid w:val="00B73392"/>
    <w:rsid w:val="00B73E02"/>
    <w:rsid w:val="00B745BF"/>
    <w:rsid w:val="00B748C1"/>
    <w:rsid w:val="00B76E4D"/>
    <w:rsid w:val="00B77440"/>
    <w:rsid w:val="00B7767A"/>
    <w:rsid w:val="00B80B0E"/>
    <w:rsid w:val="00B81883"/>
    <w:rsid w:val="00B8348E"/>
    <w:rsid w:val="00B836B4"/>
    <w:rsid w:val="00B84411"/>
    <w:rsid w:val="00B844DC"/>
    <w:rsid w:val="00B848DE"/>
    <w:rsid w:val="00B90348"/>
    <w:rsid w:val="00B903F0"/>
    <w:rsid w:val="00B90767"/>
    <w:rsid w:val="00B91ED0"/>
    <w:rsid w:val="00B92560"/>
    <w:rsid w:val="00B93703"/>
    <w:rsid w:val="00B93B72"/>
    <w:rsid w:val="00B94171"/>
    <w:rsid w:val="00B941B9"/>
    <w:rsid w:val="00B9488F"/>
    <w:rsid w:val="00B95A42"/>
    <w:rsid w:val="00B961CA"/>
    <w:rsid w:val="00B96CA0"/>
    <w:rsid w:val="00B9737E"/>
    <w:rsid w:val="00B976B4"/>
    <w:rsid w:val="00BA24FB"/>
    <w:rsid w:val="00BA28ED"/>
    <w:rsid w:val="00BA30E2"/>
    <w:rsid w:val="00BA3BE2"/>
    <w:rsid w:val="00BA45F6"/>
    <w:rsid w:val="00BA66E9"/>
    <w:rsid w:val="00BA699C"/>
    <w:rsid w:val="00BA6A00"/>
    <w:rsid w:val="00BB269C"/>
    <w:rsid w:val="00BB3AAC"/>
    <w:rsid w:val="00BB3FF1"/>
    <w:rsid w:val="00BB400D"/>
    <w:rsid w:val="00BB433E"/>
    <w:rsid w:val="00BB57F3"/>
    <w:rsid w:val="00BB5A84"/>
    <w:rsid w:val="00BB6A12"/>
    <w:rsid w:val="00BB7620"/>
    <w:rsid w:val="00BB7DC9"/>
    <w:rsid w:val="00BC0276"/>
    <w:rsid w:val="00BC0EB3"/>
    <w:rsid w:val="00BC12A5"/>
    <w:rsid w:val="00BC1C82"/>
    <w:rsid w:val="00BC28B8"/>
    <w:rsid w:val="00BC48CD"/>
    <w:rsid w:val="00BC4B4F"/>
    <w:rsid w:val="00BC5113"/>
    <w:rsid w:val="00BC5188"/>
    <w:rsid w:val="00BC55A4"/>
    <w:rsid w:val="00BC6A71"/>
    <w:rsid w:val="00BC7BD7"/>
    <w:rsid w:val="00BD0C14"/>
    <w:rsid w:val="00BD1609"/>
    <w:rsid w:val="00BD4719"/>
    <w:rsid w:val="00BD48B2"/>
    <w:rsid w:val="00BD490A"/>
    <w:rsid w:val="00BD4BF9"/>
    <w:rsid w:val="00BD4C30"/>
    <w:rsid w:val="00BD56F3"/>
    <w:rsid w:val="00BD5BD8"/>
    <w:rsid w:val="00BD5C8A"/>
    <w:rsid w:val="00BD5EE6"/>
    <w:rsid w:val="00BD67F2"/>
    <w:rsid w:val="00BD6C69"/>
    <w:rsid w:val="00BD73DF"/>
    <w:rsid w:val="00BD7537"/>
    <w:rsid w:val="00BD7EFF"/>
    <w:rsid w:val="00BE1B6F"/>
    <w:rsid w:val="00BE359E"/>
    <w:rsid w:val="00BE3DCE"/>
    <w:rsid w:val="00BE56CE"/>
    <w:rsid w:val="00BE5D47"/>
    <w:rsid w:val="00BE5EF1"/>
    <w:rsid w:val="00BE6FD4"/>
    <w:rsid w:val="00BF0F11"/>
    <w:rsid w:val="00BF2092"/>
    <w:rsid w:val="00BF2CC8"/>
    <w:rsid w:val="00BF33D7"/>
    <w:rsid w:val="00BF46C1"/>
    <w:rsid w:val="00BF5406"/>
    <w:rsid w:val="00BF59B6"/>
    <w:rsid w:val="00BF6161"/>
    <w:rsid w:val="00BF63B2"/>
    <w:rsid w:val="00BF6953"/>
    <w:rsid w:val="00BF6EFB"/>
    <w:rsid w:val="00BF78B2"/>
    <w:rsid w:val="00C00B57"/>
    <w:rsid w:val="00C018DA"/>
    <w:rsid w:val="00C01AFC"/>
    <w:rsid w:val="00C01EE8"/>
    <w:rsid w:val="00C03A85"/>
    <w:rsid w:val="00C03C1D"/>
    <w:rsid w:val="00C047C1"/>
    <w:rsid w:val="00C067DF"/>
    <w:rsid w:val="00C07C11"/>
    <w:rsid w:val="00C104A7"/>
    <w:rsid w:val="00C10790"/>
    <w:rsid w:val="00C10D4B"/>
    <w:rsid w:val="00C10DE5"/>
    <w:rsid w:val="00C112F5"/>
    <w:rsid w:val="00C119A0"/>
    <w:rsid w:val="00C11CEB"/>
    <w:rsid w:val="00C12777"/>
    <w:rsid w:val="00C13B95"/>
    <w:rsid w:val="00C1402A"/>
    <w:rsid w:val="00C14F55"/>
    <w:rsid w:val="00C151F5"/>
    <w:rsid w:val="00C159C2"/>
    <w:rsid w:val="00C16113"/>
    <w:rsid w:val="00C161D9"/>
    <w:rsid w:val="00C1647C"/>
    <w:rsid w:val="00C17608"/>
    <w:rsid w:val="00C17775"/>
    <w:rsid w:val="00C218AF"/>
    <w:rsid w:val="00C23E46"/>
    <w:rsid w:val="00C25274"/>
    <w:rsid w:val="00C25418"/>
    <w:rsid w:val="00C255E6"/>
    <w:rsid w:val="00C263D6"/>
    <w:rsid w:val="00C26FD3"/>
    <w:rsid w:val="00C279EE"/>
    <w:rsid w:val="00C310EE"/>
    <w:rsid w:val="00C31606"/>
    <w:rsid w:val="00C316F0"/>
    <w:rsid w:val="00C32BDC"/>
    <w:rsid w:val="00C32F5E"/>
    <w:rsid w:val="00C340A2"/>
    <w:rsid w:val="00C351F0"/>
    <w:rsid w:val="00C35C5B"/>
    <w:rsid w:val="00C35F41"/>
    <w:rsid w:val="00C36857"/>
    <w:rsid w:val="00C373C6"/>
    <w:rsid w:val="00C3745C"/>
    <w:rsid w:val="00C4195B"/>
    <w:rsid w:val="00C42F1E"/>
    <w:rsid w:val="00C432E5"/>
    <w:rsid w:val="00C44C3C"/>
    <w:rsid w:val="00C4585C"/>
    <w:rsid w:val="00C45D95"/>
    <w:rsid w:val="00C46088"/>
    <w:rsid w:val="00C50234"/>
    <w:rsid w:val="00C50E6B"/>
    <w:rsid w:val="00C52C53"/>
    <w:rsid w:val="00C558B2"/>
    <w:rsid w:val="00C55904"/>
    <w:rsid w:val="00C55A68"/>
    <w:rsid w:val="00C56676"/>
    <w:rsid w:val="00C56D6A"/>
    <w:rsid w:val="00C57DC4"/>
    <w:rsid w:val="00C60755"/>
    <w:rsid w:val="00C60E36"/>
    <w:rsid w:val="00C62991"/>
    <w:rsid w:val="00C634D8"/>
    <w:rsid w:val="00C63A99"/>
    <w:rsid w:val="00C6432A"/>
    <w:rsid w:val="00C64DB9"/>
    <w:rsid w:val="00C678FD"/>
    <w:rsid w:val="00C700F5"/>
    <w:rsid w:val="00C7037E"/>
    <w:rsid w:val="00C724C1"/>
    <w:rsid w:val="00C7273A"/>
    <w:rsid w:val="00C75B23"/>
    <w:rsid w:val="00C77F61"/>
    <w:rsid w:val="00C80841"/>
    <w:rsid w:val="00C82859"/>
    <w:rsid w:val="00C8330A"/>
    <w:rsid w:val="00C83B88"/>
    <w:rsid w:val="00C83D42"/>
    <w:rsid w:val="00C841BE"/>
    <w:rsid w:val="00C8461B"/>
    <w:rsid w:val="00C84C59"/>
    <w:rsid w:val="00C84D38"/>
    <w:rsid w:val="00C85849"/>
    <w:rsid w:val="00C858D9"/>
    <w:rsid w:val="00C85B6A"/>
    <w:rsid w:val="00C85DD5"/>
    <w:rsid w:val="00C8664B"/>
    <w:rsid w:val="00C86692"/>
    <w:rsid w:val="00C86C25"/>
    <w:rsid w:val="00C927C4"/>
    <w:rsid w:val="00C9297F"/>
    <w:rsid w:val="00C931A4"/>
    <w:rsid w:val="00C950F2"/>
    <w:rsid w:val="00C9618A"/>
    <w:rsid w:val="00C96C85"/>
    <w:rsid w:val="00C96F1E"/>
    <w:rsid w:val="00C97154"/>
    <w:rsid w:val="00CA153E"/>
    <w:rsid w:val="00CA1AD8"/>
    <w:rsid w:val="00CA24D0"/>
    <w:rsid w:val="00CA35F8"/>
    <w:rsid w:val="00CA389D"/>
    <w:rsid w:val="00CA3E79"/>
    <w:rsid w:val="00CA4432"/>
    <w:rsid w:val="00CA448D"/>
    <w:rsid w:val="00CA47D8"/>
    <w:rsid w:val="00CA4D06"/>
    <w:rsid w:val="00CA5B77"/>
    <w:rsid w:val="00CA5FD2"/>
    <w:rsid w:val="00CA721E"/>
    <w:rsid w:val="00CB0587"/>
    <w:rsid w:val="00CB0936"/>
    <w:rsid w:val="00CB11C3"/>
    <w:rsid w:val="00CB1664"/>
    <w:rsid w:val="00CB1BE6"/>
    <w:rsid w:val="00CB1D28"/>
    <w:rsid w:val="00CB21D2"/>
    <w:rsid w:val="00CB35C8"/>
    <w:rsid w:val="00CB39FA"/>
    <w:rsid w:val="00CB3ABB"/>
    <w:rsid w:val="00CB46FD"/>
    <w:rsid w:val="00CB4F39"/>
    <w:rsid w:val="00CB5B08"/>
    <w:rsid w:val="00CB60B6"/>
    <w:rsid w:val="00CB7E97"/>
    <w:rsid w:val="00CC0253"/>
    <w:rsid w:val="00CC0297"/>
    <w:rsid w:val="00CC1B65"/>
    <w:rsid w:val="00CC2598"/>
    <w:rsid w:val="00CC28EE"/>
    <w:rsid w:val="00CC3F17"/>
    <w:rsid w:val="00CC41BB"/>
    <w:rsid w:val="00CC4AFF"/>
    <w:rsid w:val="00CC4C7D"/>
    <w:rsid w:val="00CC5516"/>
    <w:rsid w:val="00CC6AB9"/>
    <w:rsid w:val="00CC70F0"/>
    <w:rsid w:val="00CC7C03"/>
    <w:rsid w:val="00CD0BC7"/>
    <w:rsid w:val="00CD1577"/>
    <w:rsid w:val="00CD1BDF"/>
    <w:rsid w:val="00CD233E"/>
    <w:rsid w:val="00CD433D"/>
    <w:rsid w:val="00CD50D1"/>
    <w:rsid w:val="00CD7C83"/>
    <w:rsid w:val="00CE1432"/>
    <w:rsid w:val="00CE1499"/>
    <w:rsid w:val="00CE1ECC"/>
    <w:rsid w:val="00CE2DE2"/>
    <w:rsid w:val="00CE46F2"/>
    <w:rsid w:val="00CE4B95"/>
    <w:rsid w:val="00CE4CD1"/>
    <w:rsid w:val="00CE537D"/>
    <w:rsid w:val="00CE5560"/>
    <w:rsid w:val="00CE57C4"/>
    <w:rsid w:val="00CE600F"/>
    <w:rsid w:val="00CE6C18"/>
    <w:rsid w:val="00CE6E3E"/>
    <w:rsid w:val="00CE7182"/>
    <w:rsid w:val="00CE7814"/>
    <w:rsid w:val="00CE7972"/>
    <w:rsid w:val="00CF0135"/>
    <w:rsid w:val="00CF110B"/>
    <w:rsid w:val="00CF186D"/>
    <w:rsid w:val="00CF3288"/>
    <w:rsid w:val="00CF34DD"/>
    <w:rsid w:val="00CF462A"/>
    <w:rsid w:val="00CF59BA"/>
    <w:rsid w:val="00CF6CFD"/>
    <w:rsid w:val="00CF6D23"/>
    <w:rsid w:val="00CF6E8C"/>
    <w:rsid w:val="00D002E9"/>
    <w:rsid w:val="00D01A06"/>
    <w:rsid w:val="00D04990"/>
    <w:rsid w:val="00D05587"/>
    <w:rsid w:val="00D06C4F"/>
    <w:rsid w:val="00D0790D"/>
    <w:rsid w:val="00D10964"/>
    <w:rsid w:val="00D112CA"/>
    <w:rsid w:val="00D11838"/>
    <w:rsid w:val="00D11DAB"/>
    <w:rsid w:val="00D121B7"/>
    <w:rsid w:val="00D14F67"/>
    <w:rsid w:val="00D15437"/>
    <w:rsid w:val="00D16A21"/>
    <w:rsid w:val="00D16B2A"/>
    <w:rsid w:val="00D16ED9"/>
    <w:rsid w:val="00D176E6"/>
    <w:rsid w:val="00D17DF6"/>
    <w:rsid w:val="00D203FF"/>
    <w:rsid w:val="00D207CB"/>
    <w:rsid w:val="00D20997"/>
    <w:rsid w:val="00D212A8"/>
    <w:rsid w:val="00D2261A"/>
    <w:rsid w:val="00D226D5"/>
    <w:rsid w:val="00D229F6"/>
    <w:rsid w:val="00D22D47"/>
    <w:rsid w:val="00D238DE"/>
    <w:rsid w:val="00D24D52"/>
    <w:rsid w:val="00D25318"/>
    <w:rsid w:val="00D277AE"/>
    <w:rsid w:val="00D30873"/>
    <w:rsid w:val="00D30952"/>
    <w:rsid w:val="00D3140B"/>
    <w:rsid w:val="00D31608"/>
    <w:rsid w:val="00D31E92"/>
    <w:rsid w:val="00D331C5"/>
    <w:rsid w:val="00D33FD6"/>
    <w:rsid w:val="00D34462"/>
    <w:rsid w:val="00D349FA"/>
    <w:rsid w:val="00D34BA4"/>
    <w:rsid w:val="00D34BDF"/>
    <w:rsid w:val="00D35919"/>
    <w:rsid w:val="00D35B8A"/>
    <w:rsid w:val="00D35B9F"/>
    <w:rsid w:val="00D3611E"/>
    <w:rsid w:val="00D3661F"/>
    <w:rsid w:val="00D37200"/>
    <w:rsid w:val="00D40685"/>
    <w:rsid w:val="00D408D3"/>
    <w:rsid w:val="00D4168B"/>
    <w:rsid w:val="00D42CD5"/>
    <w:rsid w:val="00D42FB7"/>
    <w:rsid w:val="00D44762"/>
    <w:rsid w:val="00D4488C"/>
    <w:rsid w:val="00D44A22"/>
    <w:rsid w:val="00D45590"/>
    <w:rsid w:val="00D45835"/>
    <w:rsid w:val="00D45B50"/>
    <w:rsid w:val="00D46233"/>
    <w:rsid w:val="00D4657C"/>
    <w:rsid w:val="00D466E9"/>
    <w:rsid w:val="00D46956"/>
    <w:rsid w:val="00D472F0"/>
    <w:rsid w:val="00D47547"/>
    <w:rsid w:val="00D47CBE"/>
    <w:rsid w:val="00D50F11"/>
    <w:rsid w:val="00D51206"/>
    <w:rsid w:val="00D52542"/>
    <w:rsid w:val="00D54891"/>
    <w:rsid w:val="00D554F0"/>
    <w:rsid w:val="00D55AFD"/>
    <w:rsid w:val="00D55B9E"/>
    <w:rsid w:val="00D5611E"/>
    <w:rsid w:val="00D5655E"/>
    <w:rsid w:val="00D56791"/>
    <w:rsid w:val="00D5726C"/>
    <w:rsid w:val="00D61240"/>
    <w:rsid w:val="00D61250"/>
    <w:rsid w:val="00D61C05"/>
    <w:rsid w:val="00D6200C"/>
    <w:rsid w:val="00D63C1E"/>
    <w:rsid w:val="00D646EF"/>
    <w:rsid w:val="00D701A5"/>
    <w:rsid w:val="00D708C4"/>
    <w:rsid w:val="00D70913"/>
    <w:rsid w:val="00D70B99"/>
    <w:rsid w:val="00D71507"/>
    <w:rsid w:val="00D7188F"/>
    <w:rsid w:val="00D72085"/>
    <w:rsid w:val="00D7249A"/>
    <w:rsid w:val="00D7285F"/>
    <w:rsid w:val="00D72D36"/>
    <w:rsid w:val="00D7404B"/>
    <w:rsid w:val="00D74B46"/>
    <w:rsid w:val="00D74D92"/>
    <w:rsid w:val="00D75A88"/>
    <w:rsid w:val="00D75AA6"/>
    <w:rsid w:val="00D75BF4"/>
    <w:rsid w:val="00D76E74"/>
    <w:rsid w:val="00D76FE6"/>
    <w:rsid w:val="00D77054"/>
    <w:rsid w:val="00D77070"/>
    <w:rsid w:val="00D77A94"/>
    <w:rsid w:val="00D77B7D"/>
    <w:rsid w:val="00D80D0D"/>
    <w:rsid w:val="00D80E8D"/>
    <w:rsid w:val="00D815D9"/>
    <w:rsid w:val="00D818D6"/>
    <w:rsid w:val="00D820CA"/>
    <w:rsid w:val="00D831A9"/>
    <w:rsid w:val="00D831E9"/>
    <w:rsid w:val="00D8376F"/>
    <w:rsid w:val="00D83F20"/>
    <w:rsid w:val="00D84FCE"/>
    <w:rsid w:val="00D85B65"/>
    <w:rsid w:val="00D86AD6"/>
    <w:rsid w:val="00D87A99"/>
    <w:rsid w:val="00D87AD8"/>
    <w:rsid w:val="00D906CB"/>
    <w:rsid w:val="00D91323"/>
    <w:rsid w:val="00D93230"/>
    <w:rsid w:val="00D93A92"/>
    <w:rsid w:val="00D97DF7"/>
    <w:rsid w:val="00DA0DDE"/>
    <w:rsid w:val="00DA1E7A"/>
    <w:rsid w:val="00DA3D86"/>
    <w:rsid w:val="00DA52E0"/>
    <w:rsid w:val="00DA5435"/>
    <w:rsid w:val="00DA5B2D"/>
    <w:rsid w:val="00DA5B37"/>
    <w:rsid w:val="00DA6029"/>
    <w:rsid w:val="00DA65DE"/>
    <w:rsid w:val="00DA6D4D"/>
    <w:rsid w:val="00DA7BE9"/>
    <w:rsid w:val="00DB066A"/>
    <w:rsid w:val="00DB0A8E"/>
    <w:rsid w:val="00DB11FA"/>
    <w:rsid w:val="00DB1E8E"/>
    <w:rsid w:val="00DB2C3B"/>
    <w:rsid w:val="00DB33D1"/>
    <w:rsid w:val="00DB3FC7"/>
    <w:rsid w:val="00DB3FCF"/>
    <w:rsid w:val="00DB440A"/>
    <w:rsid w:val="00DB4817"/>
    <w:rsid w:val="00DB6C51"/>
    <w:rsid w:val="00DB78F6"/>
    <w:rsid w:val="00DC08B3"/>
    <w:rsid w:val="00DC0C3E"/>
    <w:rsid w:val="00DC13FF"/>
    <w:rsid w:val="00DC1BD3"/>
    <w:rsid w:val="00DC3338"/>
    <w:rsid w:val="00DC377F"/>
    <w:rsid w:val="00DC5C68"/>
    <w:rsid w:val="00DC62F4"/>
    <w:rsid w:val="00DD00A5"/>
    <w:rsid w:val="00DD0B6B"/>
    <w:rsid w:val="00DD13D7"/>
    <w:rsid w:val="00DD1EE6"/>
    <w:rsid w:val="00DD2996"/>
    <w:rsid w:val="00DD2FCA"/>
    <w:rsid w:val="00DD31F8"/>
    <w:rsid w:val="00DD3EFE"/>
    <w:rsid w:val="00DD4D6D"/>
    <w:rsid w:val="00DD7127"/>
    <w:rsid w:val="00DD7C69"/>
    <w:rsid w:val="00DE19AB"/>
    <w:rsid w:val="00DE1CB9"/>
    <w:rsid w:val="00DE25A9"/>
    <w:rsid w:val="00DE341C"/>
    <w:rsid w:val="00DE3D6C"/>
    <w:rsid w:val="00DE4362"/>
    <w:rsid w:val="00DE4803"/>
    <w:rsid w:val="00DE4840"/>
    <w:rsid w:val="00DE4FE2"/>
    <w:rsid w:val="00DE5F4E"/>
    <w:rsid w:val="00DE6162"/>
    <w:rsid w:val="00DE68B9"/>
    <w:rsid w:val="00DE6A05"/>
    <w:rsid w:val="00DF06A1"/>
    <w:rsid w:val="00DF11C2"/>
    <w:rsid w:val="00DF30F1"/>
    <w:rsid w:val="00DF3D28"/>
    <w:rsid w:val="00DF3FF3"/>
    <w:rsid w:val="00DF41AA"/>
    <w:rsid w:val="00DF53CB"/>
    <w:rsid w:val="00DF5C39"/>
    <w:rsid w:val="00DF637E"/>
    <w:rsid w:val="00DF656D"/>
    <w:rsid w:val="00DF65EC"/>
    <w:rsid w:val="00DF6AF2"/>
    <w:rsid w:val="00E007A2"/>
    <w:rsid w:val="00E02A4E"/>
    <w:rsid w:val="00E02B1E"/>
    <w:rsid w:val="00E02E45"/>
    <w:rsid w:val="00E0401C"/>
    <w:rsid w:val="00E04333"/>
    <w:rsid w:val="00E04908"/>
    <w:rsid w:val="00E053F3"/>
    <w:rsid w:val="00E05A74"/>
    <w:rsid w:val="00E10650"/>
    <w:rsid w:val="00E11EA4"/>
    <w:rsid w:val="00E13752"/>
    <w:rsid w:val="00E14525"/>
    <w:rsid w:val="00E1622D"/>
    <w:rsid w:val="00E17281"/>
    <w:rsid w:val="00E176AB"/>
    <w:rsid w:val="00E218C6"/>
    <w:rsid w:val="00E21FED"/>
    <w:rsid w:val="00E2337D"/>
    <w:rsid w:val="00E23450"/>
    <w:rsid w:val="00E23718"/>
    <w:rsid w:val="00E23913"/>
    <w:rsid w:val="00E23DE1"/>
    <w:rsid w:val="00E24AF3"/>
    <w:rsid w:val="00E250B9"/>
    <w:rsid w:val="00E255DC"/>
    <w:rsid w:val="00E31EE2"/>
    <w:rsid w:val="00E32D08"/>
    <w:rsid w:val="00E32DB7"/>
    <w:rsid w:val="00E33CCD"/>
    <w:rsid w:val="00E3415F"/>
    <w:rsid w:val="00E34888"/>
    <w:rsid w:val="00E35AB2"/>
    <w:rsid w:val="00E36A06"/>
    <w:rsid w:val="00E4121D"/>
    <w:rsid w:val="00E418C4"/>
    <w:rsid w:val="00E430CB"/>
    <w:rsid w:val="00E4312C"/>
    <w:rsid w:val="00E435FF"/>
    <w:rsid w:val="00E43E92"/>
    <w:rsid w:val="00E45687"/>
    <w:rsid w:val="00E45FD9"/>
    <w:rsid w:val="00E46275"/>
    <w:rsid w:val="00E46ACE"/>
    <w:rsid w:val="00E46D0C"/>
    <w:rsid w:val="00E475D6"/>
    <w:rsid w:val="00E5013B"/>
    <w:rsid w:val="00E5062A"/>
    <w:rsid w:val="00E50D64"/>
    <w:rsid w:val="00E51812"/>
    <w:rsid w:val="00E52BF8"/>
    <w:rsid w:val="00E53044"/>
    <w:rsid w:val="00E53A9B"/>
    <w:rsid w:val="00E54030"/>
    <w:rsid w:val="00E5610F"/>
    <w:rsid w:val="00E60064"/>
    <w:rsid w:val="00E60A74"/>
    <w:rsid w:val="00E60BEA"/>
    <w:rsid w:val="00E61A29"/>
    <w:rsid w:val="00E61C53"/>
    <w:rsid w:val="00E62A6B"/>
    <w:rsid w:val="00E6307F"/>
    <w:rsid w:val="00E63184"/>
    <w:rsid w:val="00E631E1"/>
    <w:rsid w:val="00E63A0F"/>
    <w:rsid w:val="00E65404"/>
    <w:rsid w:val="00E6587D"/>
    <w:rsid w:val="00E66D2C"/>
    <w:rsid w:val="00E67901"/>
    <w:rsid w:val="00E67B1A"/>
    <w:rsid w:val="00E71590"/>
    <w:rsid w:val="00E718D2"/>
    <w:rsid w:val="00E74015"/>
    <w:rsid w:val="00E753A3"/>
    <w:rsid w:val="00E76985"/>
    <w:rsid w:val="00E77296"/>
    <w:rsid w:val="00E7746C"/>
    <w:rsid w:val="00E77B06"/>
    <w:rsid w:val="00E8009A"/>
    <w:rsid w:val="00E802C6"/>
    <w:rsid w:val="00E80677"/>
    <w:rsid w:val="00E809AC"/>
    <w:rsid w:val="00E80FE4"/>
    <w:rsid w:val="00E81096"/>
    <w:rsid w:val="00E8250C"/>
    <w:rsid w:val="00E84050"/>
    <w:rsid w:val="00E840C1"/>
    <w:rsid w:val="00E847CE"/>
    <w:rsid w:val="00E84966"/>
    <w:rsid w:val="00E8613B"/>
    <w:rsid w:val="00E86A54"/>
    <w:rsid w:val="00E91DDD"/>
    <w:rsid w:val="00E92985"/>
    <w:rsid w:val="00E93C9B"/>
    <w:rsid w:val="00E93F7B"/>
    <w:rsid w:val="00E94FA2"/>
    <w:rsid w:val="00E95D0F"/>
    <w:rsid w:val="00E95DB8"/>
    <w:rsid w:val="00E95DFF"/>
    <w:rsid w:val="00E96474"/>
    <w:rsid w:val="00E96783"/>
    <w:rsid w:val="00E96A87"/>
    <w:rsid w:val="00E97217"/>
    <w:rsid w:val="00E9725E"/>
    <w:rsid w:val="00E975A6"/>
    <w:rsid w:val="00E9783D"/>
    <w:rsid w:val="00EA273F"/>
    <w:rsid w:val="00EA2FDD"/>
    <w:rsid w:val="00EA3C1E"/>
    <w:rsid w:val="00EA4993"/>
    <w:rsid w:val="00EA62DB"/>
    <w:rsid w:val="00EA6EDA"/>
    <w:rsid w:val="00EA6FAF"/>
    <w:rsid w:val="00EA7021"/>
    <w:rsid w:val="00EA7D59"/>
    <w:rsid w:val="00EB04AA"/>
    <w:rsid w:val="00EB1D45"/>
    <w:rsid w:val="00EB1E73"/>
    <w:rsid w:val="00EB1EE7"/>
    <w:rsid w:val="00EB24B4"/>
    <w:rsid w:val="00EB37A1"/>
    <w:rsid w:val="00EB39ED"/>
    <w:rsid w:val="00EB472B"/>
    <w:rsid w:val="00EB6137"/>
    <w:rsid w:val="00EB66A9"/>
    <w:rsid w:val="00EB7245"/>
    <w:rsid w:val="00EB73AD"/>
    <w:rsid w:val="00EC066B"/>
    <w:rsid w:val="00EC08E2"/>
    <w:rsid w:val="00EC15AE"/>
    <w:rsid w:val="00EC3FE9"/>
    <w:rsid w:val="00EC433C"/>
    <w:rsid w:val="00EC5770"/>
    <w:rsid w:val="00EC7449"/>
    <w:rsid w:val="00EC7FC7"/>
    <w:rsid w:val="00ED120F"/>
    <w:rsid w:val="00ED16A7"/>
    <w:rsid w:val="00ED16FB"/>
    <w:rsid w:val="00ED1F6F"/>
    <w:rsid w:val="00ED22AB"/>
    <w:rsid w:val="00ED2F1C"/>
    <w:rsid w:val="00ED33C7"/>
    <w:rsid w:val="00ED3ADA"/>
    <w:rsid w:val="00ED49A3"/>
    <w:rsid w:val="00ED4C17"/>
    <w:rsid w:val="00ED52BF"/>
    <w:rsid w:val="00ED587E"/>
    <w:rsid w:val="00ED61FE"/>
    <w:rsid w:val="00ED7F7F"/>
    <w:rsid w:val="00ED7FEB"/>
    <w:rsid w:val="00EE09B7"/>
    <w:rsid w:val="00EE16F1"/>
    <w:rsid w:val="00EE218E"/>
    <w:rsid w:val="00EE246D"/>
    <w:rsid w:val="00EE2A70"/>
    <w:rsid w:val="00EE3BBC"/>
    <w:rsid w:val="00EE44AD"/>
    <w:rsid w:val="00EE4EE5"/>
    <w:rsid w:val="00EE5177"/>
    <w:rsid w:val="00EE7436"/>
    <w:rsid w:val="00EE7B5F"/>
    <w:rsid w:val="00EE7B89"/>
    <w:rsid w:val="00EE7C15"/>
    <w:rsid w:val="00EF0C03"/>
    <w:rsid w:val="00EF16B2"/>
    <w:rsid w:val="00EF17EB"/>
    <w:rsid w:val="00EF2A81"/>
    <w:rsid w:val="00EF36E6"/>
    <w:rsid w:val="00EF3A5B"/>
    <w:rsid w:val="00EF4796"/>
    <w:rsid w:val="00EF69E1"/>
    <w:rsid w:val="00EF6D97"/>
    <w:rsid w:val="00EF774C"/>
    <w:rsid w:val="00EF7CA4"/>
    <w:rsid w:val="00F02658"/>
    <w:rsid w:val="00F029C2"/>
    <w:rsid w:val="00F0302D"/>
    <w:rsid w:val="00F03D37"/>
    <w:rsid w:val="00F0610F"/>
    <w:rsid w:val="00F06218"/>
    <w:rsid w:val="00F06572"/>
    <w:rsid w:val="00F1018F"/>
    <w:rsid w:val="00F10A99"/>
    <w:rsid w:val="00F138E9"/>
    <w:rsid w:val="00F1420D"/>
    <w:rsid w:val="00F1428D"/>
    <w:rsid w:val="00F160DD"/>
    <w:rsid w:val="00F1630D"/>
    <w:rsid w:val="00F164EE"/>
    <w:rsid w:val="00F16E2D"/>
    <w:rsid w:val="00F17B7C"/>
    <w:rsid w:val="00F21A0D"/>
    <w:rsid w:val="00F21B6F"/>
    <w:rsid w:val="00F23EEA"/>
    <w:rsid w:val="00F241C4"/>
    <w:rsid w:val="00F25809"/>
    <w:rsid w:val="00F2642B"/>
    <w:rsid w:val="00F268C1"/>
    <w:rsid w:val="00F30611"/>
    <w:rsid w:val="00F31C5A"/>
    <w:rsid w:val="00F324BA"/>
    <w:rsid w:val="00F32805"/>
    <w:rsid w:val="00F33EF2"/>
    <w:rsid w:val="00F34960"/>
    <w:rsid w:val="00F35B9F"/>
    <w:rsid w:val="00F35FEC"/>
    <w:rsid w:val="00F37BF1"/>
    <w:rsid w:val="00F37C9B"/>
    <w:rsid w:val="00F4112A"/>
    <w:rsid w:val="00F427B0"/>
    <w:rsid w:val="00F42AB8"/>
    <w:rsid w:val="00F4347C"/>
    <w:rsid w:val="00F441E1"/>
    <w:rsid w:val="00F4628F"/>
    <w:rsid w:val="00F46D81"/>
    <w:rsid w:val="00F50436"/>
    <w:rsid w:val="00F51F14"/>
    <w:rsid w:val="00F52154"/>
    <w:rsid w:val="00F53807"/>
    <w:rsid w:val="00F53824"/>
    <w:rsid w:val="00F53B4D"/>
    <w:rsid w:val="00F549DD"/>
    <w:rsid w:val="00F55647"/>
    <w:rsid w:val="00F56B72"/>
    <w:rsid w:val="00F579A2"/>
    <w:rsid w:val="00F639CE"/>
    <w:rsid w:val="00F63AF2"/>
    <w:rsid w:val="00F63C4D"/>
    <w:rsid w:val="00F64D8C"/>
    <w:rsid w:val="00F64D96"/>
    <w:rsid w:val="00F652CA"/>
    <w:rsid w:val="00F6609D"/>
    <w:rsid w:val="00F664D8"/>
    <w:rsid w:val="00F66A65"/>
    <w:rsid w:val="00F67191"/>
    <w:rsid w:val="00F67CDB"/>
    <w:rsid w:val="00F70A32"/>
    <w:rsid w:val="00F72357"/>
    <w:rsid w:val="00F74AB8"/>
    <w:rsid w:val="00F75255"/>
    <w:rsid w:val="00F8088A"/>
    <w:rsid w:val="00F80C81"/>
    <w:rsid w:val="00F81E74"/>
    <w:rsid w:val="00F827F0"/>
    <w:rsid w:val="00F82BAA"/>
    <w:rsid w:val="00F832C9"/>
    <w:rsid w:val="00F84A44"/>
    <w:rsid w:val="00F85521"/>
    <w:rsid w:val="00F86824"/>
    <w:rsid w:val="00F86B06"/>
    <w:rsid w:val="00F8769C"/>
    <w:rsid w:val="00F87F8B"/>
    <w:rsid w:val="00F91537"/>
    <w:rsid w:val="00F91E2B"/>
    <w:rsid w:val="00F92B33"/>
    <w:rsid w:val="00F932DD"/>
    <w:rsid w:val="00F93326"/>
    <w:rsid w:val="00F940F7"/>
    <w:rsid w:val="00F94E6E"/>
    <w:rsid w:val="00F957F6"/>
    <w:rsid w:val="00F96271"/>
    <w:rsid w:val="00F96486"/>
    <w:rsid w:val="00F966DE"/>
    <w:rsid w:val="00F97B03"/>
    <w:rsid w:val="00F97C94"/>
    <w:rsid w:val="00FA072B"/>
    <w:rsid w:val="00FA1CBA"/>
    <w:rsid w:val="00FA32E1"/>
    <w:rsid w:val="00FA394C"/>
    <w:rsid w:val="00FA4AC0"/>
    <w:rsid w:val="00FA4EC0"/>
    <w:rsid w:val="00FA5C58"/>
    <w:rsid w:val="00FA618D"/>
    <w:rsid w:val="00FA73F1"/>
    <w:rsid w:val="00FA7BAC"/>
    <w:rsid w:val="00FB23F4"/>
    <w:rsid w:val="00FB2564"/>
    <w:rsid w:val="00FB2E01"/>
    <w:rsid w:val="00FB3633"/>
    <w:rsid w:val="00FB377D"/>
    <w:rsid w:val="00FB3C3E"/>
    <w:rsid w:val="00FB5404"/>
    <w:rsid w:val="00FB54F0"/>
    <w:rsid w:val="00FB68C5"/>
    <w:rsid w:val="00FB6C9E"/>
    <w:rsid w:val="00FB7284"/>
    <w:rsid w:val="00FB7661"/>
    <w:rsid w:val="00FB7AFB"/>
    <w:rsid w:val="00FC062B"/>
    <w:rsid w:val="00FC071D"/>
    <w:rsid w:val="00FC0B97"/>
    <w:rsid w:val="00FC0C6C"/>
    <w:rsid w:val="00FC25A0"/>
    <w:rsid w:val="00FC30C3"/>
    <w:rsid w:val="00FC32B2"/>
    <w:rsid w:val="00FC34AF"/>
    <w:rsid w:val="00FC3DF2"/>
    <w:rsid w:val="00FC4310"/>
    <w:rsid w:val="00FC4717"/>
    <w:rsid w:val="00FC4F8C"/>
    <w:rsid w:val="00FC589B"/>
    <w:rsid w:val="00FC670C"/>
    <w:rsid w:val="00FC7C43"/>
    <w:rsid w:val="00FC7F44"/>
    <w:rsid w:val="00FD053E"/>
    <w:rsid w:val="00FD1EB8"/>
    <w:rsid w:val="00FD2165"/>
    <w:rsid w:val="00FD2C3D"/>
    <w:rsid w:val="00FD34F4"/>
    <w:rsid w:val="00FD49CC"/>
    <w:rsid w:val="00FD542E"/>
    <w:rsid w:val="00FD5E59"/>
    <w:rsid w:val="00FD7762"/>
    <w:rsid w:val="00FE12F4"/>
    <w:rsid w:val="00FE1302"/>
    <w:rsid w:val="00FE13BC"/>
    <w:rsid w:val="00FE1753"/>
    <w:rsid w:val="00FE1A62"/>
    <w:rsid w:val="00FE211E"/>
    <w:rsid w:val="00FE2BBA"/>
    <w:rsid w:val="00FE2E43"/>
    <w:rsid w:val="00FE2F1E"/>
    <w:rsid w:val="00FE3775"/>
    <w:rsid w:val="00FE4EE0"/>
    <w:rsid w:val="00FE5202"/>
    <w:rsid w:val="00FE586D"/>
    <w:rsid w:val="00FE6533"/>
    <w:rsid w:val="00FE73D2"/>
    <w:rsid w:val="00FE7D6D"/>
    <w:rsid w:val="00FF0AA3"/>
    <w:rsid w:val="00FF1312"/>
    <w:rsid w:val="00FF13F3"/>
    <w:rsid w:val="00FF160F"/>
    <w:rsid w:val="00FF1EF4"/>
    <w:rsid w:val="00FF31BA"/>
    <w:rsid w:val="00FF474E"/>
    <w:rsid w:val="00FF5A80"/>
    <w:rsid w:val="00FF6767"/>
    <w:rsid w:val="00FF6CDB"/>
    <w:rsid w:val="00FF6DFD"/>
    <w:rsid w:val="00FF79BD"/>
    <w:rsid w:val="61A51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36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CDB"/>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f"/>
    <w:basedOn w:val="Normal"/>
    <w:link w:val="FootnoteTextChar"/>
    <w:uiPriority w:val="99"/>
    <w:qFormat/>
    <w:rsid w:val="005912BE"/>
    <w:pPr>
      <w:spacing w:before="0" w:after="0"/>
      <w:ind w:left="284" w:hanging="284"/>
    </w:pPr>
    <w:rPr>
      <w:sz w:val="18"/>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f Char"/>
    <w:basedOn w:val="DefaultParagraphFont"/>
    <w:link w:val="FootnoteText"/>
    <w:uiPriority w:val="99"/>
    <w:qFormat/>
    <w:rsid w:val="005912BE"/>
    <w:rPr>
      <w:kern w:val="12"/>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aliases w:val="Resp caption,SA Caption,Table/Figure Heading,Collis Bijschrift,Caption table"/>
    <w:basedOn w:val="Normal"/>
    <w:next w:val="Normal"/>
    <w:link w:val="CaptionChar"/>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8"/>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8"/>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link w:val="Heading1NumberedChar"/>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30"/>
      </w:numPr>
    </w:pPr>
  </w:style>
  <w:style w:type="paragraph" w:customStyle="1" w:styleId="AttachmentHeading2">
    <w:name w:val="Attachment Heading 2"/>
    <w:basedOn w:val="Heading2"/>
    <w:uiPriority w:val="11"/>
    <w:rsid w:val="0001430B"/>
    <w:pPr>
      <w:numPr>
        <w:ilvl w:val="1"/>
        <w:numId w:val="30"/>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5A2633"/>
    <w:pPr>
      <w:keepLines/>
      <w:tabs>
        <w:tab w:val="righ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8"/>
      </w:numPr>
    </w:pPr>
    <w:rPr>
      <w:kern w:val="12"/>
      <w:sz w:val="20"/>
      <w:szCs w:val="20"/>
    </w:rPr>
  </w:style>
  <w:style w:type="numbering" w:customStyle="1" w:styleId="BoxedBullets">
    <w:name w:val="Boxed Bullets"/>
    <w:uiPriority w:val="99"/>
    <w:rsid w:val="009D7CCE"/>
    <w:pPr>
      <w:numPr>
        <w:numId w:val="8"/>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character" w:styleId="CommentReference">
    <w:name w:val="annotation reference"/>
    <w:basedOn w:val="DefaultParagraphFont"/>
    <w:uiPriority w:val="99"/>
    <w:semiHidden/>
    <w:unhideWhenUsed/>
    <w:rsid w:val="00C64DB9"/>
    <w:rPr>
      <w:sz w:val="16"/>
      <w:szCs w:val="16"/>
    </w:rPr>
  </w:style>
  <w:style w:type="paragraph" w:styleId="CommentText">
    <w:name w:val="annotation text"/>
    <w:basedOn w:val="Normal"/>
    <w:link w:val="CommentTextChar"/>
    <w:uiPriority w:val="99"/>
    <w:unhideWhenUsed/>
    <w:rsid w:val="00C64DB9"/>
    <w:rPr>
      <w:sz w:val="20"/>
      <w:szCs w:val="20"/>
    </w:rPr>
  </w:style>
  <w:style w:type="character" w:customStyle="1" w:styleId="CommentTextChar">
    <w:name w:val="Comment Text Char"/>
    <w:basedOn w:val="DefaultParagraphFont"/>
    <w:link w:val="CommentText"/>
    <w:uiPriority w:val="99"/>
    <w:rsid w:val="00C64DB9"/>
    <w:rPr>
      <w:sz w:val="20"/>
      <w:szCs w:val="20"/>
    </w:rPr>
  </w:style>
  <w:style w:type="paragraph" w:styleId="CommentSubject">
    <w:name w:val="annotation subject"/>
    <w:basedOn w:val="CommentText"/>
    <w:next w:val="CommentText"/>
    <w:link w:val="CommentSubjectChar"/>
    <w:uiPriority w:val="99"/>
    <w:semiHidden/>
    <w:unhideWhenUsed/>
    <w:rsid w:val="00C64DB9"/>
    <w:rPr>
      <w:b/>
      <w:bCs/>
    </w:rPr>
  </w:style>
  <w:style w:type="character" w:customStyle="1" w:styleId="CommentSubjectChar">
    <w:name w:val="Comment Subject Char"/>
    <w:basedOn w:val="CommentTextChar"/>
    <w:link w:val="CommentSubject"/>
    <w:uiPriority w:val="99"/>
    <w:semiHidden/>
    <w:rsid w:val="00C64DB9"/>
    <w:rPr>
      <w:b/>
      <w:bCs/>
      <w:sz w:val="20"/>
      <w:szCs w:val="20"/>
    </w:rPr>
  </w:style>
  <w:style w:type="paragraph" w:styleId="BalloonText">
    <w:name w:val="Balloon Text"/>
    <w:basedOn w:val="Normal"/>
    <w:link w:val="BalloonTextChar"/>
    <w:uiPriority w:val="99"/>
    <w:semiHidden/>
    <w:unhideWhenUsed/>
    <w:rsid w:val="00C64DB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B9"/>
    <w:rPr>
      <w:rFonts w:ascii="Segoe UI" w:hAnsi="Segoe UI" w:cs="Segoe UI"/>
      <w:sz w:val="18"/>
      <w:szCs w:val="18"/>
    </w:rPr>
  </w:style>
  <w:style w:type="paragraph" w:styleId="ListParagraph">
    <w:name w:val="List Paragraph"/>
    <w:aliases w:val="CAB - List Bullet,List Bullet Cab,Bullet Points,CV text,Dot pt,F5 List Paragraph,Indicator Text,L,List Paragraph Char Char Char,List Paragraph1,List Paragraph11,List Paragraph12,MAIN CONTENT,No Spacing1,Numbered Para 1,列出段,#List Paragraph"/>
    <w:basedOn w:val="Normal"/>
    <w:link w:val="ListParagraphChar"/>
    <w:uiPriority w:val="34"/>
    <w:unhideWhenUsed/>
    <w:qFormat/>
    <w:rsid w:val="00FF6CDB"/>
    <w:pPr>
      <w:ind w:left="720"/>
      <w:contextualSpacing/>
    </w:pPr>
  </w:style>
  <w:style w:type="character" w:customStyle="1" w:styleId="ListParagraphChar">
    <w:name w:val="List Paragraph Char"/>
    <w:aliases w:val="CAB - List Bullet Char,List Bullet Cab Char,Bullet Points Char,CV text Char,Dot pt Char,F5 List Paragraph Char,Indicator Text Char,L Char,List Paragraph Char Char Char Char,List Paragraph1 Char,List Paragraph11 Char,MAIN CONTENT Char"/>
    <w:link w:val="ListParagraph"/>
    <w:uiPriority w:val="34"/>
    <w:qFormat/>
    <w:locked/>
    <w:rsid w:val="00FF6CDB"/>
  </w:style>
  <w:style w:type="paragraph" w:styleId="NormalWeb">
    <w:name w:val="Normal (Web)"/>
    <w:basedOn w:val="Normal"/>
    <w:uiPriority w:val="99"/>
    <w:unhideWhenUsed/>
    <w:rsid w:val="00FF6CD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Heading1NumberedChar">
    <w:name w:val="Heading 1 Numbered Char"/>
    <w:basedOn w:val="Heading1Char"/>
    <w:link w:val="Heading1Numbered"/>
    <w:uiPriority w:val="10"/>
    <w:rsid w:val="00FF6CDB"/>
    <w:rPr>
      <w:rFonts w:asciiTheme="majorHAnsi" w:eastAsiaTheme="majorEastAsia" w:hAnsiTheme="majorHAnsi" w:cstheme="majorBidi"/>
      <w:color w:val="081E3E" w:themeColor="text2"/>
      <w:kern w:val="12"/>
      <w:sz w:val="44"/>
      <w:szCs w:val="32"/>
    </w:rPr>
  </w:style>
  <w:style w:type="paragraph" w:customStyle="1" w:styleId="TBLText">
    <w:name w:val="TBL Text"/>
    <w:basedOn w:val="Normal"/>
    <w:uiPriority w:val="9"/>
    <w:qFormat/>
    <w:rsid w:val="00C50E6B"/>
    <w:pPr>
      <w:suppressAutoHyphens w:val="0"/>
      <w:spacing w:before="0" w:after="0"/>
    </w:pPr>
    <w:rPr>
      <w:rFonts w:eastAsiaTheme="minorEastAsia"/>
      <w:color w:val="auto"/>
      <w:sz w:val="18"/>
      <w:szCs w:val="18"/>
    </w:rPr>
  </w:style>
  <w:style w:type="table" w:customStyle="1" w:styleId="Custom1">
    <w:name w:val="Custom 1"/>
    <w:basedOn w:val="TableNormal"/>
    <w:uiPriority w:val="99"/>
    <w:rsid w:val="00C50E6B"/>
    <w:pPr>
      <w:spacing w:before="0" w:after="0"/>
    </w:pPr>
    <w:rPr>
      <w:rFonts w:eastAsiaTheme="minorEastAsia"/>
      <w:color w:val="auto"/>
      <w:sz w:val="18"/>
      <w:szCs w:val="21"/>
    </w:rPr>
    <w:tblPr>
      <w:tblStyleRowBandSize w:val="1"/>
      <w:tblInd w:w="0" w:type="nil"/>
      <w:tblBorders>
        <w:top w:val="single" w:sz="4" w:space="0" w:color="081E3E" w:themeColor="accent1"/>
        <w:bottom w:val="single" w:sz="12" w:space="0" w:color="081E3E" w:themeColor="accent1"/>
        <w:insideH w:val="single" w:sz="4" w:space="0" w:color="081E3E" w:themeColor="accent1"/>
      </w:tblBorders>
      <w:tblCellMar>
        <w:top w:w="57" w:type="dxa"/>
        <w:bottom w:w="57" w:type="dxa"/>
      </w:tblCellMar>
    </w:tblPr>
    <w:tblStylePr w:type="firstRow">
      <w:rPr>
        <w:rFonts w:asciiTheme="minorHAnsi" w:hAnsiTheme="minorHAnsi" w:hint="default"/>
        <w:b/>
        <w:sz w:val="18"/>
        <w:szCs w:val="18"/>
      </w:rPr>
      <w:tblPr/>
      <w:tcPr>
        <w:shd w:val="clear" w:color="auto" w:fill="081E3E" w:themeFill="accent1"/>
      </w:tcPr>
    </w:tblStylePr>
    <w:tblStylePr w:type="band1Horz">
      <w:tblPr/>
      <w:tcPr>
        <w:shd w:val="clear" w:color="auto" w:fill="E7E7E7" w:themeFill="background2"/>
      </w:tcPr>
    </w:tblStylePr>
  </w:style>
  <w:style w:type="paragraph" w:styleId="TOC4">
    <w:name w:val="toc 4"/>
    <w:basedOn w:val="Normal"/>
    <w:next w:val="Normal"/>
    <w:autoRedefine/>
    <w:uiPriority w:val="39"/>
    <w:unhideWhenUsed/>
    <w:rsid w:val="00993542"/>
    <w:pPr>
      <w:suppressAutoHyphens w:val="0"/>
      <w:spacing w:before="0" w:after="100" w:line="259" w:lineRule="auto"/>
      <w:ind w:left="660"/>
    </w:pPr>
    <w:rPr>
      <w:rFonts w:eastAsiaTheme="minorEastAsia"/>
      <w:color w:val="auto"/>
      <w:lang w:eastAsia="en-AU"/>
    </w:rPr>
  </w:style>
  <w:style w:type="paragraph" w:styleId="TOC5">
    <w:name w:val="toc 5"/>
    <w:basedOn w:val="Normal"/>
    <w:next w:val="Normal"/>
    <w:autoRedefine/>
    <w:uiPriority w:val="39"/>
    <w:unhideWhenUsed/>
    <w:rsid w:val="00993542"/>
    <w:pPr>
      <w:suppressAutoHyphens w:val="0"/>
      <w:spacing w:before="0" w:after="100" w:line="259" w:lineRule="auto"/>
      <w:ind w:left="880"/>
    </w:pPr>
    <w:rPr>
      <w:rFonts w:eastAsiaTheme="minorEastAsia"/>
      <w:color w:val="auto"/>
      <w:lang w:eastAsia="en-AU"/>
    </w:rPr>
  </w:style>
  <w:style w:type="paragraph" w:styleId="TOC6">
    <w:name w:val="toc 6"/>
    <w:basedOn w:val="Normal"/>
    <w:next w:val="Normal"/>
    <w:autoRedefine/>
    <w:uiPriority w:val="39"/>
    <w:unhideWhenUsed/>
    <w:rsid w:val="00993542"/>
    <w:pPr>
      <w:suppressAutoHyphens w:val="0"/>
      <w:spacing w:before="0" w:after="100" w:line="259" w:lineRule="auto"/>
      <w:ind w:left="1100"/>
    </w:pPr>
    <w:rPr>
      <w:rFonts w:eastAsiaTheme="minorEastAsia"/>
      <w:color w:val="auto"/>
      <w:lang w:eastAsia="en-AU"/>
    </w:rPr>
  </w:style>
  <w:style w:type="paragraph" w:styleId="TOC7">
    <w:name w:val="toc 7"/>
    <w:basedOn w:val="Normal"/>
    <w:next w:val="Normal"/>
    <w:autoRedefine/>
    <w:uiPriority w:val="39"/>
    <w:unhideWhenUsed/>
    <w:rsid w:val="00993542"/>
    <w:pPr>
      <w:suppressAutoHyphens w:val="0"/>
      <w:spacing w:before="0" w:after="100" w:line="259" w:lineRule="auto"/>
      <w:ind w:left="1320"/>
    </w:pPr>
    <w:rPr>
      <w:rFonts w:eastAsiaTheme="minorEastAsia"/>
      <w:color w:val="auto"/>
      <w:lang w:eastAsia="en-AU"/>
    </w:rPr>
  </w:style>
  <w:style w:type="paragraph" w:styleId="TOC8">
    <w:name w:val="toc 8"/>
    <w:basedOn w:val="Normal"/>
    <w:next w:val="Normal"/>
    <w:autoRedefine/>
    <w:uiPriority w:val="39"/>
    <w:unhideWhenUsed/>
    <w:rsid w:val="00993542"/>
    <w:pPr>
      <w:suppressAutoHyphens w:val="0"/>
      <w:spacing w:before="0" w:after="100" w:line="259" w:lineRule="auto"/>
      <w:ind w:left="1540"/>
    </w:pPr>
    <w:rPr>
      <w:rFonts w:eastAsiaTheme="minorEastAsia"/>
      <w:color w:val="auto"/>
      <w:lang w:eastAsia="en-AU"/>
    </w:rPr>
  </w:style>
  <w:style w:type="paragraph" w:styleId="TOC9">
    <w:name w:val="toc 9"/>
    <w:basedOn w:val="Normal"/>
    <w:next w:val="Normal"/>
    <w:autoRedefine/>
    <w:uiPriority w:val="39"/>
    <w:unhideWhenUsed/>
    <w:rsid w:val="00993542"/>
    <w:pPr>
      <w:suppressAutoHyphens w:val="0"/>
      <w:spacing w:before="0" w:after="100" w:line="259" w:lineRule="auto"/>
      <w:ind w:left="1760"/>
    </w:pPr>
    <w:rPr>
      <w:rFonts w:eastAsiaTheme="minorEastAsia"/>
      <w:color w:val="auto"/>
      <w:lang w:eastAsia="en-AU"/>
    </w:rPr>
  </w:style>
  <w:style w:type="character" w:customStyle="1" w:styleId="UnresolvedMention">
    <w:name w:val="Unresolved Mention"/>
    <w:basedOn w:val="DefaultParagraphFont"/>
    <w:uiPriority w:val="99"/>
    <w:semiHidden/>
    <w:unhideWhenUsed/>
    <w:rsid w:val="00993542"/>
    <w:rPr>
      <w:color w:val="605E5C"/>
      <w:shd w:val="clear" w:color="auto" w:fill="E1DFDD"/>
    </w:rPr>
  </w:style>
  <w:style w:type="character" w:styleId="FollowedHyperlink">
    <w:name w:val="FollowedHyperlink"/>
    <w:basedOn w:val="DefaultParagraphFont"/>
    <w:uiPriority w:val="99"/>
    <w:semiHidden/>
    <w:unhideWhenUsed/>
    <w:rsid w:val="002D377C"/>
    <w:rPr>
      <w:color w:val="0046FF" w:themeColor="followedHyperlink"/>
      <w:u w:val="single"/>
    </w:rPr>
  </w:style>
  <w:style w:type="table" w:customStyle="1" w:styleId="DefaultTable11">
    <w:name w:val="Default Table 11"/>
    <w:basedOn w:val="TableNormal"/>
    <w:uiPriority w:val="99"/>
    <w:rsid w:val="00066444"/>
    <w:pPr>
      <w:spacing w:before="80"/>
    </w:pPr>
    <w:tblPr>
      <w:tblStyleRowBandSize w:val="1"/>
      <w:tblStyleColBandSize w:val="1"/>
      <w:tblInd w:w="0" w:type="nil"/>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numbering" w:customStyle="1" w:styleId="ListNumberLevel1ABC">
    <w:name w:val="List Number Level 1 (A.  B.  C.)"/>
    <w:basedOn w:val="NoList"/>
    <w:uiPriority w:val="99"/>
    <w:rsid w:val="00D408D3"/>
    <w:pPr>
      <w:numPr>
        <w:numId w:val="39"/>
      </w:numPr>
    </w:pPr>
  </w:style>
  <w:style w:type="paragraph" w:customStyle="1" w:styleId="subsection">
    <w:name w:val="subsection"/>
    <w:basedOn w:val="Normal"/>
    <w:rsid w:val="00781D88"/>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781D88"/>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sub">
    <w:name w:val="paragraphsub"/>
    <w:basedOn w:val="Normal"/>
    <w:rsid w:val="00781D88"/>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table" w:styleId="TableGridLight">
    <w:name w:val="Grid Table Light"/>
    <w:basedOn w:val="TableNormal"/>
    <w:uiPriority w:val="40"/>
    <w:rsid w:val="005717B5"/>
    <w:pPr>
      <w:spacing w:before="0" w:after="0"/>
    </w:pPr>
    <w:rPr>
      <w:color w:val="aut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8564C"/>
    <w:pPr>
      <w:spacing w:before="0" w:after="0"/>
    </w:pPr>
  </w:style>
  <w:style w:type="character" w:customStyle="1" w:styleId="CaptionChar">
    <w:name w:val="Caption Char"/>
    <w:aliases w:val="Resp caption Char,SA Caption Char,Table/Figure Heading Char,Collis Bijschrift Char,Caption table Char"/>
    <w:basedOn w:val="DefaultParagraphFont"/>
    <w:link w:val="Caption"/>
    <w:uiPriority w:val="35"/>
    <w:rsid w:val="001D0ECE"/>
    <w:rPr>
      <w:b/>
      <w:iCs/>
      <w:szCs w:val="18"/>
    </w:rPr>
  </w:style>
  <w:style w:type="paragraph" w:customStyle="1" w:styleId="MinSubbodytext">
    <w:name w:val="Min Sub body text"/>
    <w:uiPriority w:val="3"/>
    <w:rsid w:val="00257E2E"/>
    <w:pPr>
      <w:tabs>
        <w:tab w:val="right" w:pos="9923"/>
      </w:tabs>
      <w:spacing w:before="0" w:after="0"/>
      <w:ind w:left="-142"/>
    </w:pPr>
    <w:rPr>
      <w:rFonts w:ascii="Times New Roman" w:eastAsia="Calibri" w:hAnsi="Times New Roman" w:cs="Times New Roman"/>
      <w:color w:val="auto"/>
      <w:sz w:val="24"/>
      <w:szCs w:val="24"/>
      <w:lang w:eastAsia="en-AU"/>
    </w:rPr>
  </w:style>
  <w:style w:type="character" w:customStyle="1" w:styleId="HyperlinkCab1">
    <w:name w:val="Hyperlink Cab1"/>
    <w:basedOn w:val="DefaultParagraphFont"/>
    <w:uiPriority w:val="99"/>
    <w:unhideWhenUsed/>
    <w:rsid w:val="00FF1EF4"/>
    <w:rPr>
      <w:color w:val="004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635">
      <w:bodyDiv w:val="1"/>
      <w:marLeft w:val="0"/>
      <w:marRight w:val="0"/>
      <w:marTop w:val="0"/>
      <w:marBottom w:val="0"/>
      <w:divBdr>
        <w:top w:val="none" w:sz="0" w:space="0" w:color="auto"/>
        <w:left w:val="none" w:sz="0" w:space="0" w:color="auto"/>
        <w:bottom w:val="none" w:sz="0" w:space="0" w:color="auto"/>
        <w:right w:val="none" w:sz="0" w:space="0" w:color="auto"/>
      </w:divBdr>
    </w:div>
    <w:div w:id="121197294">
      <w:bodyDiv w:val="1"/>
      <w:marLeft w:val="0"/>
      <w:marRight w:val="0"/>
      <w:marTop w:val="0"/>
      <w:marBottom w:val="0"/>
      <w:divBdr>
        <w:top w:val="none" w:sz="0" w:space="0" w:color="auto"/>
        <w:left w:val="none" w:sz="0" w:space="0" w:color="auto"/>
        <w:bottom w:val="none" w:sz="0" w:space="0" w:color="auto"/>
        <w:right w:val="none" w:sz="0" w:space="0" w:color="auto"/>
      </w:divBdr>
    </w:div>
    <w:div w:id="179899927">
      <w:bodyDiv w:val="1"/>
      <w:marLeft w:val="0"/>
      <w:marRight w:val="0"/>
      <w:marTop w:val="0"/>
      <w:marBottom w:val="0"/>
      <w:divBdr>
        <w:top w:val="none" w:sz="0" w:space="0" w:color="auto"/>
        <w:left w:val="none" w:sz="0" w:space="0" w:color="auto"/>
        <w:bottom w:val="none" w:sz="0" w:space="0" w:color="auto"/>
        <w:right w:val="none" w:sz="0" w:space="0" w:color="auto"/>
      </w:divBdr>
    </w:div>
    <w:div w:id="200940609">
      <w:bodyDiv w:val="1"/>
      <w:marLeft w:val="0"/>
      <w:marRight w:val="0"/>
      <w:marTop w:val="0"/>
      <w:marBottom w:val="0"/>
      <w:divBdr>
        <w:top w:val="none" w:sz="0" w:space="0" w:color="auto"/>
        <w:left w:val="none" w:sz="0" w:space="0" w:color="auto"/>
        <w:bottom w:val="none" w:sz="0" w:space="0" w:color="auto"/>
        <w:right w:val="none" w:sz="0" w:space="0" w:color="auto"/>
      </w:divBdr>
    </w:div>
    <w:div w:id="208808303">
      <w:bodyDiv w:val="1"/>
      <w:marLeft w:val="0"/>
      <w:marRight w:val="0"/>
      <w:marTop w:val="0"/>
      <w:marBottom w:val="0"/>
      <w:divBdr>
        <w:top w:val="none" w:sz="0" w:space="0" w:color="auto"/>
        <w:left w:val="none" w:sz="0" w:space="0" w:color="auto"/>
        <w:bottom w:val="none" w:sz="0" w:space="0" w:color="auto"/>
        <w:right w:val="none" w:sz="0" w:space="0" w:color="auto"/>
      </w:divBdr>
    </w:div>
    <w:div w:id="214859187">
      <w:bodyDiv w:val="1"/>
      <w:marLeft w:val="0"/>
      <w:marRight w:val="0"/>
      <w:marTop w:val="0"/>
      <w:marBottom w:val="0"/>
      <w:divBdr>
        <w:top w:val="none" w:sz="0" w:space="0" w:color="auto"/>
        <w:left w:val="none" w:sz="0" w:space="0" w:color="auto"/>
        <w:bottom w:val="none" w:sz="0" w:space="0" w:color="auto"/>
        <w:right w:val="none" w:sz="0" w:space="0" w:color="auto"/>
      </w:divBdr>
    </w:div>
    <w:div w:id="247270345">
      <w:bodyDiv w:val="1"/>
      <w:marLeft w:val="0"/>
      <w:marRight w:val="0"/>
      <w:marTop w:val="0"/>
      <w:marBottom w:val="0"/>
      <w:divBdr>
        <w:top w:val="none" w:sz="0" w:space="0" w:color="auto"/>
        <w:left w:val="none" w:sz="0" w:space="0" w:color="auto"/>
        <w:bottom w:val="none" w:sz="0" w:space="0" w:color="auto"/>
        <w:right w:val="none" w:sz="0" w:space="0" w:color="auto"/>
      </w:divBdr>
    </w:div>
    <w:div w:id="293566163">
      <w:bodyDiv w:val="1"/>
      <w:marLeft w:val="0"/>
      <w:marRight w:val="0"/>
      <w:marTop w:val="0"/>
      <w:marBottom w:val="0"/>
      <w:divBdr>
        <w:top w:val="none" w:sz="0" w:space="0" w:color="auto"/>
        <w:left w:val="none" w:sz="0" w:space="0" w:color="auto"/>
        <w:bottom w:val="none" w:sz="0" w:space="0" w:color="auto"/>
        <w:right w:val="none" w:sz="0" w:space="0" w:color="auto"/>
      </w:divBdr>
    </w:div>
    <w:div w:id="305429062">
      <w:bodyDiv w:val="1"/>
      <w:marLeft w:val="0"/>
      <w:marRight w:val="0"/>
      <w:marTop w:val="0"/>
      <w:marBottom w:val="0"/>
      <w:divBdr>
        <w:top w:val="none" w:sz="0" w:space="0" w:color="auto"/>
        <w:left w:val="none" w:sz="0" w:space="0" w:color="auto"/>
        <w:bottom w:val="none" w:sz="0" w:space="0" w:color="auto"/>
        <w:right w:val="none" w:sz="0" w:space="0" w:color="auto"/>
      </w:divBdr>
    </w:div>
    <w:div w:id="320427808">
      <w:bodyDiv w:val="1"/>
      <w:marLeft w:val="0"/>
      <w:marRight w:val="0"/>
      <w:marTop w:val="0"/>
      <w:marBottom w:val="0"/>
      <w:divBdr>
        <w:top w:val="none" w:sz="0" w:space="0" w:color="auto"/>
        <w:left w:val="none" w:sz="0" w:space="0" w:color="auto"/>
        <w:bottom w:val="none" w:sz="0" w:space="0" w:color="auto"/>
        <w:right w:val="none" w:sz="0" w:space="0" w:color="auto"/>
      </w:divBdr>
    </w:div>
    <w:div w:id="326981660">
      <w:bodyDiv w:val="1"/>
      <w:marLeft w:val="0"/>
      <w:marRight w:val="0"/>
      <w:marTop w:val="0"/>
      <w:marBottom w:val="0"/>
      <w:divBdr>
        <w:top w:val="none" w:sz="0" w:space="0" w:color="auto"/>
        <w:left w:val="none" w:sz="0" w:space="0" w:color="auto"/>
        <w:bottom w:val="none" w:sz="0" w:space="0" w:color="auto"/>
        <w:right w:val="none" w:sz="0" w:space="0" w:color="auto"/>
      </w:divBdr>
    </w:div>
    <w:div w:id="337464051">
      <w:bodyDiv w:val="1"/>
      <w:marLeft w:val="0"/>
      <w:marRight w:val="0"/>
      <w:marTop w:val="0"/>
      <w:marBottom w:val="0"/>
      <w:divBdr>
        <w:top w:val="none" w:sz="0" w:space="0" w:color="auto"/>
        <w:left w:val="none" w:sz="0" w:space="0" w:color="auto"/>
        <w:bottom w:val="none" w:sz="0" w:space="0" w:color="auto"/>
        <w:right w:val="none" w:sz="0" w:space="0" w:color="auto"/>
      </w:divBdr>
    </w:div>
    <w:div w:id="350759905">
      <w:bodyDiv w:val="1"/>
      <w:marLeft w:val="0"/>
      <w:marRight w:val="0"/>
      <w:marTop w:val="0"/>
      <w:marBottom w:val="0"/>
      <w:divBdr>
        <w:top w:val="none" w:sz="0" w:space="0" w:color="auto"/>
        <w:left w:val="none" w:sz="0" w:space="0" w:color="auto"/>
        <w:bottom w:val="none" w:sz="0" w:space="0" w:color="auto"/>
        <w:right w:val="none" w:sz="0" w:space="0" w:color="auto"/>
      </w:divBdr>
    </w:div>
    <w:div w:id="350767845">
      <w:bodyDiv w:val="1"/>
      <w:marLeft w:val="0"/>
      <w:marRight w:val="0"/>
      <w:marTop w:val="0"/>
      <w:marBottom w:val="0"/>
      <w:divBdr>
        <w:top w:val="none" w:sz="0" w:space="0" w:color="auto"/>
        <w:left w:val="none" w:sz="0" w:space="0" w:color="auto"/>
        <w:bottom w:val="none" w:sz="0" w:space="0" w:color="auto"/>
        <w:right w:val="none" w:sz="0" w:space="0" w:color="auto"/>
      </w:divBdr>
    </w:div>
    <w:div w:id="416678979">
      <w:bodyDiv w:val="1"/>
      <w:marLeft w:val="0"/>
      <w:marRight w:val="0"/>
      <w:marTop w:val="0"/>
      <w:marBottom w:val="0"/>
      <w:divBdr>
        <w:top w:val="none" w:sz="0" w:space="0" w:color="auto"/>
        <w:left w:val="none" w:sz="0" w:space="0" w:color="auto"/>
        <w:bottom w:val="none" w:sz="0" w:space="0" w:color="auto"/>
        <w:right w:val="none" w:sz="0" w:space="0" w:color="auto"/>
      </w:divBdr>
    </w:div>
    <w:div w:id="419182998">
      <w:bodyDiv w:val="1"/>
      <w:marLeft w:val="0"/>
      <w:marRight w:val="0"/>
      <w:marTop w:val="0"/>
      <w:marBottom w:val="0"/>
      <w:divBdr>
        <w:top w:val="none" w:sz="0" w:space="0" w:color="auto"/>
        <w:left w:val="none" w:sz="0" w:space="0" w:color="auto"/>
        <w:bottom w:val="none" w:sz="0" w:space="0" w:color="auto"/>
        <w:right w:val="none" w:sz="0" w:space="0" w:color="auto"/>
      </w:divBdr>
    </w:div>
    <w:div w:id="440995524">
      <w:bodyDiv w:val="1"/>
      <w:marLeft w:val="0"/>
      <w:marRight w:val="0"/>
      <w:marTop w:val="0"/>
      <w:marBottom w:val="0"/>
      <w:divBdr>
        <w:top w:val="none" w:sz="0" w:space="0" w:color="auto"/>
        <w:left w:val="none" w:sz="0" w:space="0" w:color="auto"/>
        <w:bottom w:val="none" w:sz="0" w:space="0" w:color="auto"/>
        <w:right w:val="none" w:sz="0" w:space="0" w:color="auto"/>
      </w:divBdr>
    </w:div>
    <w:div w:id="443303313">
      <w:bodyDiv w:val="1"/>
      <w:marLeft w:val="0"/>
      <w:marRight w:val="0"/>
      <w:marTop w:val="0"/>
      <w:marBottom w:val="0"/>
      <w:divBdr>
        <w:top w:val="none" w:sz="0" w:space="0" w:color="auto"/>
        <w:left w:val="none" w:sz="0" w:space="0" w:color="auto"/>
        <w:bottom w:val="none" w:sz="0" w:space="0" w:color="auto"/>
        <w:right w:val="none" w:sz="0" w:space="0" w:color="auto"/>
      </w:divBdr>
    </w:div>
    <w:div w:id="473445744">
      <w:bodyDiv w:val="1"/>
      <w:marLeft w:val="0"/>
      <w:marRight w:val="0"/>
      <w:marTop w:val="0"/>
      <w:marBottom w:val="0"/>
      <w:divBdr>
        <w:top w:val="none" w:sz="0" w:space="0" w:color="auto"/>
        <w:left w:val="none" w:sz="0" w:space="0" w:color="auto"/>
        <w:bottom w:val="none" w:sz="0" w:space="0" w:color="auto"/>
        <w:right w:val="none" w:sz="0" w:space="0" w:color="auto"/>
      </w:divBdr>
    </w:div>
    <w:div w:id="474950924">
      <w:bodyDiv w:val="1"/>
      <w:marLeft w:val="0"/>
      <w:marRight w:val="0"/>
      <w:marTop w:val="0"/>
      <w:marBottom w:val="0"/>
      <w:divBdr>
        <w:top w:val="none" w:sz="0" w:space="0" w:color="auto"/>
        <w:left w:val="none" w:sz="0" w:space="0" w:color="auto"/>
        <w:bottom w:val="none" w:sz="0" w:space="0" w:color="auto"/>
        <w:right w:val="none" w:sz="0" w:space="0" w:color="auto"/>
      </w:divBdr>
    </w:div>
    <w:div w:id="508106073">
      <w:bodyDiv w:val="1"/>
      <w:marLeft w:val="0"/>
      <w:marRight w:val="0"/>
      <w:marTop w:val="0"/>
      <w:marBottom w:val="0"/>
      <w:divBdr>
        <w:top w:val="none" w:sz="0" w:space="0" w:color="auto"/>
        <w:left w:val="none" w:sz="0" w:space="0" w:color="auto"/>
        <w:bottom w:val="none" w:sz="0" w:space="0" w:color="auto"/>
        <w:right w:val="none" w:sz="0" w:space="0" w:color="auto"/>
      </w:divBdr>
    </w:div>
    <w:div w:id="555165888">
      <w:bodyDiv w:val="1"/>
      <w:marLeft w:val="0"/>
      <w:marRight w:val="0"/>
      <w:marTop w:val="0"/>
      <w:marBottom w:val="0"/>
      <w:divBdr>
        <w:top w:val="none" w:sz="0" w:space="0" w:color="auto"/>
        <w:left w:val="none" w:sz="0" w:space="0" w:color="auto"/>
        <w:bottom w:val="none" w:sz="0" w:space="0" w:color="auto"/>
        <w:right w:val="none" w:sz="0" w:space="0" w:color="auto"/>
      </w:divBdr>
    </w:div>
    <w:div w:id="565847539">
      <w:bodyDiv w:val="1"/>
      <w:marLeft w:val="0"/>
      <w:marRight w:val="0"/>
      <w:marTop w:val="0"/>
      <w:marBottom w:val="0"/>
      <w:divBdr>
        <w:top w:val="none" w:sz="0" w:space="0" w:color="auto"/>
        <w:left w:val="none" w:sz="0" w:space="0" w:color="auto"/>
        <w:bottom w:val="none" w:sz="0" w:space="0" w:color="auto"/>
        <w:right w:val="none" w:sz="0" w:space="0" w:color="auto"/>
      </w:divBdr>
    </w:div>
    <w:div w:id="615601584">
      <w:bodyDiv w:val="1"/>
      <w:marLeft w:val="0"/>
      <w:marRight w:val="0"/>
      <w:marTop w:val="0"/>
      <w:marBottom w:val="0"/>
      <w:divBdr>
        <w:top w:val="none" w:sz="0" w:space="0" w:color="auto"/>
        <w:left w:val="none" w:sz="0" w:space="0" w:color="auto"/>
        <w:bottom w:val="none" w:sz="0" w:space="0" w:color="auto"/>
        <w:right w:val="none" w:sz="0" w:space="0" w:color="auto"/>
      </w:divBdr>
    </w:div>
    <w:div w:id="635065794">
      <w:bodyDiv w:val="1"/>
      <w:marLeft w:val="0"/>
      <w:marRight w:val="0"/>
      <w:marTop w:val="0"/>
      <w:marBottom w:val="0"/>
      <w:divBdr>
        <w:top w:val="none" w:sz="0" w:space="0" w:color="auto"/>
        <w:left w:val="none" w:sz="0" w:space="0" w:color="auto"/>
        <w:bottom w:val="none" w:sz="0" w:space="0" w:color="auto"/>
        <w:right w:val="none" w:sz="0" w:space="0" w:color="auto"/>
      </w:divBdr>
    </w:div>
    <w:div w:id="646128419">
      <w:bodyDiv w:val="1"/>
      <w:marLeft w:val="0"/>
      <w:marRight w:val="0"/>
      <w:marTop w:val="0"/>
      <w:marBottom w:val="0"/>
      <w:divBdr>
        <w:top w:val="none" w:sz="0" w:space="0" w:color="auto"/>
        <w:left w:val="none" w:sz="0" w:space="0" w:color="auto"/>
        <w:bottom w:val="none" w:sz="0" w:space="0" w:color="auto"/>
        <w:right w:val="none" w:sz="0" w:space="0" w:color="auto"/>
      </w:divBdr>
    </w:div>
    <w:div w:id="692848219">
      <w:bodyDiv w:val="1"/>
      <w:marLeft w:val="0"/>
      <w:marRight w:val="0"/>
      <w:marTop w:val="0"/>
      <w:marBottom w:val="0"/>
      <w:divBdr>
        <w:top w:val="none" w:sz="0" w:space="0" w:color="auto"/>
        <w:left w:val="none" w:sz="0" w:space="0" w:color="auto"/>
        <w:bottom w:val="none" w:sz="0" w:space="0" w:color="auto"/>
        <w:right w:val="none" w:sz="0" w:space="0" w:color="auto"/>
      </w:divBdr>
    </w:div>
    <w:div w:id="713120510">
      <w:bodyDiv w:val="1"/>
      <w:marLeft w:val="0"/>
      <w:marRight w:val="0"/>
      <w:marTop w:val="0"/>
      <w:marBottom w:val="0"/>
      <w:divBdr>
        <w:top w:val="none" w:sz="0" w:space="0" w:color="auto"/>
        <w:left w:val="none" w:sz="0" w:space="0" w:color="auto"/>
        <w:bottom w:val="none" w:sz="0" w:space="0" w:color="auto"/>
        <w:right w:val="none" w:sz="0" w:space="0" w:color="auto"/>
      </w:divBdr>
    </w:div>
    <w:div w:id="742533608">
      <w:bodyDiv w:val="1"/>
      <w:marLeft w:val="0"/>
      <w:marRight w:val="0"/>
      <w:marTop w:val="0"/>
      <w:marBottom w:val="0"/>
      <w:divBdr>
        <w:top w:val="none" w:sz="0" w:space="0" w:color="auto"/>
        <w:left w:val="none" w:sz="0" w:space="0" w:color="auto"/>
        <w:bottom w:val="none" w:sz="0" w:space="0" w:color="auto"/>
        <w:right w:val="none" w:sz="0" w:space="0" w:color="auto"/>
      </w:divBdr>
    </w:div>
    <w:div w:id="745492136">
      <w:bodyDiv w:val="1"/>
      <w:marLeft w:val="0"/>
      <w:marRight w:val="0"/>
      <w:marTop w:val="0"/>
      <w:marBottom w:val="0"/>
      <w:divBdr>
        <w:top w:val="none" w:sz="0" w:space="0" w:color="auto"/>
        <w:left w:val="none" w:sz="0" w:space="0" w:color="auto"/>
        <w:bottom w:val="none" w:sz="0" w:space="0" w:color="auto"/>
        <w:right w:val="none" w:sz="0" w:space="0" w:color="auto"/>
      </w:divBdr>
    </w:div>
    <w:div w:id="752623433">
      <w:bodyDiv w:val="1"/>
      <w:marLeft w:val="0"/>
      <w:marRight w:val="0"/>
      <w:marTop w:val="0"/>
      <w:marBottom w:val="0"/>
      <w:divBdr>
        <w:top w:val="none" w:sz="0" w:space="0" w:color="auto"/>
        <w:left w:val="none" w:sz="0" w:space="0" w:color="auto"/>
        <w:bottom w:val="none" w:sz="0" w:space="0" w:color="auto"/>
        <w:right w:val="none" w:sz="0" w:space="0" w:color="auto"/>
      </w:divBdr>
    </w:div>
    <w:div w:id="770786544">
      <w:bodyDiv w:val="1"/>
      <w:marLeft w:val="0"/>
      <w:marRight w:val="0"/>
      <w:marTop w:val="0"/>
      <w:marBottom w:val="0"/>
      <w:divBdr>
        <w:top w:val="none" w:sz="0" w:space="0" w:color="auto"/>
        <w:left w:val="none" w:sz="0" w:space="0" w:color="auto"/>
        <w:bottom w:val="none" w:sz="0" w:space="0" w:color="auto"/>
        <w:right w:val="none" w:sz="0" w:space="0" w:color="auto"/>
      </w:divBdr>
    </w:div>
    <w:div w:id="826286401">
      <w:bodyDiv w:val="1"/>
      <w:marLeft w:val="0"/>
      <w:marRight w:val="0"/>
      <w:marTop w:val="0"/>
      <w:marBottom w:val="0"/>
      <w:divBdr>
        <w:top w:val="none" w:sz="0" w:space="0" w:color="auto"/>
        <w:left w:val="none" w:sz="0" w:space="0" w:color="auto"/>
        <w:bottom w:val="none" w:sz="0" w:space="0" w:color="auto"/>
        <w:right w:val="none" w:sz="0" w:space="0" w:color="auto"/>
      </w:divBdr>
    </w:div>
    <w:div w:id="831261578">
      <w:bodyDiv w:val="1"/>
      <w:marLeft w:val="0"/>
      <w:marRight w:val="0"/>
      <w:marTop w:val="0"/>
      <w:marBottom w:val="0"/>
      <w:divBdr>
        <w:top w:val="none" w:sz="0" w:space="0" w:color="auto"/>
        <w:left w:val="none" w:sz="0" w:space="0" w:color="auto"/>
        <w:bottom w:val="none" w:sz="0" w:space="0" w:color="auto"/>
        <w:right w:val="none" w:sz="0" w:space="0" w:color="auto"/>
      </w:divBdr>
    </w:div>
    <w:div w:id="858085498">
      <w:bodyDiv w:val="1"/>
      <w:marLeft w:val="0"/>
      <w:marRight w:val="0"/>
      <w:marTop w:val="0"/>
      <w:marBottom w:val="0"/>
      <w:divBdr>
        <w:top w:val="none" w:sz="0" w:space="0" w:color="auto"/>
        <w:left w:val="none" w:sz="0" w:space="0" w:color="auto"/>
        <w:bottom w:val="none" w:sz="0" w:space="0" w:color="auto"/>
        <w:right w:val="none" w:sz="0" w:space="0" w:color="auto"/>
      </w:divBdr>
    </w:div>
    <w:div w:id="867371934">
      <w:bodyDiv w:val="1"/>
      <w:marLeft w:val="0"/>
      <w:marRight w:val="0"/>
      <w:marTop w:val="0"/>
      <w:marBottom w:val="0"/>
      <w:divBdr>
        <w:top w:val="none" w:sz="0" w:space="0" w:color="auto"/>
        <w:left w:val="none" w:sz="0" w:space="0" w:color="auto"/>
        <w:bottom w:val="none" w:sz="0" w:space="0" w:color="auto"/>
        <w:right w:val="none" w:sz="0" w:space="0" w:color="auto"/>
      </w:divBdr>
    </w:div>
    <w:div w:id="875393502">
      <w:bodyDiv w:val="1"/>
      <w:marLeft w:val="0"/>
      <w:marRight w:val="0"/>
      <w:marTop w:val="0"/>
      <w:marBottom w:val="0"/>
      <w:divBdr>
        <w:top w:val="none" w:sz="0" w:space="0" w:color="auto"/>
        <w:left w:val="none" w:sz="0" w:space="0" w:color="auto"/>
        <w:bottom w:val="none" w:sz="0" w:space="0" w:color="auto"/>
        <w:right w:val="none" w:sz="0" w:space="0" w:color="auto"/>
      </w:divBdr>
    </w:div>
    <w:div w:id="892353212">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940798219">
      <w:bodyDiv w:val="1"/>
      <w:marLeft w:val="0"/>
      <w:marRight w:val="0"/>
      <w:marTop w:val="0"/>
      <w:marBottom w:val="0"/>
      <w:divBdr>
        <w:top w:val="none" w:sz="0" w:space="0" w:color="auto"/>
        <w:left w:val="none" w:sz="0" w:space="0" w:color="auto"/>
        <w:bottom w:val="none" w:sz="0" w:space="0" w:color="auto"/>
        <w:right w:val="none" w:sz="0" w:space="0" w:color="auto"/>
      </w:divBdr>
    </w:div>
    <w:div w:id="952982380">
      <w:bodyDiv w:val="1"/>
      <w:marLeft w:val="0"/>
      <w:marRight w:val="0"/>
      <w:marTop w:val="0"/>
      <w:marBottom w:val="0"/>
      <w:divBdr>
        <w:top w:val="none" w:sz="0" w:space="0" w:color="auto"/>
        <w:left w:val="none" w:sz="0" w:space="0" w:color="auto"/>
        <w:bottom w:val="none" w:sz="0" w:space="0" w:color="auto"/>
        <w:right w:val="none" w:sz="0" w:space="0" w:color="auto"/>
      </w:divBdr>
    </w:div>
    <w:div w:id="962154581">
      <w:bodyDiv w:val="1"/>
      <w:marLeft w:val="0"/>
      <w:marRight w:val="0"/>
      <w:marTop w:val="0"/>
      <w:marBottom w:val="0"/>
      <w:divBdr>
        <w:top w:val="none" w:sz="0" w:space="0" w:color="auto"/>
        <w:left w:val="none" w:sz="0" w:space="0" w:color="auto"/>
        <w:bottom w:val="none" w:sz="0" w:space="0" w:color="auto"/>
        <w:right w:val="none" w:sz="0" w:space="0" w:color="auto"/>
      </w:divBdr>
    </w:div>
    <w:div w:id="967395925">
      <w:bodyDiv w:val="1"/>
      <w:marLeft w:val="0"/>
      <w:marRight w:val="0"/>
      <w:marTop w:val="0"/>
      <w:marBottom w:val="0"/>
      <w:divBdr>
        <w:top w:val="none" w:sz="0" w:space="0" w:color="auto"/>
        <w:left w:val="none" w:sz="0" w:space="0" w:color="auto"/>
        <w:bottom w:val="none" w:sz="0" w:space="0" w:color="auto"/>
        <w:right w:val="none" w:sz="0" w:space="0" w:color="auto"/>
      </w:divBdr>
    </w:div>
    <w:div w:id="977488753">
      <w:bodyDiv w:val="1"/>
      <w:marLeft w:val="0"/>
      <w:marRight w:val="0"/>
      <w:marTop w:val="0"/>
      <w:marBottom w:val="0"/>
      <w:divBdr>
        <w:top w:val="none" w:sz="0" w:space="0" w:color="auto"/>
        <w:left w:val="none" w:sz="0" w:space="0" w:color="auto"/>
        <w:bottom w:val="none" w:sz="0" w:space="0" w:color="auto"/>
        <w:right w:val="none" w:sz="0" w:space="0" w:color="auto"/>
      </w:divBdr>
    </w:div>
    <w:div w:id="1004940755">
      <w:bodyDiv w:val="1"/>
      <w:marLeft w:val="0"/>
      <w:marRight w:val="0"/>
      <w:marTop w:val="0"/>
      <w:marBottom w:val="0"/>
      <w:divBdr>
        <w:top w:val="none" w:sz="0" w:space="0" w:color="auto"/>
        <w:left w:val="none" w:sz="0" w:space="0" w:color="auto"/>
        <w:bottom w:val="none" w:sz="0" w:space="0" w:color="auto"/>
        <w:right w:val="none" w:sz="0" w:space="0" w:color="auto"/>
      </w:divBdr>
    </w:div>
    <w:div w:id="1027484756">
      <w:bodyDiv w:val="1"/>
      <w:marLeft w:val="0"/>
      <w:marRight w:val="0"/>
      <w:marTop w:val="0"/>
      <w:marBottom w:val="0"/>
      <w:divBdr>
        <w:top w:val="none" w:sz="0" w:space="0" w:color="auto"/>
        <w:left w:val="none" w:sz="0" w:space="0" w:color="auto"/>
        <w:bottom w:val="none" w:sz="0" w:space="0" w:color="auto"/>
        <w:right w:val="none" w:sz="0" w:space="0" w:color="auto"/>
      </w:divBdr>
    </w:div>
    <w:div w:id="1096637580">
      <w:bodyDiv w:val="1"/>
      <w:marLeft w:val="0"/>
      <w:marRight w:val="0"/>
      <w:marTop w:val="0"/>
      <w:marBottom w:val="0"/>
      <w:divBdr>
        <w:top w:val="none" w:sz="0" w:space="0" w:color="auto"/>
        <w:left w:val="none" w:sz="0" w:space="0" w:color="auto"/>
        <w:bottom w:val="none" w:sz="0" w:space="0" w:color="auto"/>
        <w:right w:val="none" w:sz="0" w:space="0" w:color="auto"/>
      </w:divBdr>
    </w:div>
    <w:div w:id="1100955753">
      <w:bodyDiv w:val="1"/>
      <w:marLeft w:val="0"/>
      <w:marRight w:val="0"/>
      <w:marTop w:val="0"/>
      <w:marBottom w:val="0"/>
      <w:divBdr>
        <w:top w:val="none" w:sz="0" w:space="0" w:color="auto"/>
        <w:left w:val="none" w:sz="0" w:space="0" w:color="auto"/>
        <w:bottom w:val="none" w:sz="0" w:space="0" w:color="auto"/>
        <w:right w:val="none" w:sz="0" w:space="0" w:color="auto"/>
      </w:divBdr>
    </w:div>
    <w:div w:id="1104114818">
      <w:bodyDiv w:val="1"/>
      <w:marLeft w:val="0"/>
      <w:marRight w:val="0"/>
      <w:marTop w:val="0"/>
      <w:marBottom w:val="0"/>
      <w:divBdr>
        <w:top w:val="none" w:sz="0" w:space="0" w:color="auto"/>
        <w:left w:val="none" w:sz="0" w:space="0" w:color="auto"/>
        <w:bottom w:val="none" w:sz="0" w:space="0" w:color="auto"/>
        <w:right w:val="none" w:sz="0" w:space="0" w:color="auto"/>
      </w:divBdr>
    </w:div>
    <w:div w:id="1109355003">
      <w:bodyDiv w:val="1"/>
      <w:marLeft w:val="0"/>
      <w:marRight w:val="0"/>
      <w:marTop w:val="0"/>
      <w:marBottom w:val="0"/>
      <w:divBdr>
        <w:top w:val="none" w:sz="0" w:space="0" w:color="auto"/>
        <w:left w:val="none" w:sz="0" w:space="0" w:color="auto"/>
        <w:bottom w:val="none" w:sz="0" w:space="0" w:color="auto"/>
        <w:right w:val="none" w:sz="0" w:space="0" w:color="auto"/>
      </w:divBdr>
    </w:div>
    <w:div w:id="1111051253">
      <w:bodyDiv w:val="1"/>
      <w:marLeft w:val="0"/>
      <w:marRight w:val="0"/>
      <w:marTop w:val="0"/>
      <w:marBottom w:val="0"/>
      <w:divBdr>
        <w:top w:val="none" w:sz="0" w:space="0" w:color="auto"/>
        <w:left w:val="none" w:sz="0" w:space="0" w:color="auto"/>
        <w:bottom w:val="none" w:sz="0" w:space="0" w:color="auto"/>
        <w:right w:val="none" w:sz="0" w:space="0" w:color="auto"/>
      </w:divBdr>
    </w:div>
    <w:div w:id="1120493903">
      <w:bodyDiv w:val="1"/>
      <w:marLeft w:val="0"/>
      <w:marRight w:val="0"/>
      <w:marTop w:val="0"/>
      <w:marBottom w:val="0"/>
      <w:divBdr>
        <w:top w:val="none" w:sz="0" w:space="0" w:color="auto"/>
        <w:left w:val="none" w:sz="0" w:space="0" w:color="auto"/>
        <w:bottom w:val="none" w:sz="0" w:space="0" w:color="auto"/>
        <w:right w:val="none" w:sz="0" w:space="0" w:color="auto"/>
      </w:divBdr>
    </w:div>
    <w:div w:id="1128860008">
      <w:bodyDiv w:val="1"/>
      <w:marLeft w:val="0"/>
      <w:marRight w:val="0"/>
      <w:marTop w:val="0"/>
      <w:marBottom w:val="0"/>
      <w:divBdr>
        <w:top w:val="none" w:sz="0" w:space="0" w:color="auto"/>
        <w:left w:val="none" w:sz="0" w:space="0" w:color="auto"/>
        <w:bottom w:val="none" w:sz="0" w:space="0" w:color="auto"/>
        <w:right w:val="none" w:sz="0" w:space="0" w:color="auto"/>
      </w:divBdr>
    </w:div>
    <w:div w:id="1148666976">
      <w:bodyDiv w:val="1"/>
      <w:marLeft w:val="0"/>
      <w:marRight w:val="0"/>
      <w:marTop w:val="0"/>
      <w:marBottom w:val="0"/>
      <w:divBdr>
        <w:top w:val="none" w:sz="0" w:space="0" w:color="auto"/>
        <w:left w:val="none" w:sz="0" w:space="0" w:color="auto"/>
        <w:bottom w:val="none" w:sz="0" w:space="0" w:color="auto"/>
        <w:right w:val="none" w:sz="0" w:space="0" w:color="auto"/>
      </w:divBdr>
    </w:div>
    <w:div w:id="1177421743">
      <w:bodyDiv w:val="1"/>
      <w:marLeft w:val="0"/>
      <w:marRight w:val="0"/>
      <w:marTop w:val="0"/>
      <w:marBottom w:val="0"/>
      <w:divBdr>
        <w:top w:val="none" w:sz="0" w:space="0" w:color="auto"/>
        <w:left w:val="none" w:sz="0" w:space="0" w:color="auto"/>
        <w:bottom w:val="none" w:sz="0" w:space="0" w:color="auto"/>
        <w:right w:val="none" w:sz="0" w:space="0" w:color="auto"/>
      </w:divBdr>
    </w:div>
    <w:div w:id="1185245878">
      <w:bodyDiv w:val="1"/>
      <w:marLeft w:val="0"/>
      <w:marRight w:val="0"/>
      <w:marTop w:val="0"/>
      <w:marBottom w:val="0"/>
      <w:divBdr>
        <w:top w:val="none" w:sz="0" w:space="0" w:color="auto"/>
        <w:left w:val="none" w:sz="0" w:space="0" w:color="auto"/>
        <w:bottom w:val="none" w:sz="0" w:space="0" w:color="auto"/>
        <w:right w:val="none" w:sz="0" w:space="0" w:color="auto"/>
      </w:divBdr>
    </w:div>
    <w:div w:id="1186410765">
      <w:bodyDiv w:val="1"/>
      <w:marLeft w:val="0"/>
      <w:marRight w:val="0"/>
      <w:marTop w:val="0"/>
      <w:marBottom w:val="0"/>
      <w:divBdr>
        <w:top w:val="none" w:sz="0" w:space="0" w:color="auto"/>
        <w:left w:val="none" w:sz="0" w:space="0" w:color="auto"/>
        <w:bottom w:val="none" w:sz="0" w:space="0" w:color="auto"/>
        <w:right w:val="none" w:sz="0" w:space="0" w:color="auto"/>
      </w:divBdr>
    </w:div>
    <w:div w:id="1198742938">
      <w:bodyDiv w:val="1"/>
      <w:marLeft w:val="0"/>
      <w:marRight w:val="0"/>
      <w:marTop w:val="0"/>
      <w:marBottom w:val="0"/>
      <w:divBdr>
        <w:top w:val="none" w:sz="0" w:space="0" w:color="auto"/>
        <w:left w:val="none" w:sz="0" w:space="0" w:color="auto"/>
        <w:bottom w:val="none" w:sz="0" w:space="0" w:color="auto"/>
        <w:right w:val="none" w:sz="0" w:space="0" w:color="auto"/>
      </w:divBdr>
    </w:div>
    <w:div w:id="1203441335">
      <w:bodyDiv w:val="1"/>
      <w:marLeft w:val="0"/>
      <w:marRight w:val="0"/>
      <w:marTop w:val="0"/>
      <w:marBottom w:val="0"/>
      <w:divBdr>
        <w:top w:val="none" w:sz="0" w:space="0" w:color="auto"/>
        <w:left w:val="none" w:sz="0" w:space="0" w:color="auto"/>
        <w:bottom w:val="none" w:sz="0" w:space="0" w:color="auto"/>
        <w:right w:val="none" w:sz="0" w:space="0" w:color="auto"/>
      </w:divBdr>
    </w:div>
    <w:div w:id="1233734073">
      <w:bodyDiv w:val="1"/>
      <w:marLeft w:val="0"/>
      <w:marRight w:val="0"/>
      <w:marTop w:val="0"/>
      <w:marBottom w:val="0"/>
      <w:divBdr>
        <w:top w:val="none" w:sz="0" w:space="0" w:color="auto"/>
        <w:left w:val="none" w:sz="0" w:space="0" w:color="auto"/>
        <w:bottom w:val="none" w:sz="0" w:space="0" w:color="auto"/>
        <w:right w:val="none" w:sz="0" w:space="0" w:color="auto"/>
      </w:divBdr>
    </w:div>
    <w:div w:id="1236670569">
      <w:bodyDiv w:val="1"/>
      <w:marLeft w:val="0"/>
      <w:marRight w:val="0"/>
      <w:marTop w:val="0"/>
      <w:marBottom w:val="0"/>
      <w:divBdr>
        <w:top w:val="none" w:sz="0" w:space="0" w:color="auto"/>
        <w:left w:val="none" w:sz="0" w:space="0" w:color="auto"/>
        <w:bottom w:val="none" w:sz="0" w:space="0" w:color="auto"/>
        <w:right w:val="none" w:sz="0" w:space="0" w:color="auto"/>
      </w:divBdr>
    </w:div>
    <w:div w:id="1261372747">
      <w:bodyDiv w:val="1"/>
      <w:marLeft w:val="0"/>
      <w:marRight w:val="0"/>
      <w:marTop w:val="0"/>
      <w:marBottom w:val="0"/>
      <w:divBdr>
        <w:top w:val="none" w:sz="0" w:space="0" w:color="auto"/>
        <w:left w:val="none" w:sz="0" w:space="0" w:color="auto"/>
        <w:bottom w:val="none" w:sz="0" w:space="0" w:color="auto"/>
        <w:right w:val="none" w:sz="0" w:space="0" w:color="auto"/>
      </w:divBdr>
    </w:div>
    <w:div w:id="1266769949">
      <w:bodyDiv w:val="1"/>
      <w:marLeft w:val="0"/>
      <w:marRight w:val="0"/>
      <w:marTop w:val="0"/>
      <w:marBottom w:val="0"/>
      <w:divBdr>
        <w:top w:val="none" w:sz="0" w:space="0" w:color="auto"/>
        <w:left w:val="none" w:sz="0" w:space="0" w:color="auto"/>
        <w:bottom w:val="none" w:sz="0" w:space="0" w:color="auto"/>
        <w:right w:val="none" w:sz="0" w:space="0" w:color="auto"/>
      </w:divBdr>
    </w:div>
    <w:div w:id="1272475003">
      <w:bodyDiv w:val="1"/>
      <w:marLeft w:val="0"/>
      <w:marRight w:val="0"/>
      <w:marTop w:val="0"/>
      <w:marBottom w:val="0"/>
      <w:divBdr>
        <w:top w:val="none" w:sz="0" w:space="0" w:color="auto"/>
        <w:left w:val="none" w:sz="0" w:space="0" w:color="auto"/>
        <w:bottom w:val="none" w:sz="0" w:space="0" w:color="auto"/>
        <w:right w:val="none" w:sz="0" w:space="0" w:color="auto"/>
      </w:divBdr>
    </w:div>
    <w:div w:id="1276668723">
      <w:bodyDiv w:val="1"/>
      <w:marLeft w:val="0"/>
      <w:marRight w:val="0"/>
      <w:marTop w:val="0"/>
      <w:marBottom w:val="0"/>
      <w:divBdr>
        <w:top w:val="none" w:sz="0" w:space="0" w:color="auto"/>
        <w:left w:val="none" w:sz="0" w:space="0" w:color="auto"/>
        <w:bottom w:val="none" w:sz="0" w:space="0" w:color="auto"/>
        <w:right w:val="none" w:sz="0" w:space="0" w:color="auto"/>
      </w:divBdr>
    </w:div>
    <w:div w:id="1277980313">
      <w:bodyDiv w:val="1"/>
      <w:marLeft w:val="0"/>
      <w:marRight w:val="0"/>
      <w:marTop w:val="0"/>
      <w:marBottom w:val="0"/>
      <w:divBdr>
        <w:top w:val="none" w:sz="0" w:space="0" w:color="auto"/>
        <w:left w:val="none" w:sz="0" w:space="0" w:color="auto"/>
        <w:bottom w:val="none" w:sz="0" w:space="0" w:color="auto"/>
        <w:right w:val="none" w:sz="0" w:space="0" w:color="auto"/>
      </w:divBdr>
    </w:div>
    <w:div w:id="1283926931">
      <w:bodyDiv w:val="1"/>
      <w:marLeft w:val="0"/>
      <w:marRight w:val="0"/>
      <w:marTop w:val="0"/>
      <w:marBottom w:val="0"/>
      <w:divBdr>
        <w:top w:val="none" w:sz="0" w:space="0" w:color="auto"/>
        <w:left w:val="none" w:sz="0" w:space="0" w:color="auto"/>
        <w:bottom w:val="none" w:sz="0" w:space="0" w:color="auto"/>
        <w:right w:val="none" w:sz="0" w:space="0" w:color="auto"/>
      </w:divBdr>
    </w:div>
    <w:div w:id="1290017334">
      <w:bodyDiv w:val="1"/>
      <w:marLeft w:val="0"/>
      <w:marRight w:val="0"/>
      <w:marTop w:val="0"/>
      <w:marBottom w:val="0"/>
      <w:divBdr>
        <w:top w:val="none" w:sz="0" w:space="0" w:color="auto"/>
        <w:left w:val="none" w:sz="0" w:space="0" w:color="auto"/>
        <w:bottom w:val="none" w:sz="0" w:space="0" w:color="auto"/>
        <w:right w:val="none" w:sz="0" w:space="0" w:color="auto"/>
      </w:divBdr>
    </w:div>
    <w:div w:id="1300069930">
      <w:bodyDiv w:val="1"/>
      <w:marLeft w:val="0"/>
      <w:marRight w:val="0"/>
      <w:marTop w:val="0"/>
      <w:marBottom w:val="0"/>
      <w:divBdr>
        <w:top w:val="none" w:sz="0" w:space="0" w:color="auto"/>
        <w:left w:val="none" w:sz="0" w:space="0" w:color="auto"/>
        <w:bottom w:val="none" w:sz="0" w:space="0" w:color="auto"/>
        <w:right w:val="none" w:sz="0" w:space="0" w:color="auto"/>
      </w:divBdr>
    </w:div>
    <w:div w:id="1309475886">
      <w:bodyDiv w:val="1"/>
      <w:marLeft w:val="0"/>
      <w:marRight w:val="0"/>
      <w:marTop w:val="0"/>
      <w:marBottom w:val="0"/>
      <w:divBdr>
        <w:top w:val="none" w:sz="0" w:space="0" w:color="auto"/>
        <w:left w:val="none" w:sz="0" w:space="0" w:color="auto"/>
        <w:bottom w:val="none" w:sz="0" w:space="0" w:color="auto"/>
        <w:right w:val="none" w:sz="0" w:space="0" w:color="auto"/>
      </w:divBdr>
    </w:div>
    <w:div w:id="1322924561">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79433463">
      <w:bodyDiv w:val="1"/>
      <w:marLeft w:val="0"/>
      <w:marRight w:val="0"/>
      <w:marTop w:val="0"/>
      <w:marBottom w:val="0"/>
      <w:divBdr>
        <w:top w:val="none" w:sz="0" w:space="0" w:color="auto"/>
        <w:left w:val="none" w:sz="0" w:space="0" w:color="auto"/>
        <w:bottom w:val="none" w:sz="0" w:space="0" w:color="auto"/>
        <w:right w:val="none" w:sz="0" w:space="0" w:color="auto"/>
      </w:divBdr>
    </w:div>
    <w:div w:id="1394741184">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533416968">
      <w:bodyDiv w:val="1"/>
      <w:marLeft w:val="0"/>
      <w:marRight w:val="0"/>
      <w:marTop w:val="0"/>
      <w:marBottom w:val="0"/>
      <w:divBdr>
        <w:top w:val="none" w:sz="0" w:space="0" w:color="auto"/>
        <w:left w:val="none" w:sz="0" w:space="0" w:color="auto"/>
        <w:bottom w:val="none" w:sz="0" w:space="0" w:color="auto"/>
        <w:right w:val="none" w:sz="0" w:space="0" w:color="auto"/>
      </w:divBdr>
    </w:div>
    <w:div w:id="1541742894">
      <w:bodyDiv w:val="1"/>
      <w:marLeft w:val="0"/>
      <w:marRight w:val="0"/>
      <w:marTop w:val="0"/>
      <w:marBottom w:val="0"/>
      <w:divBdr>
        <w:top w:val="none" w:sz="0" w:space="0" w:color="auto"/>
        <w:left w:val="none" w:sz="0" w:space="0" w:color="auto"/>
        <w:bottom w:val="none" w:sz="0" w:space="0" w:color="auto"/>
        <w:right w:val="none" w:sz="0" w:space="0" w:color="auto"/>
      </w:divBdr>
    </w:div>
    <w:div w:id="1571623070">
      <w:bodyDiv w:val="1"/>
      <w:marLeft w:val="0"/>
      <w:marRight w:val="0"/>
      <w:marTop w:val="0"/>
      <w:marBottom w:val="0"/>
      <w:divBdr>
        <w:top w:val="none" w:sz="0" w:space="0" w:color="auto"/>
        <w:left w:val="none" w:sz="0" w:space="0" w:color="auto"/>
        <w:bottom w:val="none" w:sz="0" w:space="0" w:color="auto"/>
        <w:right w:val="none" w:sz="0" w:space="0" w:color="auto"/>
      </w:divBdr>
    </w:div>
    <w:div w:id="1592351097">
      <w:bodyDiv w:val="1"/>
      <w:marLeft w:val="0"/>
      <w:marRight w:val="0"/>
      <w:marTop w:val="0"/>
      <w:marBottom w:val="0"/>
      <w:divBdr>
        <w:top w:val="none" w:sz="0" w:space="0" w:color="auto"/>
        <w:left w:val="none" w:sz="0" w:space="0" w:color="auto"/>
        <w:bottom w:val="none" w:sz="0" w:space="0" w:color="auto"/>
        <w:right w:val="none" w:sz="0" w:space="0" w:color="auto"/>
      </w:divBdr>
    </w:div>
    <w:div w:id="1624077798">
      <w:bodyDiv w:val="1"/>
      <w:marLeft w:val="0"/>
      <w:marRight w:val="0"/>
      <w:marTop w:val="0"/>
      <w:marBottom w:val="0"/>
      <w:divBdr>
        <w:top w:val="none" w:sz="0" w:space="0" w:color="auto"/>
        <w:left w:val="none" w:sz="0" w:space="0" w:color="auto"/>
        <w:bottom w:val="none" w:sz="0" w:space="0" w:color="auto"/>
        <w:right w:val="none" w:sz="0" w:space="0" w:color="auto"/>
      </w:divBdr>
    </w:div>
    <w:div w:id="1633553536">
      <w:bodyDiv w:val="1"/>
      <w:marLeft w:val="0"/>
      <w:marRight w:val="0"/>
      <w:marTop w:val="0"/>
      <w:marBottom w:val="0"/>
      <w:divBdr>
        <w:top w:val="none" w:sz="0" w:space="0" w:color="auto"/>
        <w:left w:val="none" w:sz="0" w:space="0" w:color="auto"/>
        <w:bottom w:val="none" w:sz="0" w:space="0" w:color="auto"/>
        <w:right w:val="none" w:sz="0" w:space="0" w:color="auto"/>
      </w:divBdr>
    </w:div>
    <w:div w:id="1653101592">
      <w:bodyDiv w:val="1"/>
      <w:marLeft w:val="0"/>
      <w:marRight w:val="0"/>
      <w:marTop w:val="0"/>
      <w:marBottom w:val="0"/>
      <w:divBdr>
        <w:top w:val="none" w:sz="0" w:space="0" w:color="auto"/>
        <w:left w:val="none" w:sz="0" w:space="0" w:color="auto"/>
        <w:bottom w:val="none" w:sz="0" w:space="0" w:color="auto"/>
        <w:right w:val="none" w:sz="0" w:space="0" w:color="auto"/>
      </w:divBdr>
    </w:div>
    <w:div w:id="1691443994">
      <w:bodyDiv w:val="1"/>
      <w:marLeft w:val="0"/>
      <w:marRight w:val="0"/>
      <w:marTop w:val="0"/>
      <w:marBottom w:val="0"/>
      <w:divBdr>
        <w:top w:val="none" w:sz="0" w:space="0" w:color="auto"/>
        <w:left w:val="none" w:sz="0" w:space="0" w:color="auto"/>
        <w:bottom w:val="none" w:sz="0" w:space="0" w:color="auto"/>
        <w:right w:val="none" w:sz="0" w:space="0" w:color="auto"/>
      </w:divBdr>
    </w:div>
    <w:div w:id="1739477671">
      <w:bodyDiv w:val="1"/>
      <w:marLeft w:val="0"/>
      <w:marRight w:val="0"/>
      <w:marTop w:val="0"/>
      <w:marBottom w:val="0"/>
      <w:divBdr>
        <w:top w:val="none" w:sz="0" w:space="0" w:color="auto"/>
        <w:left w:val="none" w:sz="0" w:space="0" w:color="auto"/>
        <w:bottom w:val="none" w:sz="0" w:space="0" w:color="auto"/>
        <w:right w:val="none" w:sz="0" w:space="0" w:color="auto"/>
      </w:divBdr>
    </w:div>
    <w:div w:id="1842430290">
      <w:bodyDiv w:val="1"/>
      <w:marLeft w:val="0"/>
      <w:marRight w:val="0"/>
      <w:marTop w:val="0"/>
      <w:marBottom w:val="0"/>
      <w:divBdr>
        <w:top w:val="none" w:sz="0" w:space="0" w:color="auto"/>
        <w:left w:val="none" w:sz="0" w:space="0" w:color="auto"/>
        <w:bottom w:val="none" w:sz="0" w:space="0" w:color="auto"/>
        <w:right w:val="none" w:sz="0" w:space="0" w:color="auto"/>
      </w:divBdr>
    </w:div>
    <w:div w:id="1855072739">
      <w:bodyDiv w:val="1"/>
      <w:marLeft w:val="0"/>
      <w:marRight w:val="0"/>
      <w:marTop w:val="0"/>
      <w:marBottom w:val="0"/>
      <w:divBdr>
        <w:top w:val="none" w:sz="0" w:space="0" w:color="auto"/>
        <w:left w:val="none" w:sz="0" w:space="0" w:color="auto"/>
        <w:bottom w:val="none" w:sz="0" w:space="0" w:color="auto"/>
        <w:right w:val="none" w:sz="0" w:space="0" w:color="auto"/>
      </w:divBdr>
    </w:div>
    <w:div w:id="1896043085">
      <w:bodyDiv w:val="1"/>
      <w:marLeft w:val="0"/>
      <w:marRight w:val="0"/>
      <w:marTop w:val="0"/>
      <w:marBottom w:val="0"/>
      <w:divBdr>
        <w:top w:val="none" w:sz="0" w:space="0" w:color="auto"/>
        <w:left w:val="none" w:sz="0" w:space="0" w:color="auto"/>
        <w:bottom w:val="none" w:sz="0" w:space="0" w:color="auto"/>
        <w:right w:val="none" w:sz="0" w:space="0" w:color="auto"/>
      </w:divBdr>
    </w:div>
    <w:div w:id="1909266999">
      <w:bodyDiv w:val="1"/>
      <w:marLeft w:val="0"/>
      <w:marRight w:val="0"/>
      <w:marTop w:val="0"/>
      <w:marBottom w:val="0"/>
      <w:divBdr>
        <w:top w:val="none" w:sz="0" w:space="0" w:color="auto"/>
        <w:left w:val="none" w:sz="0" w:space="0" w:color="auto"/>
        <w:bottom w:val="none" w:sz="0" w:space="0" w:color="auto"/>
        <w:right w:val="none" w:sz="0" w:space="0" w:color="auto"/>
      </w:divBdr>
    </w:div>
    <w:div w:id="1939941503">
      <w:bodyDiv w:val="1"/>
      <w:marLeft w:val="0"/>
      <w:marRight w:val="0"/>
      <w:marTop w:val="0"/>
      <w:marBottom w:val="0"/>
      <w:divBdr>
        <w:top w:val="none" w:sz="0" w:space="0" w:color="auto"/>
        <w:left w:val="none" w:sz="0" w:space="0" w:color="auto"/>
        <w:bottom w:val="none" w:sz="0" w:space="0" w:color="auto"/>
        <w:right w:val="none" w:sz="0" w:space="0" w:color="auto"/>
      </w:divBdr>
    </w:div>
    <w:div w:id="1962413427">
      <w:bodyDiv w:val="1"/>
      <w:marLeft w:val="0"/>
      <w:marRight w:val="0"/>
      <w:marTop w:val="0"/>
      <w:marBottom w:val="0"/>
      <w:divBdr>
        <w:top w:val="none" w:sz="0" w:space="0" w:color="auto"/>
        <w:left w:val="none" w:sz="0" w:space="0" w:color="auto"/>
        <w:bottom w:val="none" w:sz="0" w:space="0" w:color="auto"/>
        <w:right w:val="none" w:sz="0" w:space="0" w:color="auto"/>
      </w:divBdr>
    </w:div>
    <w:div w:id="2022466850">
      <w:bodyDiv w:val="1"/>
      <w:marLeft w:val="0"/>
      <w:marRight w:val="0"/>
      <w:marTop w:val="0"/>
      <w:marBottom w:val="0"/>
      <w:divBdr>
        <w:top w:val="none" w:sz="0" w:space="0" w:color="auto"/>
        <w:left w:val="none" w:sz="0" w:space="0" w:color="auto"/>
        <w:bottom w:val="none" w:sz="0" w:space="0" w:color="auto"/>
        <w:right w:val="none" w:sz="0" w:space="0" w:color="auto"/>
      </w:divBdr>
    </w:div>
    <w:div w:id="2025203539">
      <w:bodyDiv w:val="1"/>
      <w:marLeft w:val="0"/>
      <w:marRight w:val="0"/>
      <w:marTop w:val="0"/>
      <w:marBottom w:val="0"/>
      <w:divBdr>
        <w:top w:val="none" w:sz="0" w:space="0" w:color="auto"/>
        <w:left w:val="none" w:sz="0" w:space="0" w:color="auto"/>
        <w:bottom w:val="none" w:sz="0" w:space="0" w:color="auto"/>
        <w:right w:val="none" w:sz="0" w:space="0" w:color="auto"/>
      </w:divBdr>
    </w:div>
    <w:div w:id="2082478994">
      <w:bodyDiv w:val="1"/>
      <w:marLeft w:val="0"/>
      <w:marRight w:val="0"/>
      <w:marTop w:val="0"/>
      <w:marBottom w:val="0"/>
      <w:divBdr>
        <w:top w:val="none" w:sz="0" w:space="0" w:color="auto"/>
        <w:left w:val="none" w:sz="0" w:space="0" w:color="auto"/>
        <w:bottom w:val="none" w:sz="0" w:space="0" w:color="auto"/>
        <w:right w:val="none" w:sz="0" w:space="0" w:color="auto"/>
      </w:divBdr>
    </w:div>
    <w:div w:id="2118329922">
      <w:bodyDiv w:val="1"/>
      <w:marLeft w:val="0"/>
      <w:marRight w:val="0"/>
      <w:marTop w:val="0"/>
      <w:marBottom w:val="0"/>
      <w:divBdr>
        <w:top w:val="none" w:sz="0" w:space="0" w:color="auto"/>
        <w:left w:val="none" w:sz="0" w:space="0" w:color="auto"/>
        <w:bottom w:val="none" w:sz="0" w:space="0" w:color="auto"/>
        <w:right w:val="none" w:sz="0" w:space="0" w:color="auto"/>
      </w:divBdr>
    </w:div>
    <w:div w:id="21298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fl.com.au/news/197767/afl-signs-new-six-year-25-billion-broadcast-rights-deal"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s://www.theguardian.com/media/2023/jun/23/ten-network-drops-bid-to-secure-melbourne-cup-rights-over-tabcorp-deal" TargetMode="External"/><Relationship Id="rId117" Type="http://schemas.openxmlformats.org/officeDocument/2006/relationships/hyperlink" Target="https://www.foxsports.com.au/women-in-sport/international-womens-day-2022-growth-of-womens-sport-market-research-by-fox-sports-tv-audiences-participation/news-story/dbda91408a07a9f235f1dcf1bd4025a5" TargetMode="External"/><Relationship Id="rId21" Type="http://schemas.openxmlformats.org/officeDocument/2006/relationships/hyperlink" Target="https://www2.deloitte.com/au/en/pages/technology-media-and-telecommunications/articles/media-consumer-survey.html" TargetMode="External"/><Relationship Id="rId42" Type="http://schemas.openxmlformats.org/officeDocument/2006/relationships/hyperlink" Target="https://assets.publishing.service.gov.uk/government/uploads/system/uploads/attachment_data/file/1166203/PSB_Reform_IA_-_PLS_publication_version.pdf" TargetMode="External"/><Relationship Id="rId47" Type="http://schemas.openxmlformats.org/officeDocument/2006/relationships/hyperlink" Target="https://www.digitalinclusionindex.org.au/dashboard/Affordability.aspx" TargetMode="External"/><Relationship Id="rId63" Type="http://schemas.openxmlformats.org/officeDocument/2006/relationships/hyperlink" Target="https://www.infrastructure.gov.au/sites/default/files/documents/aspp--foxtel-group.pdf" TargetMode="External"/><Relationship Id="rId68" Type="http://schemas.openxmlformats.org/officeDocument/2006/relationships/hyperlink" Target="https://www.mediaweek.com.au/sevens-best-buy-womens-world-cup-rights-james-warburtons-bargain-matildas-score/" TargetMode="External"/><Relationship Id="rId84" Type="http://schemas.openxmlformats.org/officeDocument/2006/relationships/hyperlink" Target="https://www.infrastructure.gov.au/sites/default/files/documents/bcarr-international-comparison-of-fixed-broadband-performance_0.pdf" TargetMode="External"/><Relationship Id="rId89" Type="http://schemas.openxmlformats.org/officeDocument/2006/relationships/hyperlink" Target="https://www.optus.com.au/portal/site/shop/menuitem.d8ade77814f20d81da238c7e189f01ca/?vgnextoid=894eca92b25cd210VgnVCM100000518c8ec6RCRD&amp;vgnextfmt=default" TargetMode="External"/><Relationship Id="rId112" Type="http://schemas.openxmlformats.org/officeDocument/2006/relationships/hyperlink" Target="https://www.afl.com.au/news/837244/afl-reveals-new-broadcast-rights-deal-from-2025" TargetMode="External"/><Relationship Id="rId133" Type="http://schemas.openxmlformats.org/officeDocument/2006/relationships/hyperlink" Target="https://www.nineforbrands.com.au/media-release/nine-is-the-home-of-womens-rugby-league-from-2024/" TargetMode="External"/><Relationship Id="rId138" Type="http://schemas.openxmlformats.org/officeDocument/2006/relationships/hyperlink" Target="https://www.infrastructure.gov.au/sites/default/files/documents/anti-siphoning-consultation-paper-oct-2022.pdf" TargetMode="External"/><Relationship Id="rId16" Type="http://schemas.openxmlformats.org/officeDocument/2006/relationships/hyperlink" Target="https://tv.youtube.com/learn/nflsundayticket/" TargetMode="External"/><Relationship Id="rId107" Type="http://schemas.openxmlformats.org/officeDocument/2006/relationships/hyperlink" Target="https://www.infrastructure.gov.au/sites/default/files/documents/aspp-free-tv-australia.pdf" TargetMode="External"/><Relationship Id="rId11" Type="http://schemas.openxmlformats.org/officeDocument/2006/relationships/hyperlink" Target="https://www.infrastructure.gov.au/sites/default/files/documents/anti-siphoning-review-proposals-paper.pdf" TargetMode="External"/><Relationship Id="rId32" Type="http://schemas.openxmlformats.org/officeDocument/2006/relationships/hyperlink" Target="https://www.ampereanalysis.com/press/release/dl/streaming-services-will-spend-over-8bn-on-sports-rights-in-2023" TargetMode="External"/><Relationship Id="rId37" Type="http://schemas.openxmlformats.org/officeDocument/2006/relationships/hyperlink" Target="https://www.nytimes.com/2021/03/18/sports/football/nfl-tv-contracts.html" TargetMode="External"/><Relationship Id="rId53" Type="http://schemas.openxmlformats.org/officeDocument/2006/relationships/hyperlink" Target="https://www.foxsports.com.au/women-in-sport/international-womens-day-2022-growth-of-womens-sport-market-research-by-fox-sports-tv-audiences-participation/news-story/dbda91408a07a9f235f1dcf1bd4025a5" TargetMode="External"/><Relationship Id="rId58" Type="http://schemas.openxmlformats.org/officeDocument/2006/relationships/hyperlink" Target="https://www.paralympic.org.au/2023/07/live-coverage-to-feature-stars-of-world-para-athletics/" TargetMode="External"/><Relationship Id="rId74" Type="http://schemas.openxmlformats.org/officeDocument/2006/relationships/hyperlink" Target="https://parlinfo.aph.gov.au/parlInfo/download/legislation/ems/r5907_ems_978e8b30-1d13-4ced-bfc2-428f25095021/upload_pdf/636053.pdf;fileType=application%2Fpdf" TargetMode="External"/><Relationship Id="rId79" Type="http://schemas.openxmlformats.org/officeDocument/2006/relationships/hyperlink" Target="https://help.kayosports.com.au/s/article/What-is-Kayo-Freebies" TargetMode="External"/><Relationship Id="rId102" Type="http://schemas.openxmlformats.org/officeDocument/2006/relationships/hyperlink" Target="https://support.7plus.com.au/hc/en-au/articles/360060433692-What-are-the-minimum-requirements-to-access-7plus-" TargetMode="External"/><Relationship Id="rId123" Type="http://schemas.openxmlformats.org/officeDocument/2006/relationships/hyperlink" Target="https://www.nineforbrands.com.au/media-release/nine-is-the-home-of-womens-rugby-league-from-2024/" TargetMode="External"/><Relationship Id="rId128" Type="http://schemas.openxmlformats.org/officeDocument/2006/relationships/hyperlink" Target="https://www.footyindustry.com/2023/06/02/a-record-crowd-and-643000-tune-in-for-womens-state-of-origin-i/" TargetMode="External"/><Relationship Id="rId5" Type="http://schemas.openxmlformats.org/officeDocument/2006/relationships/hyperlink" Target="https://www.legislation.gov.au/Details/F2023L01233" TargetMode="External"/><Relationship Id="rId90" Type="http://schemas.openxmlformats.org/officeDocument/2006/relationships/hyperlink" Target="https://www.vodafone.com.au/media/vodafone-sets-a-new-5g-high-speed-score-at-the-sydney-cricket-ground" TargetMode="External"/><Relationship Id="rId95" Type="http://schemas.openxmlformats.org/officeDocument/2006/relationships/hyperlink" Target="https://www.accc.gov.au/system/files/Internet%20Activity%20Report%20-%20December%202022.pdf" TargetMode="External"/><Relationship Id="rId22" Type="http://schemas.openxmlformats.org/officeDocument/2006/relationships/hyperlink" Target="https://foxtelgroup.com.au/newsroom/foxtel-group-fiscal-2023-fourth-quarter-and-full-year-earnings" TargetMode="External"/><Relationship Id="rId27" Type="http://schemas.openxmlformats.org/officeDocument/2006/relationships/hyperlink" Target="https://www.news.com.au/sport/superracing/melbourne-cup/how-to-watch-and-live-stream-the-2023-melbourne-cup/news-story/647f58bb875ac83c50139c6866c193d8" TargetMode="External"/><Relationship Id="rId43" Type="http://schemas.openxmlformats.org/officeDocument/2006/relationships/hyperlink" Target="https://eur-lex.europa.eu/eli/dir/2010/13" TargetMode="External"/><Relationship Id="rId48" Type="http://schemas.openxmlformats.org/officeDocument/2006/relationships/hyperlink" Target="https://www.acma.gov.au/sites/default/files/2023-03/HOWWEU~1.PDF" TargetMode="External"/><Relationship Id="rId64" Type="http://schemas.openxmlformats.org/officeDocument/2006/relationships/hyperlink" Target="https://www.pc.gov.au/inquiries/completed/broadcasting/report/broadcst.pdf" TargetMode="External"/><Relationship Id="rId69" Type="http://schemas.openxmlformats.org/officeDocument/2006/relationships/hyperlink" Target="https://www.afl.com.au/news/837244/afl-reveals-new-broadcast-rights-deal-from-2025" TargetMode="External"/><Relationship Id="rId113" Type="http://schemas.openxmlformats.org/officeDocument/2006/relationships/hyperlink" Target="https://www.infrastructure.gov.au/sites/default/files/documents/aspp--optus.pdf" TargetMode="External"/><Relationship Id="rId118" Type="http://schemas.openxmlformats.org/officeDocument/2006/relationships/hyperlink" Target="https://www.paralympic.org.au/2023/05/nine-seals-exclusive-rights-for-paris-2024-paralympic-games/" TargetMode="External"/><Relationship Id="rId134" Type="http://schemas.openxmlformats.org/officeDocument/2006/relationships/hyperlink" Target="https://www.sevenwestmedia.com.au/assets/pdfs/FIFA-Womens-World-Cup-2023-draws-18.6m.pdf" TargetMode="External"/><Relationship Id="rId139" Type="http://schemas.openxmlformats.org/officeDocument/2006/relationships/hyperlink" Target="https://www.infrastructure.gov.au/sites/default/files/documents/anti-siphoning-review-proposals-paper.pdf" TargetMode="External"/><Relationship Id="rId8" Type="http://schemas.openxmlformats.org/officeDocument/2006/relationships/hyperlink" Target="https://www.afl.com.au/annual-reports" TargetMode="External"/><Relationship Id="rId51" Type="http://schemas.openxmlformats.org/officeDocument/2006/relationships/hyperlink" Target="https://www.infrastructure.gov.au/sites/default/files/documents/aspp-free-tv-australia.pdf" TargetMode="External"/><Relationship Id="rId72" Type="http://schemas.openxmlformats.org/officeDocument/2006/relationships/hyperlink" Target="https://www.smh.com.au/business/companies/fifa-looks-to-cash-in-on-matildas-success-as-2026-men-s-rights-kicks-off-20230813-p5dw3a.html" TargetMode="External"/><Relationship Id="rId80" Type="http://schemas.openxmlformats.org/officeDocument/2006/relationships/hyperlink" Target="https://sport.optus.com.au/news/womens-world-cup-2023/os59215/how-to-watch-fifa-womens-world-cup-2023-live-australia-optus-sport" TargetMode="External"/><Relationship Id="rId85" Type="http://schemas.openxmlformats.org/officeDocument/2006/relationships/hyperlink" Target="https://www.infrastructure.gov.au/sites/default/files/bcarr-international-comparison-of-fixed-broadband-performance_0.pdf" TargetMode="External"/><Relationship Id="rId93" Type="http://schemas.openxmlformats.org/officeDocument/2006/relationships/hyperlink" Target="https://www.acma.gov.au/sites/default/files/2023-03/HOWWEU~1.PDF" TargetMode="External"/><Relationship Id="rId98" Type="http://schemas.openxmlformats.org/officeDocument/2006/relationships/hyperlink" Target="https://www.digitalinclusionindex.org.au/dashboard/Affordability.aspx" TargetMode="External"/><Relationship Id="rId121" Type="http://schemas.openxmlformats.org/officeDocument/2006/relationships/hyperlink" Target="https://www.nineforbrands.com.au/media-release/nine-is-the-home-of-womens-rugby-league-from-2024/" TargetMode="External"/><Relationship Id="rId3" Type="http://schemas.openxmlformats.org/officeDocument/2006/relationships/hyperlink" Target="https://www.infrastructure.gov.au/sites/default/files/documents/anti-siphoning-review-proposals-paper.pdf" TargetMode="External"/><Relationship Id="rId12" Type="http://schemas.openxmlformats.org/officeDocument/2006/relationships/hyperlink" Target="https://www.infrastructure.gov.au/sites/default/files/documents/anti-siphoning-consultation-paper-oct-2022.pdf" TargetMode="External"/><Relationship Id="rId17" Type="http://schemas.openxmlformats.org/officeDocument/2006/relationships/hyperlink" Target="https://www.kantar.com/inspiration/fmcg/australian-streaming-market-stabilises-despite-1-million-cancellations" TargetMode="External"/><Relationship Id="rId25" Type="http://schemas.openxmlformats.org/officeDocument/2006/relationships/hyperlink" Target="https://www.sportspromedia.com/news/amazon-prime-swimming-australia-streaming-deal/" TargetMode="External"/><Relationship Id="rId33" Type="http://schemas.openxmlformats.org/officeDocument/2006/relationships/hyperlink" Target="https://www.premierleague.com/partners/amazon-prime-video" TargetMode="External"/><Relationship Id="rId38" Type="http://schemas.openxmlformats.org/officeDocument/2006/relationships/hyperlink" Target="https://www.cnbc.com/2022/09/20/amazon-thursday-night-football-nfl-stream-draws-record-prime-signups.html" TargetMode="External"/><Relationship Id="rId46" Type="http://schemas.openxmlformats.org/officeDocument/2006/relationships/hyperlink" Target="https://www.deloitte.com/au/en/Industries/tmt/perspectives/media-consumer-survey.html" TargetMode="External"/><Relationship Id="rId59" Type="http://schemas.openxmlformats.org/officeDocument/2006/relationships/hyperlink" Target="https://www.paralympic.org.au/2023/05/paralympics-australia-secures-landmark-paris-2024-media-rights-deal/" TargetMode="External"/><Relationship Id="rId67" Type="http://schemas.openxmlformats.org/officeDocument/2006/relationships/hyperlink" Target="https://assets.publishing.service.gov.uk/government/uploads/system/uploads/attachment_data/file/1166203/PSB_Reform_IA_-_PLS_publication_version.pdf" TargetMode="External"/><Relationship Id="rId103" Type="http://schemas.openxmlformats.org/officeDocument/2006/relationships/hyperlink" Target="https://venueshelp.stan.com.au/hc/en-us/articles/4404213256975-Minimum-Internet-Requirements" TargetMode="External"/><Relationship Id="rId108" Type="http://schemas.openxmlformats.org/officeDocument/2006/relationships/hyperlink" Target="https://www.infrastructure.gov.au/sites/default/files/documents/aspp--foxtel-group.pdf" TargetMode="External"/><Relationship Id="rId116" Type="http://schemas.openxmlformats.org/officeDocument/2006/relationships/hyperlink" Target="https://www.pc.gov.au/inquiries/completed/regulatory-burdens/social-economic-infrastructure/report/social-economic-infrastructure.pdf" TargetMode="External"/><Relationship Id="rId124" Type="http://schemas.openxmlformats.org/officeDocument/2006/relationships/hyperlink" Target="https://www.paralympic.org.au/2022/08/one-year-since-tokyo-analysis-shows-a-resounding-success/" TargetMode="External"/><Relationship Id="rId129" Type="http://schemas.openxmlformats.org/officeDocument/2006/relationships/hyperlink" Target="https://www.mediaweek.com.au/tv-ratings-june-22-2023-womens-state-of-origin-game-2/" TargetMode="External"/><Relationship Id="rId137" Type="http://schemas.openxmlformats.org/officeDocument/2006/relationships/hyperlink" Target="https://7news.com.au/sport/world-cup-soccer/womens-world-cup-live-and-free-on-seven-and-7plus-in-2023-matildas-match-times-and-venues-revealed-c-8651319" TargetMode="External"/><Relationship Id="rId20" Type="http://schemas.openxmlformats.org/officeDocument/2006/relationships/hyperlink" Target="https://www.acma.gov.au/spending-subscription-video-demand-providers" TargetMode="External"/><Relationship Id="rId41" Type="http://schemas.openxmlformats.org/officeDocument/2006/relationships/hyperlink" Target="https://www.grandviewresearch.com/industry-analysis/video-streaming-market" TargetMode="External"/><Relationship Id="rId54" Type="http://schemas.openxmlformats.org/officeDocument/2006/relationships/hyperlink" Target="https://minister.infrastructure.gov.au/rowland/media-release/matildas-fifa-world-cup-matches-added-anti-siphoning-list" TargetMode="External"/><Relationship Id="rId62" Type="http://schemas.openxmlformats.org/officeDocument/2006/relationships/hyperlink" Target="http://classic.austlii.edu.au/au/legis/cth/bill_em/bsb1992224/memo_0.html" TargetMode="External"/><Relationship Id="rId70" Type="http://schemas.openxmlformats.org/officeDocument/2006/relationships/hyperlink" Target="https://www.infrastructure.gov.au/sites/default/files/documents/anti-siphoning-consultation-paper-oct-2022.pdf" TargetMode="External"/><Relationship Id="rId75" Type="http://schemas.openxmlformats.org/officeDocument/2006/relationships/hyperlink" Target="https://www.infrastructure.gov.au/sites/default/files/documents/aspp-free-tv-australia.pdf" TargetMode="External"/><Relationship Id="rId83" Type="http://schemas.openxmlformats.org/officeDocument/2006/relationships/hyperlink" Target="https://www.infrastructure.gov.au/sites/default/files/documents/aspp--coalition-of-major-professional-and-participation-sports-compps.pdf" TargetMode="External"/><Relationship Id="rId88" Type="http://schemas.openxmlformats.org/officeDocument/2006/relationships/hyperlink" Target="https://www.telstra.com.au/5g" TargetMode="External"/><Relationship Id="rId91" Type="http://schemas.openxmlformats.org/officeDocument/2006/relationships/hyperlink" Target="https://www.acma.gov.au/publications/2020-12/report/mobile-only-australia-living-without-fixed-line-home" TargetMode="External"/><Relationship Id="rId96" Type="http://schemas.openxmlformats.org/officeDocument/2006/relationships/hyperlink" Target="https://www.acma.gov.au/sites/default/files/2023-03/How%20we%20use%20the%20internet_data%20file.csv" TargetMode="External"/><Relationship Id="rId111" Type="http://schemas.openxmlformats.org/officeDocument/2006/relationships/hyperlink" Target="https://www.infrastructure.gov.au/sites/default/files/documents/anti-siphoning-consultation-paper-oct-2022.pdf" TargetMode="External"/><Relationship Id="rId132" Type="http://schemas.openxmlformats.org/officeDocument/2006/relationships/hyperlink" Target="https://www.nineforbrands.com.au/media-release/nine-to-broadcast-every-nrlw-game-live-and-free-in-2023/" TargetMode="External"/><Relationship Id="rId140" Type="http://schemas.openxmlformats.org/officeDocument/2006/relationships/hyperlink" Target="https://www.infrastructure.gov.au/sites/default/files/documents/aspp--australian-broadcasting-corporation-abc.pdf" TargetMode="External"/><Relationship Id="rId1" Type="http://schemas.openxmlformats.org/officeDocument/2006/relationships/hyperlink" Target="https://www.legislation.gov.au/Details/F2023L00332" TargetMode="External"/><Relationship Id="rId6" Type="http://schemas.openxmlformats.org/officeDocument/2006/relationships/hyperlink" Target="https://www.freetv.com.au/wp-content/uploads/2022/09/Everybody-gets-it-2022.pdf" TargetMode="External"/><Relationship Id="rId15" Type="http://schemas.openxmlformats.org/officeDocument/2006/relationships/hyperlink" Target="https://www.youtube.com/olympics" TargetMode="External"/><Relationship Id="rId23" Type="http://schemas.openxmlformats.org/officeDocument/2006/relationships/hyperlink" Target="https://cdn2.singteldigital.com/content/dam/singtel/investorRelations/financialResults/2023/h2fy23/H2FY23-Group-MDA.pdf" TargetMode="External"/><Relationship Id="rId28" Type="http://schemas.openxmlformats.org/officeDocument/2006/relationships/hyperlink" Target="https://sport.optus.com.au/news/announcement/os26733/womens-world-cup-2023-fifa-optus-sport" TargetMode="External"/><Relationship Id="rId36" Type="http://schemas.openxmlformats.org/officeDocument/2006/relationships/hyperlink" Target="https://www.reuters.com/article/us-soccer-italy-seriea-broadcast-idUSKBN2BI20P" TargetMode="External"/><Relationship Id="rId49" Type="http://schemas.openxmlformats.org/officeDocument/2006/relationships/hyperlink" Target="https://www.acma.gov.au/sites/default/files/2023-03/How%20we%20use%20the%20internet_data%20file.csv" TargetMode="External"/><Relationship Id="rId57" Type="http://schemas.openxmlformats.org/officeDocument/2006/relationships/hyperlink" Target="https://www.nrl.com/news/2023/07/20/nrlw-2023-when-where-to-watch-round-1-games/" TargetMode="External"/><Relationship Id="rId106" Type="http://schemas.openxmlformats.org/officeDocument/2006/relationships/hyperlink" Target="https://www.infrastructure.gov.au/sites/default/files/documents/aspp--optus.pdf" TargetMode="External"/><Relationship Id="rId114" Type="http://schemas.openxmlformats.org/officeDocument/2006/relationships/hyperlink" Target="https://www.pc.gov.au/inquiries/completed/regulatory-burdens/social-economic-infrastructure/report/social-economic-infrastructure.pdf" TargetMode="External"/><Relationship Id="rId119" Type="http://schemas.openxmlformats.org/officeDocument/2006/relationships/hyperlink" Target="https://www.afl.com.au/news/837244/afl-reveals-new-broadcast-rights-deal-from-2025" TargetMode="External"/><Relationship Id="rId127" Type="http://schemas.openxmlformats.org/officeDocument/2006/relationships/hyperlink" Target="https://resources.afl.com.au/afl/document/2023/03/03/a2ac5fc4-1ce6-4a12-85e6-9d398a960142/2022-AFL_AR_Digital-Doc_150dpi_Low.pdf?_ga=2.242177666.1452107832.1699827674-957473099.1697674243" TargetMode="External"/><Relationship Id="rId10" Type="http://schemas.openxmlformats.org/officeDocument/2006/relationships/hyperlink" Target="https://www.infrastructure.gov.au/sites/default/files/documents/anti-siphoning-consultation-paper-oct-2022.pdf" TargetMode="External"/><Relationship Id="rId31" Type="http://schemas.openxmlformats.org/officeDocument/2006/relationships/hyperlink" Target="https://www.ofcom.org.uk/__data/assets/pdf_file/0019/240553/Ampere-abridged-report.pdf" TargetMode="External"/><Relationship Id="rId44" Type="http://schemas.openxmlformats.org/officeDocument/2006/relationships/hyperlink" Target="https://help.kayosports.com.au/s/article/How-much-does-a-Kayo-subscription-cost" TargetMode="External"/><Relationship Id="rId52" Type="http://schemas.openxmlformats.org/officeDocument/2006/relationships/hyperlink" Target="https://www.infrastructure.gov.au/sites/default/files/documents/anti-siphoning-review-proposals-paper.pdf" TargetMode="External"/><Relationship Id="rId60" Type="http://schemas.openxmlformats.org/officeDocument/2006/relationships/hyperlink" Target="https://www.paralympic.org.au/2022/08/one-year-since-tokyo-analysis-shows-a-resounding-success/" TargetMode="External"/><Relationship Id="rId65" Type="http://schemas.openxmlformats.org/officeDocument/2006/relationships/hyperlink" Target="https://www.pc.gov.au/inquiries/completed/regulatory-burdens/social-economic-infrastructure/report/social-economic-infrastructure.pdf" TargetMode="External"/><Relationship Id="rId73" Type="http://schemas.openxmlformats.org/officeDocument/2006/relationships/hyperlink" Target="https://www.golf.org.au/the-golf-boom-continues-in-australia/" TargetMode="External"/><Relationship Id="rId78" Type="http://schemas.openxmlformats.org/officeDocument/2006/relationships/hyperlink" Target="https://www.infrastructure.gov.au/sites/default/files/documents/aspp--optus.pdf" TargetMode="External"/><Relationship Id="rId81" Type="http://schemas.openxmlformats.org/officeDocument/2006/relationships/hyperlink" Target="https://www.infrastructure.gov.au/sites/default/files/documents/aspp--foxtel-group.pdf" TargetMode="External"/><Relationship Id="rId86" Type="http://schemas.openxmlformats.org/officeDocument/2006/relationships/hyperlink" Target="https://www.infrastructure.gov.au/sites/default/files/bcarr-international-comparison-of-fixed-broadband-performance_0.pdf" TargetMode="External"/><Relationship Id="rId94" Type="http://schemas.openxmlformats.org/officeDocument/2006/relationships/hyperlink" Target="https://www.accc.gov.au/system/files/Internet%20Activity%20Report%20-%20December%202022.pdf" TargetMode="External"/><Relationship Id="rId99" Type="http://schemas.openxmlformats.org/officeDocument/2006/relationships/hyperlink" Target="https://www.acma.gov.au/publications/2023-07/report/communications-and-media-australia-trends-and-developments-viewing-and-listening-2021-22" TargetMode="External"/><Relationship Id="rId101" Type="http://schemas.openxmlformats.org/officeDocument/2006/relationships/hyperlink" Target="https://help.kayosports.com.au/s/article/What-internet-speed-do-I-need-to-use-Kayo" TargetMode="External"/><Relationship Id="rId122" Type="http://schemas.openxmlformats.org/officeDocument/2006/relationships/hyperlink" Target="https://www.nineforbrands.com.au/media-release/womens-state-of-origin-live-and-free-on-channel-9hd/" TargetMode="External"/><Relationship Id="rId130" Type="http://schemas.openxmlformats.org/officeDocument/2006/relationships/hyperlink" Target="https://www.afl.com.au/news/837244/afl-reveals-new-broadcast-rights-deal-from-2025" TargetMode="External"/><Relationship Id="rId135" Type="http://schemas.openxmlformats.org/officeDocument/2006/relationships/hyperlink" Target="https://www.sbs.com.au/sport/article/everything-you-need-to-know-about-the-fifa-world-cup-2026-live-and-free-on-sbs/lc3hgtfj4" TargetMode="External"/><Relationship Id="rId4" Type="http://schemas.openxmlformats.org/officeDocument/2006/relationships/hyperlink" Target="https://www.legislation.gov.au/Details/F2023L00332/Explanatory%20Statement/Text" TargetMode="External"/><Relationship Id="rId9" Type="http://schemas.openxmlformats.org/officeDocument/2006/relationships/hyperlink" Target="https://www.nrl.com/news/2022/02/28/2021-financial-results/" TargetMode="External"/><Relationship Id="rId13" Type="http://schemas.openxmlformats.org/officeDocument/2006/relationships/hyperlink" Target="https://www.youtube.com/AFL" TargetMode="External"/><Relationship Id="rId18" Type="http://schemas.openxmlformats.org/officeDocument/2006/relationships/hyperlink" Target="https://www.telsyte.com.au/announcements/2020/08/17/subscription-home-entertainment-soars-in-australia" TargetMode="External"/><Relationship Id="rId39" Type="http://schemas.openxmlformats.org/officeDocument/2006/relationships/hyperlink" Target="https://www.worldbank.org/en/publication/wdr2016/Digital-Adoption-Index" TargetMode="External"/><Relationship Id="rId109" Type="http://schemas.openxmlformats.org/officeDocument/2006/relationships/hyperlink" Target="https://www.infrastructure.gov.au/sites/default/files/documents/aspp-free-tv-australia.pdf" TargetMode="External"/><Relationship Id="rId34" Type="http://schemas.openxmlformats.org/officeDocument/2006/relationships/hyperlink" Target="https://www.theguardian.com/football/2021/may/12/premier-league-set-for-45bn-new-tv-deal-with-sky-bt-and-amazon" TargetMode="External"/><Relationship Id="rId50" Type="http://schemas.openxmlformats.org/officeDocument/2006/relationships/hyperlink" Target="https://www.digitalinclusionindex.org.au/key-findings-and-next-steps/" TargetMode="External"/><Relationship Id="rId55" Type="http://schemas.openxmlformats.org/officeDocument/2006/relationships/hyperlink" Target="https://www.afl.com.au/news/837244/afl-reveals-new-broadcast-rights-deal-from-2025" TargetMode="External"/><Relationship Id="rId76" Type="http://schemas.openxmlformats.org/officeDocument/2006/relationships/hyperlink" Target="https://www.pc.gov.au/inquiries/completed/regulatory-burdens/social-economic-infrastructure/report/social-economic-infrastructure.pdf" TargetMode="External"/><Relationship Id="rId97" Type="http://schemas.openxmlformats.org/officeDocument/2006/relationships/hyperlink" Target="https://www.digitalinclusionindex.org.au/key-findings-and-next-steps/" TargetMode="External"/><Relationship Id="rId104" Type="http://schemas.openxmlformats.org/officeDocument/2006/relationships/hyperlink" Target="https://www.accc.gov.au/system/files/MBA%2018%20report%20appendix%209%20August%202022.pdf" TargetMode="External"/><Relationship Id="rId120" Type="http://schemas.openxmlformats.org/officeDocument/2006/relationships/hyperlink" Target="https://www.nineforbrands.com.au/media-release/nine-to-broadcast-every-nrlw-game-live-and-free-in-2023/" TargetMode="External"/><Relationship Id="rId125" Type="http://schemas.openxmlformats.org/officeDocument/2006/relationships/hyperlink" Target="https://www.afl.com.au/aflw/news/1000992/afl-sets-out-plan-to-drive-women-and-girls-participation" TargetMode="External"/><Relationship Id="rId7" Type="http://schemas.openxmlformats.org/officeDocument/2006/relationships/hyperlink" Target="https://www.infrastructure.gov.au/sites/default/files/documents/tv_consumer_survey_2022_-_final_report_0.pdf" TargetMode="External"/><Relationship Id="rId71" Type="http://schemas.openxmlformats.org/officeDocument/2006/relationships/hyperlink" Target="https://www.sevenwestmedia.com.au/assets/pdfs/FIFA-Womens-World-Cup-2023-draws-18.6m.pdf" TargetMode="External"/><Relationship Id="rId92" Type="http://schemas.openxmlformats.org/officeDocument/2006/relationships/hyperlink" Target="https://www.digitalinclusionindex.org.au/key-findings-and-next-steps/" TargetMode="External"/><Relationship Id="rId2" Type="http://schemas.openxmlformats.org/officeDocument/2006/relationships/hyperlink" Target="https://www.infrastructure.gov.au/sites/default/files/documents/anti-siphoning-consultation-paper-oct-2022.pdf" TargetMode="External"/><Relationship Id="rId29" Type="http://schemas.openxmlformats.org/officeDocument/2006/relationships/hyperlink" Target="https://7news.com.au/sport/world-cup-soccer/womens-world-cup-live-and-free-on-seven-and-7plus-in-2023-matildas-match-times-and-venues-revealed-c-8651319" TargetMode="External"/><Relationship Id="rId24" Type="http://schemas.openxmlformats.org/officeDocument/2006/relationships/hyperlink" Target="https://www.mediaweek.com.au/seven-reveals-its-digital-product-for-2020-tokyo-olympics/" TargetMode="External"/><Relationship Id="rId40" Type="http://schemas.openxmlformats.org/officeDocument/2006/relationships/hyperlink" Target="https://www.ncbi.nlm.nih.gov/pmc/articles/PMC6422909/" TargetMode="External"/><Relationship Id="rId45" Type="http://schemas.openxmlformats.org/officeDocument/2006/relationships/hyperlink" Target="https://sport.optus.com.au/signup" TargetMode="External"/><Relationship Id="rId66" Type="http://schemas.openxmlformats.org/officeDocument/2006/relationships/hyperlink" Target="https://apo.org.au/sites/default/files/resource-files/2009-11/apo-nid19766.pdf" TargetMode="External"/><Relationship Id="rId87" Type="http://schemas.openxmlformats.org/officeDocument/2006/relationships/hyperlink" Target="https://www.telstra.com.au/coverage-networks/our-network" TargetMode="External"/><Relationship Id="rId110" Type="http://schemas.openxmlformats.org/officeDocument/2006/relationships/hyperlink" Target="https://www.pc.gov.au/inquiries/completed/regulatory-burdens/social-economic-infrastructure/report/social-economic-infrastructure.pdf" TargetMode="External"/><Relationship Id="rId115" Type="http://schemas.openxmlformats.org/officeDocument/2006/relationships/hyperlink" Target="https://www.infrastructure.gov.au/sites/default/files/documents/aspp-free-tv-australia.pdf" TargetMode="External"/><Relationship Id="rId131" Type="http://schemas.openxmlformats.org/officeDocument/2006/relationships/hyperlink" Target="https://www.nrl.com/news/2021/12/21/explainer-what-broadcast-deal-means-for-the-game/" TargetMode="External"/><Relationship Id="rId136" Type="http://schemas.openxmlformats.org/officeDocument/2006/relationships/hyperlink" Target="https://sport.optus.com.au/news/announcement/os26733/womens-world-cup-2023-fifa-optus-sport" TargetMode="External"/><Relationship Id="rId61" Type="http://schemas.openxmlformats.org/officeDocument/2006/relationships/hyperlink" Target="https://www.paralympic.org.au/2021/11/report-finds-australian-paralympic-team-among-nations-most-popular/" TargetMode="External"/><Relationship Id="rId82" Type="http://schemas.openxmlformats.org/officeDocument/2006/relationships/hyperlink" Target="https://www.infrastructure.gov.au/sites/default/files/documents/aspp--optus.pdf" TargetMode="External"/><Relationship Id="rId19" Type="http://schemas.openxmlformats.org/officeDocument/2006/relationships/hyperlink" Target="https://www.telsyte.com.au/announcements/2023/8/28/australias-subscription-entertainment-market-growth-eases-but-remains-vital" TargetMode="External"/><Relationship Id="rId14" Type="http://schemas.openxmlformats.org/officeDocument/2006/relationships/hyperlink" Target="https://www.youtube.com/@NRL" TargetMode="External"/><Relationship Id="rId30" Type="http://schemas.openxmlformats.org/officeDocument/2006/relationships/hyperlink" Target="https://nielsensports.com/fans-are-changing-the-game-2022-global-sports-marketing-report/" TargetMode="External"/><Relationship Id="rId35" Type="http://schemas.openxmlformats.org/officeDocument/2006/relationships/hyperlink" Target="https://www.sportcal.com/media/france-tv-and-amazon-extend-domestic-roland-garros-rights-until-2027/" TargetMode="External"/><Relationship Id="rId56" Type="http://schemas.openxmlformats.org/officeDocument/2006/relationships/hyperlink" Target="https://womensagenda.com.au/latest/nrlw-set-for-biggest-season-yet-with-expansion-and-new-broadcast-deal/" TargetMode="External"/><Relationship Id="rId77" Type="http://schemas.openxmlformats.org/officeDocument/2006/relationships/hyperlink" Target="https://www.infrastructure.gov.au/sites/default/files/documents/aspp--foxtel-group.pdf" TargetMode="External"/><Relationship Id="rId100" Type="http://schemas.openxmlformats.org/officeDocument/2006/relationships/hyperlink" Target="https://www.deloitte.com/au/en/Industries/tmt/perspectives/media-consumer-survey.html" TargetMode="External"/><Relationship Id="rId105" Type="http://schemas.openxmlformats.org/officeDocument/2006/relationships/hyperlink" Target="https://www.smh.com.au/business/companies/after-optus-sport-fail-sbs-to-simulcast-rest-of-2018-world-cup-20180628-p4zoaf.html" TargetMode="External"/><Relationship Id="rId126" Type="http://schemas.openxmlformats.org/officeDocument/2006/relationships/hyperlink" Target="https://www.nrl.com/news/2023/04/19/rugby-league-celebrates-club-participation-growth-nationally/"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DOCID-322795542-41928</_dlc_DocId>
    <_dlc_DocIdUrl xmlns="4195ad5f-cdf2-4c4a-8d9b-b7944a108e98">
      <Url>https://pmc01.sharepoint.com/sites/CRMOBPR/_layouts/15/DocIdRedir.aspx?ID=DOCID-322795542-41928</Url>
      <Description>DOCID-322795542-41928</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EC62D-EACC-4E8A-B857-54CDAB1BEF4A}">
  <ds:schemaRefs>
    <ds:schemaRef ds:uri="http://schemas.openxmlformats.org/officeDocument/2006/bibliography"/>
  </ds:schemaRefs>
</ds:datastoreItem>
</file>

<file path=customXml/itemProps3.xml><?xml version="1.0" encoding="utf-8"?>
<ds:datastoreItem xmlns:ds="http://schemas.openxmlformats.org/officeDocument/2006/customXml" ds:itemID="{0136CA4C-E8AF-479C-83A0-3904B4CD5086}"/>
</file>

<file path=customXml/itemProps4.xml><?xml version="1.0" encoding="utf-8"?>
<ds:datastoreItem xmlns:ds="http://schemas.openxmlformats.org/officeDocument/2006/customXml" ds:itemID="{8B1A8D25-AABD-47E4-84B1-7651D36B73D9}"/>
</file>

<file path=customXml/itemProps5.xml><?xml version="1.0" encoding="utf-8"?>
<ds:datastoreItem xmlns:ds="http://schemas.openxmlformats.org/officeDocument/2006/customXml" ds:itemID="{EBD487D9-B0D6-4954-9288-6B9B297E5C67}"/>
</file>

<file path=customXml/itemProps6.xml><?xml version="1.0" encoding="utf-8"?>
<ds:datastoreItem xmlns:ds="http://schemas.openxmlformats.org/officeDocument/2006/customXml" ds:itemID="{8830ABCF-4CA8-449B-9BCC-5760CC052A76}"/>
</file>

<file path=docProps/app.xml><?xml version="1.0" encoding="utf-8"?>
<Properties xmlns="http://schemas.openxmlformats.org/officeDocument/2006/extended-properties" xmlns:vt="http://schemas.openxmlformats.org/officeDocument/2006/docPropsVTypes">
  <Template>Normal</Template>
  <TotalTime>0</TotalTime>
  <Pages>64</Pages>
  <Words>28951</Words>
  <Characters>165023</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2023-11-29T04:59:00Z</dcterms:created>
  <dcterms:modified xsi:type="dcterms:W3CDTF">2023-11-29T05:01:00Z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01111dc4-066c-4952-8352-d60ab9907cf5</vt:lpwstr>
  </property>
</Properties>
</file>